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26,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333-254891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81915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62865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ICON PUBLIC LIMITED COMPANY</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60325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6" w:lineRule="exact"/>
        <w:rPr>
          <w:sz w:val="24"/>
          <w:szCs w:val="24"/>
          <w:color w:val="auto"/>
        </w:rPr>
      </w:pPr>
    </w:p>
    <w:tbl>
      <w:tblPr>
        <w:tblLayout w:type="fixed"/>
        <w:tblInd w:w="780" w:type="dxa"/>
        <w:tblCellMar>
          <w:top w:w="0" w:type="dxa"/>
          <w:left w:w="0" w:type="dxa"/>
          <w:bottom w:w="0" w:type="dxa"/>
          <w:right w:w="0" w:type="dxa"/>
        </w:tblCellMar>
      </w:tblPr>
      <w:tr>
        <w:trPr>
          <w:trHeight w:val="153"/>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Ireland</w:t>
            </w:r>
          </w:p>
        </w:tc>
        <w:tc>
          <w:tcPr>
            <w:tcW w:w="336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8731</w:t>
            </w:r>
          </w:p>
        </w:tc>
        <w:tc>
          <w:tcPr>
            <w:tcW w:w="2180" w:type="dxa"/>
            <w:vAlign w:val="bottom"/>
          </w:tcPr>
          <w:p>
            <w:pPr>
              <w:jc w:val="center"/>
              <w:ind w:left="875"/>
              <w:spacing w:after="0"/>
              <w:rPr>
                <w:sz w:val="20"/>
                <w:szCs w:val="20"/>
                <w:color w:val="auto"/>
              </w:rPr>
            </w:pPr>
            <w:r>
              <w:rPr>
                <w:rFonts w:ascii="Arial" w:cs="Arial" w:eastAsia="Arial" w:hAnsi="Arial"/>
                <w:sz w:val="13"/>
                <w:szCs w:val="13"/>
                <w:b w:val="1"/>
                <w:bCs w:val="1"/>
                <w:color w:val="auto"/>
                <w:w w:val="92"/>
              </w:rPr>
              <w:t>Not Applicable</w:t>
            </w:r>
          </w:p>
        </w:tc>
      </w:tr>
      <w:tr>
        <w:trPr>
          <w:trHeight w:val="148"/>
        </w:trPr>
        <w:tc>
          <w:tcPr>
            <w:tcW w:w="2440" w:type="dxa"/>
            <w:vAlign w:val="bottom"/>
          </w:tcPr>
          <w:p>
            <w:pPr>
              <w:spacing w:after="0"/>
              <w:rPr>
                <w:sz w:val="20"/>
                <w:szCs w:val="20"/>
                <w:color w:val="auto"/>
              </w:rPr>
            </w:pPr>
            <w:r>
              <w:rPr>
                <w:rFonts w:ascii="Arial" w:cs="Arial" w:eastAsia="Arial" w:hAnsi="Arial"/>
                <w:sz w:val="13"/>
                <w:szCs w:val="13"/>
                <w:color w:val="auto"/>
              </w:rPr>
              <w:t>(State or other jurisdiction of</w:t>
            </w:r>
          </w:p>
        </w:tc>
        <w:tc>
          <w:tcPr>
            <w:tcW w:w="3360" w:type="dxa"/>
            <w:vAlign w:val="bottom"/>
          </w:tcPr>
          <w:p>
            <w:pPr>
              <w:jc w:val="center"/>
              <w:ind w:right="55"/>
              <w:spacing w:after="0"/>
              <w:rPr>
                <w:sz w:val="20"/>
                <w:szCs w:val="20"/>
                <w:color w:val="auto"/>
              </w:rPr>
            </w:pPr>
            <w:r>
              <w:rPr>
                <w:rFonts w:ascii="Arial" w:cs="Arial" w:eastAsia="Arial" w:hAnsi="Arial"/>
                <w:sz w:val="13"/>
                <w:szCs w:val="13"/>
                <w:color w:val="auto"/>
                <w:w w:val="91"/>
              </w:rPr>
              <w:t>(Primary Standard Industrial</w:t>
            </w:r>
          </w:p>
        </w:tc>
        <w:tc>
          <w:tcPr>
            <w:tcW w:w="2180" w:type="dxa"/>
            <w:vAlign w:val="bottom"/>
          </w:tcPr>
          <w:p>
            <w:pPr>
              <w:jc w:val="center"/>
              <w:ind w:left="875"/>
              <w:spacing w:after="0"/>
              <w:rPr>
                <w:sz w:val="20"/>
                <w:szCs w:val="20"/>
                <w:color w:val="auto"/>
              </w:rPr>
            </w:pPr>
            <w:r>
              <w:rPr>
                <w:rFonts w:ascii="Arial" w:cs="Arial" w:eastAsia="Arial" w:hAnsi="Arial"/>
                <w:sz w:val="13"/>
                <w:szCs w:val="13"/>
                <w:color w:val="auto"/>
                <w:w w:val="94"/>
              </w:rPr>
              <w:t>(IRS Employer</w:t>
            </w:r>
          </w:p>
        </w:tc>
      </w:tr>
      <w:tr>
        <w:trPr>
          <w:trHeight w:val="163"/>
        </w:trPr>
        <w:tc>
          <w:tcPr>
            <w:tcW w:w="244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3360" w:type="dxa"/>
            <w:vAlign w:val="bottom"/>
          </w:tcPr>
          <w:p>
            <w:pPr>
              <w:jc w:val="center"/>
              <w:ind w:right="35"/>
              <w:spacing w:after="0"/>
              <w:rPr>
                <w:sz w:val="20"/>
                <w:szCs w:val="20"/>
                <w:color w:val="auto"/>
              </w:rPr>
            </w:pPr>
            <w:r>
              <w:rPr>
                <w:rFonts w:ascii="Arial" w:cs="Arial" w:eastAsia="Arial" w:hAnsi="Arial"/>
                <w:sz w:val="13"/>
                <w:szCs w:val="13"/>
                <w:color w:val="auto"/>
                <w:w w:val="90"/>
              </w:rPr>
              <w:t>Classification Code Number)</w:t>
            </w:r>
          </w:p>
        </w:tc>
        <w:tc>
          <w:tcPr>
            <w:tcW w:w="2180" w:type="dxa"/>
            <w:vAlign w:val="bottom"/>
          </w:tcPr>
          <w:p>
            <w:pPr>
              <w:jc w:val="center"/>
              <w:ind w:left="915"/>
              <w:spacing w:after="0"/>
              <w:rPr>
                <w:sz w:val="20"/>
                <w:szCs w:val="20"/>
                <w:color w:val="auto"/>
              </w:rPr>
            </w:pPr>
            <w:r>
              <w:rPr>
                <w:rFonts w:ascii="Arial" w:cs="Arial" w:eastAsia="Arial" w:hAnsi="Arial"/>
                <w:sz w:val="13"/>
                <w:szCs w:val="13"/>
                <w:color w:val="auto"/>
                <w:w w:val="94"/>
              </w:rPr>
              <w:t>Identification Number)</w:t>
            </w:r>
          </w:p>
        </w:tc>
      </w:tr>
    </w:tbl>
    <w:p>
      <w:pPr>
        <w:spacing w:after="0" w:line="35"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South County Business Park</w:t>
      </w:r>
    </w:p>
    <w:p>
      <w:pPr>
        <w:spacing w:after="0" w:line="12" w:lineRule="exact"/>
        <w:rPr>
          <w:sz w:val="24"/>
          <w:szCs w:val="24"/>
          <w:color w:val="auto"/>
        </w:rPr>
      </w:pPr>
    </w:p>
    <w:p>
      <w:pPr>
        <w:ind w:left="4460"/>
        <w:spacing w:after="0"/>
        <w:rPr>
          <w:sz w:val="20"/>
          <w:szCs w:val="20"/>
          <w:color w:val="auto"/>
        </w:rPr>
      </w:pPr>
      <w:r>
        <w:rPr>
          <w:rFonts w:ascii="Arial" w:cs="Arial" w:eastAsia="Arial" w:hAnsi="Arial"/>
          <w:sz w:val="13"/>
          <w:szCs w:val="13"/>
          <w:b w:val="1"/>
          <w:bCs w:val="1"/>
          <w:color w:val="auto"/>
        </w:rPr>
        <w:t>Leopardstown</w:t>
      </w:r>
    </w:p>
    <w:p>
      <w:pPr>
        <w:ind w:left="4360"/>
        <w:spacing w:after="0"/>
        <w:rPr>
          <w:sz w:val="20"/>
          <w:szCs w:val="20"/>
          <w:color w:val="auto"/>
        </w:rPr>
      </w:pPr>
      <w:r>
        <w:rPr>
          <w:rFonts w:ascii="Arial" w:cs="Arial" w:eastAsia="Arial" w:hAnsi="Arial"/>
          <w:sz w:val="13"/>
          <w:szCs w:val="13"/>
          <w:b w:val="1"/>
          <w:bCs w:val="1"/>
          <w:color w:val="auto"/>
        </w:rPr>
        <w:t>Dublin 18, Ireland</w:t>
      </w:r>
    </w:p>
    <w:p>
      <w:pPr>
        <w:ind w:left="4260"/>
        <w:spacing w:after="0"/>
        <w:rPr>
          <w:sz w:val="20"/>
          <w:szCs w:val="20"/>
          <w:color w:val="auto"/>
        </w:rPr>
      </w:pPr>
      <w:r>
        <w:rPr>
          <w:rFonts w:ascii="Arial" w:cs="Arial" w:eastAsia="Arial" w:hAnsi="Arial"/>
          <w:sz w:val="13"/>
          <w:szCs w:val="13"/>
          <w:b w:val="1"/>
          <w:bCs w:val="1"/>
          <w:color w:val="auto"/>
        </w:rPr>
        <w:t>Tel: +353-1-291-2000</w:t>
      </w:r>
    </w:p>
    <w:p>
      <w:pPr>
        <w:ind w:left="186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Puglisi &amp; Associates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850 Library Avenue, Suite 204</w:t>
      </w:r>
    </w:p>
    <w:p>
      <w:pPr>
        <w:jc w:val="center"/>
        <w:spacing w:after="0"/>
        <w:rPr>
          <w:sz w:val="20"/>
          <w:szCs w:val="20"/>
          <w:color w:val="auto"/>
        </w:rPr>
      </w:pPr>
      <w:r>
        <w:rPr>
          <w:rFonts w:ascii="Arial" w:cs="Arial" w:eastAsia="Arial" w:hAnsi="Arial"/>
          <w:sz w:val="13"/>
          <w:szCs w:val="13"/>
          <w:b w:val="1"/>
          <w:bCs w:val="1"/>
          <w:color w:val="auto"/>
        </w:rPr>
        <w:t>Newark, Delaware 19711</w:t>
      </w:r>
    </w:p>
    <w:p>
      <w:pPr>
        <w:jc w:val="center"/>
        <w:spacing w:after="0"/>
        <w:rPr>
          <w:sz w:val="20"/>
          <w:szCs w:val="20"/>
          <w:color w:val="auto"/>
        </w:rPr>
      </w:pPr>
      <w:r>
        <w:rPr>
          <w:rFonts w:ascii="Arial" w:cs="Arial" w:eastAsia="Arial" w:hAnsi="Arial"/>
          <w:sz w:val="13"/>
          <w:szCs w:val="13"/>
          <w:b w:val="1"/>
          <w:bCs w:val="1"/>
          <w:color w:val="auto"/>
        </w:rPr>
        <w:t>(302) 738-6680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55245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4" w:lineRule="exact"/>
        <w:rPr>
          <w:sz w:val="24"/>
          <w:szCs w:val="24"/>
          <w:color w:val="auto"/>
        </w:rPr>
      </w:pPr>
    </w:p>
    <w:tbl>
      <w:tblPr>
        <w:tblLayout w:type="fixed"/>
        <w:tblInd w:w="220" w:type="dxa"/>
        <w:tblCellMar>
          <w:top w:w="0" w:type="dxa"/>
          <w:left w:w="0" w:type="dxa"/>
          <w:bottom w:w="0" w:type="dxa"/>
          <w:right w:w="0" w:type="dxa"/>
        </w:tblCellMar>
      </w:tblPr>
      <w:tr>
        <w:trPr>
          <w:trHeight w:val="167"/>
        </w:trPr>
        <w:tc>
          <w:tcPr>
            <w:tcW w:w="2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With copies to:</w:t>
            </w:r>
          </w:p>
        </w:tc>
        <w:tc>
          <w:tcPr>
            <w:tcW w:w="2340" w:type="dxa"/>
            <w:vAlign w:val="bottom"/>
          </w:tcPr>
          <w:p>
            <w:pPr>
              <w:spacing w:after="0"/>
              <w:rPr>
                <w:sz w:val="14"/>
                <w:szCs w:val="14"/>
                <w:color w:val="auto"/>
              </w:rPr>
            </w:pPr>
          </w:p>
        </w:tc>
      </w:tr>
      <w:tr>
        <w:trPr>
          <w:trHeight w:val="295"/>
        </w:trPr>
        <w:tc>
          <w:tcPr>
            <w:tcW w:w="2180" w:type="dxa"/>
            <w:vAlign w:val="bottom"/>
          </w:tcPr>
          <w:p>
            <w:pPr>
              <w:jc w:val="center"/>
              <w:ind w:right="291"/>
              <w:spacing w:after="0"/>
              <w:rPr>
                <w:sz w:val="20"/>
                <w:szCs w:val="20"/>
                <w:color w:val="auto"/>
              </w:rPr>
            </w:pPr>
            <w:r>
              <w:rPr>
                <w:rFonts w:ascii="Arial" w:cs="Arial" w:eastAsia="Arial" w:hAnsi="Arial"/>
                <w:sz w:val="14"/>
                <w:szCs w:val="14"/>
                <w:b w:val="1"/>
                <w:bCs w:val="1"/>
                <w:color w:val="auto"/>
                <w:w w:val="96"/>
              </w:rPr>
              <w:t>William M. Hartnett</w:t>
            </w:r>
          </w:p>
        </w:tc>
        <w:tc>
          <w:tcPr>
            <w:tcW w:w="2040" w:type="dxa"/>
            <w:vAlign w:val="bottom"/>
          </w:tcPr>
          <w:p>
            <w:pPr>
              <w:jc w:val="center"/>
              <w:ind w:left="271"/>
              <w:spacing w:after="0"/>
              <w:rPr>
                <w:sz w:val="20"/>
                <w:szCs w:val="20"/>
                <w:color w:val="auto"/>
              </w:rPr>
            </w:pPr>
            <w:r>
              <w:rPr>
                <w:rFonts w:ascii="Arial" w:cs="Arial" w:eastAsia="Arial" w:hAnsi="Arial"/>
                <w:sz w:val="14"/>
                <w:szCs w:val="14"/>
                <w:b w:val="1"/>
                <w:bCs w:val="1"/>
                <w:color w:val="auto"/>
                <w:w w:val="92"/>
              </w:rPr>
              <w:t>Diarmaid Cunningham</w:t>
            </w:r>
          </w:p>
        </w:tc>
        <w:tc>
          <w:tcPr>
            <w:tcW w:w="2760" w:type="dxa"/>
            <w:vAlign w:val="bottom"/>
          </w:tcPr>
          <w:p>
            <w:pPr>
              <w:jc w:val="center"/>
              <w:ind w:left="431"/>
              <w:spacing w:after="0"/>
              <w:rPr>
                <w:sz w:val="20"/>
                <w:szCs w:val="20"/>
                <w:color w:val="auto"/>
              </w:rPr>
            </w:pPr>
            <w:r>
              <w:rPr>
                <w:rFonts w:ascii="Arial" w:cs="Arial" w:eastAsia="Arial" w:hAnsi="Arial"/>
                <w:sz w:val="14"/>
                <w:szCs w:val="14"/>
                <w:b w:val="1"/>
                <w:bCs w:val="1"/>
                <w:color w:val="auto"/>
                <w:w w:val="90"/>
              </w:rPr>
              <w:t>Christopher L. Gaenzle</w:t>
            </w:r>
          </w:p>
        </w:tc>
        <w:tc>
          <w:tcPr>
            <w:tcW w:w="2340" w:type="dxa"/>
            <w:vAlign w:val="bottom"/>
          </w:tcPr>
          <w:p>
            <w:pPr>
              <w:jc w:val="center"/>
              <w:ind w:left="291"/>
              <w:spacing w:after="0"/>
              <w:rPr>
                <w:sz w:val="20"/>
                <w:szCs w:val="20"/>
                <w:color w:val="auto"/>
              </w:rPr>
            </w:pPr>
            <w:r>
              <w:rPr>
                <w:rFonts w:ascii="Arial" w:cs="Arial" w:eastAsia="Arial" w:hAnsi="Arial"/>
                <w:sz w:val="14"/>
                <w:szCs w:val="14"/>
                <w:b w:val="1"/>
                <w:bCs w:val="1"/>
                <w:color w:val="auto"/>
                <w:w w:val="90"/>
              </w:rPr>
              <w:t>Krishna Veeraraghavan</w:t>
            </w:r>
          </w:p>
        </w:tc>
      </w:tr>
      <w:tr>
        <w:trPr>
          <w:trHeight w:val="149"/>
        </w:trPr>
        <w:tc>
          <w:tcPr>
            <w:tcW w:w="218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90"/>
              </w:rPr>
              <w:t>Kimberly C. Petillo-Décossard</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9"/>
              </w:rPr>
              <w:t>General Counsel</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90"/>
              </w:rPr>
              <w:t>Corporate Secretary</w:t>
            </w:r>
          </w:p>
        </w:tc>
        <w:tc>
          <w:tcPr>
            <w:tcW w:w="23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94"/>
              </w:rPr>
              <w:t>Laura C. Turano</w:t>
            </w:r>
          </w:p>
        </w:tc>
      </w:tr>
      <w:tr>
        <w:trPr>
          <w:trHeight w:val="148"/>
        </w:trPr>
        <w:tc>
          <w:tcPr>
            <w:tcW w:w="218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89"/>
              </w:rPr>
              <w:t>Ross E. Sturman</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94"/>
              </w:rPr>
              <w:t>ICON plc</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89"/>
              </w:rPr>
              <w:t>PRA Health Sciences, Inc.</w:t>
            </w:r>
          </w:p>
        </w:tc>
        <w:tc>
          <w:tcPr>
            <w:tcW w:w="2340" w:type="dxa"/>
            <w:vAlign w:val="bottom"/>
          </w:tcPr>
          <w:p>
            <w:pPr>
              <w:jc w:val="center"/>
              <w:ind w:left="311"/>
              <w:spacing w:after="0" w:line="149" w:lineRule="exact"/>
              <w:rPr>
                <w:sz w:val="20"/>
                <w:szCs w:val="20"/>
                <w:color w:val="auto"/>
              </w:rPr>
            </w:pPr>
            <w:r>
              <w:rPr>
                <w:rFonts w:ascii="Arial" w:cs="Arial" w:eastAsia="Arial" w:hAnsi="Arial"/>
                <w:sz w:val="14"/>
                <w:szCs w:val="14"/>
                <w:b w:val="1"/>
                <w:bCs w:val="1"/>
                <w:color w:val="auto"/>
                <w:w w:val="92"/>
              </w:rPr>
              <w:t>Paul, Weiss, Rifkind, Wharton &amp;</w:t>
            </w:r>
          </w:p>
        </w:tc>
      </w:tr>
      <w:tr>
        <w:trPr>
          <w:trHeight w:val="148"/>
        </w:trPr>
        <w:tc>
          <w:tcPr>
            <w:tcW w:w="2180" w:type="dxa"/>
            <w:vAlign w:val="bottom"/>
          </w:tcPr>
          <w:p>
            <w:pPr>
              <w:jc w:val="center"/>
              <w:ind w:right="271"/>
              <w:spacing w:after="0" w:line="149" w:lineRule="exact"/>
              <w:rPr>
                <w:sz w:val="20"/>
                <w:szCs w:val="20"/>
                <w:color w:val="auto"/>
              </w:rPr>
            </w:pPr>
            <w:r>
              <w:rPr>
                <w:rFonts w:ascii="Arial" w:cs="Arial" w:eastAsia="Arial" w:hAnsi="Arial"/>
                <w:sz w:val="14"/>
                <w:szCs w:val="14"/>
                <w:b w:val="1"/>
                <w:bCs w:val="1"/>
                <w:color w:val="auto"/>
                <w:w w:val="94"/>
              </w:rPr>
              <w:t>Cahill Gordon &amp; Reindel LLP</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7"/>
              </w:rPr>
              <w:t>South County Business Park</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90"/>
              </w:rPr>
              <w:t>4130 ParkLake Avenue</w:t>
            </w:r>
          </w:p>
        </w:tc>
        <w:tc>
          <w:tcPr>
            <w:tcW w:w="2340" w:type="dxa"/>
            <w:vAlign w:val="bottom"/>
          </w:tcPr>
          <w:p>
            <w:pPr>
              <w:jc w:val="center"/>
              <w:ind w:left="311"/>
              <w:spacing w:after="0" w:line="149" w:lineRule="exact"/>
              <w:rPr>
                <w:sz w:val="20"/>
                <w:szCs w:val="20"/>
                <w:color w:val="auto"/>
              </w:rPr>
            </w:pPr>
            <w:r>
              <w:rPr>
                <w:rFonts w:ascii="Arial" w:cs="Arial" w:eastAsia="Arial" w:hAnsi="Arial"/>
                <w:sz w:val="14"/>
                <w:szCs w:val="14"/>
                <w:b w:val="1"/>
                <w:bCs w:val="1"/>
                <w:color w:val="auto"/>
                <w:w w:val="94"/>
              </w:rPr>
              <w:t>Garrison LLP</w:t>
            </w:r>
          </w:p>
        </w:tc>
      </w:tr>
      <w:tr>
        <w:trPr>
          <w:trHeight w:val="149"/>
        </w:trPr>
        <w:tc>
          <w:tcPr>
            <w:tcW w:w="2180" w:type="dxa"/>
            <w:vAlign w:val="bottom"/>
          </w:tcPr>
          <w:p>
            <w:pPr>
              <w:jc w:val="center"/>
              <w:ind w:right="291"/>
              <w:spacing w:after="0" w:line="149" w:lineRule="exact"/>
              <w:rPr>
                <w:sz w:val="20"/>
                <w:szCs w:val="20"/>
                <w:color w:val="auto"/>
              </w:rPr>
            </w:pPr>
            <w:r>
              <w:rPr>
                <w:rFonts w:ascii="Arial" w:cs="Arial" w:eastAsia="Arial" w:hAnsi="Arial"/>
                <w:sz w:val="14"/>
                <w:szCs w:val="14"/>
                <w:b w:val="1"/>
                <w:bCs w:val="1"/>
                <w:color w:val="auto"/>
                <w:w w:val="91"/>
              </w:rPr>
              <w:t>32 Old Slip</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7"/>
              </w:rPr>
              <w:t>Leopardstown</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87"/>
              </w:rPr>
              <w:t>Suite 400</w:t>
            </w:r>
          </w:p>
        </w:tc>
        <w:tc>
          <w:tcPr>
            <w:tcW w:w="23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7"/>
              </w:rPr>
              <w:t>1285 Avenue of the Americas</w:t>
            </w:r>
          </w:p>
        </w:tc>
      </w:tr>
      <w:tr>
        <w:trPr>
          <w:trHeight w:val="148"/>
        </w:trPr>
        <w:tc>
          <w:tcPr>
            <w:tcW w:w="218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92"/>
              </w:rPr>
              <w:t>New York, NY 10005</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92"/>
              </w:rPr>
              <w:t>Dublin 18, Ireland</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90"/>
              </w:rPr>
              <w:t>Raleigh, NC 27612</w:t>
            </w:r>
          </w:p>
        </w:tc>
        <w:tc>
          <w:tcPr>
            <w:tcW w:w="2340" w:type="dxa"/>
            <w:vAlign w:val="bottom"/>
          </w:tcPr>
          <w:p>
            <w:pPr>
              <w:jc w:val="center"/>
              <w:ind w:left="311"/>
              <w:spacing w:after="0" w:line="149" w:lineRule="exact"/>
              <w:rPr>
                <w:sz w:val="20"/>
                <w:szCs w:val="20"/>
                <w:color w:val="auto"/>
              </w:rPr>
            </w:pPr>
            <w:r>
              <w:rPr>
                <w:rFonts w:ascii="Arial" w:cs="Arial" w:eastAsia="Arial" w:hAnsi="Arial"/>
                <w:sz w:val="14"/>
                <w:szCs w:val="14"/>
                <w:b w:val="1"/>
                <w:bCs w:val="1"/>
                <w:color w:val="auto"/>
                <w:w w:val="91"/>
              </w:rPr>
              <w:t>New York, NY 10019-6064</w:t>
            </w:r>
          </w:p>
        </w:tc>
      </w:tr>
      <w:tr>
        <w:trPr>
          <w:trHeight w:val="179"/>
        </w:trPr>
        <w:tc>
          <w:tcPr>
            <w:tcW w:w="2180" w:type="dxa"/>
            <w:vAlign w:val="bottom"/>
          </w:tcPr>
          <w:p>
            <w:pPr>
              <w:jc w:val="center"/>
              <w:ind w:right="251"/>
              <w:spacing w:after="0"/>
              <w:rPr>
                <w:sz w:val="20"/>
                <w:szCs w:val="20"/>
                <w:color w:val="auto"/>
              </w:rPr>
            </w:pPr>
            <w:r>
              <w:rPr>
                <w:rFonts w:ascii="Arial" w:cs="Arial" w:eastAsia="Arial" w:hAnsi="Arial"/>
                <w:sz w:val="14"/>
                <w:szCs w:val="14"/>
                <w:b w:val="1"/>
                <w:bCs w:val="1"/>
                <w:color w:val="auto"/>
                <w:w w:val="89"/>
              </w:rPr>
              <w:t>(212) 701-3000</w:t>
            </w:r>
          </w:p>
        </w:tc>
        <w:tc>
          <w:tcPr>
            <w:tcW w:w="2040" w:type="dxa"/>
            <w:vAlign w:val="bottom"/>
          </w:tcPr>
          <w:p>
            <w:pPr>
              <w:jc w:val="center"/>
              <w:ind w:left="331"/>
              <w:spacing w:after="0"/>
              <w:rPr>
                <w:sz w:val="20"/>
                <w:szCs w:val="20"/>
                <w:color w:val="auto"/>
              </w:rPr>
            </w:pPr>
            <w:r>
              <w:rPr>
                <w:rFonts w:ascii="Arial" w:cs="Arial" w:eastAsia="Arial" w:hAnsi="Arial"/>
                <w:sz w:val="14"/>
                <w:szCs w:val="14"/>
                <w:b w:val="1"/>
                <w:bCs w:val="1"/>
                <w:color w:val="auto"/>
                <w:w w:val="90"/>
              </w:rPr>
              <w:t>Tel: +353-1-291-2000</w:t>
            </w:r>
          </w:p>
        </w:tc>
        <w:tc>
          <w:tcPr>
            <w:tcW w:w="2760" w:type="dxa"/>
            <w:vAlign w:val="bottom"/>
          </w:tcPr>
          <w:p>
            <w:pPr>
              <w:jc w:val="center"/>
              <w:ind w:left="471"/>
              <w:spacing w:after="0"/>
              <w:rPr>
                <w:sz w:val="20"/>
                <w:szCs w:val="20"/>
                <w:color w:val="auto"/>
              </w:rPr>
            </w:pPr>
            <w:r>
              <w:rPr>
                <w:rFonts w:ascii="Arial" w:cs="Arial" w:eastAsia="Arial" w:hAnsi="Arial"/>
                <w:sz w:val="14"/>
                <w:szCs w:val="14"/>
                <w:b w:val="1"/>
                <w:bCs w:val="1"/>
                <w:color w:val="auto"/>
                <w:w w:val="89"/>
              </w:rPr>
              <w:t>(919) 786-8200</w:t>
            </w:r>
          </w:p>
        </w:tc>
        <w:tc>
          <w:tcPr>
            <w:tcW w:w="2340" w:type="dxa"/>
            <w:vAlign w:val="bottom"/>
          </w:tcPr>
          <w:p>
            <w:pPr>
              <w:jc w:val="center"/>
              <w:ind w:left="331"/>
              <w:spacing w:after="0"/>
              <w:rPr>
                <w:sz w:val="20"/>
                <w:szCs w:val="20"/>
                <w:color w:val="auto"/>
              </w:rPr>
            </w:pPr>
            <w:r>
              <w:rPr>
                <w:rFonts w:ascii="Arial" w:cs="Arial" w:eastAsia="Arial" w:hAnsi="Arial"/>
                <w:sz w:val="14"/>
                <w:szCs w:val="14"/>
                <w:b w:val="1"/>
                <w:bCs w:val="1"/>
                <w:color w:val="auto"/>
                <w:w w:val="89"/>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85725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As soon as practicable after the effectiveness of this registration statement and upon completion of the merger described in the enclosed joint proxy statement/prospectus.</w:t>
      </w:r>
    </w:p>
    <w:p>
      <w:pPr>
        <w:spacing w:after="0" w:line="66"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this Form is a post-effective amendment filed pursuant to Rule 462(d)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3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U.S. Exchange Act Rule 13e-4(i) (Cross-Border Issuer Tender Offer) </w:t>
      </w:r>
      <w:r>
        <w:rPr>
          <w:rFonts w:ascii="MS PGothic" w:cs="MS PGothic" w:eastAsia="MS PGothic" w:hAnsi="MS PGothic"/>
          <w:sz w:val="13"/>
          <w:szCs w:val="13"/>
          <w:color w:val="auto"/>
        </w:rPr>
        <w:t>☐</w:t>
      </w:r>
    </w:p>
    <w:p>
      <w:pPr>
        <w:spacing w:after="0" w:line="4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U.S. Exchange Act Rule 14d-1(d) (Cross-Border Third-Party Tender Offer) </w:t>
      </w:r>
      <w:r>
        <w:rPr>
          <w:rFonts w:ascii="MS PGothic" w:cs="MS PGothic" w:eastAsia="MS PGothic" w:hAnsi="MS PGothic"/>
          <w:sz w:val="13"/>
          <w:szCs w:val="13"/>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53" w:lineRule="exact"/>
        <w:rPr>
          <w:sz w:val="24"/>
          <w:szCs w:val="24"/>
          <w:color w:val="auto"/>
        </w:rPr>
      </w:pPr>
    </w:p>
    <w:p>
      <w:pPr>
        <w:ind w:left="160" w:hanging="152"/>
        <w:spacing w:after="0"/>
        <w:tabs>
          <w:tab w:leader="none" w:pos="1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Emerging growth company</w:t>
      </w:r>
    </w:p>
    <w:p>
      <w:pPr>
        <w:spacing w:after="0" w:line="53" w:lineRule="exact"/>
        <w:rPr>
          <w:sz w:val="24"/>
          <w:szCs w:val="24"/>
          <w:color w:val="auto"/>
        </w:rPr>
      </w:pPr>
    </w:p>
    <w:p>
      <w:pPr>
        <w:jc w:val="both"/>
        <w:spacing w:after="0" w:line="163"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6" w:lineRule="exact"/>
        <w:rPr>
          <w:sz w:val="24"/>
          <w:szCs w:val="24"/>
          <w:color w:val="auto"/>
        </w:rPr>
      </w:pPr>
    </w:p>
    <w:p>
      <w:pPr>
        <w:jc w:val="both"/>
        <w:spacing w:after="0" w:line="260" w:lineRule="auto"/>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3" w:lineRule="exact"/>
        <w:rPr>
          <w:sz w:val="24"/>
          <w:szCs w:val="24"/>
          <w:color w:val="auto"/>
        </w:rPr>
      </w:pPr>
    </w:p>
    <w:p>
      <w:pPr>
        <w:jc w:val="both"/>
        <w:spacing w:after="0" w:line="283"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U.S. Securities Act, or until this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38100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240" w:type="dxa"/>
            <w:vAlign w:val="bottom"/>
            <w:tcBorders>
              <w:top w:val="single" w:sz="8" w:color="auto"/>
            </w:tcBorders>
          </w:tcPr>
          <w:p>
            <w:pPr>
              <w:spacing w:after="0"/>
              <w:rPr>
                <w:sz w:val="21"/>
                <w:szCs w:val="21"/>
                <w:color w:val="auto"/>
              </w:rPr>
            </w:pPr>
          </w:p>
        </w:tc>
        <w:tc>
          <w:tcPr>
            <w:tcW w:w="8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vMerge w:val="restart"/>
          </w:tcPr>
          <w:p>
            <w:pPr>
              <w:jc w:val="center"/>
              <w:ind w:right="9"/>
              <w:spacing w:after="0"/>
              <w:rPr>
                <w:sz w:val="20"/>
                <w:szCs w:val="20"/>
                <w:color w:val="auto"/>
              </w:rPr>
            </w:pPr>
            <w:r>
              <w:rPr>
                <w:rFonts w:ascii="Arial" w:cs="Arial" w:eastAsia="Arial" w:hAnsi="Arial"/>
                <w:sz w:val="14"/>
                <w:szCs w:val="14"/>
                <w:b w:val="1"/>
                <w:bCs w:val="1"/>
                <w:color w:val="auto"/>
                <w:w w:val="93"/>
              </w:rPr>
              <w:t>Amount to Be</w:t>
            </w:r>
          </w:p>
        </w:tc>
        <w:tc>
          <w:tcPr>
            <w:tcW w:w="1620" w:type="dxa"/>
            <w:vAlign w:val="bottom"/>
            <w:tcBorders>
              <w:top w:val="single" w:sz="8" w:color="auto"/>
              <w:right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Proposed Maximum</w:t>
            </w:r>
          </w:p>
        </w:tc>
        <w:tc>
          <w:tcPr>
            <w:tcW w:w="1620" w:type="dxa"/>
            <w:vAlign w:val="bottom"/>
            <w:tcBorders>
              <w:top w:val="single" w:sz="8" w:color="auto"/>
              <w:right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Proposed Maximum</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32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Title of Each Class of Securities to Be Registered</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right="9"/>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86"/>
        </w:trPr>
        <w:tc>
          <w:tcPr>
            <w:tcW w:w="3320" w:type="dxa"/>
            <w:vAlign w:val="bottom"/>
            <w:tcBorders>
              <w:right w:val="single" w:sz="8" w:color="auto"/>
            </w:tcBorders>
            <w:gridSpan w:val="2"/>
            <w:vMerge w:val="continue"/>
          </w:tcPr>
          <w:p>
            <w:pPr>
              <w:spacing w:after="0"/>
              <w:rPr>
                <w:sz w:val="16"/>
                <w:szCs w:val="16"/>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39"/>
        </w:trPr>
        <w:tc>
          <w:tcPr>
            <w:tcW w:w="3240" w:type="dxa"/>
            <w:vAlign w:val="bottom"/>
            <w:tcBorders>
              <w:bottom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7"/>
              </w:rPr>
              <w:t>ordinary shares, par value €0.06 per share</w:t>
            </w:r>
          </w:p>
        </w:tc>
        <w:tc>
          <w:tcPr>
            <w:tcW w:w="16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4"/>
                <w:szCs w:val="14"/>
                <w:color w:val="auto"/>
                <w:w w:val="85"/>
              </w:rPr>
              <w:t>28,831,766</w:t>
            </w:r>
            <w:r>
              <w:rPr>
                <w:rFonts w:ascii="Arial" w:cs="Arial" w:eastAsia="Arial" w:hAnsi="Arial"/>
                <w:sz w:val="23"/>
                <w:szCs w:val="23"/>
                <w:color w:val="auto"/>
                <w:w w:val="85"/>
                <w:vertAlign w:val="superscript"/>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6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4"/>
                <w:szCs w:val="14"/>
                <w:color w:val="auto"/>
                <w:w w:val="87"/>
              </w:rPr>
              <w:t>$4,752,523,444.05</w:t>
            </w:r>
            <w:r>
              <w:rPr>
                <w:rFonts w:ascii="Arial" w:cs="Arial" w:eastAsia="Arial" w:hAnsi="Arial"/>
                <w:sz w:val="23"/>
                <w:szCs w:val="23"/>
                <w:color w:val="auto"/>
                <w:w w:val="87"/>
                <w:vertAlign w:val="superscript"/>
              </w:rPr>
              <w:t>(2)</w:t>
            </w:r>
          </w:p>
        </w:tc>
        <w:tc>
          <w:tcPr>
            <w:tcW w:w="15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4"/>
                <w:szCs w:val="14"/>
                <w:color w:val="auto"/>
                <w:w w:val="84"/>
              </w:rPr>
              <w:t>$518,500.31</w:t>
            </w:r>
            <w:r>
              <w:rPr>
                <w:rFonts w:ascii="Arial" w:cs="Arial" w:eastAsia="Arial" w:hAnsi="Arial"/>
                <w:sz w:val="23"/>
                <w:szCs w:val="23"/>
                <w:color w:val="auto"/>
                <w:w w:val="84"/>
                <w:vertAlign w:val="superscript"/>
              </w:rPr>
              <w:t>(3)</w:t>
            </w:r>
          </w:p>
        </w:tc>
        <w:tc>
          <w:tcPr>
            <w:tcW w:w="0" w:type="dxa"/>
            <w:vAlign w:val="bottom"/>
          </w:tcPr>
          <w:p>
            <w:pPr>
              <w:spacing w:after="0"/>
              <w:rPr>
                <w:sz w:val="1"/>
                <w:szCs w:val="1"/>
                <w:color w:val="auto"/>
              </w:rPr>
            </w:pPr>
          </w:p>
        </w:tc>
      </w:tr>
      <w:tr>
        <w:trPr>
          <w:trHeight w:val="48"/>
        </w:trPr>
        <w:tc>
          <w:tcPr>
            <w:tcW w:w="3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2059940</wp:posOffset>
            </wp:positionH>
            <wp:positionV relativeFrom="paragraph">
              <wp:posOffset>-222250</wp:posOffset>
            </wp:positionV>
            <wp:extent cx="43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 w:lineRule="exact"/>
        <w:rPr>
          <w:sz w:val="24"/>
          <w:szCs w:val="24"/>
          <w:color w:val="auto"/>
        </w:rPr>
      </w:pPr>
    </w:p>
    <w:p>
      <w:pPr>
        <w:jc w:val="both"/>
        <w:ind w:left="360" w:hanging="356"/>
        <w:spacing w:after="0" w:line="319" w:lineRule="auto"/>
        <w:tabs>
          <w:tab w:leader="none" w:pos="360" w:val="left"/>
        </w:tabs>
        <w:numPr>
          <w:ilvl w:val="0"/>
          <w:numId w:val="2"/>
        </w:numPr>
        <w:rPr>
          <w:rFonts w:ascii="Arial" w:cs="Arial" w:eastAsia="Arial" w:hAnsi="Arial"/>
          <w:sz w:val="9"/>
          <w:szCs w:val="9"/>
          <w:color w:val="auto"/>
        </w:rPr>
      </w:pPr>
      <w:r>
        <w:rPr>
          <w:rFonts w:ascii="Arial" w:cs="Arial" w:eastAsia="Arial" w:hAnsi="Arial"/>
          <w:sz w:val="9"/>
          <w:szCs w:val="9"/>
          <w:color w:val="auto"/>
        </w:rPr>
        <w:t>The number of ordinary shares, par value €0.06 each, of the registrant (“ICON ordinary shares”) being registered upon completion of the merger of a wholly owned subsidiary of the registrant with and into PRA Health Sciences, Inc. (“PRA”) described in the joint proxy statement/prospectus contained herein is based upon (a) the sum of (i) 64,765,169, an estimate of the maximum number of shares of PRA common stock, par value $0.01 per share (“PRA common stock”) outstanding as of March 26, 2021 and (ii) 5,130,021, the estimated maximum number of shares of PRA common stock issuable or expected to be issued in connection with the merger (including shares of PRA common stock underlying or issuable in respect of or pursuant to PRA stock options, PRA restricted stock, PRA restricted stock units, PRA’s stock purchase plan and each PRA stock plan), multiplied by (b) the exchange ratio of 0.4125 of one ICON ordinary share for each share of PRA common stock.</w:t>
      </w:r>
    </w:p>
    <w:p>
      <w:pPr>
        <w:jc w:val="both"/>
        <w:ind w:left="360" w:hanging="356"/>
        <w:spacing w:after="0" w:line="239"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Pursuant to Rules 457(c), 457(f)(1) and 457(f)(3) promulgated under the Securities Act and solely for the purpose of calculating the registration fee, the proposed maximum aggregate offering price is equal to (i) the product of (A) $148.00, the average of the high and low prices per share of PRA common stock on March 25, 2021, as quoted on the Nasdaq Global Select Market and (B) 69,895,190, the estimated maximum number of shares of PRA common stock that may be exchanged in the merger (including shares of PRA common stock underlying or issuable in respect of or pursuant to PRA stock options, PRA restricted stock, PRA restricted stock units, PRA’s stock purchase plan and each PRA stock plan), less (ii) $5,591,615,200.00, the amount of cash consideration to be paid by the registrant in connection with the merger.</w:t>
      </w:r>
    </w:p>
    <w:p>
      <w:pPr>
        <w:spacing w:after="0" w:line="14" w:lineRule="exact"/>
        <w:rPr>
          <w:rFonts w:ascii="Arial" w:cs="Arial" w:eastAsia="Arial" w:hAnsi="Arial"/>
          <w:sz w:val="12"/>
          <w:szCs w:val="12"/>
          <w:color w:val="auto"/>
        </w:rPr>
      </w:pPr>
    </w:p>
    <w:p>
      <w:pPr>
        <w:ind w:left="360" w:hanging="356"/>
        <w:spacing w:after="0" w:line="252"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registration fee for the securities registered hereby has been calculated pursuant to Section 6(b) of the Securities Act, by multiplying the proposed maximum aggregate offering price for the securities by 0.0001091. The registration fee was previously paid in connection with the initial filing of the registration statement on 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316865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128270</wp:posOffset>
            </wp:positionV>
            <wp:extent cx="6172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179705</wp:posOffset>
            </wp:positionV>
            <wp:extent cx="61722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20"/>
          </w:cols>
          <w:pgMar w:left="1080" w:top="225" w:right="1099" w:bottom="1068"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FC0014"/>
        </w:rPr>
        <w:t>The information in this joint proxy statement/prospectus is not complete and may be changed. A registration statement relating to the securities described in this joint proxy statement/prospectus has been filed with the U.S. Securities and Exchange Commission. These securities may not be sold nor may offers to buy be accepted prior to the time the registration statement becomes effective. This joint proxy statement/prospectus does not constitute an offer to sell or the solicitation of an offer to buy these securities in any jurisdiction in which such offer, solicitation or sale would be unlawful.</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C0014"/>
        </w:rPr>
        <w:t>PRELIMINARY, SUBJECT TO COMPLETION, DATED APRIL 26, 2021</w:t>
      </w:r>
    </w:p>
    <w:p>
      <w:pPr>
        <w:sectPr>
          <w:pgSz w:w="11900" w:h="16838" w:orient="portrait"/>
          <w:cols w:equalWidth="0" w:num="1">
            <w:col w:w="9500"/>
          </w:cols>
          <w:pgMar w:left="1200" w:top="265" w:right="1199" w:bottom="0" w:gutter="0" w:footer="0" w:header="0"/>
        </w:sectPr>
      </w:pPr>
    </w:p>
    <w:p>
      <w:pPr>
        <w:spacing w:after="0" w:line="199" w:lineRule="exact"/>
        <w:rPr>
          <w:sz w:val="20"/>
          <w:szCs w:val="20"/>
          <w:color w:val="auto"/>
        </w:rPr>
      </w:pPr>
    </w:p>
    <w:p>
      <w:pPr>
        <w:jc w:val="center"/>
        <w:ind w:left="20"/>
        <w:spacing w:after="0"/>
        <w:rPr>
          <w:sz w:val="20"/>
          <w:szCs w:val="20"/>
          <w:color w:val="auto"/>
        </w:rPr>
      </w:pPr>
      <w:r>
        <w:rPr>
          <w:rFonts w:ascii="Arial" w:cs="Arial" w:eastAsia="Arial" w:hAnsi="Arial"/>
          <w:sz w:val="16"/>
          <w:szCs w:val="16"/>
          <w:b w:val="1"/>
          <w:bCs w:val="1"/>
          <w:color w:val="auto"/>
        </w:rPr>
        <w:t>NOTICE OF MEETING AND PROSPECTUS</w:t>
      </w:r>
    </w:p>
    <w:p>
      <w:pPr>
        <w:spacing w:after="0" w:line="26"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auto"/>
        </w:rPr>
        <w:t>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84455</wp:posOffset>
            </wp:positionV>
            <wp:extent cx="161988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NOTICE OF MEETING AND PROXY STATEMENT</w:t>
      </w:r>
    </w:p>
    <w:p>
      <w:pPr>
        <w:spacing w:after="0" w:line="26"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OF PRA HEALTH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84455</wp:posOffset>
            </wp:positionV>
            <wp:extent cx="144018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4220"/>
          </w:cols>
          <w:pgMar w:left="1200" w:top="265" w:right="1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w:t>
      </w:r>
    </w:p>
    <w:p>
      <w:pPr>
        <w:spacing w:after="0" w:line="5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6"/>
          <w:szCs w:val="16"/>
          <w:color w:val="auto"/>
        </w:rPr>
        <w:t>On February 24, 2021, ICON public limited company (which is referred to as ICON), ICON US Holdings Inc., a wholly owned subsidiary of ICON (which is referred to as US HoldCo), Indigo Merger Sub, Inc., a wholly owned subsidiary of ICON and US HoldCo (which is referred to as Merger Sub), and PRA Health Sciences, Inc. (which is referred to as PRA) entered into an Agreement and Plan of Merger (which, as it may be amended from time to time, is referred to as the merger agreement) that provides for the acquisition of PRA by ICON. Pursuant to the terms of the merger agreement, Merger Sub will merge with and into PRA, which is referred to as the merger, with PRA surviving as a wholly owned subsidiary of ICON and US HoldCo.</w:t>
      </w:r>
    </w:p>
    <w:p>
      <w:pPr>
        <w:spacing w:after="0" w:line="18"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5"/>
          <w:szCs w:val="15"/>
          <w:color w:val="auto"/>
        </w:rPr>
        <w:t>Upon successful completion of the merger, each issued and outstanding share of PRA common stock (other than excluded shares and dissenting shares as described in the merger agreement)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Because the exchange ratio is fixed, the market value of the merger consideration to PRA stockholders will fluctuate with the market price of ICON ordinary shares and will not be known at the time that ICON shareholders vote on the ICON share issuance proposal and PRA stockholders vote on the PRA merger agreement proposal. Based on the closing price of ICON ordinary shares of $208.62 on Nasdaq on February 23, 2021, the last full trading day before the public announcement of the merger agreement, the implied value of the merger consideration to PRA stockholders was approximately $166.06 per share of PRA common stock, and after applying the exchange ratio of 0.4125, ICON and PRA estimated that, immediately following completion of the merger, former PRA stockholders will hold, in the aggregate, approximately 34% of the issued and outstanding shares of ICON, and ICON shareholders as of immediately prior to the completion of the merger will hold, in the aggregate, approximately 66% of the issued and outstanding ordinary shares of ICON. On April 26, 2021, the latest practicable trading day before the date of this joint proxy statement/prospectus, the closing price of ICON ordinary shares on Nasdaq was $217.88 per share, resulting in an implied value of the merger consideration to PRA stockholders of $169.88 per share of PRA common stock. ICON ordinary shares are traded on the Nasdaq Global Select Market (which is referred to as Nasdaq) under the symbol “ICLR” and PRA common stock is traded on Nasdaq under the symbol “PRAH.” The ICON ordinary shares issued in connection with the merger will be listed on Nasdaq. We encourage you to obtain current quotes for the ICON ordinary shares and the PRA common stock.</w:t>
      </w:r>
    </w:p>
    <w:p>
      <w:pPr>
        <w:spacing w:after="0" w:line="12"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5"/>
          <w:szCs w:val="15"/>
          <w:color w:val="auto"/>
        </w:rPr>
        <w:t xml:space="preserve">ICON will hold an extraordinary general meeting of its shareholders in connection with the share issuance comprising the share consideration in the merger, which is referred to as the ICON EGM. At the ICON EGM, ICON’s shareholders will be asked to consider and vote on (1) the proposal to approve the issuance of ICON ordinary shares to PRA stockholders pursuant to the merger agreement, which is referred to as the ICON share issuance proposal, and (2) the proposal to adjourn the ICON EGM to solicit additional proxies if there are not sufficient votes to approve the ICON share issuance proposal or to ensure that any supplement or amendment to the accompanying joint proxy statement/prospectus is timely provided to ICON shareholders. </w:t>
      </w:r>
      <w:r>
        <w:rPr>
          <w:rFonts w:ascii="Arial" w:cs="Arial" w:eastAsia="Arial" w:hAnsi="Arial"/>
          <w:sz w:val="15"/>
          <w:szCs w:val="15"/>
          <w:b w:val="1"/>
          <w:bCs w:val="1"/>
          <w:color w:val="auto"/>
        </w:rPr>
        <w:t>The ICON board of directors unanimously recommends that ICON</w:t>
      </w:r>
      <w:r>
        <w:rPr>
          <w:rFonts w:ascii="Arial" w:cs="Arial" w:eastAsia="Arial" w:hAnsi="Arial"/>
          <w:sz w:val="15"/>
          <w:szCs w:val="15"/>
          <w:color w:val="auto"/>
        </w:rPr>
        <w:t xml:space="preserve"> </w:t>
      </w:r>
      <w:r>
        <w:rPr>
          <w:rFonts w:ascii="Arial" w:cs="Arial" w:eastAsia="Arial" w:hAnsi="Arial"/>
          <w:sz w:val="15"/>
          <w:szCs w:val="15"/>
          <w:b w:val="1"/>
          <w:bCs w:val="1"/>
          <w:color w:val="auto"/>
        </w:rPr>
        <w:t>shareholders vote “FOR” each of the proposals to be considered at the ICON EGM.</w:t>
      </w:r>
    </w:p>
    <w:p>
      <w:pPr>
        <w:spacing w:after="0" w:line="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6"/>
          <w:szCs w:val="16"/>
          <w:color w:val="auto"/>
        </w:rPr>
        <w:t xml:space="preserve">PRA will hold a special meeting of its stockholders in connection with the proposed merger, which is referred to as the PRA stockholder meeting. At the PRA stockholder meeting, PRA stockholders will be asked to consider and vote on (1) the proposal to adopt the merger agreement, which is referred to as the PRA merger agreement proposal, (2) the proposal to approve, on a non-binding advisory basis, specific compensatory arrangements between PRA and its named executive officers relating to the merger and (3) the proposal to adjourn the PRA stockholder meeting to solicit additional proxies if there are not sufficient votes to approve the PRA merger agreement proposal or to ensure that any supplement or amendment to the accompanying joint proxy statement/prospectus is timely provided to PRA stockholders. </w:t>
      </w:r>
      <w:r>
        <w:rPr>
          <w:rFonts w:ascii="Arial" w:cs="Arial" w:eastAsia="Arial" w:hAnsi="Arial"/>
          <w:sz w:val="16"/>
          <w:szCs w:val="16"/>
          <w:b w:val="1"/>
          <w:bCs w:val="1"/>
          <w:color w:val="auto"/>
        </w:rPr>
        <w:t>The PRA board of</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directors unanimously recommends that PRA stockholders vote “FOR” each of the proposals to be considered at the PRA stockholder meeting.</w:t>
      </w:r>
    </w:p>
    <w:p>
      <w:pPr>
        <w:spacing w:after="0" w:line="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5"/>
          <w:szCs w:val="15"/>
          <w:color w:val="auto"/>
        </w:rPr>
        <w:t>We cannot complete the merger unless the PRA stockholders approve the PRA merger agreement proposal and the ICON shareholders approve the ICON share issuance proposal. Your vote on these matters is very important, regardless of the number of shares you own. Whether or not you plan to attend the ICON EGM or the PRA stockholder meeting, as applicable, please promptly mark, sign and date the applicable accompanying proxy card and return it in the enclosed envelope or authorize the individuals named on your proxy card to vote your shares by calling the toll-free telephone number or by using the Internet as described in the instructions included with your proxy card.</w:t>
      </w:r>
    </w:p>
    <w:p>
      <w:pPr>
        <w:spacing w:after="0" w:line="1" w:lineRule="exact"/>
        <w:rPr>
          <w:sz w:val="20"/>
          <w:szCs w:val="20"/>
          <w:color w:val="auto"/>
        </w:rPr>
      </w:pPr>
    </w:p>
    <w:p>
      <w:pPr>
        <w:jc w:val="both"/>
        <w:ind w:firstLine="360"/>
        <w:spacing w:after="0" w:line="295" w:lineRule="auto"/>
        <w:rPr>
          <w:rFonts w:ascii="Arial" w:cs="Arial" w:eastAsia="Arial" w:hAnsi="Arial"/>
          <w:sz w:val="15"/>
          <w:szCs w:val="15"/>
          <w:b w:val="1"/>
          <w:bCs w:val="1"/>
          <w:color w:val="auto"/>
        </w:rPr>
      </w:pPr>
      <w:r>
        <w:rPr>
          <w:rFonts w:ascii="Arial" w:cs="Arial" w:eastAsia="Arial" w:hAnsi="Arial"/>
          <w:sz w:val="15"/>
          <w:szCs w:val="15"/>
          <w:color w:val="auto"/>
        </w:rPr>
        <w:t xml:space="preserve">The accompanying joint proxy statement/prospectus provides you with important information about the merger agreement, the merger and the other transactions contemplated by the merger agreement, the ICON EGM, each of the ICON proposals, the PRA stockholder meeting and each of the PRA proposals. </w:t>
      </w:r>
      <w:r>
        <w:rPr>
          <w:rFonts w:ascii="Arial" w:cs="Arial" w:eastAsia="Arial" w:hAnsi="Arial"/>
          <w:sz w:val="15"/>
          <w:szCs w:val="15"/>
          <w:b w:val="1"/>
          <w:bCs w:val="1"/>
          <w:color w:val="auto"/>
        </w:rPr>
        <w:t>We encourage you to read the entire document carefully, in particular the “Risk Factors” section beginning on</w:t>
      </w:r>
      <w:r>
        <w:rPr>
          <w:rFonts w:ascii="Arial" w:cs="Arial" w:eastAsia="Arial" w:hAnsi="Arial"/>
          <w:sz w:val="15"/>
          <w:szCs w:val="15"/>
          <w:color w:val="auto"/>
        </w:rPr>
        <w:t xml:space="preserve"> </w:t>
      </w:r>
      <w:r>
        <w:rPr>
          <w:rFonts w:ascii="Arial" w:cs="Arial" w:eastAsia="Arial" w:hAnsi="Arial"/>
          <w:sz w:val="15"/>
          <w:szCs w:val="15"/>
          <w:b w:val="1"/>
          <w:bCs w:val="1"/>
          <w:color w:val="auto"/>
        </w:rPr>
        <w:t>page [</w:t>
      </w:r>
      <w:hyperlink w:anchor="page51">
        <w:r>
          <w:rPr>
            <w:rFonts w:ascii="Arial" w:cs="Arial" w:eastAsia="Arial" w:hAnsi="Arial"/>
            <w:sz w:val="15"/>
            <w:szCs w:val="15"/>
            <w:b w:val="1"/>
            <w:bCs w:val="1"/>
            <w:u w:val="single" w:color="auto"/>
            <w:color w:val="0000EE"/>
          </w:rPr>
          <w:t>34</w:t>
        </w:r>
      </w:hyperlink>
      <w:r>
        <w:rPr>
          <w:rFonts w:ascii="Arial" w:cs="Arial" w:eastAsia="Arial" w:hAnsi="Arial"/>
          <w:sz w:val="15"/>
          <w:szCs w:val="15"/>
          <w:b w:val="1"/>
          <w:bCs w:val="1"/>
          <w:color w:val="auto"/>
        </w:rPr>
        <w:t>] for a discussion of risks related to the merger and the combined company after the merger.</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look forward to the successful completion of the merger.</w:t>
      </w:r>
    </w:p>
    <w:p>
      <w:pPr>
        <w:sectPr>
          <w:pgSz w:w="11900" w:h="16838" w:orient="portrait"/>
          <w:cols w:equalWidth="0" w:num="1">
            <w:col w:w="9500"/>
          </w:cols>
          <w:pgMar w:left="1200" w:top="265" w:right="1199" w:bottom="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4000"/>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ectPr>
          <w:pgSz w:w="11900" w:h="16838" w:orient="portrait"/>
          <w:cols w:equalWidth="0" w:num="2">
            <w:col w:w="4140" w:space="720"/>
            <w:col w:w="4640"/>
          </w:cols>
          <w:pgMar w:left="1200" w:top="265" w:right="1199" w:bottom="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Steve Cutler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Colin Shannon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PRA Health Sciences, Inc.</w:t>
      </w:r>
    </w:p>
    <w:p>
      <w:pPr>
        <w:spacing w:after="0" w:line="127" w:lineRule="exact"/>
        <w:rPr>
          <w:sz w:val="20"/>
          <w:szCs w:val="20"/>
          <w:color w:val="auto"/>
        </w:rPr>
      </w:pPr>
    </w:p>
    <w:p>
      <w:pPr>
        <w:sectPr>
          <w:pgSz w:w="11900" w:h="16838" w:orient="portrait"/>
          <w:cols w:equalWidth="0" w:num="2">
            <w:col w:w="4140" w:space="720"/>
            <w:col w:w="4640"/>
          </w:cols>
          <w:pgMar w:left="1200" w:top="265" w:right="1199" w:bottom="0" w:gutter="0" w:footer="0" w:header="0"/>
          <w:type w:val="continuous"/>
        </w:sectPr>
      </w:pPr>
    </w:p>
    <w:p>
      <w:pPr>
        <w:jc w:val="both"/>
        <w:ind w:right="20" w:firstLine="360"/>
        <w:spacing w:after="0" w:line="281"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 merger or the ICON share issuance in connection with the merger or determined if this joint proxy statement/prospectus is accurate or complete. Any representation to the contrary is a criminal offense.</w:t>
      </w:r>
    </w:p>
    <w:p>
      <w:pPr>
        <w:sectPr>
          <w:pgSz w:w="11900" w:h="16838" w:orient="portrait"/>
          <w:cols w:equalWidth="0" w:num="1">
            <w:col w:w="9500"/>
          </w:cols>
          <w:pgMar w:left="1200" w:top="265" w:right="1199" w:bottom="0" w:gutter="0" w:footer="0" w:header="0"/>
          <w:type w:val="continuous"/>
        </w:sectPr>
      </w:pPr>
    </w:p>
    <w:bookmarkStart w:id="2" w:name="page3"/>
    <w:bookmarkEnd w:id="2"/>
    <w:p>
      <w:pPr>
        <w:jc w:val="both"/>
        <w:ind w:firstLine="360"/>
        <w:spacing w:after="0" w:line="302" w:lineRule="auto"/>
        <w:rPr>
          <w:sz w:val="20"/>
          <w:szCs w:val="20"/>
          <w:color w:val="auto"/>
        </w:rPr>
      </w:pPr>
      <w:r>
        <w:rPr>
          <w:rFonts w:ascii="Arial" w:cs="Arial" w:eastAsia="Arial" w:hAnsi="Arial"/>
          <w:sz w:val="15"/>
          <w:szCs w:val="15"/>
          <w:b w:val="1"/>
          <w:bCs w:val="1"/>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1" w:lineRule="exact"/>
        <w:rPr>
          <w:sz w:val="20"/>
          <w:szCs w:val="20"/>
          <w:color w:val="auto"/>
        </w:rPr>
      </w:pPr>
    </w:p>
    <w:p>
      <w:pPr>
        <w:jc w:val="both"/>
        <w:ind w:right="20" w:firstLine="360"/>
        <w:spacing w:after="0" w:line="293" w:lineRule="auto"/>
        <w:rPr>
          <w:sz w:val="20"/>
          <w:szCs w:val="20"/>
          <w:color w:val="auto"/>
        </w:rPr>
      </w:pPr>
      <w:r>
        <w:rPr>
          <w:rFonts w:ascii="Arial" w:cs="Arial" w:eastAsia="Arial" w:hAnsi="Arial"/>
          <w:sz w:val="16"/>
          <w:szCs w:val="16"/>
          <w:color w:val="auto"/>
        </w:rPr>
        <w:t>This joint proxy statement/prospectus is dated [•], 2021 and is first being mailed to ICON shareholders and PRA stockholders on or about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89535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26" w:right="1199"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92075</wp:posOffset>
            </wp:positionV>
            <wp:extent cx="202311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+353-1-291-2000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15, 2021</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of ICON plc:</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Notice is hereby given that ICON plc, which is referred to as ICON, will hold an extraordinary general meeting of its shareholders, which is referred to as the ICON EGM. The ICON EGM will be held on Tuesday, June 15, 2021, beginning at 3:30 p.m., Dublin time, at ICON’s global headquarters in South County Business Park, Leopardstown, Dublin 18, Ireland.</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ICON EGM is for the purpose of considering and, if thought fit, passing the following resolutions as ordinary resolutions: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Ordinary Resolution 1: </w:t>
      </w:r>
      <w:r>
        <w:rPr>
          <w:rFonts w:ascii="Arial" w:cs="Arial" w:eastAsia="Arial" w:hAnsi="Arial"/>
          <w:sz w:val="18"/>
          <w:szCs w:val="18"/>
          <w:color w:val="auto"/>
        </w:rPr>
        <w:t>The ICON share issuance proposal</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subject to applicable rules and listing standards of Nasdaq, the Directors of ICON be and they are hereby generally and unconditionally authorized pursuant to section 1021 of the Companies Act 2014 to exercise all the powers of ICON to allot relevant securities (within the meaning of section 1021 of the Companies Act 2014) as contemplated by the Agreement and Plan of Merger, dated as of February 24, 2021 (as it may be amended from time to time), which is referred to as the merger agreement, by and among ICON, ICON US Holdings Inc., Indigo Merger Sub, Inc. and PRA Health Sciences, Inc., up to an aggregate nominal amount of ICON ordinary shares necessary for purposes of satisfying the aggregate issuance of ICON ordinary shares in connection with and pursuant to the merger agreement, provided that such authority shall (a) expire on December 31, 2022, or such later date as may be determined by the ICON board of directors from time to time (provided that under the Companies Act, such later date cannot be more than 5 years after the date on which this resolution is passed), and (b) be without prejudice and in addition to the authority under the said Section 1021 previously granted to the ICON board of directors pursuant to an ordinary resolution passed at the annual general meeting of ICON held on July 21, 2020.”</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Ordinary Resolution 2</w:t>
      </w:r>
      <w:r>
        <w:rPr>
          <w:rFonts w:ascii="Arial" w:cs="Arial" w:eastAsia="Arial" w:hAnsi="Arial"/>
          <w:sz w:val="18"/>
          <w:szCs w:val="18"/>
          <w:color w:val="auto"/>
        </w:rPr>
        <w:t>: The ICON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“That the Chairperson of the meeting be and is hereby authorized to adjourn the meeting to another time and place if, in the discretion of the Chairperson, it is necessary or appropriate to, among other things, solicit additional proxies if there are insufficient votes received by way of proxy, at the time of the meeting to approve the ICON share issuance proposal.”</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Resolution 1 is referred to as the ICON share issuance proposal and Resolution 2 is referred to as the ICON adjournment proposal. Resolution 1 is required to be passed as a condition to the completion of the merger agreement (as defined in Resolution 1), and Resolution 2 is not required to be passed as a condition to the completion of the merger agreement. The resolutions may be voted on in such order as is determined by the Chairperson of the ICON EGM.</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Only holders of record of ICON ordinary shares at the close of business on April 26, 2021 are entitled to notice of and to vote at the ICON EGM and any adjournments or postponements thereof.</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 xml:space="preserve">The ICON board of directors has unanimously approved and declared advisable the merger agreement and the transactions contemplated by the merger agreement on the terms and subject to the conditions set forth in the merger agreement. </w:t>
      </w:r>
      <w:r>
        <w:rPr>
          <w:rFonts w:ascii="Arial" w:cs="Arial" w:eastAsia="Arial" w:hAnsi="Arial"/>
          <w:sz w:val="17"/>
          <w:szCs w:val="17"/>
          <w:b w:val="1"/>
          <w:bCs w:val="1"/>
          <w:color w:val="auto"/>
        </w:rPr>
        <w:t>The ICON board of directors unanimously recommends that ICON shareholders vote “FOR” the</w:t>
      </w:r>
      <w:r>
        <w:rPr>
          <w:rFonts w:ascii="Arial" w:cs="Arial" w:eastAsia="Arial" w:hAnsi="Arial"/>
          <w:sz w:val="17"/>
          <w:szCs w:val="17"/>
          <w:color w:val="auto"/>
        </w:rPr>
        <w:t xml:space="preserve"> </w:t>
      </w:r>
      <w:r>
        <w:rPr>
          <w:rFonts w:ascii="Arial" w:cs="Arial" w:eastAsia="Arial" w:hAnsi="Arial"/>
          <w:sz w:val="17"/>
          <w:szCs w:val="17"/>
          <w:b w:val="1"/>
          <w:bCs w:val="1"/>
          <w:color w:val="auto"/>
        </w:rPr>
        <w:t>ICON share issuance proposal and “FOR” the ICON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92075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Your vote is very important, regardless of the number of ICON ordinary shares you own. </w:t>
      </w:r>
      <w:r>
        <w:rPr>
          <w:rFonts w:ascii="Arial" w:cs="Arial" w:eastAsia="Arial" w:hAnsi="Arial"/>
          <w:sz w:val="18"/>
          <w:szCs w:val="18"/>
          <w:color w:val="auto"/>
        </w:rPr>
        <w:t>We cannot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the transactions contemplated by the merger agreement without the approval of the ICON share issuance proposal. Assuming a quorum is present, the approval of the ICON share issuance proposal requires the affirmative vote of a majority of votes cast on the proposal.</w:t>
      </w:r>
    </w:p>
    <w:p>
      <w:pPr>
        <w:spacing w:after="0" w:line="7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We urge you to please promptly mark, sign and date the accompanying proxy and return it in the enclosed envelope or authorize the individuals named on the proxy card to vote your shares by calling the toll-free telephone number or by using the Internet as described in the instructions included with the proxy card. If your shares are held in the name of a bank, broker or other nominee, please follow the instructions on the voting instruction card furnished by such bank, broker or other nominee.</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the merger, please contact ICON at 1-888-381-7923 or write to ICON plc, Attention: Investor Relations, South County Business Park, Leopardstown, Dublin 18, Ireland, or via email at IR@iconplc.com</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ICON ordinary shares, you may contact our proxy solicitor, Georgeson LLC, via phone at 1-866-295-4321 (toll-free within the United States) or at 1-781-575-2137 (outside the United States), or via email at ICON@georgeson.com.</w:t>
      </w:r>
    </w:p>
    <w:p>
      <w:pPr>
        <w:spacing w:after="0" w:line="15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Diarmaid Cunningham</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Company Secretary</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 2021</w:t>
      </w:r>
    </w:p>
    <w:p>
      <w:pPr>
        <w:spacing w:after="0" w:line="99" w:lineRule="exact"/>
        <w:rPr>
          <w:sz w:val="20"/>
          <w:szCs w:val="20"/>
          <w:color w:val="auto"/>
        </w:rPr>
      </w:pPr>
    </w:p>
    <w:p>
      <w:pPr>
        <w:jc w:val="both"/>
        <w:ind w:left="300" w:right="319" w:firstLine="360"/>
        <w:spacing w:after="0" w:line="347" w:lineRule="auto"/>
        <w:rPr>
          <w:sz w:val="20"/>
          <w:szCs w:val="20"/>
          <w:color w:val="auto"/>
        </w:rPr>
      </w:pPr>
      <w:r>
        <w:rPr>
          <w:rFonts w:ascii="Arial" w:cs="Arial" w:eastAsia="Arial" w:hAnsi="Arial"/>
          <w:sz w:val="16"/>
          <w:szCs w:val="16"/>
          <w:b w:val="1"/>
          <w:bCs w:val="1"/>
          <w:color w:val="auto"/>
        </w:rPr>
        <w:t>Your vote is important. ICON shareholders are requested to complete, date, sign and return the enclosed proxy in the envelope provided, or to submit their votes electronically through the Internet or by telephone.</w:t>
      </w:r>
    </w:p>
    <w:p>
      <w:pPr>
        <w:spacing w:after="0" w:line="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attendance at the ICON EGM. Shareholders are referred to the section entitled “The ICON Extraordinary General Meeting” which sets out further detail on the public health situation in Ireland and current restrictions around in person attendance at the ICON offices. ICON therefore strongly encourages voting via mail, telephone and Internet over in person attendance at the ICON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103505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92075</wp:posOffset>
            </wp:positionV>
            <wp:extent cx="1911350"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13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4130 ParkLake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Raleigh, North Carolina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786-8200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15, 2021</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Stockholders of PRA Health Sciences, Inc.:</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Notice is hereby given that PRA Health Sciences, Inc., which is referred to as PRA, will hold a virtual, audio only special meeting of its stockholders, which is referred to as the PRA stockholder meeting, at www.virtualshareholdermeeting.com/PRAH2021SM, on Tuesday, June 15, 2021, beginning at 10:30 a.m., Eastern Time, for the purpose of considering and voting on the following proposals:</w:t>
      </w:r>
    </w:p>
    <w:p>
      <w:pPr>
        <w:spacing w:after="0" w:line="79" w:lineRule="exact"/>
        <w:rPr>
          <w:sz w:val="20"/>
          <w:szCs w:val="20"/>
          <w:color w:val="auto"/>
        </w:rPr>
      </w:pPr>
    </w:p>
    <w:p>
      <w:pPr>
        <w:jc w:val="both"/>
        <w:ind w:left="1000" w:right="319" w:hanging="348"/>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the Agreement and Plan of Merger, dated as of February 24, 2021 (as it may be amended from time to time), which is referred to as the merger agreement, by and among ICON plc, referred to as ICON, PRA, ICON US Holdings Inc., which is referred to as US HoldCo, and Indigo Merger Sub, Inc., a wholly owned subsidiary of ICON and US HoldCo, which proposal is referred to as the PRA merger agreement proposal;</w:t>
      </w:r>
    </w:p>
    <w:p>
      <w:pPr>
        <w:spacing w:after="0" w:line="79"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on an advisory (non-binding) basis, the executive officer compensation that will or may be paid to PRA’s named executive officers that is based on or otherwise relates to the transactions contemplated by the merger agreement, which is referred to as the PRA compensation proposal; and</w:t>
      </w:r>
    </w:p>
    <w:p>
      <w:pPr>
        <w:spacing w:after="0" w:line="57"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adjournment of the PRA stockholder meeting to solicit additional proxies if there are not sufficient votes at the time of the PRA stockholder meeting to approve the PRA merger agreement proposal or to ensure that any supplement or amendment to the accompanying joint proxy statement/prospectus is timely provided to PRA stockholders, which is referred to as the PRA adjournment proposal.</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PRA will transact no other business at the PRA stockholder meeting except such business as may properly be brought before the PRA stockholder meeting or any adjournment or postponement thereof. 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Only holders of record of PRA common stock at the close of business on April 26, 2021 are entitled to notice of and to vote at the PRA stockholder meeting and any adjournments or postponements thereof.</w:t>
      </w:r>
    </w:p>
    <w:p>
      <w:pPr>
        <w:spacing w:after="0" w:line="62"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 xml:space="preserve">The PRA board of directors has unanimously approved and declared advisable the merger agreement and the transactions contemplated by the merger agreement on the terms and subject to the conditions set forth in the merger agreement. </w:t>
      </w:r>
      <w:r>
        <w:rPr>
          <w:rFonts w:ascii="Arial" w:cs="Arial" w:eastAsia="Arial" w:hAnsi="Arial"/>
          <w:sz w:val="16"/>
          <w:szCs w:val="16"/>
          <w:b w:val="1"/>
          <w:bCs w:val="1"/>
          <w:color w:val="auto"/>
        </w:rPr>
        <w:t>The PRA board of directors unanimously recommends that PRA stockholders vote “FOR” the</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PRA merger agreement proposal, “FOR” the PRA compensation proposal and “FOR” the PRA adjournment proposal.</w:t>
      </w:r>
    </w:p>
    <w:p>
      <w:pPr>
        <w:spacing w:after="0" w:line="73"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Your vote is very important, regardless of the number of shares of PRA common stock you own</w:t>
      </w:r>
      <w:r>
        <w:rPr>
          <w:rFonts w:ascii="Arial" w:cs="Arial" w:eastAsia="Arial" w:hAnsi="Arial"/>
          <w:sz w:val="18"/>
          <w:szCs w:val="18"/>
          <w:color w:val="auto"/>
        </w:rPr>
        <w:t>. We</w:t>
      </w:r>
      <w:r>
        <w:rPr>
          <w:rFonts w:ascii="Arial" w:cs="Arial" w:eastAsia="Arial" w:hAnsi="Arial"/>
          <w:sz w:val="18"/>
          <w:szCs w:val="18"/>
          <w:b w:val="1"/>
          <w:bCs w:val="1"/>
          <w:color w:val="auto"/>
        </w:rPr>
        <w:t xml:space="preserve"> </w:t>
      </w:r>
      <w:r>
        <w:rPr>
          <w:rFonts w:ascii="Arial" w:cs="Arial" w:eastAsia="Arial" w:hAnsi="Arial"/>
          <w:sz w:val="18"/>
          <w:szCs w:val="18"/>
          <w:color w:val="auto"/>
        </w:rPr>
        <w:t>cannot complete the transactions contemplated by the merger agreement without approval of the PRA merger agreement proposal. Assuming a quorum is present, the approval of the PRA merger agreement proposal requires the affirmative vote of a majority of the outstanding shares of PRA common stock entitled to vote on the PRA merger agreement proposal.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Whether or not you plan to attend the PRA stockholder meeting virtually, we urge you to please promptly mark, sign and date the accompanying proxy and return it in the enclosed postage-paid envelope or authorize the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named on the proxy card to vote your shares by calling the toll-free telephone number or by using the Internet as described in the instructions included with the proxy card. If your shares are held in the name of a bank, broker or other nominee, please follow the instructions on the voting instruction card furnished by such bank, broker or other nominee.</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have any questions about the merger, please contact PRA Health Sciences, Inc., Attention: Corporate Secretary, 4130 ParkLake Avenue, Suite 400, Raleigh, North Carolina 27612.</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shares of PRA common stock, you may contact our proxy solicitor, MacKenzie Partners, Inc., toll-free at (800) 322-2885 or collect at (212) 929-5500.</w:t>
      </w:r>
    </w:p>
    <w:p>
      <w:pPr>
        <w:spacing w:after="0" w:line="200" w:lineRule="exact"/>
        <w:rPr>
          <w:sz w:val="20"/>
          <w:szCs w:val="20"/>
          <w:color w:val="auto"/>
        </w:rPr>
      </w:pPr>
    </w:p>
    <w:p>
      <w:pPr>
        <w:spacing w:after="0" w:line="27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Christopher L. Gaenzle</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Corporate Secretary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 2021</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Your vote is important. PRA stockholders are requested to complete, date, sign and return the enclosed proxy in the envelope provided, which requires no postage if mailed in the United States, or to submit their votes electronically through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21"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This joint proxy statement/prospectus incorporates important business and financial information about ICON and PRA from other documents that ICON and PRA have filed with the U.S. Securities and Exchange Commission, which is referred to as the SEC, and that are contained in or incorporated by reference into this joint proxy statement/prospectus. For a listing of documents incorporated by reference into this joint proxy statement/prospectus, please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5">
        <w:r>
          <w:rPr>
            <w:rFonts w:ascii="Arial" w:cs="Arial" w:eastAsia="Arial" w:hAnsi="Arial"/>
            <w:sz w:val="16"/>
            <w:szCs w:val="16"/>
            <w:u w:val="single" w:color="auto"/>
            <w:color w:val="0000EE"/>
          </w:rPr>
          <w:t>218</w:t>
        </w:r>
      </w:hyperlink>
      <w:r>
        <w:rPr>
          <w:rFonts w:ascii="Arial" w:cs="Arial" w:eastAsia="Arial" w:hAnsi="Arial"/>
          <w:sz w:val="16"/>
          <w:szCs w:val="16"/>
          <w:color w:val="auto"/>
        </w:rPr>
        <w:t>]. This information is available for you free of charge to review through the SEC’s website at www.sec.gov.</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Any person may request a copy of this joint proxy statement/prospectus and any of the documents incorporated by reference into this joint proxy statement/prospectus or other information concerning ICON or PRA, without charge, by written or telephonic request directed to the appropriate company or its proxy solicitor at the following contacts:</w:t>
      </w: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0"/>
              </w:rPr>
              <w:t>For ICON shareholders :</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1"/>
              </w:rPr>
              <w:t>For PRA stockholders:</w:t>
            </w:r>
          </w:p>
        </w:tc>
      </w:tr>
      <w:tr>
        <w:trPr>
          <w:trHeight w:val="634"/>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5"/>
              </w:rPr>
              <w:t>ICON plc</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0"/>
              </w:rPr>
              <w:t>PRA Health Sciences, Inc.</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South County Business Park,</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89"/>
              </w:rPr>
              <w:t>4130 ParkLake Avenue</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Leopardstown,</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89"/>
              </w:rPr>
              <w:t>Suite 400</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4"/>
              </w:rPr>
              <w:t>Dublin 18, Ireland</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2"/>
              </w:rPr>
              <w:t>Raleigh, NC 27612</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1-888-381-7923</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0"/>
              </w:rPr>
              <w:t>1-919-786-8200</w:t>
            </w:r>
          </w:p>
        </w:tc>
      </w:t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3"/>
              </w:rPr>
              <w:t>Attention: Investor Relations</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2"/>
              </w:rPr>
              <w:t>Attention: Investor Relations</w:t>
            </w:r>
          </w:p>
        </w:tc>
      </w:tr>
      <w:tr>
        <w:trPr>
          <w:trHeight w:val="634"/>
        </w:trPr>
        <w:tc>
          <w:tcPr>
            <w:tcW w:w="4420" w:type="dxa"/>
            <w:vAlign w:val="bottom"/>
          </w:tcPr>
          <w:p>
            <w:pPr>
              <w:jc w:val="center"/>
              <w:ind w:right="650"/>
              <w:spacing w:after="0"/>
              <w:rPr>
                <w:sz w:val="20"/>
                <w:szCs w:val="20"/>
                <w:color w:val="auto"/>
              </w:rPr>
            </w:pPr>
            <w:r>
              <w:rPr>
                <w:rFonts w:ascii="Arial" w:cs="Arial" w:eastAsia="Arial" w:hAnsi="Arial"/>
                <w:sz w:val="18"/>
                <w:szCs w:val="18"/>
                <w:color w:val="auto"/>
                <w:w w:val="91"/>
              </w:rPr>
              <w:t>Georgeson LLC</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1"/>
              </w:rPr>
              <w:t>MacKenzie Partners, Inc.</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0"/>
              </w:rPr>
              <w:t>1290 Avenue of the Americas</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2"/>
              </w:rPr>
              <w:t>1407 Broadway</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9th Floor</w:t>
            </w:r>
          </w:p>
        </w:tc>
        <w:tc>
          <w:tcPr>
            <w:tcW w:w="2800" w:type="dxa"/>
            <w:vAlign w:val="bottom"/>
          </w:tcPr>
          <w:p>
            <w:pPr>
              <w:jc w:val="center"/>
              <w:ind w:left="610"/>
              <w:spacing w:after="0"/>
              <w:rPr>
                <w:sz w:val="20"/>
                <w:szCs w:val="20"/>
                <w:color w:val="auto"/>
              </w:rPr>
            </w:pPr>
            <w:r>
              <w:rPr>
                <w:rFonts w:ascii="Arial" w:cs="Arial" w:eastAsia="Arial" w:hAnsi="Arial"/>
                <w:sz w:val="18"/>
                <w:szCs w:val="18"/>
                <w:color w:val="auto"/>
                <w:w w:val="93"/>
              </w:rPr>
              <w:t>New York, NY 10018</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3"/>
              </w:rPr>
              <w:t>New York, NY 10104</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1"/>
              </w:rPr>
              <w:t>Toll-Free: (800) 322-2885</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1-866-295-4321 (toll-free within the United States)</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2"/>
              </w:rPr>
              <w:t>Call Collect: (212) 929-5500</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0"/>
              </w:rPr>
              <w:t>1-781-575-2137 (outside the United States)</w:t>
            </w:r>
          </w:p>
        </w:tc>
        <w:tc>
          <w:tcPr>
            <w:tcW w:w="2800" w:type="dxa"/>
            <w:vAlign w:val="bottom"/>
          </w:tcPr>
          <w:p>
            <w:pPr>
              <w:spacing w:after="0"/>
              <w:rPr>
                <w:sz w:val="18"/>
                <w:szCs w:val="18"/>
                <w:color w:val="auto"/>
              </w:rPr>
            </w:pPr>
          </w:p>
        </w:tc>
      </w:t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1"/>
              </w:rPr>
              <w:t>Email: ICON@georgeson.com</w:t>
            </w:r>
          </w:p>
        </w:tc>
        <w:tc>
          <w:tcPr>
            <w:tcW w:w="2800" w:type="dxa"/>
            <w:vAlign w:val="bottom"/>
          </w:tcPr>
          <w:p>
            <w:pPr>
              <w:spacing w:after="0"/>
              <w:rPr>
                <w:sz w:val="20"/>
                <w:szCs w:val="20"/>
                <w:color w:val="auto"/>
              </w:rPr>
            </w:pPr>
          </w:p>
        </w:tc>
      </w:tr>
    </w:tbl>
    <w:p>
      <w:pPr>
        <w:spacing w:after="0" w:line="144"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In order for you to receive timely delivery of the documents in advance of the ICON extraordinary general meeting to be held on June 15, 2021, which is referred to as the ICON EGM, or the special meeting of PRA stockholders to be held on June 15, 2021, which is referred to as the PRA stockholder meeting, as applicable, you must request the information no later than June 1, 2021.</w:t>
      </w:r>
    </w:p>
    <w:p>
      <w:pPr>
        <w:spacing w:after="0" w:line="6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contents of the websites of the SEC, ICON, PRA or any other entity are not being incorporated into this joint proxy statement/prospectus. The information about how you can obtain certain documents that are incorporated by reference into this joint proxy statement/prospectus at these websites is being provided only for your convenience.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document, which forms part of a registration statement on Form F-4 filed with the SEC by ICON (File No. 333-254891), constitutes a notice of meeting with respect to the ICON EGM and a prospectus of ICON under Section 5 of the Securities Act of 1933, as amended, which is referred to as the Securities Act, with respect to the ICON ordinary shares to be issued to PRA stockholders pursuant to the Agreement and Plan of Merger, dated as of February 24, 2021, by and among ICON plc, ICON US Holdings Inc., Indigo Merger Sub, Inc. and PRA Health Sciences, Inc., as it may be amended from time to time, which is referred to as the merger agreement.</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document also constitutes a notice of meeting with respect to the PRA stockholder meeting and a proxy statement of PRA under Section 14(a) of the Securities Exchange Act of 1934, as amended, which is referred to as the Exchange Act.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ICON has supplied all information contained or incorporated by reference into this joint proxy statement/prospectus relating to ICON, and PRA has supplied all information contained or incorporated by reference into this joint proxy statement/prospectus relating to PRA. ICON and PRA have both contributed to the information related to the merger contained in this joint proxy statement/prospectus.</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ICON and PRA have not authorized anyone to provide you with information that is different from that contained in or incorporated by reference into this joint proxy statement/prospectus. This joint proxy statement/prospectus is dated [•], 2021, and you should not assume that the information contained in this joint proxy statement/prospectus is accurate as of any date other than such date unless otherwise specifically provided herein.</w:t>
      </w:r>
    </w:p>
    <w:p>
      <w:pPr>
        <w:spacing w:after="0" w:line="5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Further, you should not assume that the information incorporated by reference into this joint proxy statement/prospectus is accurate as of any date other than the date of the incorporated document. Neither the mailing of this joint proxy statement/prospectus to ICON shareholders or PRA stockholders nor the issuance by ICON of ICON ordinary shares pursuant to the merger agreement will create any implication to the contrary.</w:t>
      </w:r>
    </w:p>
    <w:p>
      <w:pPr>
        <w:spacing w:after="0" w:line="5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7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When used in this joint proxy statement/prospectus, all references to “ICON” refer to ICON plc., a public limited company incorporated under the laws of Ireland, or, where the context requires, to ICON plc, one or more of its consolidated subsidiaries, or to all of them taken as a whole; all references to “US HoldCo” refer to ICON US Holdings Inc., a Delaware corporation and wholly owned subsidiary of ICON; all references to “Merger Sub” refer to Indigo Merger Sub, Inc., a Delaware corporation and wholly owned subsidiary of ICON and US HoldCo, formed for the purpose of effecting the merger as described in this joint proxy statement/prospectus; all references to “PRA” refer to PRA Health Sciences, Inc., a Delaware corporation; all references to “combined company” refer to ICON immediately following completion of the merger and the other transactions contemplated by the merger agreement; all references to “ICON ordinary shares” refer to the ordinary shares of ICON plc, par value €0.06 each; and all references to “PRA common stock” refer to the common stock of PRA, par value $0.01 per share.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joint proxy statement/prospectus contains or incorporates by reference:</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ICON as of December 31, 2020 and 2019 and for the three (3) years in the period ended December 31, 2020, prepared in conformity with accounting principles generally accepted in the United States, or GAAP (referred to in this joint proxy statement/prospectus as the ICON consolidated financial statements); and</w:t>
      </w:r>
    </w:p>
    <w:p>
      <w:pPr>
        <w:spacing w:after="0" w:line="78"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audited consolidated financial statements of PRA as of December 31, 2020 and 2019 and for the three (3) years in the period ended December 31, 2020, prepared on the basis of GAAP (referred to in this joint proxy statement/prospectus as the PRA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Unless indicated otherwise, financial data presented in this joint proxy statement/prospectus has been taken from the ICON consolidated financial statements and the PRA consolidated financial statements incorporated by reference into this joint proxy statement/prospectus.</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This joint proxy statement/prospectus also contains the unaudited pro forma condensed combined financial information of ICON as of and for the year ended December 31, 2020 after giving effect to the merger, referred to in this joint proxy statement/prospectus as the pro forma financial information. See the section of this joint proxy statement/prospectus entitled “Unaudited Pro Forma Condensed Combined Financial Information.”</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pro forma financial information set forth in this joint proxy statement/prospectus has been rounded for ease of presentation. Accordingly, in certain cases, the sum of the numbers in a column in a table may not conform to the total figure given for that column.</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For additional information on the presentation of financial information in this joint proxy statement/prospectus, see the ICON consolidated financial statements and the PRA consolidated financial statements, in each case, that are incorporated by reference into this joint proxy statement/prospectus.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spacing w:after="0" w:line="53"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1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2"/>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1"/>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QUESTIONS AND ANSWERS</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w:t>
              </w:r>
            </w:hyperlink>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SUMMARY</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14</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The Parties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The Merger and the Merger Agreement</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14</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Merger Consideration</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Treatment of PRA Equity Awards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ICON’s Reasons for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PRA’s Reasons for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Opinion of ICON’s Financial Advisor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16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Opinions of PRA’s Financial Advisors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16</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Proxy Solicitation Costs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17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The ICON EGM</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17</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PRA Stockholder Meeting</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Interests of ICON’s Directors and Executive Officers in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Interests of PRA’s Directors and Executive Officers in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Certain Beneficial Owners of PRA common stock</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Reasonable Best Efforts and Regulatory Approvals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Ownership of ICON after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20</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Governance of ICON after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Appraisal Rights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Conditions to the Completion of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8">
              <w:r>
                <w:rPr>
                  <w:rFonts w:ascii="Arial" w:cs="Arial" w:eastAsia="Arial" w:hAnsi="Arial"/>
                  <w:sz w:val="18"/>
                  <w:szCs w:val="18"/>
                  <w:color w:val="0000EE"/>
                </w:rPr>
                <w:t>21</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No Solicitation of Takeover Proposals; No Change of Recommendation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9">
              <w:r>
                <w:rPr>
                  <w:rFonts w:ascii="Arial" w:cs="Arial" w:eastAsia="Arial" w:hAnsi="Arial"/>
                  <w:sz w:val="18"/>
                  <w:szCs w:val="18"/>
                  <w:color w:val="0000EE"/>
                </w:rPr>
                <w:t>22</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Termination of the Merger Agreement</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2">
              <w:r>
                <w:rPr>
                  <w:rFonts w:ascii="Arial" w:cs="Arial" w:eastAsia="Arial" w:hAnsi="Arial"/>
                  <w:sz w:val="18"/>
                  <w:szCs w:val="18"/>
                  <w:color w:val="0000EE"/>
                </w:rPr>
                <w:t>25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Termination Fees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3">
              <w:r>
                <w:rPr>
                  <w:rFonts w:ascii="Arial" w:cs="Arial" w:eastAsia="Arial" w:hAnsi="Arial"/>
                  <w:sz w:val="18"/>
                  <w:szCs w:val="18"/>
                  <w:color w:val="0000EE"/>
                </w:rPr>
                <w:t>26</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Accounting Treatment of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Certain Tax Considerations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27</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Debt Financing</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Litigation Relating to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Comparison of Stockholders’ Rights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Listing of ICON ordinary shares; Delisting and Deregistration of PRA common stock</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UNAUDITED PRO FORMA CONDENSED COMBINED FINANCIAL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6">
              <w:r>
                <w:rPr>
                  <w:rFonts w:ascii="Arial" w:cs="Arial" w:eastAsia="Arial" w:hAnsi="Arial"/>
                  <w:sz w:val="18"/>
                  <w:szCs w:val="18"/>
                  <w:color w:val="0000EE"/>
                </w:rPr>
                <w:t>29</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1"/>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COMPARATIVE HISTORICAL AND UNAUDITED PRO FORMA PER SHARE DATA</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30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COMPARATIVE PER SHARE MARKET PRICE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31</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1"/>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CAUTIONARY STATEMENT REGARDING FORWARD-LOOKING STATEMENTS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9">
              <w:r>
                <w:rPr>
                  <w:rFonts w:ascii="Arial" w:cs="Arial" w:eastAsia="Arial" w:hAnsi="Arial"/>
                  <w:sz w:val="18"/>
                  <w:szCs w:val="18"/>
                  <w:color w:val="0000EE"/>
                </w:rPr>
                <w:t>32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34</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Risks Relating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Risks Relating to the Combined Company after Completion of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9">
              <w:r>
                <w:rPr>
                  <w:rFonts w:ascii="Arial" w:cs="Arial" w:eastAsia="Arial" w:hAnsi="Arial"/>
                  <w:sz w:val="18"/>
                  <w:szCs w:val="18"/>
                  <w:color w:val="0000EE"/>
                </w:rPr>
                <w:t>42</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Risks Relating to ICON’s Business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4">
              <w:r>
                <w:rPr>
                  <w:rFonts w:ascii="Arial" w:cs="Arial" w:eastAsia="Arial" w:hAnsi="Arial"/>
                  <w:sz w:val="18"/>
                  <w:szCs w:val="18"/>
                  <w:color w:val="0000EE"/>
                </w:rPr>
                <w:t>47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Risks Relating to PRA’s Business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4">
              <w:r>
                <w:rPr>
                  <w:rFonts w:ascii="Arial" w:cs="Arial" w:eastAsia="Arial" w:hAnsi="Arial"/>
                  <w:sz w:val="18"/>
                  <w:szCs w:val="18"/>
                  <w:color w:val="0000EE"/>
                </w:rPr>
                <w:t>47</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1"/>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THE PARTIES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5">
              <w:r>
                <w:rPr>
                  <w:rFonts w:ascii="Arial" w:cs="Arial" w:eastAsia="Arial" w:hAnsi="Arial"/>
                  <w:sz w:val="18"/>
                  <w:szCs w:val="18"/>
                  <w:color w:val="0000EE"/>
                </w:rPr>
                <w:t>48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THE ICON EXTRAORDINARY GENERAL MEETING</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Date, Time and Place of the ICON EGM</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Matters to be Considered at the ICON EGM</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Recommendation of the ICON Board of Directors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Record Date for the ICON EGM and Voting Rights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Quorum; Abstentions and Broker Non-Votes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Required Votes; Vote of ICON’s Directors and Executive Officers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8">
              <w:r>
                <w:rPr>
                  <w:rFonts w:ascii="Arial" w:cs="Arial" w:eastAsia="Arial" w:hAnsi="Arial"/>
                  <w:sz w:val="18"/>
                  <w:szCs w:val="18"/>
                  <w:color w:val="0000EE"/>
                </w:rPr>
                <w:t>51</w:t>
              </w:r>
            </w:hyperlink>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-9840595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91" w:orient="portrait"/>
          <w:cols w:equalWidth="0" w:num="1">
            <w:col w:w="9019"/>
          </w:cols>
          <w:pgMar w:left="1440" w:top="265" w:right="1440" w:bottom="0" w:gutter="0" w:footer="0" w:header="0"/>
        </w:sectPr>
      </w:pPr>
    </w:p>
    <w:bookmarkStart w:id="11" w:name="page12"/>
    <w:bookmarkEnd w:id="11"/>
    <w:p>
      <w:pPr>
        <w:ind w:left="480"/>
        <w:spacing w:after="0"/>
        <w:tabs>
          <w:tab w:leader="none" w:pos="8460" w:val="left"/>
        </w:tabs>
        <w:rPr>
          <w:rFonts w:ascii="Arial" w:cs="Arial" w:eastAsia="Arial" w:hAnsi="Arial"/>
          <w:sz w:val="16"/>
          <w:szCs w:val="16"/>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hyperlink w:anchor="page68">
        <w:r>
          <w:rPr>
            <w:rFonts w:ascii="Arial" w:cs="Arial" w:eastAsia="Arial" w:hAnsi="Arial"/>
            <w:sz w:val="18"/>
            <w:szCs w:val="18"/>
            <w:u w:val="single" w:color="auto"/>
            <w:color w:val="0000EE"/>
          </w:rPr>
          <w:t>Methods of Voting</w:t>
        </w:r>
      </w:hyperlink>
      <w:r>
        <w:rPr>
          <w:rFonts w:ascii="Arial" w:cs="Arial" w:eastAsia="Arial" w:hAnsi="Arial"/>
          <w:sz w:val="18"/>
          <w:szCs w:val="18"/>
          <w:u w:val="single" w:color="auto"/>
          <w:color w:val="0000EE"/>
        </w:rPr>
        <w:tab/>
      </w:r>
      <w:hyperlink w:anchor="page68">
        <w:r>
          <w:rPr>
            <w:rFonts w:ascii="Arial" w:cs="Arial" w:eastAsia="Arial" w:hAnsi="Arial"/>
            <w:sz w:val="16"/>
            <w:szCs w:val="16"/>
            <w:u w:val="single" w:color="auto"/>
            <w:color w:val="0000EE"/>
          </w:rPr>
          <w:t>51</w:t>
        </w:r>
      </w:hyperlink>
    </w:p>
    <w:p>
      <w:pPr>
        <w:sectPr>
          <w:pgSz w:w="11900" w:h="16838" w:orient="portrait"/>
          <w:cols w:equalWidth="0" w:num="1">
            <w:col w:w="9019"/>
          </w:cols>
          <w:pgMar w:left="1440" w:top="233"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12" w:name="page13"/>
    <w:bookmarkEnd w:id="12"/>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6"/>
        </w:trPr>
        <w:tc>
          <w:tcPr>
            <w:tcW w:w="180" w:type="dxa"/>
            <w:vAlign w:val="bottom"/>
            <w:shd w:val="clear" w:color="auto" w:fill="CCEEFF"/>
          </w:tcPr>
          <w:p>
            <w:pPr>
              <w:spacing w:after="0"/>
              <w:rPr>
                <w:sz w:val="20"/>
                <w:szCs w:val="20"/>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Voting of Shares Held in “Street Name”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52</w:t>
              </w:r>
            </w:hyperlink>
          </w:p>
        </w:tc>
        <w:tc>
          <w:tcPr>
            <w:tcW w:w="20" w:type="dxa"/>
            <w:vAlign w:val="bottom"/>
            <w:shd w:val="clear" w:color="auto" w:fill="CCEEFF"/>
          </w:tcPr>
          <w:p>
            <w:pPr>
              <w:spacing w:after="0"/>
              <w:rPr>
                <w:sz w:val="20"/>
                <w:szCs w:val="20"/>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Revocability of Proxies</w:t>
              </w:r>
            </w:hyperlink>
          </w:p>
        </w:tc>
        <w:tc>
          <w:tcPr>
            <w:tcW w:w="2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52</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Proxy Solicitation Costs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52</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Attending the ICON EGM</w:t>
              </w:r>
            </w:hyperlink>
          </w:p>
        </w:tc>
        <w:tc>
          <w:tcPr>
            <w:tcW w:w="28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53</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Results of the ICON EGM</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53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Adjournments</w:t>
              </w:r>
            </w:hyperlink>
          </w:p>
        </w:tc>
        <w:tc>
          <w:tcPr>
            <w:tcW w:w="28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53</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Assistance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54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ICON PROPOSAL 1: APPROVAL OF SHARE ISSUANCE</w:t>
              </w:r>
            </w:hyperlink>
          </w:p>
        </w:tc>
        <w:tc>
          <w:tcPr>
            <w:tcW w:w="28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55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3"/>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ICON PROPOSAL 2: ADJOURNMENT OF THE ICON EGM</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Date, Time and Place of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Matters to Be Considered at 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Recommendation of the PRA Board of Directors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Record Date for the PRA Stockholder Meeting and Voting Rights</w:t>
              </w:r>
            </w:hyperlink>
          </w:p>
        </w:tc>
        <w:tc>
          <w:tcPr>
            <w:tcW w:w="28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Quorum; Abstentions and Broker Non-Votes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58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Required Votes; Vote of PRA’s Directors and Executive Officers</w:t>
              </w:r>
            </w:hyperlink>
          </w:p>
        </w:tc>
        <w:tc>
          <w:tcPr>
            <w:tcW w:w="28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58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Methods of Voting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59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Revocability of Proxies</w:t>
              </w:r>
            </w:hyperlink>
          </w:p>
        </w:tc>
        <w:tc>
          <w:tcPr>
            <w:tcW w:w="2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60</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Proxy Solicitation Costs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60</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Attending 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How to Ask Questions at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What to Do if You Have Technical Difficulties or Trouble Accessing the Virtual Meeting Website</w:t>
              </w:r>
            </w:hyperlink>
          </w:p>
        </w:tc>
        <w:tc>
          <w:tcPr>
            <w:tcW w:w="2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What to Do if You Cannot Virtually Attend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Householding</w:t>
              </w:r>
            </w:hyperlink>
          </w:p>
        </w:tc>
        <w:tc>
          <w:tcPr>
            <w:tcW w:w="2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Tabulation of Votes; Results of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Adjournments</w:t>
              </w:r>
            </w:hyperlink>
          </w:p>
        </w:tc>
        <w:tc>
          <w:tcPr>
            <w:tcW w:w="28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62</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Assistance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PRA PROPOSAL 1: ADOPTION OF THE MERGER AGREEMENT</w:t>
              </w:r>
            </w:hyperlink>
          </w:p>
        </w:tc>
        <w:tc>
          <w:tcPr>
            <w:tcW w:w="2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63</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3"/>
            <w:shd w:val="clear" w:color="auto" w:fill="CCEEFF"/>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PRA PROPOSAL 2: ADVISORY (NON-BINDING) VOTE ON MERGER-RELATED COMPENSATION</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560" w:type="dxa"/>
            <w:vAlign w:val="bottom"/>
            <w:tcBorders>
              <w:top w:val="single" w:sz="8" w:color="0000EE"/>
            </w:tcBorders>
            <w:gridSpan w:val="41"/>
            <w:shd w:val="clear" w:color="auto" w:fill="CCEEFF"/>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FOR NAMED EXECUTIVE OFFICERS</w:t>
              </w:r>
            </w:hyperlink>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64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PRA PROPOSAL 3: ADJOURNMENT OF 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65</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3"/>
            <w:shd w:val="clear" w:color="auto" w:fill="CCEEFF"/>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THE MERGER</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General</w:t>
              </w:r>
            </w:hyperlink>
          </w:p>
        </w:tc>
        <w:tc>
          <w:tcPr>
            <w:tcW w:w="28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Merger Consideration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Background of the Merger</w:t>
              </w:r>
            </w:hyperlink>
          </w:p>
        </w:tc>
        <w:tc>
          <w:tcPr>
            <w:tcW w:w="28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Recommendation of the PRA Board of Directors and Reasons for the Merger</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73</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ICON’s Reasons for the Merger</w:t>
              </w:r>
            </w:hyperlink>
          </w:p>
        </w:tc>
        <w:tc>
          <w:tcPr>
            <w:tcW w:w="280" w:type="dxa"/>
            <w:vAlign w:val="bottom"/>
            <w:gridSpan w:val="4"/>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78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Opinion of ICON’s Financial Advisor</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78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Opinions of PRA’s Financial Advisors</w:t>
              </w:r>
            </w:hyperlink>
          </w:p>
        </w:tc>
        <w:tc>
          <w:tcPr>
            <w:tcW w:w="28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88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ICON Unaudited Financial Forecasts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107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PRA Unaudited Financial Forecasts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109</w:t>
              </w:r>
            </w:hyperlink>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Closing and Effective Time of the Merger</w:t>
              </w:r>
            </w:hyperlink>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79"/>
              </w:rPr>
            </w:pPr>
            <w:hyperlink w:anchor="page128">
              <w:r>
                <w:rPr>
                  <w:rFonts w:ascii="Arial" w:cs="Arial" w:eastAsia="Arial" w:hAnsi="Arial"/>
                  <w:sz w:val="18"/>
                  <w:szCs w:val="18"/>
                  <w:color w:val="0000EE"/>
                  <w:w w:val="79"/>
                </w:rPr>
                <w:t>111</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Reasonable Best Efforts and Regulatory Approvals</w:t>
              </w:r>
            </w:hyperlink>
          </w:p>
        </w:tc>
        <w:tc>
          <w:tcPr>
            <w:tcW w:w="280" w:type="dxa"/>
            <w:vAlign w:val="bottom"/>
            <w:gridSpan w:val="4"/>
          </w:tcPr>
          <w:p>
            <w:pPr>
              <w:jc w:val="right"/>
              <w:ind w:right="20"/>
              <w:spacing w:after="0"/>
              <w:rPr>
                <w:rFonts w:ascii="Arial" w:cs="Arial" w:eastAsia="Arial" w:hAnsi="Arial"/>
                <w:sz w:val="18"/>
                <w:szCs w:val="18"/>
                <w:color w:val="0000EE"/>
                <w:w w:val="79"/>
              </w:rPr>
            </w:pPr>
            <w:hyperlink w:anchor="page128">
              <w:r>
                <w:rPr>
                  <w:rFonts w:ascii="Arial" w:cs="Arial" w:eastAsia="Arial" w:hAnsi="Arial"/>
                  <w:sz w:val="18"/>
                  <w:szCs w:val="18"/>
                  <w:color w:val="0000EE"/>
                  <w:w w:val="79"/>
                </w:rPr>
                <w:t>111</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Ownership of ICON after the Merger</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112</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Governance of ICON after the Merger</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112</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U.S. Federal Securities Law</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113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Accounting Treatment of the Merger</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113</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8"/>
        </w:trPr>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-9768840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900" w:orient="portrait"/>
          <w:cols w:equalWidth="0" w:num="1">
            <w:col w:w="9019"/>
          </w:cols>
          <w:pgMar w:left="1440" w:top="265" w:right="1440" w:bottom="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207"/>
        </w:trPr>
        <w:tc>
          <w:tcPr>
            <w:tcW w:w="18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Debt Financing</w:t>
              </w:r>
            </w:hyperlink>
          </w:p>
        </w:tc>
        <w:tc>
          <w:tcPr>
            <w:tcW w:w="5860" w:type="dxa"/>
            <w:vAlign w:val="bottom"/>
            <w:gridSpan w:val="3"/>
            <w:shd w:val="clear" w:color="auto" w:fill="CCEEFF"/>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113</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55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2380" w:type="dxa"/>
            <w:vAlign w:val="bottom"/>
            <w:gridSpan w:val="2"/>
          </w:tcPr>
          <w:p>
            <w:pPr>
              <w:spacing w:after="0"/>
              <w:rPr>
                <w:rFonts w:ascii="Arial" w:cs="Arial" w:eastAsia="Arial" w:hAnsi="Arial"/>
                <w:sz w:val="18"/>
                <w:szCs w:val="18"/>
                <w:color w:val="0000EE"/>
                <w:w w:val="92"/>
              </w:rPr>
            </w:pPr>
            <w:hyperlink w:anchor="page131">
              <w:r>
                <w:rPr>
                  <w:rFonts w:ascii="Arial" w:cs="Arial" w:eastAsia="Arial" w:hAnsi="Arial"/>
                  <w:sz w:val="18"/>
                  <w:szCs w:val="18"/>
                  <w:color w:val="0000EE"/>
                  <w:w w:val="92"/>
                </w:rPr>
                <w:t>Litigation Relating to the Merger</w:t>
              </w:r>
            </w:hyperlink>
          </w:p>
        </w:tc>
        <w:tc>
          <w:tcPr>
            <w:tcW w:w="5860" w:type="dxa"/>
            <w:vAlign w:val="bottom"/>
            <w:gridSpan w:val="3"/>
          </w:tcPr>
          <w:p>
            <w:pPr>
              <w:jc w:val="right"/>
              <w:ind w:right="20"/>
              <w:spacing w:after="0"/>
              <w:rPr>
                <w:rFonts w:ascii="Arial" w:cs="Arial" w:eastAsia="Arial" w:hAnsi="Arial"/>
                <w:sz w:val="18"/>
                <w:szCs w:val="18"/>
                <w:color w:val="0000EE"/>
              </w:rPr>
            </w:pPr>
            <w:hyperlink w:anchor="page131">
              <w:r>
                <w:rPr>
                  <w:rFonts w:ascii="Arial" w:cs="Arial" w:eastAsia="Arial" w:hAnsi="Arial"/>
                  <w:sz w:val="18"/>
                  <w:szCs w:val="18"/>
                  <w:color w:val="0000EE"/>
                </w:rPr>
                <w:t>114</w:t>
              </w:r>
            </w:hyperlink>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180" w:type="dxa"/>
            <w:vAlign w:val="bottom"/>
            <w:shd w:val="clear" w:color="auto" w:fill="CCEEFF"/>
          </w:tcPr>
          <w:p>
            <w:pPr>
              <w:spacing w:after="0"/>
              <w:rPr>
                <w:sz w:val="20"/>
                <w:szCs w:val="20"/>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Exchange of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1">
              <w:r>
                <w:rPr>
                  <w:rFonts w:ascii="Arial" w:cs="Arial" w:eastAsia="Arial" w:hAnsi="Arial"/>
                  <w:sz w:val="18"/>
                  <w:szCs w:val="18"/>
                  <w:color w:val="0000EE"/>
                  <w:w w:val="79"/>
                </w:rPr>
                <w:t>114</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Listing of ICON ordinary shares; Delisting and Deregistration of PRA common stock</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2">
              <w:r>
                <w:rPr>
                  <w:rFonts w:ascii="Arial" w:cs="Arial" w:eastAsia="Arial" w:hAnsi="Arial"/>
                  <w:sz w:val="18"/>
                  <w:szCs w:val="18"/>
                  <w:color w:val="0000EE"/>
                  <w:w w:val="79"/>
                </w:rPr>
                <w:t>115</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3"/>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THE MERGER AGREEMENT</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Explanatory Note Regarding the Merger Agreement</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Structure of the Merger</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Completion and Effectiveness of the Merger</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Merger Consideration</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Treatment of PRA Equity Awards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117</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Exchange of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Treatment of Fractional Shares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Termination of the Exchange Fund</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Lost, Stolen or Destroyed Share Certificates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Dissenting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119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Withholding Rights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Adjustments to Prevent Dilution</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119</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Surviving Corporation Governance and Merger Sub Shares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Representations and Warranties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120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Conduct of Business Prior to the Effective Time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123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No Solicitation of Takeover Proposals; No Change of Recommendation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Stockholder Meetings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131</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Reasonable Best Efforts and Regulatory Approvals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132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Access to Information</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Listing of ICON ordinary shares; Delisting and Deregistration of PRA common stock</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Publicity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134</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Employee Benefit Plan and Compensation Matters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FIRPTA Certificate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3">
              <w:r>
                <w:rPr>
                  <w:rFonts w:ascii="Arial" w:cs="Arial" w:eastAsia="Arial" w:hAnsi="Arial"/>
                  <w:sz w:val="18"/>
                  <w:szCs w:val="18"/>
                  <w:color w:val="0000EE"/>
                  <w:w w:val="86"/>
                </w:rPr>
                <w:t>136</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Expenses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3">
              <w:r>
                <w:rPr>
                  <w:rFonts w:ascii="Arial" w:cs="Arial" w:eastAsia="Arial" w:hAnsi="Arial"/>
                  <w:sz w:val="18"/>
                  <w:szCs w:val="18"/>
                  <w:color w:val="0000EE"/>
                  <w:w w:val="86"/>
                </w:rPr>
                <w:t>136</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Financing</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3">
              <w:r>
                <w:rPr>
                  <w:rFonts w:ascii="Arial" w:cs="Arial" w:eastAsia="Arial" w:hAnsi="Arial"/>
                  <w:sz w:val="18"/>
                  <w:szCs w:val="18"/>
                  <w:color w:val="0000EE"/>
                  <w:w w:val="86"/>
                </w:rPr>
                <w:t>136</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ICON Board Representation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138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The Depository Trust Company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138</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Section 16 Matters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138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Indemnification; Directors’ and Officers’ Insurance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138</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Litigation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139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Conditions to the Completion of the Merger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7">
              <w:r>
                <w:rPr>
                  <w:rFonts w:ascii="Arial" w:cs="Arial" w:eastAsia="Arial" w:hAnsi="Arial"/>
                  <w:sz w:val="18"/>
                  <w:szCs w:val="18"/>
                  <w:color w:val="0000EE"/>
                  <w:w w:val="86"/>
                </w:rPr>
                <w:t>140</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Termination of the Merger Agreement</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141</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Termination Fees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142</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Amendment and Waiver</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144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Governing Law</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144</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Specific Performance</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144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Third-Party Beneficiaries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145</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3"/>
            <w:shd w:val="clear" w:color="auto" w:fill="CCEEFF"/>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UNAUDITED PRO FORMA CONDENSED COMBINED FINANCIAL INFORMATION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3">
              <w:r>
                <w:rPr>
                  <w:rFonts w:ascii="Arial" w:cs="Arial" w:eastAsia="Arial" w:hAnsi="Arial"/>
                  <w:sz w:val="18"/>
                  <w:szCs w:val="18"/>
                  <w:color w:val="0000EE"/>
                  <w:w w:val="86"/>
                </w:rPr>
                <w:t>146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INTERESTS OF ICON’S DIRECTORS AND EXECUTIVE OFFICERS IN THE MERGER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4"/>
        </w:trPr>
        <w:tc>
          <w:tcPr>
            <w:tcW w:w="1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Management of the Combined Company</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Board of Directors of the Combined Company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Voting by ICON’s Directors and Executive Officers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INTERESTS OF PRA’S DIRECTORS AND EXECUTIVE OFFICERS IN THE MERGER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167</w:t>
              </w:r>
            </w:hyperlink>
          </w:p>
        </w:tc>
      </w:tr>
      <w:tr>
        <w:trPr>
          <w:trHeight w:val="75"/>
        </w:trPr>
        <w:tc>
          <w:tcPr>
            <w:tcW w:w="1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Treatment of PRA Equity Awards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167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15" w:name="page16"/>
    <w:bookmarkEnd w:id="15"/>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080" w:type="dxa"/>
            <w:vAlign w:val="bottom"/>
            <w:gridSpan w:val="3"/>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PRA Executive Employment Agreements</w:t>
              </w:r>
            </w:hyperlink>
          </w:p>
        </w:tc>
        <w:tc>
          <w:tcPr>
            <w:tcW w:w="2160" w:type="dxa"/>
            <w:vAlign w:val="bottom"/>
            <w:gridSpan w:val="3"/>
          </w:tcPr>
          <w:p>
            <w:pPr>
              <w:jc w:val="right"/>
              <w:ind w:right="20"/>
              <w:spacing w:after="0"/>
              <w:rPr>
                <w:rFonts w:ascii="Arial" w:cs="Arial" w:eastAsia="Arial" w:hAnsi="Arial"/>
                <w:sz w:val="18"/>
                <w:szCs w:val="18"/>
                <w:color w:val="0000EE"/>
              </w:rPr>
            </w:pPr>
            <w:hyperlink w:anchor="page184">
              <w:r>
                <w:rPr>
                  <w:rFonts w:ascii="Arial" w:cs="Arial" w:eastAsia="Arial" w:hAnsi="Arial"/>
                  <w:sz w:val="18"/>
                  <w:szCs w:val="18"/>
                  <w:color w:val="0000EE"/>
                </w:rPr>
                <w:t>167</w:t>
              </w:r>
            </w:hyperlink>
          </w:p>
        </w:tc>
      </w:tr>
      <w:tr>
        <w:trPr>
          <w:trHeight w:val="75"/>
        </w:trPr>
        <w:tc>
          <w:tcPr>
            <w:tcW w:w="180" w:type="dxa"/>
            <w:vAlign w:val="bottom"/>
          </w:tcPr>
          <w:p>
            <w:pPr>
              <w:spacing w:after="0"/>
              <w:rPr>
                <w:sz w:val="6"/>
                <w:szCs w:val="6"/>
                <w:color w:val="auto"/>
              </w:rPr>
            </w:pPr>
          </w:p>
        </w:tc>
        <w:tc>
          <w:tcPr>
            <w:tcW w:w="300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6080" w:type="dxa"/>
            <w:vAlign w:val="bottom"/>
            <w:gridSpan w:val="3"/>
            <w:shd w:val="clear" w:color="auto" w:fill="CCEEFF"/>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No Section 280G Golden Parachute Excise Tax Gross-Ups</w:t>
              </w:r>
            </w:hyperlink>
          </w:p>
        </w:tc>
        <w:tc>
          <w:tcPr>
            <w:tcW w:w="2160" w:type="dxa"/>
            <w:vAlign w:val="bottom"/>
            <w:gridSpan w:val="3"/>
            <w:shd w:val="clear" w:color="auto" w:fill="CCEEFF"/>
          </w:tcPr>
          <w:p>
            <w:pPr>
              <w:jc w:val="right"/>
              <w:ind w:right="20"/>
              <w:spacing w:after="0"/>
              <w:rPr>
                <w:rFonts w:ascii="Arial" w:cs="Arial" w:eastAsia="Arial" w:hAnsi="Arial"/>
                <w:sz w:val="18"/>
                <w:szCs w:val="18"/>
                <w:color w:val="0000EE"/>
              </w:rPr>
            </w:pPr>
            <w:hyperlink w:anchor="page185">
              <w:r>
                <w:rPr>
                  <w:rFonts w:ascii="Arial" w:cs="Arial" w:eastAsia="Arial" w:hAnsi="Arial"/>
                  <w:sz w:val="18"/>
                  <w:szCs w:val="18"/>
                  <w:color w:val="0000EE"/>
                </w:rPr>
                <w:t>168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0" w:type="dxa"/>
            <w:vAlign w:val="bottom"/>
            <w:tcBorders>
              <w:top w:val="single" w:sz="8" w:color="0000EE"/>
            </w:tcBorders>
            <w:shd w:val="clear" w:color="auto" w:fill="CCEEFF"/>
          </w:tcPr>
          <w:p>
            <w:pPr>
              <w:spacing w:after="0"/>
              <w:rPr>
                <w:sz w:val="6"/>
                <w:szCs w:val="6"/>
                <w:color w:val="auto"/>
              </w:rPr>
            </w:pPr>
          </w:p>
        </w:tc>
        <w:tc>
          <w:tcPr>
            <w:tcW w:w="1220" w:type="dxa"/>
            <w:vAlign w:val="bottom"/>
            <w:tcBorders>
              <w:top w:val="single" w:sz="8" w:color="0000EE"/>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2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 (cont’d)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4"/>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180" w:type="dxa"/>
            <w:vAlign w:val="bottom"/>
            <w:shd w:val="clear" w:color="auto" w:fill="CCEEFF"/>
          </w:tcPr>
          <w:p>
            <w:pPr>
              <w:spacing w:after="0"/>
              <w:rPr>
                <w:sz w:val="20"/>
                <w:szCs w:val="20"/>
                <w:color w:val="auto"/>
              </w:rPr>
            </w:pPr>
          </w:p>
        </w:tc>
        <w:tc>
          <w:tcPr>
            <w:tcW w:w="7940" w:type="dxa"/>
            <w:vAlign w:val="bottom"/>
            <w:gridSpan w:val="20"/>
            <w:shd w:val="clear" w:color="auto" w:fill="CCEEFF"/>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2021 Long-Term Incentive Awards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2021 Compensation Increases</w:t>
              </w:r>
            </w:hyperlink>
          </w:p>
        </w:tc>
        <w:tc>
          <w:tcPr>
            <w:tcW w:w="300" w:type="dxa"/>
            <w:vAlign w:val="bottom"/>
            <w:gridSpan w:val="4"/>
          </w:tcPr>
          <w:p>
            <w:pPr>
              <w:ind w:left="20"/>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169</w:t>
              </w:r>
            </w:hyperlink>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20"/>
            <w:shd w:val="clear" w:color="auto" w:fill="CCEEFF"/>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Indemnification and Insurance</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169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Continued Directorship</w:t>
              </w:r>
            </w:hyperlink>
          </w:p>
        </w:tc>
        <w:tc>
          <w:tcPr>
            <w:tcW w:w="300" w:type="dxa"/>
            <w:vAlign w:val="bottom"/>
            <w:gridSpan w:val="4"/>
          </w:tcPr>
          <w:p>
            <w:pPr>
              <w:ind w:left="20"/>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169</w:t>
              </w:r>
            </w:hyperlink>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20"/>
            <w:shd w:val="clear" w:color="auto" w:fill="CCEEFF"/>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Merger-Related Compensation</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169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CERTAIN UNITED STATES FEDERAL INCOME TAX CONSIDERATIONS</w:t>
              </w:r>
            </w:hyperlink>
          </w:p>
        </w:tc>
        <w:tc>
          <w:tcPr>
            <w:tcW w:w="300" w:type="dxa"/>
            <w:vAlign w:val="bottom"/>
            <w:gridSpan w:val="4"/>
          </w:tcPr>
          <w:p>
            <w:pPr>
              <w:ind w:left="20"/>
              <w:spacing w:after="0"/>
              <w:rPr>
                <w:rFonts w:ascii="Arial" w:cs="Arial" w:eastAsia="Arial" w:hAnsi="Arial"/>
                <w:sz w:val="18"/>
                <w:szCs w:val="18"/>
                <w:color w:val="0000EE"/>
                <w:w w:val="86"/>
              </w:rPr>
            </w:pPr>
            <w:hyperlink w:anchor="page188">
              <w:r>
                <w:rPr>
                  <w:rFonts w:ascii="Arial" w:cs="Arial" w:eastAsia="Arial" w:hAnsi="Arial"/>
                  <w:sz w:val="18"/>
                  <w:szCs w:val="18"/>
                  <w:color w:val="0000EE"/>
                  <w:w w:val="86"/>
                </w:rPr>
                <w:t>171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IRISH TAX CONSEQUENCES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96">
              <w:r>
                <w:rPr>
                  <w:rFonts w:ascii="Arial" w:cs="Arial" w:eastAsia="Arial" w:hAnsi="Arial"/>
                  <w:sz w:val="18"/>
                  <w:szCs w:val="18"/>
                  <w:color w:val="0000EE"/>
                  <w:w w:val="86"/>
                </w:rPr>
                <w:t>179</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COMPARISON OF STOCKHOLDERS’ RIGHTS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01">
              <w:r>
                <w:rPr>
                  <w:rFonts w:ascii="Arial" w:cs="Arial" w:eastAsia="Arial" w:hAnsi="Arial"/>
                  <w:sz w:val="18"/>
                  <w:szCs w:val="18"/>
                  <w:color w:val="0000EE"/>
                  <w:w w:val="86"/>
                </w:rPr>
                <w:t>184</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APPRAISAL RIGHTS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25">
              <w:r>
                <w:rPr>
                  <w:rFonts w:ascii="Arial" w:cs="Arial" w:eastAsia="Arial" w:hAnsi="Arial"/>
                  <w:sz w:val="18"/>
                  <w:szCs w:val="18"/>
                  <w:color w:val="0000EE"/>
                  <w:w w:val="86"/>
                </w:rPr>
                <w:t>208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LEGAL MATTERS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0">
              <w:r>
                <w:rPr>
                  <w:rFonts w:ascii="Arial" w:cs="Arial" w:eastAsia="Arial" w:hAnsi="Arial"/>
                  <w:sz w:val="18"/>
                  <w:szCs w:val="18"/>
                  <w:color w:val="0000EE"/>
                  <w:w w:val="86"/>
                </w:rPr>
                <w:t>213</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EXPERTS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0">
              <w:r>
                <w:rPr>
                  <w:rFonts w:ascii="Arial" w:cs="Arial" w:eastAsia="Arial" w:hAnsi="Arial"/>
                  <w:sz w:val="18"/>
                  <w:szCs w:val="18"/>
                  <w:color w:val="0000EE"/>
                  <w:w w:val="86"/>
                </w:rPr>
                <w:t>213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ENFORCEABILITY OF CIVIL LIABILITIES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0">
              <w:r>
                <w:rPr>
                  <w:rFonts w:ascii="Arial" w:cs="Arial" w:eastAsia="Arial" w:hAnsi="Arial"/>
                  <w:sz w:val="18"/>
                  <w:szCs w:val="18"/>
                  <w:color w:val="0000EE"/>
                  <w:w w:val="86"/>
                </w:rPr>
                <w:t>213</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OTHER MATTERS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0">
              <w:r>
                <w:rPr>
                  <w:rFonts w:ascii="Arial" w:cs="Arial" w:eastAsia="Arial" w:hAnsi="Arial"/>
                  <w:sz w:val="18"/>
                  <w:szCs w:val="18"/>
                  <w:color w:val="0000EE"/>
                  <w:w w:val="86"/>
                </w:rPr>
                <w:t>213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CERTAIN BENEFICIAL OWNERS OF PRA COMMON STOCK</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1">
              <w:r>
                <w:rPr>
                  <w:rFonts w:ascii="Arial" w:cs="Arial" w:eastAsia="Arial" w:hAnsi="Arial"/>
                  <w:sz w:val="18"/>
                  <w:szCs w:val="18"/>
                  <w:color w:val="0000EE"/>
                  <w:w w:val="86"/>
                </w:rPr>
                <w:t>214</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STOCKHOLDER PROPOSALS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3">
              <w:r>
                <w:rPr>
                  <w:rFonts w:ascii="Arial" w:cs="Arial" w:eastAsia="Arial" w:hAnsi="Arial"/>
                  <w:sz w:val="18"/>
                  <w:szCs w:val="18"/>
                  <w:color w:val="0000EE"/>
                  <w:w w:val="86"/>
                </w:rPr>
                <w:t>216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HOUSEHOLDING OF PROXY MATERIALS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217</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WHERE YOU CAN FIND MORE INFORMATION</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5">
              <w:r>
                <w:rPr>
                  <w:rFonts w:ascii="Arial" w:cs="Arial" w:eastAsia="Arial" w:hAnsi="Arial"/>
                  <w:sz w:val="18"/>
                  <w:szCs w:val="18"/>
                  <w:color w:val="0000EE"/>
                  <w:w w:val="86"/>
                </w:rPr>
                <w:t>218</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ANNEX A – AGREEMENT AND PLAN OF MERGER</w:t>
              </w:r>
            </w:hyperlink>
          </w:p>
        </w:tc>
        <w:tc>
          <w:tcPr>
            <w:tcW w:w="300" w:type="dxa"/>
            <w:vAlign w:val="bottom"/>
            <w:gridSpan w:val="4"/>
            <w:shd w:val="clear" w:color="auto" w:fill="CCEEFF"/>
          </w:tcPr>
          <w:p>
            <w:pPr>
              <w:spacing w:after="0"/>
              <w:rPr>
                <w:rFonts w:ascii="Arial" w:cs="Arial" w:eastAsia="Arial" w:hAnsi="Arial"/>
                <w:sz w:val="18"/>
                <w:szCs w:val="18"/>
                <w:color w:val="0000EE"/>
                <w:w w:val="99"/>
              </w:rPr>
            </w:pPr>
            <w:hyperlink w:anchor="page237">
              <w:r>
                <w:rPr>
                  <w:rFonts w:ascii="Arial" w:cs="Arial" w:eastAsia="Arial" w:hAnsi="Arial"/>
                  <w:sz w:val="18"/>
                  <w:szCs w:val="18"/>
                  <w:color w:val="0000EE"/>
                  <w:w w:val="99"/>
                </w:rPr>
                <w:t>A-1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336">
              <w:r>
                <w:rPr>
                  <w:rFonts w:ascii="Arial" w:cs="Arial" w:eastAsia="Arial" w:hAnsi="Arial"/>
                  <w:sz w:val="18"/>
                  <w:szCs w:val="18"/>
                  <w:color w:val="0000EE"/>
                </w:rPr>
                <w:t>ANNEX B – OPINION OF CENTERVIEW PARTNERS LLC</w:t>
              </w:r>
            </w:hyperlink>
          </w:p>
        </w:tc>
        <w:tc>
          <w:tcPr>
            <w:tcW w:w="300" w:type="dxa"/>
            <w:vAlign w:val="bottom"/>
            <w:gridSpan w:val="4"/>
          </w:tcPr>
          <w:p>
            <w:pPr>
              <w:spacing w:after="0"/>
              <w:rPr>
                <w:rFonts w:ascii="Arial" w:cs="Arial" w:eastAsia="Arial" w:hAnsi="Arial"/>
                <w:sz w:val="18"/>
                <w:szCs w:val="18"/>
                <w:color w:val="0000EE"/>
                <w:w w:val="99"/>
              </w:rPr>
            </w:pPr>
            <w:hyperlink w:anchor="page336">
              <w:r>
                <w:rPr>
                  <w:rFonts w:ascii="Arial" w:cs="Arial" w:eastAsia="Arial" w:hAnsi="Arial"/>
                  <w:sz w:val="18"/>
                  <w:szCs w:val="18"/>
                  <w:color w:val="0000EE"/>
                  <w:w w:val="99"/>
                </w:rPr>
                <w:t>B-1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ANNEX C – OPINION OF BOFA SECURITIES, INC.</w:t>
              </w:r>
            </w:hyperlink>
          </w:p>
        </w:tc>
        <w:tc>
          <w:tcPr>
            <w:tcW w:w="300" w:type="dxa"/>
            <w:vAlign w:val="bottom"/>
            <w:gridSpan w:val="4"/>
            <w:shd w:val="clear" w:color="auto" w:fill="CCEEFF"/>
          </w:tcPr>
          <w:p>
            <w:pPr>
              <w:spacing w:after="0"/>
              <w:rPr>
                <w:rFonts w:ascii="Arial" w:cs="Arial" w:eastAsia="Arial" w:hAnsi="Arial"/>
                <w:sz w:val="18"/>
                <w:szCs w:val="18"/>
                <w:color w:val="0000EE"/>
                <w:w w:val="96"/>
              </w:rPr>
            </w:pPr>
            <w:hyperlink w:anchor="page339">
              <w:r>
                <w:rPr>
                  <w:rFonts w:ascii="Arial" w:cs="Arial" w:eastAsia="Arial" w:hAnsi="Arial"/>
                  <w:sz w:val="18"/>
                  <w:szCs w:val="18"/>
                  <w:color w:val="0000EE"/>
                  <w:w w:val="96"/>
                </w:rPr>
                <w:t>C-1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342">
              <w:r>
                <w:rPr>
                  <w:rFonts w:ascii="Arial" w:cs="Arial" w:eastAsia="Arial" w:hAnsi="Arial"/>
                  <w:sz w:val="18"/>
                  <w:szCs w:val="18"/>
                  <w:color w:val="0000EE"/>
                </w:rPr>
                <w:t>ANNEX D – OPINION OF UBS SECURITIES LLC</w:t>
              </w:r>
            </w:hyperlink>
          </w:p>
        </w:tc>
        <w:tc>
          <w:tcPr>
            <w:tcW w:w="300" w:type="dxa"/>
            <w:vAlign w:val="bottom"/>
            <w:gridSpan w:val="4"/>
          </w:tcPr>
          <w:p>
            <w:pPr>
              <w:spacing w:after="0"/>
              <w:rPr>
                <w:rFonts w:ascii="Arial" w:cs="Arial" w:eastAsia="Arial" w:hAnsi="Arial"/>
                <w:sz w:val="18"/>
                <w:szCs w:val="18"/>
                <w:color w:val="0000EE"/>
                <w:w w:val="96"/>
              </w:rPr>
            </w:pPr>
            <w:hyperlink w:anchor="page342">
              <w:r>
                <w:rPr>
                  <w:rFonts w:ascii="Arial" w:cs="Arial" w:eastAsia="Arial" w:hAnsi="Arial"/>
                  <w:sz w:val="18"/>
                  <w:szCs w:val="18"/>
                  <w:color w:val="0000EE"/>
                  <w:w w:val="96"/>
                </w:rPr>
                <w:t>D-1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rFonts w:ascii="Arial" w:cs="Arial" w:eastAsia="Arial" w:hAnsi="Arial"/>
                <w:sz w:val="18"/>
                <w:szCs w:val="18"/>
                <w:color w:val="0000EE"/>
              </w:rPr>
            </w:pPr>
            <w:hyperlink w:anchor="page346">
              <w:r>
                <w:rPr>
                  <w:rFonts w:ascii="Arial" w:cs="Arial" w:eastAsia="Arial" w:hAnsi="Arial"/>
                  <w:sz w:val="18"/>
                  <w:szCs w:val="18"/>
                  <w:color w:val="0000EE"/>
                </w:rPr>
                <w:t>ANNEX E – SECTION 262 OF THE DELAWARE GENERAL CORPORATION LAW</w:t>
              </w:r>
            </w:hyperlink>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spacing w:after="0"/>
              <w:rPr>
                <w:rFonts w:ascii="Arial" w:cs="Arial" w:eastAsia="Arial" w:hAnsi="Arial"/>
                <w:sz w:val="18"/>
                <w:szCs w:val="18"/>
                <w:color w:val="0000EE"/>
                <w:w w:val="92"/>
              </w:rPr>
            </w:pPr>
            <w:hyperlink w:anchor="page346">
              <w:r>
                <w:rPr>
                  <w:rFonts w:ascii="Arial" w:cs="Arial" w:eastAsia="Arial" w:hAnsi="Arial"/>
                  <w:sz w:val="18"/>
                  <w:szCs w:val="18"/>
                  <w:color w:val="0000EE"/>
                  <w:w w:val="92"/>
                </w:rPr>
                <w:t>E-1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-4628515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121" w:lineRule="exact"/>
        <w:rPr>
          <w:sz w:val="20"/>
          <w:szCs w:val="20"/>
          <w:color w:val="auto"/>
        </w:rPr>
      </w:pPr>
    </w:p>
    <w:p>
      <w:pPr>
        <w:jc w:val="both"/>
        <w:ind w:left="300" w:right="299" w:firstLine="360"/>
        <w:spacing w:after="0" w:line="271"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are answers to certain questions you may have regarding the merger, the merger agreement, the PRA stockholder meeting and the ICON extraordinary general meeting, which is referred to as the ICON EGM. You are urged to carefully read this joint proxy statement/prospectus and the other documents referred to in this joint proxy statement/prospectus in their entirety because this section may not provide all the information that is important to you regarding these matters. Additional important information is contained in the annexes to, and the documents incorporated by reference into, this joint proxy statement/prospectus. You may obtain the information incorporated by reference in this joint proxy statement/prospectus, without charge, by following the instructions under the section entitled “</w:t>
      </w:r>
      <w:r>
        <w:rPr>
          <w:rFonts w:ascii="Arial" w:cs="Arial" w:eastAsia="Arial" w:hAnsi="Arial"/>
          <w:sz w:val="17"/>
          <w:szCs w:val="17"/>
          <w:b w:val="1"/>
          <w:bCs w:val="1"/>
          <w:i w:val="1"/>
          <w:iCs w:val="1"/>
          <w:color w:val="auto"/>
        </w:rPr>
        <w:t>Where You Can Find More Information</w:t>
      </w:r>
      <w:r>
        <w:rPr>
          <w:rFonts w:ascii="Arial" w:cs="Arial" w:eastAsia="Arial" w:hAnsi="Arial"/>
          <w:sz w:val="17"/>
          <w:szCs w:val="17"/>
          <w:i w:val="1"/>
          <w:iCs w:val="1"/>
          <w:color w:val="auto"/>
        </w:rPr>
        <w:t>” beginning on page [</w:t>
      </w:r>
      <w:hyperlink w:anchor="page235">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are in any doubt about this transaction you should consult an independent financial advisor who, if you are obtaining advice in Ireland, is authorized or exempted by the Investment Intermediaries Act 1995, or the European Union (Markets in Financial Instruments) Regulations 2017 (as amended).</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this joint proxy statement/prospectus?</w:t>
      </w:r>
    </w:p>
    <w:p>
      <w:pPr>
        <w:spacing w:after="0" w:line="121" w:lineRule="exact"/>
        <w:rPr>
          <w:sz w:val="20"/>
          <w:szCs w:val="20"/>
          <w:color w:val="auto"/>
        </w:rPr>
      </w:pPr>
    </w:p>
    <w:p>
      <w:pPr>
        <w:jc w:val="both"/>
        <w:ind w:left="640" w:right="299" w:hanging="348"/>
        <w:spacing w:after="0" w:line="272"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On February 24, 2021, ICON, US HoldCo, Merger Sub and PRA entered into a merger agreement pursuant to which ICON agreed to acquire PRA in a transaction in which Merger Sub, a wholly owned subsidiary of ICON and US HoldCo, will merge with and into PRA with PRA surviving as a wholly owned subsidiary of ICON and US HoldCo. The merger agreement attached to this joint proxy statement/prospectus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governs the terms of the transaction and requires, among other things, that ICON hold an extraordinary general meeting of its shareholders to approve the share issuance comprising the share consideration in the merger, and that PRA hold a special meeting of its stockholders to approve the merger.</w:t>
      </w:r>
    </w:p>
    <w:p>
      <w:pPr>
        <w:spacing w:after="0" w:line="69" w:lineRule="exact"/>
        <w:rPr>
          <w:rFonts w:ascii="Arial" w:cs="Arial" w:eastAsia="Arial" w:hAnsi="Arial"/>
          <w:sz w:val="17"/>
          <w:szCs w:val="17"/>
          <w:color w:val="auto"/>
        </w:rPr>
      </w:pPr>
    </w:p>
    <w:p>
      <w:pPr>
        <w:jc w:val="both"/>
        <w:ind w:left="660" w:right="319"/>
        <w:spacing w:after="0" w:line="286" w:lineRule="auto"/>
        <w:rPr>
          <w:rFonts w:ascii="Arial" w:cs="Arial" w:eastAsia="Arial" w:hAnsi="Arial"/>
          <w:sz w:val="17"/>
          <w:szCs w:val="17"/>
          <w:color w:val="auto"/>
        </w:rPr>
      </w:pPr>
      <w:r>
        <w:rPr>
          <w:rFonts w:ascii="Arial" w:cs="Arial" w:eastAsia="Arial" w:hAnsi="Arial"/>
          <w:sz w:val="17"/>
          <w:szCs w:val="17"/>
          <w:color w:val="auto"/>
        </w:rPr>
        <w:t>ICON and PRA are sending these materials to their respective shareholders and stockholders to help them decide how to vote their ICON ordinary shares and shares of PRA common stock, as the case may be, with respect to the matters to be considered at the ICON EGM and PRA stockholder meeting, respectively.</w:t>
      </w:r>
    </w:p>
    <w:p>
      <w:pPr>
        <w:spacing w:after="0" w:line="57" w:lineRule="exact"/>
        <w:rPr>
          <w:rFonts w:ascii="Arial" w:cs="Arial" w:eastAsia="Arial" w:hAnsi="Arial"/>
          <w:sz w:val="17"/>
          <w:szCs w:val="17"/>
          <w:color w:val="auto"/>
        </w:rPr>
      </w:pPr>
    </w:p>
    <w:p>
      <w:pPr>
        <w:jc w:val="both"/>
        <w:ind w:left="660" w:right="299"/>
        <w:spacing w:after="0" w:line="273" w:lineRule="auto"/>
        <w:rPr>
          <w:rFonts w:ascii="Arial" w:cs="Arial" w:eastAsia="Arial" w:hAnsi="Arial"/>
          <w:sz w:val="17"/>
          <w:szCs w:val="17"/>
          <w:color w:val="auto"/>
        </w:rPr>
      </w:pPr>
      <w:r>
        <w:rPr>
          <w:rFonts w:ascii="Arial" w:cs="Arial" w:eastAsia="Arial" w:hAnsi="Arial"/>
          <w:sz w:val="17"/>
          <w:szCs w:val="17"/>
          <w:color w:val="auto"/>
        </w:rPr>
        <w:t>Further information about the PRA stockholder meeting, the ICON EGM, the merger and the merger agreement is contained in this joint proxy statement/prospectus. This joint proxy statement/prospectus constitutes a proxy statement of PRA and a prospectus of ICON. It is a PRA proxy statement because the PRA board of directors is soliciting proxies from PRA stockholders using this joint proxy statement/prospectus. It is an ICON prospectus because ICON is offering ICON ordinary shares in exchange for PRA common stock as the share consideration portion of the merger consideration.</w:t>
      </w:r>
    </w:p>
    <w:p>
      <w:pPr>
        <w:spacing w:after="0" w:line="69" w:lineRule="exact"/>
        <w:rPr>
          <w:rFonts w:ascii="Arial" w:cs="Arial" w:eastAsia="Arial" w:hAnsi="Arial"/>
          <w:sz w:val="17"/>
          <w:szCs w:val="17"/>
          <w:color w:val="auto"/>
        </w:rPr>
      </w:pPr>
    </w:p>
    <w:p>
      <w:pPr>
        <w:jc w:val="both"/>
        <w:ind w:left="660" w:right="319"/>
        <w:spacing w:after="0" w:line="259" w:lineRule="auto"/>
        <w:rPr>
          <w:rFonts w:ascii="Arial" w:cs="Arial" w:eastAsia="Arial" w:hAnsi="Arial"/>
          <w:sz w:val="17"/>
          <w:szCs w:val="17"/>
          <w:color w:val="auto"/>
        </w:rPr>
      </w:pPr>
      <w:r>
        <w:rPr>
          <w:rFonts w:ascii="Arial" w:cs="Arial" w:eastAsia="Arial" w:hAnsi="Arial"/>
          <w:sz w:val="18"/>
          <w:szCs w:val="18"/>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and where will the PRA stockholder meeting and the ICON EGM take place?</w:t>
      </w:r>
    </w:p>
    <w:p>
      <w:pPr>
        <w:spacing w:after="0" w:line="121" w:lineRule="exact"/>
        <w:rPr>
          <w:sz w:val="20"/>
          <w:szCs w:val="20"/>
          <w:color w:val="auto"/>
        </w:rPr>
      </w:pPr>
    </w:p>
    <w:p>
      <w:pPr>
        <w:ind w:left="640" w:right="299" w:hanging="34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PRA stockholder meeting will be held at www.virtualshareholdermeeting.com/PRAH2021SM, at 10:30 a.m., Eastern time, on June 15, 2021.</w:t>
      </w:r>
    </w:p>
    <w:p>
      <w:pPr>
        <w:spacing w:after="0" w:line="62" w:lineRule="exact"/>
        <w:rPr>
          <w:rFonts w:ascii="Arial" w:cs="Arial" w:eastAsia="Arial" w:hAnsi="Arial"/>
          <w:sz w:val="18"/>
          <w:szCs w:val="18"/>
          <w:color w:val="auto"/>
        </w:rPr>
      </w:pPr>
    </w:p>
    <w:p>
      <w:pPr>
        <w:ind w:left="660" w:right="299"/>
        <w:spacing w:after="0" w:line="308" w:lineRule="auto"/>
        <w:rPr>
          <w:rFonts w:ascii="Arial" w:cs="Arial" w:eastAsia="Arial" w:hAnsi="Arial"/>
          <w:sz w:val="18"/>
          <w:szCs w:val="18"/>
          <w:color w:val="auto"/>
        </w:rPr>
      </w:pPr>
      <w:r>
        <w:rPr>
          <w:rFonts w:ascii="Arial" w:cs="Arial" w:eastAsia="Arial" w:hAnsi="Arial"/>
          <w:sz w:val="17"/>
          <w:szCs w:val="17"/>
          <w:color w:val="auto"/>
        </w:rPr>
        <w:t>The ICON EGM will be held at 3:30 p.m., Dublin time (which is 10:30 a.m., Eastern time), on June 15, 2021, at ICON’s global headquarters in South County Business Park, Leopardstown, Dublin 18, Ireland.</w:t>
      </w:r>
    </w:p>
    <w:p>
      <w:pPr>
        <w:spacing w:after="0" w:line="38" w:lineRule="exact"/>
        <w:rPr>
          <w:rFonts w:ascii="Arial" w:cs="Arial" w:eastAsia="Arial" w:hAnsi="Arial"/>
          <w:sz w:val="18"/>
          <w:szCs w:val="18"/>
          <w:color w:val="auto"/>
        </w:rPr>
      </w:pPr>
    </w:p>
    <w:p>
      <w:pPr>
        <w:jc w:val="both"/>
        <w:ind w:left="660" w:right="29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If you choose to vote your shares in person at the ICON EGM, please bring your enclosed proxy card and proof of identification. Even if you plan to attend the ICON EGM in person, ICON recommends that you vote your shares in advance as described below so that your vote will be counted if you later decide not to or become unable to attend the applicable meeting. ICON encourages shareholders to vote by Internet, by mail or by telephone, rather than attending either the ICON EGM in person in light of the public health concerns related to COVID-19. Please refer to the section entitled “</w:t>
      </w:r>
      <w:r>
        <w:rPr>
          <w:rFonts w:ascii="Arial" w:cs="Arial" w:eastAsia="Arial" w:hAnsi="Arial"/>
          <w:sz w:val="17"/>
          <w:szCs w:val="17"/>
          <w:b w:val="1"/>
          <w:bCs w:val="1"/>
          <w:color w:val="auto"/>
        </w:rPr>
        <w:t>The ICON Extraordinary General Meeting—Attending the</w:t>
      </w:r>
      <w:r>
        <w:rPr>
          <w:rFonts w:ascii="Arial" w:cs="Arial" w:eastAsia="Arial" w:hAnsi="Arial"/>
          <w:sz w:val="17"/>
          <w:szCs w:val="17"/>
          <w:color w:val="auto"/>
        </w:rPr>
        <w:t xml:space="preserve"> </w:t>
      </w:r>
      <w:r>
        <w:rPr>
          <w:rFonts w:ascii="Arial" w:cs="Arial" w:eastAsia="Arial" w:hAnsi="Arial"/>
          <w:sz w:val="17"/>
          <w:szCs w:val="17"/>
          <w:b w:val="1"/>
          <w:bCs w:val="1"/>
          <w:color w:val="auto"/>
        </w:rPr>
        <w:t>ICON EGM</w:t>
      </w:r>
      <w:r>
        <w:rPr>
          <w:rFonts w:ascii="Arial" w:cs="Arial" w:eastAsia="Arial" w:hAnsi="Arial"/>
          <w:sz w:val="17"/>
          <w:szCs w:val="17"/>
          <w:color w:val="auto"/>
        </w:rPr>
        <w:t>” beginning on pages [</w:t>
      </w:r>
      <w:hyperlink w:anchor="page70">
        <w:r>
          <w:rPr>
            <w:rFonts w:ascii="Arial" w:cs="Arial" w:eastAsia="Arial" w:hAnsi="Arial"/>
            <w:sz w:val="17"/>
            <w:szCs w:val="17"/>
            <w:u w:val="single" w:color="auto"/>
            <w:color w:val="0000EE"/>
          </w:rPr>
          <w:t>53</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more information.</w:t>
      </w:r>
    </w:p>
    <w:p>
      <w:pPr>
        <w:spacing w:after="0" w:line="69" w:lineRule="exact"/>
        <w:rPr>
          <w:rFonts w:ascii="Arial" w:cs="Arial" w:eastAsia="Arial" w:hAnsi="Arial"/>
          <w:sz w:val="17"/>
          <w:szCs w:val="17"/>
          <w:b w:val="1"/>
          <w:bCs w:val="1"/>
          <w:color w:val="auto"/>
        </w:rPr>
      </w:pPr>
    </w:p>
    <w:p>
      <w:pPr>
        <w:ind w:left="660" w:right="299"/>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Shares held in “street name” may be voted in person by you only if you obtain a signed legal proxy from your bank, broker or other nominee giving you the right to vote the shares at the applicable stockholder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matters will be considered at each of the stockholder meetings?</w:t>
      </w:r>
    </w:p>
    <w:p>
      <w:pPr>
        <w:spacing w:after="0" w:line="121" w:lineRule="exact"/>
        <w:rPr>
          <w:sz w:val="20"/>
          <w:szCs w:val="20"/>
          <w:color w:val="auto"/>
        </w:rPr>
      </w:pPr>
    </w:p>
    <w:p>
      <w:pPr>
        <w:ind w:left="640" w:hanging="34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PRA stockholder meeting, PRA stockholders are being asked: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the adoption of the merger agreement, which proposal is referred to as the PRA merger agreement proposal;</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To approve, on an advisory (non-binding) basis, the merger-related named executive officer compensation payments that will or may be paid by PRA to its named executive officers that is based on or otherwise relates to the merger as disclosed in the section entitled “</w:t>
      </w:r>
      <w:r>
        <w:rPr>
          <w:rFonts w:ascii="Arial" w:cs="Arial" w:eastAsia="Arial" w:hAnsi="Arial"/>
          <w:sz w:val="18"/>
          <w:szCs w:val="18"/>
          <w:b w:val="1"/>
          <w:bCs w:val="1"/>
          <w:color w:val="auto"/>
        </w:rPr>
        <w:t>The Merger—Interests of the PRA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and Executive Officers in the Merger</w:t>
      </w:r>
      <w:r>
        <w:rPr>
          <w:rFonts w:ascii="Arial" w:cs="Arial" w:eastAsia="Arial" w:hAnsi="Arial"/>
          <w:sz w:val="18"/>
          <w:szCs w:val="18"/>
          <w:color w:val="auto"/>
        </w:rPr>
        <w:t>” beginning on page [</w:t>
      </w:r>
      <w:hyperlink w:anchor="page94">
        <w:r>
          <w:rPr>
            <w:rFonts w:ascii="Arial" w:cs="Arial" w:eastAsia="Arial" w:hAnsi="Arial"/>
            <w:sz w:val="18"/>
            <w:szCs w:val="18"/>
            <w:u w:val="single" w:color="auto"/>
            <w:color w:val="0000EE"/>
          </w:rPr>
          <w:t>77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proposal is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PRA advisory compensation proposal; and</w:t>
      </w:r>
    </w:p>
    <w:p>
      <w:pPr>
        <w:spacing w:after="0" w:line="79" w:lineRule="exact"/>
        <w:rPr>
          <w:rFonts w:ascii="Arial" w:cs="Arial" w:eastAsia="Arial" w:hAnsi="Arial"/>
          <w:sz w:val="18"/>
          <w:szCs w:val="18"/>
          <w:b w:val="1"/>
          <w:bCs w:val="1"/>
          <w:color w:val="auto"/>
        </w:rPr>
      </w:pPr>
    </w:p>
    <w:p>
      <w:pPr>
        <w:jc w:val="both"/>
        <w:ind w:left="1000" w:right="319" w:hanging="348"/>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the adjournment of the PRA stockholder meeting to another date and place if necessary or appropriate to solicit additional votes in favor of the PRA merger agreement proposal, which proposal is referred to as the PRA adjournment proposal.</w:t>
      </w:r>
    </w:p>
    <w:p>
      <w:pPr>
        <w:spacing w:after="0" w:line="75" w:lineRule="exact"/>
        <w:rPr>
          <w:rFonts w:ascii="Arial" w:cs="Arial" w:eastAsia="Arial" w:hAnsi="Arial"/>
          <w:sz w:val="18"/>
          <w:szCs w:val="18"/>
          <w:color w:val="auto"/>
        </w:rPr>
      </w:pPr>
    </w:p>
    <w:p>
      <w:pPr>
        <w:ind w:left="1020" w:right="299"/>
        <w:spacing w:after="0" w:line="277" w:lineRule="auto"/>
        <w:rPr>
          <w:rFonts w:ascii="Arial" w:cs="Arial" w:eastAsia="Arial" w:hAnsi="Arial"/>
          <w:sz w:val="18"/>
          <w:szCs w:val="18"/>
          <w:color w:val="auto"/>
        </w:rPr>
      </w:pPr>
      <w:r>
        <w:rPr>
          <w:rFonts w:ascii="Arial" w:cs="Arial" w:eastAsia="Arial" w:hAnsi="Arial"/>
          <w:sz w:val="18"/>
          <w:szCs w:val="18"/>
          <w:color w:val="auto"/>
        </w:rPr>
        <w:t>The PRA merger agreement proposal, the PRA advisory compensation proposal, and the PRA adjournment proposal together are referred to as the PRA proposals.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ICON EGM, ICON shareholders are being asked:</w:t>
      </w:r>
    </w:p>
    <w:p>
      <w:pPr>
        <w:spacing w:after="0" w:line="117" w:lineRule="exact"/>
        <w:rPr>
          <w:sz w:val="20"/>
          <w:szCs w:val="20"/>
          <w:color w:val="auto"/>
        </w:rPr>
      </w:pPr>
    </w:p>
    <w:p>
      <w:pPr>
        <w:jc w:val="both"/>
        <w:ind w:left="1000" w:right="319" w:hanging="348"/>
        <w:spacing w:after="0" w:line="263"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approve the issuance of ICON ordinary shares to PRA stockholders in connection with the merger as contemplated by the merger agreement, which proposal is referred to as the ICON share issuance proposal; and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approve the adjournment of the ICON EGM to another date and place if necessary or appropriate to solicit additional votes in favor of the ICON proposal, which proposal is referred to as the ICON adjournment proposal.</w:t>
      </w:r>
    </w:p>
    <w:p>
      <w:pPr>
        <w:spacing w:after="0" w:line="75" w:lineRule="exact"/>
        <w:rPr>
          <w:rFonts w:ascii="Arial" w:cs="Arial" w:eastAsia="Arial" w:hAnsi="Arial"/>
          <w:sz w:val="18"/>
          <w:szCs w:val="18"/>
          <w:color w:val="auto"/>
        </w:rPr>
      </w:pPr>
    </w:p>
    <w:p>
      <w:pPr>
        <w:ind w:left="1020" w:right="299"/>
        <w:spacing w:after="0" w:line="277" w:lineRule="auto"/>
        <w:rPr>
          <w:rFonts w:ascii="Arial" w:cs="Arial" w:eastAsia="Arial" w:hAnsi="Arial"/>
          <w:sz w:val="18"/>
          <w:szCs w:val="18"/>
          <w:color w:val="auto"/>
        </w:rPr>
      </w:pPr>
      <w:r>
        <w:rPr>
          <w:rFonts w:ascii="Arial" w:cs="Arial" w:eastAsia="Arial" w:hAnsi="Arial"/>
          <w:sz w:val="18"/>
          <w:szCs w:val="18"/>
          <w:color w:val="auto"/>
        </w:rPr>
        <w:t>The ICON share issuance proposal and the ICON adjournment proposal together are referred to as the ICON proposals.</w:t>
      </w:r>
    </w:p>
    <w:p>
      <w:pPr>
        <w:spacing w:after="0" w:line="166" w:lineRule="exact"/>
        <w:rPr>
          <w:rFonts w:ascii="Arial" w:cs="Arial" w:eastAsia="Arial" w:hAnsi="Arial"/>
          <w:sz w:val="18"/>
          <w:szCs w:val="18"/>
          <w:color w:val="auto"/>
        </w:rPr>
      </w:pPr>
    </w:p>
    <w:p>
      <w:pPr>
        <w:ind w:left="640" w:hanging="348"/>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21"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Yes, your vote is very important.</w:t>
      </w:r>
    </w:p>
    <w:p>
      <w:pPr>
        <w:spacing w:after="0" w:line="117" w:lineRule="exact"/>
        <w:rPr>
          <w:rFonts w:ascii="Arial" w:cs="Arial" w:eastAsia="Arial" w:hAnsi="Arial"/>
          <w:sz w:val="18"/>
          <w:szCs w:val="18"/>
          <w:color w:val="auto"/>
        </w:rPr>
      </w:pPr>
    </w:p>
    <w:p>
      <w:pPr>
        <w:ind w:left="660" w:right="319"/>
        <w:spacing w:after="0" w:line="277" w:lineRule="auto"/>
        <w:rPr>
          <w:rFonts w:ascii="Arial" w:cs="Arial" w:eastAsia="Arial" w:hAnsi="Arial"/>
          <w:sz w:val="18"/>
          <w:szCs w:val="18"/>
          <w:color w:val="auto"/>
        </w:rPr>
      </w:pPr>
      <w:r>
        <w:rPr>
          <w:rFonts w:ascii="Arial" w:cs="Arial" w:eastAsia="Arial" w:hAnsi="Arial"/>
          <w:sz w:val="18"/>
          <w:szCs w:val="18"/>
          <w:color w:val="auto"/>
        </w:rPr>
        <w:t>The approval of the PRA merger agreement proposal and the approval of the ICON share issuance proposal are conditions to the completion of the merger.</w:t>
      </w:r>
    </w:p>
    <w:p>
      <w:pPr>
        <w:spacing w:after="0" w:line="62" w:lineRule="exact"/>
        <w:rPr>
          <w:rFonts w:ascii="Arial" w:cs="Arial" w:eastAsia="Arial" w:hAnsi="Arial"/>
          <w:sz w:val="18"/>
          <w:szCs w:val="18"/>
          <w:color w:val="auto"/>
        </w:rPr>
      </w:pPr>
    </w:p>
    <w:p>
      <w:pPr>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The merger is not conditional on the approval of the PRA adjournment proposal, the PRA advisory compensation proposal or the ICON adjournment proposal.</w:t>
      </w:r>
    </w:p>
    <w:p>
      <w:pPr>
        <w:spacing w:after="0" w:line="62" w:lineRule="exact"/>
        <w:rPr>
          <w:rFonts w:ascii="Arial" w:cs="Arial" w:eastAsia="Arial" w:hAnsi="Arial"/>
          <w:sz w:val="18"/>
          <w:szCs w:val="18"/>
          <w:color w:val="auto"/>
        </w:rPr>
      </w:pPr>
    </w:p>
    <w:p>
      <w:pPr>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The enclosed proxy materials allow you to grant a proxy or vote your shares by mail, telephone or Internet without attending the PRA stockholder meeting or the ICON EGM, as applicable, in person.</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PRA stockholders receive if the merger is completed?</w:t>
      </w:r>
    </w:p>
    <w:p>
      <w:pPr>
        <w:spacing w:after="0" w:line="121" w:lineRule="exact"/>
        <w:rPr>
          <w:sz w:val="20"/>
          <w:szCs w:val="20"/>
          <w:color w:val="auto"/>
        </w:rPr>
      </w:pPr>
    </w:p>
    <w:p>
      <w:pPr>
        <w:jc w:val="both"/>
        <w:ind w:left="640" w:right="299" w:hanging="348"/>
        <w:spacing w:after="0" w:line="275"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merger, each share of PRA common stock issued and outstanding immediately prior to the effective time (other than (i) shares of PRA common stock owned by PRA, ICON or US HoldCo (ii) shares of PRA common stock held by holders who have properly exercised their appraisal rights under Delaware law and (iii) shares of PRA common stock owned by subsidiaries of PRA immediately prior to the effective time) will be converted into the right to receive, subject to the merger agreement:</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0.4125 of one ICON ordinary share, referred to as the share consideration;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$80.00 in cash, without interest, referred to as the cash consideration.</w:t>
      </w:r>
    </w:p>
    <w:p>
      <w:pPr>
        <w:spacing w:after="0" w:line="117"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Each PRA stockholder will receive cash for any fractional shares that such stockholder would otherwise receive as share consideration. The share consideration and the cash consideration are collectively referred to as the merger consideration.</w:t>
      </w:r>
    </w:p>
    <w:p>
      <w:pPr>
        <w:spacing w:after="0" w:line="76" w:lineRule="exact"/>
        <w:rPr>
          <w:sz w:val="20"/>
          <w:szCs w:val="20"/>
          <w:color w:val="auto"/>
        </w:rPr>
      </w:pPr>
    </w:p>
    <w:p>
      <w:pPr>
        <w:jc w:val="both"/>
        <w:ind w:left="660" w:right="299"/>
        <w:spacing w:after="0" w:line="311" w:lineRule="auto"/>
        <w:rPr>
          <w:sz w:val="20"/>
          <w:szCs w:val="20"/>
          <w:color w:val="auto"/>
        </w:rPr>
      </w:pPr>
      <w:r>
        <w:rPr>
          <w:rFonts w:ascii="Arial" w:cs="Arial" w:eastAsia="Arial" w:hAnsi="Arial"/>
          <w:sz w:val="16"/>
          <w:szCs w:val="16"/>
          <w:color w:val="auto"/>
        </w:rPr>
        <w:t>Because ICON will issue a fixed number of ICON ordinary shares in exchange for each share of PRA common stock, the value of the merger consideration that PRA stockholders will receive in the merger will depend on the market price of ICON ordinary shares at the time the merger is completed. The market price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8"/>
          <w:szCs w:val="18"/>
          <w:color w:val="auto"/>
        </w:rPr>
        <w:t>ICON ordinary shares when PRA stockholders receive those shares after the merger is completed could be greater than, less than or the same as the market price of ICON ordinary shares on the date of this joint proxy statement/prospectus or at the time of the stockholder meetings. Accordingly, you should obtain current stock price quotations for ICON ordinary shares and PRA common stock before deciding how to vote with respect to the approval of the share issuance in the case of ICON shareholders or the adoption of the merger agreement in the case of PRA stockholders. ICON ordinary shares are traded on the Nasdaq Global Select Market, which is referred to as Nasdaq, under the symbol “ICLR.” PRA common stock is traded on Nasdaq under the symbol “PRAH.”</w:t>
      </w:r>
    </w:p>
    <w:p>
      <w:pPr>
        <w:spacing w:after="0" w:line="84" w:lineRule="exact"/>
        <w:rPr>
          <w:sz w:val="20"/>
          <w:szCs w:val="20"/>
          <w:color w:val="auto"/>
        </w:rPr>
      </w:pPr>
    </w:p>
    <w:p>
      <w:pPr>
        <w:jc w:val="both"/>
        <w:ind w:left="660" w:right="319"/>
        <w:spacing w:after="0" w:line="263" w:lineRule="auto"/>
        <w:rPr>
          <w:rFonts w:ascii="Arial" w:cs="Arial" w:eastAsia="Arial" w:hAnsi="Arial"/>
          <w:sz w:val="18"/>
          <w:szCs w:val="18"/>
          <w:color w:val="auto"/>
        </w:rPr>
      </w:pPr>
      <w:r>
        <w:rPr>
          <w:rFonts w:ascii="Arial" w:cs="Arial" w:eastAsia="Arial" w:hAnsi="Arial"/>
          <w:sz w:val="18"/>
          <w:szCs w:val="18"/>
          <w:color w:val="auto"/>
        </w:rPr>
        <w:t>For more information regarding the merger consideration to be provided to PRA stockholders if the merger is completed,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beginning on page [</w:t>
      </w:r>
      <w:hyperlink w:anchor="page134">
        <w:r>
          <w:rPr>
            <w:rFonts w:ascii="Arial" w:cs="Arial" w:eastAsia="Arial" w:hAnsi="Arial"/>
            <w:sz w:val="18"/>
            <w:szCs w:val="18"/>
            <w:u w:val="single" w:color="auto"/>
            <w:color w:val="0000EE"/>
          </w:rPr>
          <w:t>117</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holders of PRA equity-based awards receive in the merger?</w:t>
      </w:r>
    </w:p>
    <w:p>
      <w:pPr>
        <w:spacing w:after="0" w:line="121" w:lineRule="exact"/>
        <w:rPr>
          <w:sz w:val="20"/>
          <w:szCs w:val="20"/>
          <w:color w:val="auto"/>
        </w:rPr>
      </w:pPr>
    </w:p>
    <w:p>
      <w:pPr>
        <w:jc w:val="both"/>
        <w:ind w:left="640" w:right="319" w:hanging="348"/>
        <w:spacing w:after="0" w:line="263"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As of the effective time, each restricted share of PRA common stock that is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will vest at closing and be converted automatically into the right to receive the merger consideration for each such share.</w:t>
      </w:r>
    </w:p>
    <w:p>
      <w:pPr>
        <w:spacing w:after="0" w:line="75" w:lineRule="exact"/>
        <w:rPr>
          <w:rFonts w:ascii="Arial" w:cs="Arial" w:eastAsia="Arial" w:hAnsi="Arial"/>
          <w:sz w:val="18"/>
          <w:szCs w:val="18"/>
          <w:color w:val="auto"/>
        </w:rPr>
      </w:pPr>
    </w:p>
    <w:p>
      <w:pPr>
        <w:jc w:val="both"/>
        <w:ind w:left="660" w:right="299"/>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As of the effective time, each award of time-based restricted stock units that</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corresponds to a number of shares of PRA common stock granted under any PRA equity plan, whether vested or unvested, that is outstanding will be assumed by ICON and converted into a restricted share unit award corresponding to a number of ICON ordinary shares equal to (i) the number of such PRA restricted stock units, multiplied by (ii) the equity award conversion ratio (as defined below), rounding down to the nearest whole number of ICON restricted share units. Each PRA restricted stock unit award so assumed and converted will continue to have, and will be subject to, the same terms and conditions as applied to the corresponding PRA restricted stock unit award as of immediately prior to the effective time.</w:t>
      </w:r>
    </w:p>
    <w:p>
      <w:pPr>
        <w:spacing w:after="0" w:line="70" w:lineRule="exact"/>
        <w:rPr>
          <w:rFonts w:ascii="Arial" w:cs="Arial" w:eastAsia="Arial" w:hAnsi="Arial"/>
          <w:sz w:val="18"/>
          <w:szCs w:val="18"/>
          <w:color w:val="auto"/>
        </w:rPr>
      </w:pPr>
    </w:p>
    <w:p>
      <w:pPr>
        <w:jc w:val="both"/>
        <w:ind w:left="660" w:right="299"/>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As of the effective time, each option to purchase shares of PRA common stock (each, a</w:t>
      </w:r>
      <w:r>
        <w:rPr>
          <w:rFonts w:ascii="Arial" w:cs="Arial" w:eastAsia="Arial" w:hAnsi="Arial"/>
          <w:sz w:val="17"/>
          <w:szCs w:val="17"/>
          <w:i w:val="1"/>
          <w:iCs w:val="1"/>
          <w:color w:val="auto"/>
        </w:rPr>
        <w:t xml:space="preserve"> </w:t>
      </w:r>
      <w:r>
        <w:rPr>
          <w:rFonts w:ascii="Arial" w:cs="Arial" w:eastAsia="Arial" w:hAnsi="Arial"/>
          <w:sz w:val="17"/>
          <w:szCs w:val="17"/>
          <w:color w:val="auto"/>
        </w:rPr>
        <w:t>“PRA stock option”) granted under any PRA equity plan (excluding the PRA employee stock purchase plan), whether vested or unvested, that is outstanding and unexercised will be assumed by ICON and converted into an ICON stock option to acquire a number of ICON ordinary shares equal to (i) the number of shares of PRA common stock subject to such PRA stock option as of immediately prior to the effective time, multiplied by (ii) the equity award conversion ratio (as defined below), rounding down to the nearest whole number of ICON ordinary shares, at an exercise price per ICON ordinary share equal to (x) the exercise price per share of PRA common stock subject to such PRA stock option, divided by (y) the equity award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74" w:lineRule="exact"/>
        <w:rPr>
          <w:sz w:val="20"/>
          <w:szCs w:val="20"/>
          <w:color w:val="auto"/>
        </w:rPr>
      </w:pPr>
    </w:p>
    <w:p>
      <w:pPr>
        <w:jc w:val="both"/>
        <w:ind w:left="66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PRA may amend (and is expected to amend) the terms and conditions of certain outstanding equity-based awards prior to the effective time. For more information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Benefit Plan and Compensation Matters</w:t>
      </w:r>
      <w:r>
        <w:rPr>
          <w:rFonts w:ascii="Arial" w:cs="Arial" w:eastAsia="Arial" w:hAnsi="Arial"/>
          <w:sz w:val="18"/>
          <w:szCs w:val="18"/>
          <w:color w:val="auto"/>
        </w:rPr>
        <w:t>” beginning on page [</w:t>
      </w:r>
      <w:hyperlink w:anchor="page151">
        <w:r>
          <w:rPr>
            <w:rFonts w:ascii="Arial" w:cs="Arial" w:eastAsia="Arial" w:hAnsi="Arial"/>
            <w:sz w:val="18"/>
            <w:szCs w:val="18"/>
            <w:u w:val="single" w:color="auto"/>
            <w:color w:val="0000EE"/>
          </w:rPr>
          <w:t>134</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and how many votes do they have?</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PRA board of directors has fixed the close of business on April 26, 2021 as the record date of the PRA stockholder meeting. If you were a holder of record of shares of PRA common stock as of the close of business on the record date you are entitled to receive notice of and to vote at the PRA stockholder meeting or any adjournments or postponements thereof. You are entitled to one vote for each share of PRA common stock that you owned as of the close of business on the PRA record date. As of the close of business on the PRA record date, 64,795,400 shares of PRA common stock were outstanding and entitled to vote at the PRA stockholder meeting.</w:t>
      </w:r>
    </w:p>
    <w:p>
      <w:pPr>
        <w:spacing w:after="0" w:line="86" w:lineRule="exact"/>
        <w:rPr>
          <w:rFonts w:ascii="Arial" w:cs="Arial" w:eastAsia="Arial" w:hAnsi="Arial"/>
          <w:sz w:val="18"/>
          <w:szCs w:val="18"/>
          <w:color w:val="auto"/>
        </w:rPr>
      </w:pPr>
    </w:p>
    <w:p>
      <w:pPr>
        <w:jc w:val="both"/>
        <w:ind w:left="660" w:right="299"/>
        <w:spacing w:after="0" w:line="273" w:lineRule="auto"/>
        <w:rPr>
          <w:rFonts w:ascii="Arial" w:cs="Arial" w:eastAsia="Arial" w:hAnsi="Arial"/>
          <w:sz w:val="18"/>
          <w:szCs w:val="18"/>
          <w:color w:val="auto"/>
        </w:rPr>
      </w:pPr>
      <w:r>
        <w:rPr>
          <w:rFonts w:ascii="Arial" w:cs="Arial" w:eastAsia="Arial" w:hAnsi="Arial"/>
          <w:sz w:val="17"/>
          <w:szCs w:val="17"/>
          <w:color w:val="auto"/>
        </w:rPr>
        <w:t>The ICON board of directors has fixed the close of business on April 26, 2021 as the record date of the ICON EGM. If you were a holder of record of ICON ordinary shares as of the close of business on the record date you are entitled to receive notice of and to vote at the ICON EGM or any adjournments or postponements thereof. You are entitled to one vote for each ICON share that you owned as of the close of business on the ICON record date. As of the close of business on the ICON record date, 52,860,690 ICON ordinary shares were outstanding and entitled to vote at the ICON EGM.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PRA stockholders being asked to vote on?</w:t>
      </w:r>
    </w:p>
    <w:p>
      <w:pPr>
        <w:spacing w:after="0" w:line="121" w:lineRule="exact"/>
        <w:rPr>
          <w:sz w:val="20"/>
          <w:szCs w:val="20"/>
          <w:color w:val="auto"/>
        </w:rPr>
      </w:pPr>
    </w:p>
    <w:p>
      <w:pPr>
        <w:ind w:left="640" w:right="299" w:hanging="348"/>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PRA stockholder meeting, PRA stockholders will be asked to vote on the following proposals, which referred to herein as the PRA proposals: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Approval of the PRA merger agreement proposal;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Approval of the PRA advisory compensation proposal;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Approval of the PRA adjournment proposal.</w:t>
      </w:r>
    </w:p>
    <w:p>
      <w:pPr>
        <w:spacing w:after="0" w:line="117"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Approval of the PRA merger agreement proposal is required for the completion of the merger. Approval of the PRA adjournment proposal and the PRA advisory compensation proposal is not required for the completion of the merger.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matters are intended to be brought before the PRA stockholder meeting by PRA.</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PRA stockholder meeting?</w:t>
      </w:r>
    </w:p>
    <w:p>
      <w:pPr>
        <w:spacing w:after="0" w:line="121" w:lineRule="exact"/>
        <w:rPr>
          <w:sz w:val="20"/>
          <w:szCs w:val="20"/>
          <w:color w:val="auto"/>
        </w:rPr>
      </w:pPr>
    </w:p>
    <w:p>
      <w:pPr>
        <w:jc w:val="both"/>
        <w:ind w:left="640" w:right="299" w:hanging="348"/>
        <w:spacing w:after="0" w:line="293"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PRA Proposal 1: PRA merger agreement proposal. </w:t>
      </w:r>
      <w:r>
        <w:rPr>
          <w:rFonts w:ascii="Arial" w:cs="Arial" w:eastAsia="Arial" w:hAnsi="Arial"/>
          <w:sz w:val="16"/>
          <w:szCs w:val="16"/>
          <w:color w:val="auto"/>
        </w:rPr>
        <w:t>Assuming a quorum is present, the adoption of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by the PRA stockholders requires the affirmative vote of a majority of the outstanding shares of PRA common stock entitled to vote thereon. Accordingly, a PRA stockholder’s abstention from voting, a broker non-vote or the failure of a PRA stockholder to vote (including the failure of a PRA stockholder who holds shares in “street name” through a bank, broker or other nominee to give voting instructions to that bank, broker or other nominee)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6" w:lineRule="exact"/>
        <w:rPr>
          <w:rFonts w:ascii="Arial" w:cs="Arial" w:eastAsia="Arial" w:hAnsi="Arial"/>
          <w:sz w:val="16"/>
          <w:szCs w:val="16"/>
          <w:color w:val="auto"/>
        </w:rPr>
      </w:pPr>
    </w:p>
    <w:p>
      <w:pPr>
        <w:jc w:val="both"/>
        <w:ind w:left="660" w:right="299"/>
        <w:spacing w:after="0" w:line="254" w:lineRule="auto"/>
        <w:rPr>
          <w:rFonts w:ascii="Arial" w:cs="Arial" w:eastAsia="Arial" w:hAnsi="Arial"/>
          <w:sz w:val="16"/>
          <w:szCs w:val="16"/>
          <w:color w:val="auto"/>
        </w:rPr>
      </w:pPr>
      <w:r>
        <w:rPr>
          <w:rFonts w:ascii="Arial" w:cs="Arial" w:eastAsia="Arial" w:hAnsi="Arial"/>
          <w:sz w:val="18"/>
          <w:szCs w:val="18"/>
          <w:i w:val="1"/>
          <w:iCs w:val="1"/>
          <w:color w:val="auto"/>
        </w:rPr>
        <w:t xml:space="preserve">PRA Proposal 2: PRA compensation proposal. </w:t>
      </w:r>
      <w:r>
        <w:rPr>
          <w:rFonts w:ascii="Arial" w:cs="Arial" w:eastAsia="Arial" w:hAnsi="Arial"/>
          <w:sz w:val="18"/>
          <w:szCs w:val="18"/>
          <w:color w:val="auto"/>
        </w:rPr>
        <w:t>Assuming a quorum is present,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PRA compensation proposal requires the affirmative vote of a majority in voting power of the shares of PRA common stock represented at the PRA stockholder meeting. Accordingly, a PRA stockholder’s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while a broker non-vote or the failure of a PRA stockholder to vote (including the failure of a PRA stockholder who holds shares in “street name” through a bank, broker or other nominee to give voting instructions to that bank, broker or other nominee) will have no effect on the PRA compensation proposal.</w:t>
      </w:r>
    </w:p>
    <w:p>
      <w:pPr>
        <w:spacing w:after="0" w:line="86" w:lineRule="exact"/>
        <w:rPr>
          <w:rFonts w:ascii="Arial" w:cs="Arial" w:eastAsia="Arial" w:hAnsi="Arial"/>
          <w:sz w:val="16"/>
          <w:szCs w:val="16"/>
          <w:color w:val="auto"/>
        </w:rPr>
      </w:pPr>
    </w:p>
    <w:p>
      <w:pPr>
        <w:jc w:val="both"/>
        <w:ind w:left="660" w:right="299"/>
        <w:spacing w:after="0" w:line="269" w:lineRule="auto"/>
        <w:rPr>
          <w:rFonts w:ascii="Arial" w:cs="Arial" w:eastAsia="Arial" w:hAnsi="Arial"/>
          <w:sz w:val="16"/>
          <w:szCs w:val="16"/>
          <w:color w:val="auto"/>
        </w:rPr>
      </w:pPr>
      <w:r>
        <w:rPr>
          <w:rFonts w:ascii="Arial" w:cs="Arial" w:eastAsia="Arial" w:hAnsi="Arial"/>
          <w:sz w:val="17"/>
          <w:szCs w:val="17"/>
          <w:i w:val="1"/>
          <w:iCs w:val="1"/>
          <w:color w:val="auto"/>
        </w:rPr>
        <w:t xml:space="preserve">PRA Proposal 3: PRA adjournment proposal. </w:t>
      </w:r>
      <w:r>
        <w:rPr>
          <w:rFonts w:ascii="Arial" w:cs="Arial" w:eastAsia="Arial" w:hAnsi="Arial"/>
          <w:sz w:val="17"/>
          <w:szCs w:val="17"/>
          <w:color w:val="auto"/>
        </w:rPr>
        <w:t>The PRA stockholder meeting may be adjourned to solicit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proxies if there are not sufficient votes at the time of the PRA stockholder meeting to approve the PRA merger agreement proposal or to ensure that any supplement or amendment to this joint proxy statement/prospectus is timely provided to the PRA stockholders. Whether or not there is a quorum, approval of the PRA adjournment proposal requires the affirmative vote of a majority in voting power of the shares of PRA common stock represented at the PRA stockholder meeting. Accordingly, a PRA stockholder’s abstention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while a broker non-vote or the failure of a PRA stockholder to vote (including the failure of a PRA stockholder who holds shares in “street name” through a bank, broker or other nominee to give voting instructions to that bank, broker or other nominee) will have no effect on the PRA adjournment proposal. The chairperson of the PRA stockholder meeting may also adjourn the meeting if no quorum is present.</w:t>
      </w:r>
    </w:p>
    <w:p>
      <w:pPr>
        <w:spacing w:after="0" w:line="17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PRA board of directors recommend PRA stockholders vote?</w:t>
      </w:r>
    </w:p>
    <w:p>
      <w:pPr>
        <w:spacing w:after="0" w:line="117" w:lineRule="exact"/>
        <w:rPr>
          <w:sz w:val="20"/>
          <w:szCs w:val="20"/>
          <w:color w:val="auto"/>
        </w:rPr>
      </w:pPr>
    </w:p>
    <w:p>
      <w:pPr>
        <w:ind w:left="640" w:right="319" w:hanging="348"/>
        <w:spacing w:after="0" w:line="31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PRA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PRA merger agreement proposal, “</w:t>
      </w:r>
      <w:r>
        <w:rPr>
          <w:rFonts w:ascii="Arial" w:cs="Arial" w:eastAsia="Arial" w:hAnsi="Arial"/>
          <w:sz w:val="17"/>
          <w:szCs w:val="17"/>
          <w:b w:val="1"/>
          <w:bCs w:val="1"/>
          <w:color w:val="auto"/>
        </w:rPr>
        <w:t>FOR</w:t>
      </w:r>
      <w:r>
        <w:rPr>
          <w:rFonts w:ascii="Arial" w:cs="Arial" w:eastAsia="Arial" w:hAnsi="Arial"/>
          <w:sz w:val="17"/>
          <w:szCs w:val="17"/>
          <w:color w:val="auto"/>
        </w:rPr>
        <w:t>” the PRA advisory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PRA adjournment proposal.</w:t>
      </w:r>
    </w:p>
    <w:p>
      <w:pPr>
        <w:spacing w:after="0" w:line="35" w:lineRule="exact"/>
        <w:rPr>
          <w:rFonts w:ascii="Arial" w:cs="Arial" w:eastAsia="Arial" w:hAnsi="Arial"/>
          <w:sz w:val="17"/>
          <w:szCs w:val="17"/>
          <w:color w:val="auto"/>
        </w:rPr>
      </w:pPr>
    </w:p>
    <w:p>
      <w:pPr>
        <w:jc w:val="both"/>
        <w:ind w:left="660" w:right="299"/>
        <w:spacing w:after="0" w:line="257" w:lineRule="auto"/>
        <w:rPr>
          <w:rFonts w:ascii="Arial" w:cs="Arial" w:eastAsia="Arial" w:hAnsi="Arial"/>
          <w:sz w:val="18"/>
          <w:szCs w:val="18"/>
          <w:color w:val="auto"/>
        </w:rPr>
      </w:pPr>
      <w:r>
        <w:rPr>
          <w:rFonts w:ascii="Arial" w:cs="Arial" w:eastAsia="Arial" w:hAnsi="Arial"/>
          <w:sz w:val="18"/>
          <w:szCs w:val="18"/>
          <w:color w:val="auto"/>
        </w:rPr>
        <w:t>In considering the recommendations of the PRA board of directors, PRA stockholders should be aware that PRA directors and executive officers have interests in the merger that are different from, or in addition to, their interests as PRA stockholders. For a more complete description of these interests, see the information provided in the section entitled “</w:t>
      </w:r>
      <w:r>
        <w:rPr>
          <w:rFonts w:ascii="Arial" w:cs="Arial" w:eastAsia="Arial" w:hAnsi="Arial"/>
          <w:sz w:val="18"/>
          <w:szCs w:val="18"/>
          <w:b w:val="1"/>
          <w:bCs w:val="1"/>
          <w:color w:val="auto"/>
        </w:rPr>
        <w:t>Interests of PRA’s Directors and Executive Officers in the Merger</w:t>
      </w:r>
      <w:r>
        <w:rPr>
          <w:rFonts w:ascii="Arial" w:cs="Arial" w:eastAsia="Arial" w:hAnsi="Arial"/>
          <w:sz w:val="18"/>
          <w:szCs w:val="18"/>
          <w:color w:val="auto"/>
        </w:rPr>
        <w:t>” beginning on page [</w:t>
      </w:r>
      <w:hyperlink w:anchor="page184">
        <w:r>
          <w:rPr>
            <w:rFonts w:ascii="Arial" w:cs="Arial" w:eastAsia="Arial" w:hAnsi="Arial"/>
            <w:sz w:val="18"/>
            <w:szCs w:val="18"/>
            <w:u w:val="single" w:color="auto"/>
            <w:color w:val="0000EE"/>
          </w:rPr>
          <w:t>167</w:t>
        </w:r>
      </w:hyperlink>
      <w:r>
        <w:rPr>
          <w:rFonts w:ascii="Arial" w:cs="Arial" w:eastAsia="Arial" w:hAnsi="Arial"/>
          <w:sz w:val="18"/>
          <w:szCs w:val="18"/>
          <w:color w:val="auto"/>
        </w:rPr>
        <w:t>].</w:t>
      </w:r>
    </w:p>
    <w:p>
      <w:pPr>
        <w:spacing w:after="0" w:line="184" w:lineRule="exact"/>
        <w:rPr>
          <w:sz w:val="20"/>
          <w:szCs w:val="20"/>
          <w:color w:val="auto"/>
        </w:rPr>
      </w:pPr>
    </w:p>
    <w:p>
      <w:pPr>
        <w:ind w:left="640" w:right="1279" w:hanging="348"/>
        <w:spacing w:after="0" w:line="282" w:lineRule="auto"/>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Why are PRA stockholders being asked to approve on a non-binding basis the PRA advisory compensation proposal?</w:t>
      </w:r>
    </w:p>
    <w:p>
      <w:pPr>
        <w:spacing w:after="0" w:line="58" w:lineRule="exact"/>
        <w:rPr>
          <w:sz w:val="20"/>
          <w:szCs w:val="20"/>
          <w:color w:val="auto"/>
        </w:rPr>
      </w:pPr>
    </w:p>
    <w:p>
      <w:pPr>
        <w:ind w:left="640" w:right="319" w:hanging="348"/>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PRA is seeking a non-binding, advisory vote to approve the compensation that may be paid or become payable to PRA’s named executive officers in connection with the merger in accordance with SEC Rules. For more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299"/>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information regarding such payments, see the information provided in the section entitled “</w:t>
      </w:r>
      <w:r>
        <w:rPr>
          <w:rFonts w:ascii="Arial" w:cs="Arial" w:eastAsia="Arial" w:hAnsi="Arial"/>
          <w:sz w:val="18"/>
          <w:szCs w:val="18"/>
          <w:b w:val="1"/>
          <w:bCs w:val="1"/>
          <w:color w:val="auto"/>
        </w:rPr>
        <w:t>Interests of PRA’s</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and Executive Officers in the Merger</w:t>
      </w:r>
      <w:r>
        <w:rPr>
          <w:rFonts w:ascii="Arial" w:cs="Arial" w:eastAsia="Arial" w:hAnsi="Arial"/>
          <w:sz w:val="18"/>
          <w:szCs w:val="18"/>
          <w:color w:val="auto"/>
        </w:rPr>
        <w:t>” beginning on page [</w:t>
      </w:r>
      <w:hyperlink w:anchor="page184">
        <w:r>
          <w:rPr>
            <w:rFonts w:ascii="Arial" w:cs="Arial" w:eastAsia="Arial" w:hAnsi="Arial"/>
            <w:sz w:val="18"/>
            <w:szCs w:val="18"/>
            <w:u w:val="single" w:color="auto"/>
            <w:color w:val="0000EE"/>
          </w:rPr>
          <w:t>167</w:t>
        </w:r>
      </w:hyperlink>
      <w:r>
        <w:rPr>
          <w:rFonts w:ascii="Arial" w:cs="Arial" w:eastAsia="Arial" w:hAnsi="Arial"/>
          <w:sz w:val="18"/>
          <w:szCs w:val="18"/>
          <w:color w:val="auto"/>
        </w:rPr>
        <w:t>].</w:t>
      </w:r>
    </w:p>
    <w:p>
      <w:pPr>
        <w:spacing w:after="0" w:line="162" w:lineRule="exact"/>
        <w:rPr>
          <w:sz w:val="20"/>
          <w:szCs w:val="20"/>
          <w:color w:val="auto"/>
        </w:rPr>
      </w:pPr>
    </w:p>
    <w:p>
      <w:pPr>
        <w:ind w:left="640" w:right="1299" w:hanging="348"/>
        <w:spacing w:after="0" w:line="282"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PRA stockholders do not approve on a non-binding basis the PRA advisory compensation proposal?</w:t>
      </w:r>
    </w:p>
    <w:p>
      <w:pPr>
        <w:spacing w:after="0" w:line="58" w:lineRule="exact"/>
        <w:rPr>
          <w:sz w:val="20"/>
          <w:szCs w:val="20"/>
          <w:color w:val="auto"/>
        </w:rPr>
      </w:pPr>
    </w:p>
    <w:p>
      <w:pPr>
        <w:jc w:val="both"/>
        <w:ind w:left="640" w:right="299" w:hanging="348"/>
        <w:spacing w:after="0" w:line="28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Approval of the PRA advisory compensation proposal is not a condition to completion of the merger and is a vote separate and apart from the vote on the PRA merger agreement proposal. Accordingly, PRA stockholders may vote in favor of the PRA merger agreement proposal and not in favor of the PRA advisory compensation proposal, or vice versa. Approval of the PRA advisory compensation proposal is not a condition to completion of the merger, and it is advisory in nature only, meaning it will not be binding on PRA or ICON. Accordingly, if the merger is completed, the compensation will be payable, subject only to the conditions applicable thereto, regardless of the outcome of the non-binding, advisory vote of PRA stockholders. However, PRA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w:t>
      </w:r>
    </w:p>
    <w:p>
      <w:pPr>
        <w:spacing w:after="0" w:line="164" w:lineRule="exact"/>
        <w:rPr>
          <w:sz w:val="20"/>
          <w:szCs w:val="20"/>
          <w:color w:val="auto"/>
        </w:rPr>
      </w:pPr>
    </w:p>
    <w:p>
      <w:pPr>
        <w:ind w:left="640" w:right="799" w:hanging="348"/>
        <w:spacing w:after="0" w:line="282" w:lineRule="auto"/>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merger or the combined company that PRA stockholders should consider in deciding whether to vote on the PRA proposals?</w:t>
      </w:r>
    </w:p>
    <w:p>
      <w:pPr>
        <w:spacing w:after="0" w:line="58" w:lineRule="exact"/>
        <w:rPr>
          <w:sz w:val="20"/>
          <w:szCs w:val="20"/>
          <w:color w:val="auto"/>
        </w:rPr>
      </w:pPr>
    </w:p>
    <w:p>
      <w:pPr>
        <w:jc w:val="both"/>
        <w:ind w:left="640" w:right="299" w:hanging="348"/>
        <w:spacing w:after="0" w:line="259"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Yes. Before making any decision on whether and how to vote, PRA stockholders are urged to read carefully and in its entirety the information contained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 PRA stockholders should also read and carefully consider the risk factors of each of PRA and ICON that are incorporated by reference into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ICON shareholders being asked to vote on?</w:t>
      </w:r>
    </w:p>
    <w:p>
      <w:pPr>
        <w:spacing w:after="0" w:line="121" w:lineRule="exact"/>
        <w:rPr>
          <w:sz w:val="20"/>
          <w:szCs w:val="20"/>
          <w:color w:val="auto"/>
        </w:rPr>
      </w:pPr>
    </w:p>
    <w:p>
      <w:pPr>
        <w:ind w:left="640" w:right="319" w:hanging="348"/>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ICON EGM, ICON shareholders will be asked to vote on the following proposals, which referred to as the ICON proposals: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Approval of the ICON share issuance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Approval of the ICON adjournment proposal.</w:t>
      </w:r>
    </w:p>
    <w:p>
      <w:pPr>
        <w:spacing w:after="0" w:line="117" w:lineRule="exact"/>
        <w:rPr>
          <w:sz w:val="20"/>
          <w:szCs w:val="20"/>
          <w:color w:val="auto"/>
        </w:rPr>
      </w:pPr>
    </w:p>
    <w:p>
      <w:pPr>
        <w:jc w:val="both"/>
        <w:ind w:left="660" w:right="299"/>
        <w:spacing w:after="0" w:line="293" w:lineRule="auto"/>
        <w:rPr>
          <w:sz w:val="20"/>
          <w:szCs w:val="20"/>
          <w:color w:val="auto"/>
        </w:rPr>
      </w:pPr>
      <w:r>
        <w:rPr>
          <w:rFonts w:ascii="Arial" w:cs="Arial" w:eastAsia="Arial" w:hAnsi="Arial"/>
          <w:sz w:val="16"/>
          <w:szCs w:val="16"/>
          <w:color w:val="auto"/>
        </w:rPr>
        <w:t>Under Irish company law and the current authorities granted to ICON by its shareholders and the rules of Nasdaq, shareholder approval is required prior to the issuance of any shares by ICON if the number of shares to be issued equals 20% or more of the number of shares outstanding prior to the issuance. It is expected that the number of ICON ordinary shares to be issued by ICON pursuant to the merger agreement will exceed 20% of the ICON ordinary shares outstanding prior to such issuance. Accordingly, ICON shareholders are being asked to consider and approve the issuance of ICON ordinary shares pursuant to the merger agreement.</w:t>
      </w:r>
    </w:p>
    <w:p>
      <w:pPr>
        <w:spacing w:after="0" w:line="5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 shareholders are not required to approve the adoption of the merger agreement under Irish law. Accordingly, ICON shareholders are not being asked to vote on the merger or the adoption of the merger agreement.</w:t>
      </w:r>
    </w:p>
    <w:p>
      <w:pPr>
        <w:spacing w:after="0" w:line="76" w:lineRule="exact"/>
        <w:rPr>
          <w:sz w:val="20"/>
          <w:szCs w:val="20"/>
          <w:color w:val="auto"/>
        </w:rPr>
      </w:pPr>
    </w:p>
    <w:p>
      <w:pPr>
        <w:jc w:val="both"/>
        <w:ind w:left="660" w:right="319"/>
        <w:spacing w:after="0" w:line="277" w:lineRule="auto"/>
        <w:rPr>
          <w:sz w:val="20"/>
          <w:szCs w:val="20"/>
          <w:color w:val="auto"/>
        </w:rPr>
      </w:pPr>
      <w:r>
        <w:rPr>
          <w:rFonts w:ascii="Arial" w:cs="Arial" w:eastAsia="Arial" w:hAnsi="Arial"/>
          <w:sz w:val="18"/>
          <w:szCs w:val="18"/>
          <w:color w:val="auto"/>
        </w:rPr>
        <w:t>Approval of the ICON share issuance proposal is required for completion of the merger. Approval of the ICON adjournment proposal is not required for completion of the merger.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matters are intended to be brought before the ICON EGM by ICON.</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ICON EGM?</w:t>
      </w:r>
    </w:p>
    <w:p>
      <w:pPr>
        <w:spacing w:after="0" w:line="121" w:lineRule="exact"/>
        <w:rPr>
          <w:sz w:val="20"/>
          <w:szCs w:val="20"/>
          <w:color w:val="auto"/>
        </w:rPr>
      </w:pPr>
    </w:p>
    <w:p>
      <w:pPr>
        <w:jc w:val="both"/>
        <w:ind w:left="640" w:right="299" w:hanging="348"/>
        <w:spacing w:after="0" w:line="26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ICON Proposal 1: ICON share issuance proposal. </w:t>
      </w:r>
      <w:r>
        <w:rPr>
          <w:rFonts w:ascii="Arial" w:cs="Arial" w:eastAsia="Arial" w:hAnsi="Arial"/>
          <w:sz w:val="18"/>
          <w:szCs w:val="18"/>
          <w:color w:val="auto"/>
        </w:rPr>
        <w:t>The affirmative vote of a majority of the votes cast,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by proxy, by shareholders entitled to vote on the ICON share issuance proposal at the ICON EGM is required to approve the ICON share issuance proposal.</w:t>
      </w:r>
    </w:p>
    <w:p>
      <w:pPr>
        <w:spacing w:after="0" w:line="75" w:lineRule="exact"/>
        <w:rPr>
          <w:rFonts w:ascii="Arial" w:cs="Arial" w:eastAsia="Arial" w:hAnsi="Arial"/>
          <w:sz w:val="18"/>
          <w:szCs w:val="18"/>
          <w:color w:val="auto"/>
        </w:rPr>
      </w:pPr>
    </w:p>
    <w:p>
      <w:pPr>
        <w:jc w:val="both"/>
        <w:ind w:left="660" w:right="299"/>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ICON Proposal 2: ICON adjournment proposal</w:t>
      </w:r>
      <w:r>
        <w:rPr>
          <w:rFonts w:ascii="Arial" w:cs="Arial" w:eastAsia="Arial" w:hAnsi="Arial"/>
          <w:sz w:val="18"/>
          <w:szCs w:val="18"/>
          <w:color w:val="auto"/>
        </w:rPr>
        <w:t>. The affirmative vote of a majority of the votes cast,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by proxy, by shareholders entitled to vote on the ICON adjournment proposal at the ICON EGM is required to approve the ICON adjournment proposal (in the event that the Chairperson of the ICON EGM puts a motion to the meeting to adjourn).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spacing w:after="0" w:line="277" w:lineRule="auto"/>
        <w:rPr>
          <w:sz w:val="20"/>
          <w:szCs w:val="20"/>
          <w:color w:val="auto"/>
        </w:rPr>
      </w:pPr>
      <w:r>
        <w:rPr>
          <w:rFonts w:ascii="Arial" w:cs="Arial" w:eastAsia="Arial" w:hAnsi="Arial"/>
          <w:sz w:val="18"/>
          <w:szCs w:val="18"/>
          <w:color w:val="auto"/>
        </w:rPr>
        <w:t>Because the vote required to approve each of the ICON proposals is based on votes properly cast at the ICON EGM, abstentions, along with failures to vote, will have no effect on such proposals.</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ICON board of directors recommend ICON shareholders vote?</w:t>
      </w:r>
    </w:p>
    <w:p>
      <w:pPr>
        <w:spacing w:after="0" w:line="117" w:lineRule="exact"/>
        <w:rPr>
          <w:sz w:val="20"/>
          <w:szCs w:val="20"/>
          <w:color w:val="auto"/>
        </w:rPr>
      </w:pPr>
    </w:p>
    <w:p>
      <w:pPr>
        <w:ind w:left="640" w:right="299" w:hanging="348"/>
        <w:spacing w:after="0" w:line="28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ICON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57" w:lineRule="exact"/>
        <w:rPr>
          <w:rFonts w:ascii="Arial" w:cs="Arial" w:eastAsia="Arial" w:hAnsi="Arial"/>
          <w:sz w:val="18"/>
          <w:szCs w:val="18"/>
          <w:color w:val="auto"/>
        </w:rPr>
      </w:pPr>
    </w:p>
    <w:p>
      <w:pPr>
        <w:jc w:val="both"/>
        <w:ind w:left="660" w:right="299"/>
        <w:spacing w:after="0" w:line="257" w:lineRule="auto"/>
        <w:rPr>
          <w:rFonts w:ascii="Arial" w:cs="Arial" w:eastAsia="Arial" w:hAnsi="Arial"/>
          <w:sz w:val="18"/>
          <w:szCs w:val="18"/>
          <w:color w:val="auto"/>
        </w:rPr>
      </w:pPr>
      <w:r>
        <w:rPr>
          <w:rFonts w:ascii="Arial" w:cs="Arial" w:eastAsia="Arial" w:hAnsi="Arial"/>
          <w:sz w:val="18"/>
          <w:szCs w:val="18"/>
          <w:color w:val="auto"/>
        </w:rPr>
        <w:t>In considering the recommendations of the ICON board of directors, ICON shareholders should be aware that ICON directors and executive officers have interests in the merger that are different from, or in addition to, their interests as ICON shareholders. For a more complete description of these interests, see the information provided in the section entitled “</w:t>
      </w:r>
      <w:r>
        <w:rPr>
          <w:rFonts w:ascii="Arial" w:cs="Arial" w:eastAsia="Arial" w:hAnsi="Arial"/>
          <w:sz w:val="18"/>
          <w:szCs w:val="18"/>
          <w:b w:val="1"/>
          <w:bCs w:val="1"/>
          <w:color w:val="auto"/>
        </w:rPr>
        <w:t>Interests of ICON’s Directors and Executive Officers in the Merger</w:t>
      </w:r>
      <w:r>
        <w:rPr>
          <w:rFonts w:ascii="Arial" w:cs="Arial" w:eastAsia="Arial" w:hAnsi="Arial"/>
          <w:sz w:val="18"/>
          <w:szCs w:val="18"/>
          <w:color w:val="auto"/>
        </w:rPr>
        <w:t>” beginning on page [</w:t>
      </w:r>
      <w:hyperlink w:anchor="page183">
        <w:r>
          <w:rPr>
            <w:rFonts w:ascii="Arial" w:cs="Arial" w:eastAsia="Arial" w:hAnsi="Arial"/>
            <w:sz w:val="18"/>
            <w:szCs w:val="18"/>
            <w:u w:val="single" w:color="auto"/>
            <w:color w:val="0000EE"/>
          </w:rPr>
          <w:t>166</w:t>
        </w:r>
      </w:hyperlink>
      <w:r>
        <w:rPr>
          <w:rFonts w:ascii="Arial" w:cs="Arial" w:eastAsia="Arial" w:hAnsi="Arial"/>
          <w:sz w:val="18"/>
          <w:szCs w:val="18"/>
          <w:color w:val="auto"/>
        </w:rPr>
        <w:t>].</w:t>
      </w:r>
    </w:p>
    <w:p>
      <w:pPr>
        <w:spacing w:after="0" w:line="184" w:lineRule="exact"/>
        <w:rPr>
          <w:sz w:val="20"/>
          <w:szCs w:val="20"/>
          <w:color w:val="auto"/>
        </w:rPr>
      </w:pPr>
    </w:p>
    <w:p>
      <w:pPr>
        <w:ind w:left="640" w:right="699" w:hanging="348"/>
        <w:spacing w:after="0" w:line="282"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share issuance or the combined company that ICON shareholders should consider in deciding whether to vote on the ICON proposals?</w:t>
      </w:r>
    </w:p>
    <w:p>
      <w:pPr>
        <w:spacing w:after="0" w:line="58" w:lineRule="exact"/>
        <w:rPr>
          <w:sz w:val="20"/>
          <w:szCs w:val="20"/>
          <w:color w:val="auto"/>
        </w:rPr>
      </w:pPr>
    </w:p>
    <w:p>
      <w:pPr>
        <w:jc w:val="both"/>
        <w:ind w:left="640" w:right="299" w:hanging="348"/>
        <w:spacing w:after="0" w:line="259"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Yes. Before making any decision on whether and how to vote, ICON shareholders are urged to read carefully and in its entirety the information contained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xml:space="preserve">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 ICON shareholders should also read and carefully consider the risk factors of each of PRA and ICON that are incorporated by reference into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my PRA stock?</w:t>
      </w:r>
    </w:p>
    <w:p>
      <w:pPr>
        <w:spacing w:after="0" w:line="121" w:lineRule="exact"/>
        <w:rPr>
          <w:sz w:val="20"/>
          <w:szCs w:val="20"/>
          <w:color w:val="auto"/>
        </w:rPr>
      </w:pPr>
    </w:p>
    <w:p>
      <w:pPr>
        <w:ind w:left="640" w:right="319" w:hanging="348"/>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are a stockholder of record of PRA as of the PRA record date, you may vote by granting a proxy. Specifically, you may vote: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You may submit your proxy by going to www.proxyvote.com and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how to complete an electronic proxy card. You will need the 16-digit number included on your Notice or your proxy card in order to vote by Internet.</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You may submit your proxy by dialing 1-800-690-6903 and by following the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 will need the 16-digit number included on your Notice or your proxy card in order to vote by telephone.</w:t>
      </w:r>
    </w:p>
    <w:p>
      <w:pPr>
        <w:spacing w:after="0" w:line="75"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By Mail—</w:t>
      </w:r>
      <w:r>
        <w:rPr>
          <w:rFonts w:ascii="Arial" w:cs="Arial" w:eastAsia="Arial" w:hAnsi="Arial"/>
          <w:sz w:val="17"/>
          <w:szCs w:val="17"/>
          <w:color w:val="auto"/>
        </w:rPr>
        <w:t>You may vote by mail by requesting a proxy card from us, indicating your vote by completing,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signing and dating the card where indicated and by mailing or otherwise returning the card in the envelope that will be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8"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7"/>
          <w:szCs w:val="17"/>
          <w:color w:val="auto"/>
        </w:rPr>
        <w:t>If you are a stockholder of record, proxies submitted over the Internet, by telephone or by mail as described above must be received by 11:59 p.m., Eastern Time, on June 14, 2021, or if the PRA stockholder meeting is adjourned, on the day that falls before the day appointed for the adjourned meeting.</w:t>
      </w:r>
    </w:p>
    <w:p>
      <w:pPr>
        <w:spacing w:after="0" w:line="57"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If you hold your shares in street name, you may also submit voting instructions to your broker, bank or other nominee. Please refer to information from your bank, broker or other nominee on how to submit voting instructions. In most instances, you will be able to do this over the Internet, by telephone or by mail as indicated above.</w:t>
      </w:r>
    </w:p>
    <w:p>
      <w:pPr>
        <w:spacing w:after="0" w:line="79"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Even if you plan to attend the PRA stockholder meeting, PRA recommends that you vote your shares in advance as described above so that your vote will be counted if you later decide not to or become unable to attend the stockholder meeting.</w:t>
      </w:r>
    </w:p>
    <w:p>
      <w:pPr>
        <w:spacing w:after="0" w:line="7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If you hold your shares of PRA common stock through a broker, bank or other nominee, also referred to as a “</w:t>
      </w:r>
      <w:r>
        <w:rPr>
          <w:rFonts w:ascii="Arial" w:cs="Arial" w:eastAsia="Arial" w:hAnsi="Arial"/>
          <w:sz w:val="18"/>
          <w:szCs w:val="18"/>
          <w:i w:val="1"/>
          <w:iCs w:val="1"/>
          <w:color w:val="auto"/>
        </w:rPr>
        <w:t>street name</w:t>
      </w:r>
      <w:r>
        <w:rPr>
          <w:rFonts w:ascii="Arial" w:cs="Arial" w:eastAsia="Arial" w:hAnsi="Arial"/>
          <w:sz w:val="18"/>
          <w:szCs w:val="18"/>
          <w:color w:val="auto"/>
        </w:rPr>
        <w:t>” holder, check the instructions provided by that entity to determine which options are available to you with respect to voting your shares.</w:t>
      </w:r>
    </w:p>
    <w:p>
      <w:pPr>
        <w:spacing w:after="0" w:line="76" w:lineRule="exact"/>
        <w:rPr>
          <w:sz w:val="20"/>
          <w:szCs w:val="20"/>
          <w:color w:val="auto"/>
        </w:rPr>
      </w:pPr>
    </w:p>
    <w:p>
      <w:pPr>
        <w:jc w:val="both"/>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Additional information on attending the PRA stockholder meeting can be found under the section entitled “</w:t>
      </w:r>
      <w:r>
        <w:rPr>
          <w:rFonts w:ascii="Arial" w:cs="Arial" w:eastAsia="Arial" w:hAnsi="Arial"/>
          <w:sz w:val="18"/>
          <w:szCs w:val="18"/>
          <w:b w:val="1"/>
          <w:bCs w:val="1"/>
          <w:color w:val="auto"/>
        </w:rPr>
        <w:t>The PRA Stockholder Meeting</w:t>
      </w:r>
      <w:r>
        <w:rPr>
          <w:rFonts w:ascii="Arial" w:cs="Arial" w:eastAsia="Arial" w:hAnsi="Arial"/>
          <w:sz w:val="18"/>
          <w:szCs w:val="18"/>
          <w:color w:val="auto"/>
        </w:rPr>
        <w:t>” beginning on page [</w:t>
      </w:r>
      <w:hyperlink w:anchor="page35">
        <w:r>
          <w:rPr>
            <w:rFonts w:ascii="Arial" w:cs="Arial" w:eastAsia="Arial" w:hAnsi="Arial"/>
            <w:sz w:val="18"/>
            <w:szCs w:val="18"/>
            <w:u w:val="single" w:color="auto"/>
            <w:color w:val="0000EE"/>
          </w:rPr>
          <w:t>18</w:t>
        </w:r>
      </w:hyperlink>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my ICON ordinary shares?</w:t>
      </w:r>
    </w:p>
    <w:p>
      <w:pPr>
        <w:spacing w:after="0" w:line="121" w:lineRule="exact"/>
        <w:rPr>
          <w:sz w:val="20"/>
          <w:szCs w:val="20"/>
          <w:color w:val="auto"/>
        </w:rPr>
      </w:pPr>
    </w:p>
    <w:p>
      <w:pPr>
        <w:ind w:left="640" w:right="299" w:hanging="348"/>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are a stockholder of record of ICON as of the ICON record date, you may submit your proxy before the ICON EGM in one of the following ways: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visit the website shown on your proxy card to submit your proxy via the Internet;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call the toll-free number for telephone proxy submission shown on your proxy card;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complete, sign, date and return the enclosed proxy card in the enclosed envelope.</w:t>
      </w:r>
    </w:p>
    <w:p>
      <w:pPr>
        <w:spacing w:after="0" w:line="117" w:lineRule="exact"/>
        <w:rPr>
          <w:sz w:val="20"/>
          <w:szCs w:val="20"/>
          <w:color w:val="auto"/>
        </w:rPr>
      </w:pPr>
    </w:p>
    <w:p>
      <w:pPr>
        <w:jc w:val="both"/>
        <w:ind w:left="660" w:right="319"/>
        <w:spacing w:after="0" w:line="279" w:lineRule="auto"/>
        <w:rPr>
          <w:sz w:val="20"/>
          <w:szCs w:val="20"/>
          <w:color w:val="auto"/>
        </w:rPr>
      </w:pPr>
      <w:r>
        <w:rPr>
          <w:rFonts w:ascii="Arial" w:cs="Arial" w:eastAsia="Arial" w:hAnsi="Arial"/>
          <w:sz w:val="17"/>
          <w:szCs w:val="17"/>
          <w:color w:val="auto"/>
        </w:rPr>
        <w:t>To be effective for ICON voting, the proxy card duly completed and executed, together with any authority under which it is executed, or a copy thereof certified, must be deposited at the registered office of ICON, so as to be received no later than 11:59 p.m., Eastern Time, on June 14, 2021, or if the ICON EGM is adjourned, on the day that falls before the day appointed for the adjourned meeting.</w:t>
      </w:r>
    </w:p>
    <w:p>
      <w:pPr>
        <w:spacing w:after="0" w:line="63"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Alternatively, provided it is received by 11:59 p.m., Eastern Time, on June 13, 2021, or if the ICON EGM is adjourned, by 11:59 p.m., Eastern Time, on the day that falls 48 hours before the time appointed for the adjourned meeting, the appointment of a proxy may be submitted electronically, subject to the applicable terms and conditions, via the Internet.</w:t>
      </w:r>
    </w:p>
    <w:p>
      <w:pPr>
        <w:spacing w:after="0" w:line="79"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You may also cast your vote in person at ICON EGM. Even if you plan to attend the ICON EGM, ICON recommends that you vote your shares in advance as described above so that your vote will be counted if you later decide not to or become unable to attend the ICON EGM.</w:t>
      </w:r>
    </w:p>
    <w:p>
      <w:pPr>
        <w:spacing w:after="0" w:line="72"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ICON EGM. Shareholders are referred to the section entitled “The ICON Extraordinary General Meeting” which sets out further detail on the public health situation in Ireland and restrictions around in person attendance at the ICON offices. ICON therefore strongly encourages voting via mail, telephone and Internet over in person attendance at the ICON EGM.</w:t>
      </w:r>
    </w:p>
    <w:p>
      <w:pPr>
        <w:spacing w:after="0" w:line="68"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If your shares are held in “street name,” through a broker, bank or other nominee, that institution will send you separate instructions describing the procedure for voting your shares. “Street name” stockholders or shareholders who wish to vote in person at the meeting will need to obtain a proxy form from their broker, bank or other nominee.</w:t>
      </w:r>
    </w:p>
    <w:p>
      <w:pPr>
        <w:spacing w:after="0" w:line="75" w:lineRule="exact"/>
        <w:rPr>
          <w:sz w:val="20"/>
          <w:szCs w:val="20"/>
          <w:color w:val="auto"/>
        </w:rPr>
      </w:pPr>
    </w:p>
    <w:p>
      <w:pPr>
        <w:jc w:val="both"/>
        <w:ind w:left="660" w:right="319"/>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Additional information on attending the ICON EGM can be found under the section entitled “</w:t>
      </w:r>
      <w:r>
        <w:rPr>
          <w:rFonts w:ascii="Arial" w:cs="Arial" w:eastAsia="Arial" w:hAnsi="Arial"/>
          <w:sz w:val="18"/>
          <w:szCs w:val="18"/>
          <w:b w:val="1"/>
          <w:bCs w:val="1"/>
          <w:color w:val="auto"/>
        </w:rPr>
        <w:t>The ICON</w:t>
      </w:r>
      <w:r>
        <w:rPr>
          <w:rFonts w:ascii="Arial" w:cs="Arial" w:eastAsia="Arial" w:hAnsi="Arial"/>
          <w:sz w:val="18"/>
          <w:szCs w:val="18"/>
          <w:color w:val="auto"/>
        </w:rPr>
        <w:t xml:space="preserve"> </w:t>
      </w:r>
      <w:r>
        <w:rPr>
          <w:rFonts w:ascii="Arial" w:cs="Arial" w:eastAsia="Arial" w:hAnsi="Arial"/>
          <w:sz w:val="18"/>
          <w:szCs w:val="18"/>
          <w:b w:val="1"/>
          <w:bCs w:val="1"/>
          <w:color w:val="auto"/>
        </w:rPr>
        <w:t>Extraordinary General Meeting</w:t>
      </w:r>
      <w:r>
        <w:rPr>
          <w:rFonts w:ascii="Arial" w:cs="Arial" w:eastAsia="Arial" w:hAnsi="Arial"/>
          <w:sz w:val="18"/>
          <w:szCs w:val="18"/>
          <w:color w:val="auto"/>
        </w:rPr>
        <w:t>” beginning on page [</w:t>
      </w:r>
      <w:hyperlink w:anchor="page67">
        <w:r>
          <w:rPr>
            <w:rFonts w:ascii="Arial" w:cs="Arial" w:eastAsia="Arial" w:hAnsi="Arial"/>
            <w:sz w:val="18"/>
            <w:szCs w:val="18"/>
            <w:u w:val="single" w:color="auto"/>
            <w:color w:val="0000EE"/>
          </w:rPr>
          <w:t>50</w:t>
        </w:r>
      </w:hyperlink>
      <w:r>
        <w:rPr>
          <w:rFonts w:ascii="Arial" w:cs="Arial" w:eastAsia="Arial" w:hAnsi="Arial"/>
          <w:sz w:val="18"/>
          <w:szCs w:val="18"/>
          <w:color w:val="auto"/>
        </w:rPr>
        <w:t>].</w:t>
      </w:r>
    </w:p>
    <w:p>
      <w:pPr>
        <w:spacing w:after="0" w:line="162" w:lineRule="exact"/>
        <w:rPr>
          <w:sz w:val="20"/>
          <w:szCs w:val="20"/>
          <w:color w:val="auto"/>
        </w:rPr>
      </w:pPr>
    </w:p>
    <w:p>
      <w:pPr>
        <w:ind w:left="640" w:right="499" w:hanging="348"/>
        <w:spacing w:after="0" w:line="282" w:lineRule="auto"/>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sell my shares of PRA common stock before the PRA stockholder meeting, or I sell my ICON ordinary shares before the ICON EGM?</w:t>
      </w:r>
    </w:p>
    <w:p>
      <w:pPr>
        <w:spacing w:after="0" w:line="58" w:lineRule="exact"/>
        <w:rPr>
          <w:sz w:val="20"/>
          <w:szCs w:val="20"/>
          <w:color w:val="auto"/>
        </w:rPr>
      </w:pPr>
    </w:p>
    <w:p>
      <w:pPr>
        <w:jc w:val="both"/>
        <w:ind w:left="640" w:right="299" w:hanging="348"/>
        <w:spacing w:after="0" w:line="30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you transfer your shares of PRA common stock after the PRA record date but before the PRA stockholder meeting, you will, unless you provide the transferee of your shares with a proxy, retain your right to vote at the PRA stockholder meeting, but will have transferred the right to receive the merger consideration. In order to receive the merger consideration as a result of the merger, you must hold your shares through the effective time.</w:t>
      </w:r>
    </w:p>
    <w:p>
      <w:pPr>
        <w:spacing w:after="0" w:line="49" w:lineRule="exact"/>
        <w:rPr>
          <w:rFonts w:ascii="Arial" w:cs="Arial" w:eastAsia="Arial" w:hAnsi="Arial"/>
          <w:sz w:val="16"/>
          <w:szCs w:val="16"/>
          <w:color w:val="auto"/>
        </w:rPr>
      </w:pPr>
    </w:p>
    <w:p>
      <w:pPr>
        <w:ind w:left="660" w:right="319"/>
        <w:spacing w:after="0" w:line="308" w:lineRule="auto"/>
        <w:rPr>
          <w:rFonts w:ascii="Arial" w:cs="Arial" w:eastAsia="Arial" w:hAnsi="Arial"/>
          <w:sz w:val="16"/>
          <w:szCs w:val="16"/>
          <w:color w:val="auto"/>
        </w:rPr>
      </w:pPr>
      <w:r>
        <w:rPr>
          <w:rFonts w:ascii="Arial" w:cs="Arial" w:eastAsia="Arial" w:hAnsi="Arial"/>
          <w:sz w:val="17"/>
          <w:szCs w:val="17"/>
          <w:color w:val="auto"/>
        </w:rPr>
        <w:t>If you transfer your ICON ordinary shares after the ICON record date but before the ICON EGM, you will, unless you provide the transferee of your shares with a proxy, retain your right to vote at the ICON EGM.</w:t>
      </w:r>
    </w:p>
    <w:p>
      <w:pPr>
        <w:spacing w:after="0" w:line="14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solicit and pay the cost of soliciting proxies?</w:t>
      </w:r>
    </w:p>
    <w:p>
      <w:pPr>
        <w:spacing w:after="0" w:line="121" w:lineRule="exact"/>
        <w:rPr>
          <w:sz w:val="20"/>
          <w:szCs w:val="20"/>
          <w:color w:val="auto"/>
        </w:rPr>
      </w:pPr>
    </w:p>
    <w:p>
      <w:pPr>
        <w:jc w:val="both"/>
        <w:ind w:left="640" w:right="299" w:hanging="348"/>
        <w:spacing w:after="0" w:line="301"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ICON has engaged Georgeson LLC, which is referred to as Georgeson, to assist in the solicitation of proxies for the ICON EGM. ICON estimates that ICON or US HoldCo will pay Georgeson a fee of approximately $20,000, plus costs and expenses. ICON has agreed to indemnify Georgeson against various liabilities and expenses that relate to or arise out of its solicitation of proxies (subject to certain exceptions).</w:t>
      </w:r>
    </w:p>
    <w:p>
      <w:pPr>
        <w:spacing w:after="0" w:line="49" w:lineRule="exact"/>
        <w:rPr>
          <w:rFonts w:ascii="Arial" w:cs="Arial" w:eastAsia="Arial" w:hAnsi="Arial"/>
          <w:sz w:val="16"/>
          <w:szCs w:val="16"/>
          <w:color w:val="auto"/>
        </w:rPr>
      </w:pPr>
    </w:p>
    <w:p>
      <w:pPr>
        <w:jc w:val="both"/>
        <w:ind w:left="660" w:right="299"/>
        <w:spacing w:after="0" w:line="257" w:lineRule="auto"/>
        <w:rPr>
          <w:rFonts w:ascii="Arial" w:cs="Arial" w:eastAsia="Arial" w:hAnsi="Arial"/>
          <w:sz w:val="16"/>
          <w:szCs w:val="16"/>
          <w:color w:val="auto"/>
        </w:rPr>
      </w:pPr>
      <w:r>
        <w:rPr>
          <w:rFonts w:ascii="Arial" w:cs="Arial" w:eastAsia="Arial" w:hAnsi="Arial"/>
          <w:sz w:val="18"/>
          <w:szCs w:val="18"/>
          <w:color w:val="auto"/>
        </w:rPr>
        <w:t>PRA has engaged MacKenzie Partners, Inc., which is referred to as MacKenzie, to assist in the solicitation of proxies for the PRA stockholder meeting. PRA estimates that it will pay MacKenzie a fee of approximately $50,000, plus reimbursement for certain fees and expenses. PRA has agreed to indemnify MacKenzie against various liabilities and expenses that relate to or arise out of its solicitation of proxies (subject to certain exceptions).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 and PRA also may be required to reimburse banks, brokers and other custodians, nominees and fiduciaries or their respective agents for their expenses in forwarding proxy materials to beneficial owners of ICON ordinary shares and PRA common stock, respectively.</w:t>
      </w:r>
    </w:p>
    <w:p>
      <w:pPr>
        <w:spacing w:after="0" w:line="7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ICON’s directors, officers and employees and PRA’s directors, officers and employees also may solicit proxies by telephone, by electronic means or in person. They will not be paid any additional amounts for soliciting proxies.</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Should I send in my PRA stock certificates now?</w:t>
      </w:r>
    </w:p>
    <w:p>
      <w:pPr>
        <w:spacing w:after="0" w:line="121" w:lineRule="exact"/>
        <w:rPr>
          <w:sz w:val="20"/>
          <w:szCs w:val="20"/>
          <w:color w:val="auto"/>
        </w:rPr>
      </w:pPr>
    </w:p>
    <w:p>
      <w:pPr>
        <w:jc w:val="both"/>
        <w:ind w:left="640" w:right="319" w:hanging="348"/>
        <w:spacing w:after="0" w:line="259"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To the extent PRA stockholders have certificated shares, such PRA stockholders should keep their existing stock certificates at this time. After the merger is completed, PRA stockholders will receive from the exchange agent a letter of transmittal and written instructions for exchanging their stock certificates for the share consideration and/or the cash consideration.</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PRA stockholder meeting?</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record of a majority of the voting power of the issued and outstanding shares of capital stock entitled to vote must be present in person or represented by proxy to constitute a quorum for the PRA stockholder meeting. Abstentions are counted as present and entitled to vote for purposes of determining a quorum. Shares represented by “broker non-votes” (as described below) are counted as present and entitled to vote for purposes of determining a quorum.</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ICON EGM?</w:t>
      </w:r>
    </w:p>
    <w:p>
      <w:pPr>
        <w:spacing w:after="0" w:line="121" w:lineRule="exact"/>
        <w:rPr>
          <w:sz w:val="20"/>
          <w:szCs w:val="20"/>
          <w:color w:val="auto"/>
        </w:rPr>
      </w:pPr>
    </w:p>
    <w:p>
      <w:pPr>
        <w:jc w:val="both"/>
        <w:ind w:left="640" w:right="319" w:hanging="348"/>
        <w:spacing w:after="0" w:line="263"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presence of three (3) or more shareholders (present by proxy or in person) is necessary to constitute a quorum. Abstentions and broker non-votes will be counted as present for purposes of determining whether there is a quorum.</w:t>
      </w:r>
    </w:p>
    <w:p>
      <w:pPr>
        <w:spacing w:after="0" w:line="180" w:lineRule="exact"/>
        <w:rPr>
          <w:sz w:val="20"/>
          <w:szCs w:val="20"/>
          <w:color w:val="auto"/>
        </w:rPr>
      </w:pPr>
    </w:p>
    <w:p>
      <w:pPr>
        <w:ind w:left="640" w:right="639" w:hanging="348"/>
        <w:spacing w:after="0" w:line="282" w:lineRule="auto"/>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 of shares held in “street name”?</w:t>
      </w:r>
    </w:p>
    <w:p>
      <w:pPr>
        <w:spacing w:after="0" w:line="58" w:lineRule="exact"/>
        <w:rPr>
          <w:sz w:val="20"/>
          <w:szCs w:val="20"/>
          <w:color w:val="auto"/>
        </w:rPr>
      </w:pPr>
    </w:p>
    <w:p>
      <w:pPr>
        <w:jc w:val="both"/>
        <w:ind w:left="640" w:right="299" w:hanging="348"/>
        <w:spacing w:after="0" w:line="272"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your shares are registered directly in your name with the issuer’s transfer agent, you are considered the stockholder of record with respect to those shares. As the stockholder of record, you have the right to vote, or to grant a proxy for your vote to a third party to vote. If your shares are held by a bank, broker or other nominee, you are considered the beneficial owner of shares held in “street name,” and your bank, broker or other nominee is considered the stockholder of record with respect to those shares. Your bank, broker or other nominee will send you, as the beneficial owner, a package describing the procedure for voting your shares. You should follow the instructions provided by them to vote your shares.</w:t>
      </w:r>
    </w:p>
    <w:p>
      <w:pPr>
        <w:spacing w:after="0" w:line="17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“broker non-vote”?</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broker non-vote occurs if you hold your shares in street name, do not provide voting instructions to your broker on a proposal, and your broker does not have discretionary authority to vote on such proposal. In such circumstances the organization that holds your shares may generally vote on “routine” matters, but cannot vote on “non-routine” matters. All of the proposals currently scheduled for consideration at the PRA stockholder meeting and the ICON EGM are “non-routine” matters and a broker will lack the authority to vote shares at its discretion on such proposals.</w:t>
      </w:r>
    </w:p>
    <w:p>
      <w:pPr>
        <w:spacing w:after="0" w:line="188" w:lineRule="exact"/>
        <w:rPr>
          <w:sz w:val="20"/>
          <w:szCs w:val="20"/>
          <w:color w:val="auto"/>
        </w:rPr>
      </w:pPr>
    </w:p>
    <w:p>
      <w:pPr>
        <w:ind w:left="640" w:right="319" w:hanging="348"/>
        <w:spacing w:after="0" w:line="282" w:lineRule="auto"/>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broker, bank or other nominee, will my broker, bank or other nominee vote my shares for me?</w:t>
      </w:r>
    </w:p>
    <w:p>
      <w:pPr>
        <w:spacing w:after="0" w:line="58" w:lineRule="exact"/>
        <w:rPr>
          <w:sz w:val="20"/>
          <w:szCs w:val="20"/>
          <w:color w:val="auto"/>
        </w:rPr>
      </w:pPr>
    </w:p>
    <w:p>
      <w:pPr>
        <w:jc w:val="both"/>
        <w:ind w:left="640" w:right="299" w:hanging="348"/>
        <w:spacing w:after="0" w:line="255"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your shares are held in “street name” in a stock brokerage account or by a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directly to PRA or ICON or by voting in person at your respective company’s stockholder meeting unless you obtain a “legal proxy,” which you must obtain from your broker, bank or other nominee.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Under the rules of Nasdaq, brokers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listed in Nasdaq Rule 2251 or “other significant matters” without specific instructions from the beneficial owner. It is expected that all proposals to be voted on at the PRA stockholder meeting and the ICON EGM will be “non-routine” matters.</w:t>
      </w:r>
    </w:p>
    <w:p>
      <w:pPr>
        <w:spacing w:after="0" w:line="70"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color w:val="auto"/>
        </w:rPr>
        <w:t>If you are a PRA stockholder and you do not instruct your broker, bank or other nominee on how to vote your shares:</w:t>
      </w:r>
    </w:p>
    <w:p>
      <w:pPr>
        <w:spacing w:after="0" w:line="62" w:lineRule="exact"/>
        <w:rPr>
          <w:sz w:val="20"/>
          <w:szCs w:val="20"/>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merger agreement proposal, which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adjournment proposal, which will have no effect on the vote count for this proposal (and your shares will not be counted towards determining whether a quorum is present); and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advisory compensation proposal, which will have no effect on the vote count for this proposal (and your shares will not be counted towards determining whether a quorum is present).</w:t>
      </w:r>
    </w:p>
    <w:p>
      <w:pPr>
        <w:spacing w:after="0" w:line="76"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color w:val="auto"/>
        </w:rPr>
        <w:t>If you are an ICON shareholder and you do not instruct your broker, bank or other nominee on how to vote your shares:</w:t>
      </w:r>
    </w:p>
    <w:p>
      <w:pPr>
        <w:spacing w:after="0" w:line="62" w:lineRule="exact"/>
        <w:rPr>
          <w:sz w:val="20"/>
          <w:szCs w:val="20"/>
          <w:color w:val="auto"/>
        </w:rPr>
      </w:pPr>
    </w:p>
    <w:p>
      <w:pPr>
        <w:jc w:val="both"/>
        <w:ind w:left="1000" w:right="319" w:hanging="348"/>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ICON share issuance proposal, which will have no effect on this proposal (but your shares will be counted towards determining whether a quorum is present);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ICON adjournment proposal, which will have no effect on the vote count for this proposal (but your shares will be counted towards determining whether a quorum is present).</w:t>
      </w:r>
    </w:p>
    <w:p>
      <w:pPr>
        <w:spacing w:after="0" w:line="179" w:lineRule="exact"/>
        <w:rPr>
          <w:rFonts w:ascii="Arial" w:cs="Arial" w:eastAsia="Arial" w:hAnsi="Arial"/>
          <w:sz w:val="18"/>
          <w:szCs w:val="18"/>
          <w:color w:val="auto"/>
        </w:rPr>
      </w:pPr>
    </w:p>
    <w:p>
      <w:pPr>
        <w:ind w:left="640" w:right="479" w:hanging="348"/>
        <w:spacing w:after="0" w:line="282" w:lineRule="auto"/>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if a PRA stockholder or ICON shareholder does not vote or returns a proxy or voting instruction card with an “abstain” vote?</w:t>
      </w:r>
    </w:p>
    <w:p>
      <w:pPr>
        <w:spacing w:after="0" w:line="58" w:lineRule="exact"/>
        <w:rPr>
          <w:sz w:val="20"/>
          <w:szCs w:val="20"/>
          <w:color w:val="auto"/>
        </w:rPr>
      </w:pPr>
    </w:p>
    <w:p>
      <w:pPr>
        <w:jc w:val="both"/>
        <w:ind w:left="640" w:right="299" w:hanging="348"/>
        <w:spacing w:after="0" w:line="287"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PRA</w:t>
      </w:r>
      <w:r>
        <w:rPr>
          <w:rFonts w:ascii="Arial" w:cs="Arial" w:eastAsia="Arial" w:hAnsi="Arial"/>
          <w:sz w:val="16"/>
          <w:szCs w:val="16"/>
          <w:color w:val="auto"/>
        </w:rPr>
        <w:t>: If you are a PRA stockholder and you fail to vote, fail to submit a proxy or fail to return a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 card instructing your broker, bank or other nominee how to vote on the merger proposal, this will have the same effect as a vote cast against the merger proposal and will not count towards determining whether a quorum is present. If you are a PRA stockholder and you fail to vote, fail to submit a proxy or fail to return a voting instruction card instructing your broker, bank or other nominee how to vote on the PRA adjournment proposal or the PRA advisory compensation proposal, this will have no effect on the vote count for such proposal, and will not count towards determining whether a quorum is present. If you respond with an “abstain” vote on the PRA merger agreement proposal, this will have the same effect as a vote cast against the merger proposal, but will count towards determining whether a quorum is present. If you respond with an “abstain” vote on the PRA adjournment proposal or the PRA advisory compensation proposal, this will have no effect on the vote count for such proposal, but will count towards determining whether a quorum is present.</w:t>
      </w:r>
    </w:p>
    <w:p>
      <w:pPr>
        <w:spacing w:after="0" w:line="63" w:lineRule="exact"/>
        <w:rPr>
          <w:rFonts w:ascii="Arial" w:cs="Arial" w:eastAsia="Arial" w:hAnsi="Arial"/>
          <w:sz w:val="16"/>
          <w:szCs w:val="16"/>
          <w:color w:val="auto"/>
        </w:rPr>
      </w:pPr>
    </w:p>
    <w:p>
      <w:pPr>
        <w:jc w:val="both"/>
        <w:ind w:left="660" w:right="299"/>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ICON</w:t>
      </w:r>
      <w:r>
        <w:rPr>
          <w:rFonts w:ascii="Arial" w:cs="Arial" w:eastAsia="Arial" w:hAnsi="Arial"/>
          <w:sz w:val="18"/>
          <w:szCs w:val="18"/>
          <w:color w:val="auto"/>
        </w:rPr>
        <w:t>: If you are an ICON shareholder and you fail to vote, fail to submit a proxy or fail to return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 card instructing your broker, bank or other nominee how to vote on any of the ICON proposals, this will have no effect on the vote count for such proposal, but in the case of broker no-votes only will count towards determining whether a quorum is present. If you respond with an “abstain” vote on any of the ICON proposals, this will have no effect on the vote count for any such proposal, but will count towards determining whether a quorum is present.</w:t>
      </w:r>
    </w:p>
    <w:p>
      <w:pPr>
        <w:spacing w:after="0" w:line="18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return my proxy card without indicating how to vote?</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you sign and return your proxy or voting instruction card without indicating how to vote on any particular proposal (and you do not change your vote after delivering your proxy or voting instruction card), the shares of PRA common stock represented by your proxy or voting instruction card will be voted for each PRA proposal in accordance with the recommendation of the PRA board of directors or the ICON ordinary shares represented by your proxy or voting instruction card will be voted for each ICON proposal in accordance with the recommendation of the ICON board of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change my vote after I have delivered my proxy or voting instruction card?</w:t>
      </w:r>
    </w:p>
    <w:p>
      <w:pPr>
        <w:spacing w:after="0" w:line="121" w:lineRule="exact"/>
        <w:rPr>
          <w:sz w:val="20"/>
          <w:szCs w:val="20"/>
          <w:color w:val="auto"/>
        </w:rPr>
      </w:pPr>
    </w:p>
    <w:p>
      <w:pPr>
        <w:ind w:left="640" w:right="299" w:hanging="348"/>
        <w:spacing w:after="0" w:line="277"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PRA: </w:t>
      </w:r>
      <w:r>
        <w:rPr>
          <w:rFonts w:ascii="Arial" w:cs="Arial" w:eastAsia="Arial" w:hAnsi="Arial"/>
          <w:sz w:val="18"/>
          <w:szCs w:val="18"/>
          <w:color w:val="auto"/>
        </w:rPr>
        <w:t>As a PRA stockholder, you may change your vote or revoke a proxy before the PRA stockholder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If you are PRA stockholder of record, you may do this by: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sending a written statement to that effect to PRA’s corporate secretary or to any corporate officer of PRA, provided such statement is received no later than June 14, 2021;</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voting again by Internet or telephone at a later time before the closing of those voting facilities at 11:59 p.m., Eastern Time, on June 14, 2021;</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submitting a properly signed proxy card with a later date that is received no later than June 14, 2021; or</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attending the PRA stockholder meeting, revoking your proxy and voting in person.</w:t>
      </w:r>
    </w:p>
    <w:p>
      <w:pPr>
        <w:spacing w:after="0" w:line="117"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If you hold shares in street name, you may submit new voting instructions by contacting your bank, broker or other nominee. You may also change your vote or revoke your proxy in person at the PRA stockholder meeting if you obtain a signed proxy from the record holder (broker, bank or other nominee) giving you the right to vote the shares.</w:t>
      </w:r>
    </w:p>
    <w:p>
      <w:pPr>
        <w:spacing w:after="0" w:line="79"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i w:val="1"/>
          <w:iCs w:val="1"/>
          <w:color w:val="auto"/>
        </w:rPr>
        <w:t>ICON</w:t>
      </w:r>
      <w:r>
        <w:rPr>
          <w:rFonts w:ascii="Arial" w:cs="Arial" w:eastAsia="Arial" w:hAnsi="Arial"/>
          <w:sz w:val="18"/>
          <w:szCs w:val="18"/>
          <w:color w:val="auto"/>
        </w:rPr>
        <w:t>: As an ICON shareholder, you may change your vote or revoke a proxy before the ICON EGM. If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an ICON shareholder of record, you can do this by:</w:t>
      </w:r>
    </w:p>
    <w:p>
      <w:pPr>
        <w:spacing w:after="0" w:line="62" w:lineRule="exact"/>
        <w:rPr>
          <w:sz w:val="20"/>
          <w:szCs w:val="20"/>
          <w:color w:val="auto"/>
        </w:rPr>
      </w:pPr>
    </w:p>
    <w:p>
      <w:pPr>
        <w:jc w:val="both"/>
        <w:ind w:left="1000" w:right="29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delivering written notice to the company secretary of ICON that is received prior to the commencement of the ICON EGM stating that you have revoked your proxy to the company secretary of ICON at the following address: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Company Secretary</w:t>
      </w:r>
    </w:p>
    <w:p>
      <w:pPr>
        <w:spacing w:after="0" w:line="103" w:lineRule="exact"/>
        <w:rPr>
          <w:sz w:val="20"/>
          <w:szCs w:val="20"/>
          <w:color w:val="auto"/>
        </w:rPr>
      </w:pPr>
    </w:p>
    <w:p>
      <w:pPr>
        <w:ind w:left="1000" w:right="31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signing and returning by mail a proxy card with a later date so that it is received by ICON prior to the commencement of the ICON EGM;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attending the ICON EGM and voting in person.</w:t>
      </w:r>
    </w:p>
    <w:p>
      <w:pPr>
        <w:spacing w:after="0" w:line="117"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7"/>
          <w:szCs w:val="17"/>
          <w:color w:val="auto"/>
        </w:rPr>
        <w:t>ICON encourages shareholders to vote by Internet, by mail or by telephone, rather than attend the ICON EGM in person in light of the public health concerns related to COVID-19. Please refer to the section entitled “</w:t>
      </w:r>
      <w:r>
        <w:rPr>
          <w:rFonts w:ascii="Arial" w:cs="Arial" w:eastAsia="Arial" w:hAnsi="Arial"/>
          <w:sz w:val="17"/>
          <w:szCs w:val="17"/>
          <w:b w:val="1"/>
          <w:bCs w:val="1"/>
          <w:color w:val="auto"/>
        </w:rPr>
        <w:t>The ICON Extraordinary General Meeting—Attending the ICON EGM</w:t>
      </w:r>
      <w:r>
        <w:rPr>
          <w:rFonts w:ascii="Arial" w:cs="Arial" w:eastAsia="Arial" w:hAnsi="Arial"/>
          <w:sz w:val="17"/>
          <w:szCs w:val="17"/>
          <w:color w:val="auto"/>
        </w:rPr>
        <w:t>” for more information.</w:t>
      </w:r>
    </w:p>
    <w:p>
      <w:pPr>
        <w:spacing w:after="0" w:line="161" w:lineRule="exact"/>
        <w:rPr>
          <w:sz w:val="20"/>
          <w:szCs w:val="20"/>
          <w:color w:val="auto"/>
        </w:rPr>
      </w:pPr>
    </w:p>
    <w:p>
      <w:pPr>
        <w:ind w:left="640" w:right="519" w:hanging="348"/>
        <w:spacing w:after="0" w:line="282" w:lineRule="auto"/>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58" w:lineRule="exact"/>
        <w:rPr>
          <w:sz w:val="20"/>
          <w:szCs w:val="20"/>
          <w:color w:val="auto"/>
        </w:rPr>
      </w:pPr>
    </w:p>
    <w:p>
      <w:pPr>
        <w:jc w:val="both"/>
        <w:ind w:left="640" w:right="319" w:hanging="348"/>
        <w:spacing w:after="0" w:line="263"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121" w:lineRule="exact"/>
        <w:rPr>
          <w:sz w:val="20"/>
          <w:szCs w:val="20"/>
          <w:color w:val="auto"/>
        </w:rPr>
      </w:pPr>
    </w:p>
    <w:p>
      <w:pPr>
        <w:jc w:val="both"/>
        <w:ind w:left="640" w:right="299" w:hanging="348"/>
        <w:spacing w:after="0" w:line="269"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PRA stockholders and ICON shareholders may receive more than one set of voting materials, including multiple copies of this joint proxy statement/prospectus and multiple proxy cards or voting instruction cards. For example, if you hold PRA common stock, or ICON ordinary shares, in more than one brokerage account, you will receive a separate voting instruction card for each brokerage account in which you hold such shares. If you are a holder of record of PRA common stock, or ICON ordinary shares, and your shares are registered in more than one name, you will receive more than one proxy card. In addition, if you are a holder of both PRA common stock, and ICON ordinary shares, you will receive one or more separate proxy cards or voting instruction cards for each company. </w:t>
      </w:r>
      <w:r>
        <w:rPr>
          <w:rFonts w:ascii="Arial" w:cs="Arial" w:eastAsia="Arial" w:hAnsi="Arial"/>
          <w:sz w:val="17"/>
          <w:szCs w:val="17"/>
          <w:b w:val="1"/>
          <w:bCs w:val="1"/>
          <w:color w:val="auto"/>
        </w:rPr>
        <w:t>Please complete, sign, date and return each proxy card and voting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 card that you receive or otherwise follow the voting instructions set forth in this joint proxy statement/prospectus to ensure that you vote every share of PRA common stock and/or every ICON ordinary share that you own.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hold shares in both PRA and ICON?</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you are both a stockholder of PRA and a shareholder of ICON, you will receive two separate packages of proxy materials. A vote cast as a PRA stockholder will not count as a vote cast as an ICON shareholder, and a vote cast as an ICON shareholder will not count as a vote cast as a PRA stockholder. </w:t>
      </w:r>
      <w:r>
        <w:rPr>
          <w:rFonts w:ascii="Arial" w:cs="Arial" w:eastAsia="Arial" w:hAnsi="Arial"/>
          <w:sz w:val="18"/>
          <w:szCs w:val="18"/>
          <w:b w:val="1"/>
          <w:bCs w:val="1"/>
          <w:color w:val="auto"/>
        </w:rPr>
        <w:t>Therefore, please</w:t>
      </w:r>
      <w:r>
        <w:rPr>
          <w:rFonts w:ascii="Arial" w:cs="Arial" w:eastAsia="Arial" w:hAnsi="Arial"/>
          <w:sz w:val="18"/>
          <w:szCs w:val="18"/>
          <w:color w:val="auto"/>
        </w:rPr>
        <w:t xml:space="preserve"> </w:t>
      </w:r>
      <w:r>
        <w:rPr>
          <w:rFonts w:ascii="Arial" w:cs="Arial" w:eastAsia="Arial" w:hAnsi="Arial"/>
          <w:sz w:val="18"/>
          <w:szCs w:val="18"/>
          <w:b w:val="1"/>
          <w:bCs w:val="1"/>
          <w:color w:val="auto"/>
        </w:rPr>
        <w:t>separately submit a proxy or voting instruction card for each of your shares of PRA common stock and your ICON ordinary shares.</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PRA stockholder meeting and the ICON EGM?</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Preliminary voting results will be announced at the PRA stockholder meeting and the ICON EGM and will be set forth in press releases that PRA and ICON intend to issue after the PRA stockholder meeting and the ICON EGM, respectively. Final voting results for the PRA stockholder meeting and the ICON EGM are expected to be filed by PRA and ICON with the SEC within four (4) business days after the PRA stockholder meeting and the ICON EGM, as applicable.</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do not favor the merger, what are my rights?</w:t>
      </w:r>
    </w:p>
    <w:p>
      <w:pPr>
        <w:spacing w:after="0" w:line="121" w:lineRule="exact"/>
        <w:rPr>
          <w:sz w:val="20"/>
          <w:szCs w:val="20"/>
          <w:color w:val="auto"/>
        </w:rPr>
      </w:pPr>
    </w:p>
    <w:p>
      <w:pPr>
        <w:jc w:val="both"/>
        <w:ind w:left="640" w:right="299" w:hanging="348"/>
        <w:spacing w:after="0" w:line="267"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Under Delaware law, PRA stockholders who neither vote in favor of the adoption of the merger agreement nor consent thereto in writing, who continuously hold their shares of PRA common stock through the effective date of the merger and who otherwise comply with the procedures set forth in Section 262 of the DGCL, will be entitled to appraisal rights in connection with the merger, and if the merger is completed, subject to the provisions of Section 262 of the DGCL, obtain payment in cash of the fair value of their shares of PRA common stock as determined by the Delaware Court of Chancery, together with interest, if any, to be paid on the amount determined to be the fair value, instead of receiving the merger consideration for their shares. Under Section 262 of the DGCL, assuming PRA common stock remains listed on a national securities exchange immediately prior to the effective time of the merger, the Delaware Court of Chancery will dismiss any appraisal proceedings as to all holders of such shares who have perfected their appraisal rights unless (i) the total number of such shares entitled to appraisal exceeds 1% of the outstanding shares of PRA common stock, or (ii) the value of the consideration provided in the merger for such total number of shares entitled to appraisal exceeds $1 million. To exercise appraisal rights, PRA stockholders must comply with the procedures prescribed by Section 262 of the DGCL. These procedures are summarized under the section entitled “</w:t>
      </w:r>
      <w:r>
        <w:rPr>
          <w:rFonts w:ascii="Arial" w:cs="Arial" w:eastAsia="Arial" w:hAnsi="Arial"/>
          <w:sz w:val="17"/>
          <w:szCs w:val="17"/>
          <w:b w:val="1"/>
          <w:bCs w:val="1"/>
          <w:color w:val="auto"/>
        </w:rPr>
        <w:t>Appraisal Rights</w:t>
      </w:r>
      <w:r>
        <w:rPr>
          <w:rFonts w:ascii="Arial" w:cs="Arial" w:eastAsia="Arial" w:hAnsi="Arial"/>
          <w:sz w:val="17"/>
          <w:szCs w:val="17"/>
          <w:color w:val="auto"/>
        </w:rPr>
        <w:t>” beginning on page [</w:t>
      </w:r>
      <w:hyperlink w:anchor="page37">
        <w:r>
          <w:rPr>
            <w:rFonts w:ascii="Arial" w:cs="Arial" w:eastAsia="Arial" w:hAnsi="Arial"/>
            <w:sz w:val="17"/>
            <w:szCs w:val="17"/>
            <w:u w:val="single" w:color="auto"/>
            <w:color w:val="0000EE"/>
          </w:rPr>
          <w:t>20</w:t>
        </w:r>
      </w:hyperlink>
      <w:r>
        <w:rPr>
          <w:rFonts w:ascii="Arial" w:cs="Arial" w:eastAsia="Arial" w:hAnsi="Arial"/>
          <w:sz w:val="17"/>
          <w:szCs w:val="17"/>
          <w:color w:val="auto"/>
        </w:rPr>
        <w:t xml:space="preserve">]. In addition, a copy of the full text of Section 262 of the DGCL is included as </w:t>
      </w:r>
      <w:r>
        <w:rPr>
          <w:rFonts w:ascii="Arial" w:cs="Arial" w:eastAsia="Arial" w:hAnsi="Arial"/>
          <w:sz w:val="17"/>
          <w:szCs w:val="17"/>
          <w:u w:val="single" w:color="auto"/>
          <w:color w:val="auto"/>
        </w:rPr>
        <w:t>Annex E</w:t>
      </w:r>
      <w:r>
        <w:rPr>
          <w:rFonts w:ascii="Arial" w:cs="Arial" w:eastAsia="Arial" w:hAnsi="Arial"/>
          <w:sz w:val="17"/>
          <w:szCs w:val="17"/>
          <w:color w:val="auto"/>
        </w:rPr>
        <w:t xml:space="preserve"> to this joint proxy statement/prospectus. Failure to comply with these provisions may result in a loss of the right of appraisal.</w:t>
      </w:r>
    </w:p>
    <w:p>
      <w:pPr>
        <w:spacing w:after="0" w:line="83" w:lineRule="exact"/>
        <w:rPr>
          <w:rFonts w:ascii="Arial" w:cs="Arial" w:eastAsia="Arial" w:hAnsi="Arial"/>
          <w:sz w:val="17"/>
          <w:szCs w:val="17"/>
          <w:color w:val="auto"/>
        </w:rPr>
      </w:pPr>
    </w:p>
    <w:p>
      <w:pPr>
        <w:ind w:left="660" w:right="299"/>
        <w:spacing w:after="0" w:line="277" w:lineRule="auto"/>
        <w:rPr>
          <w:rFonts w:ascii="Arial" w:cs="Arial" w:eastAsia="Arial" w:hAnsi="Arial"/>
          <w:sz w:val="17"/>
          <w:szCs w:val="17"/>
          <w:color w:val="auto"/>
        </w:rPr>
      </w:pPr>
      <w:r>
        <w:rPr>
          <w:rFonts w:ascii="Arial" w:cs="Arial" w:eastAsia="Arial" w:hAnsi="Arial"/>
          <w:sz w:val="18"/>
          <w:szCs w:val="18"/>
          <w:color w:val="auto"/>
        </w:rPr>
        <w:t>ICON shareholders are not entitled to appraisal rights under Irish law in connection with the merger or the other transactions contemplated by the merger agreement.</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U.S. federal income tax consequences of the merger to the PRA stockholders?</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merger will be a fully taxable transaction for U.S. federal income tax purposes, but, as explained below, the tax treatment of the merger consideration that consists of ICON ordinary shares and cash in lieu of fractional shares (“Equity Consideration”) may differ from the tax treatment of the cash consideration other than the cash in lieu of fractional ICON ordinary shares (“Cash Consideration”).</w:t>
      </w:r>
    </w:p>
    <w:p>
      <w:pPr>
        <w:spacing w:after="0" w:line="2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Equity Consideration</w:t>
      </w:r>
    </w:p>
    <w:p>
      <w:pPr>
        <w:spacing w:after="0" w:line="117" w:lineRule="exact"/>
        <w:rPr>
          <w:rFonts w:ascii="Arial" w:cs="Arial" w:eastAsia="Arial" w:hAnsi="Arial"/>
          <w:sz w:val="18"/>
          <w:szCs w:val="18"/>
          <w:color w:val="auto"/>
        </w:rPr>
      </w:pPr>
    </w:p>
    <w:p>
      <w:pPr>
        <w:ind w:left="660" w:right="319"/>
        <w:spacing w:after="0" w:line="308" w:lineRule="auto"/>
        <w:rPr>
          <w:rFonts w:ascii="Arial" w:cs="Arial" w:eastAsia="Arial" w:hAnsi="Arial"/>
          <w:sz w:val="18"/>
          <w:szCs w:val="18"/>
          <w:color w:val="auto"/>
        </w:rPr>
      </w:pPr>
      <w:r>
        <w:rPr>
          <w:rFonts w:ascii="Arial" w:cs="Arial" w:eastAsia="Arial" w:hAnsi="Arial"/>
          <w:sz w:val="17"/>
          <w:szCs w:val="17"/>
          <w:color w:val="auto"/>
        </w:rPr>
        <w:t>To the extent you receive Equity Consideration, you should be treated as having sold a portion of each of your shares of PRA common stock in a taxable sale in which any gain or loss will be recognized.</w:t>
      </w:r>
    </w:p>
    <w:p>
      <w:pPr>
        <w:spacing w:after="0" w:line="2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Cash Consideration</w:t>
      </w:r>
    </w:p>
    <w:p>
      <w:pPr>
        <w:spacing w:after="0" w:line="117" w:lineRule="exact"/>
        <w:rPr>
          <w:rFonts w:ascii="Arial" w:cs="Arial" w:eastAsia="Arial" w:hAnsi="Arial"/>
          <w:sz w:val="18"/>
          <w:szCs w:val="18"/>
          <w:color w:val="auto"/>
        </w:rPr>
      </w:pPr>
    </w:p>
    <w:p>
      <w:pPr>
        <w:jc w:val="both"/>
        <w:ind w:left="660" w:right="299"/>
        <w:spacing w:after="0" w:line="254" w:lineRule="auto"/>
        <w:rPr>
          <w:rFonts w:ascii="Arial" w:cs="Arial" w:eastAsia="Arial" w:hAnsi="Arial"/>
          <w:sz w:val="18"/>
          <w:szCs w:val="18"/>
          <w:color w:val="auto"/>
        </w:rPr>
      </w:pPr>
      <w:r>
        <w:rPr>
          <w:rFonts w:ascii="Arial" w:cs="Arial" w:eastAsia="Arial" w:hAnsi="Arial"/>
          <w:sz w:val="18"/>
          <w:szCs w:val="18"/>
          <w:color w:val="auto"/>
        </w:rPr>
        <w:t>To the extent you receive Cash Consideration, depending on your actual and constructive ownership percentage in PRA immediately prior to the merger relative to your actual and constructive ownership in ICON immediately after the merger, you should be treated either as (1) selling the remaining portion of each of your shares of PRA common stock in a taxable sale in which any gain or loss will be recognized or (2) having received a taxable dividend in an amount equal to such Cash Consideration (without reduction for any portion of your tax basis in your PRA common stock). However, because neither ICON nor any other applicable withholding agent will be able to determine whether any particular PRA stockholder qualifies for sale treatment or is subject to dividend</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8"/>
          <w:szCs w:val="18"/>
          <w:color w:val="auto"/>
        </w:rPr>
        <w:t>treatment, ICON intends to assume (both for purposes of withholding (with respect to non-U.S. PRA stockholders) and information reporting to the Internal Revenue Service (“IRS”) (with respect to all PRA stockholders)), and other applicable withholding agents are likely to assume (for such purposes), that every PRA stockholder is subject to dividend treatment. Accordingly, if you are a non-U.S. PRA stockholder, regardless of whether sale (as opposed to dividend) treatment is appropriate in your particular case, the applicable withholding agent is likely to withhold tax at a rate of 30% (or a lower applicable treaty rate) on the gross amount of all Cash Consideration payable to you.</w:t>
      </w:r>
    </w:p>
    <w:p>
      <w:pPr>
        <w:spacing w:after="0" w:line="87"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You should consult your tax advisors about the proper tax treatment of the Cash Consideration, including the possibility of avoiding dividend treatment by selling your PRA common stock in advance of the merger and, if you decide not to sell your PRA common stock in advance of the merger, the possibility of reporting the Cash Consideration as sale proceeds on the your U.S. federal income tax return, and/or seeking a refund of any excess withholding tax from the IRS, if sale (as opposed to dividend) treatment is appropriate in your particular case.</w:t>
      </w:r>
    </w:p>
    <w:p>
      <w:pPr>
        <w:spacing w:after="0" w:line="80" w:lineRule="exact"/>
        <w:rPr>
          <w:sz w:val="20"/>
          <w:szCs w:val="20"/>
          <w:color w:val="auto"/>
        </w:rPr>
      </w:pPr>
    </w:p>
    <w:p>
      <w:pPr>
        <w:jc w:val="both"/>
        <w:ind w:left="660" w:right="299"/>
        <w:spacing w:after="0" w:line="266" w:lineRule="auto"/>
        <w:rPr>
          <w:rFonts w:ascii="Arial" w:cs="Arial" w:eastAsia="Arial" w:hAnsi="Arial"/>
          <w:sz w:val="18"/>
          <w:szCs w:val="18"/>
          <w:color w:val="auto"/>
        </w:rPr>
      </w:pPr>
      <w:r>
        <w:rPr>
          <w:rFonts w:ascii="Arial" w:cs="Arial" w:eastAsia="Arial" w:hAnsi="Arial"/>
          <w:sz w:val="18"/>
          <w:szCs w:val="18"/>
          <w:color w:val="auto"/>
        </w:rPr>
        <w:t>You should read the section entitled “</w:t>
      </w:r>
      <w:r>
        <w:rPr>
          <w:rFonts w:ascii="Arial" w:cs="Arial" w:eastAsia="Arial" w:hAnsi="Arial"/>
          <w:sz w:val="18"/>
          <w:szCs w:val="18"/>
          <w:b w:val="1"/>
          <w:bCs w:val="1"/>
          <w:color w:val="auto"/>
        </w:rPr>
        <w:t>Certain United States Federal Income Tax Considerations</w:t>
      </w:r>
      <w:r>
        <w:rPr>
          <w:rFonts w:ascii="Arial" w:cs="Arial" w:eastAsia="Arial" w:hAnsi="Arial"/>
          <w:sz w:val="18"/>
          <w:szCs w:val="18"/>
          <w:color w:val="auto"/>
        </w:rPr>
        <w:t>” beginning on page [</w:t>
      </w:r>
      <w:hyperlink w:anchor="page188">
        <w:r>
          <w:rPr>
            <w:rFonts w:ascii="Arial" w:cs="Arial" w:eastAsia="Arial" w:hAnsi="Arial"/>
            <w:sz w:val="18"/>
            <w:szCs w:val="18"/>
            <w:u w:val="single" w:color="auto"/>
            <w:color w:val="0000EE"/>
          </w:rPr>
          <w:t>171</w:t>
        </w:r>
      </w:hyperlink>
      <w:r>
        <w:rPr>
          <w:rFonts w:ascii="Arial" w:cs="Arial" w:eastAsia="Arial" w:hAnsi="Arial"/>
          <w:sz w:val="18"/>
          <w:szCs w:val="18"/>
          <w:color w:val="auto"/>
        </w:rPr>
        <w:t>] for a more detailed discussion of the U.S. federal income tax considerations related to the merger.</w:t>
      </w:r>
    </w:p>
    <w:p>
      <w:pPr>
        <w:spacing w:after="0" w:line="17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is the merger expected to be completed?</w:t>
      </w:r>
    </w:p>
    <w:p>
      <w:pPr>
        <w:spacing w:after="0" w:line="121" w:lineRule="exact"/>
        <w:rPr>
          <w:sz w:val="20"/>
          <w:szCs w:val="20"/>
          <w:color w:val="auto"/>
        </w:rPr>
      </w:pPr>
    </w:p>
    <w:p>
      <w:pPr>
        <w:jc w:val="both"/>
        <w:ind w:left="640" w:right="299" w:hanging="348"/>
        <w:spacing w:after="0" w:line="271" w:lineRule="auto"/>
        <w:tabs>
          <w:tab w:leader="none" w:pos="64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Subject to receipt of required regulatory approvals and satisfaction or waiver of the other conditions to completion of the merger, ICON and PRA expect that the merger will be completed in July 2021. The merger agreement provides that in no event will the merger be completed prior to July 1, 2021. Neither PRA nor ICON can predict the actual date on which the merger will be completed, or if the merger will be completed at all, because completion is subject to conditions and factors outside the control of both companies. See the sections entitled “</w:t>
      </w:r>
      <w:r>
        <w:rPr>
          <w:rFonts w:ascii="Arial" w:cs="Arial" w:eastAsia="Arial" w:hAnsi="Arial"/>
          <w:sz w:val="17"/>
          <w:szCs w:val="17"/>
          <w:b w:val="1"/>
          <w:bCs w:val="1"/>
          <w:color w:val="auto"/>
        </w:rPr>
        <w:t>The Merger</w:t>
      </w:r>
      <w:r>
        <w:rPr>
          <w:rFonts w:ascii="Arial" w:cs="Arial" w:eastAsia="Arial" w:hAnsi="Arial"/>
          <w:sz w:val="17"/>
          <w:szCs w:val="17"/>
          <w:color w:val="auto"/>
        </w:rPr>
        <w:t>—</w:t>
      </w:r>
      <w:r>
        <w:rPr>
          <w:rFonts w:ascii="Arial" w:cs="Arial" w:eastAsia="Arial" w:hAnsi="Arial"/>
          <w:sz w:val="17"/>
          <w:szCs w:val="17"/>
          <w:b w:val="1"/>
          <w:bCs w:val="1"/>
          <w:color w:val="auto"/>
        </w:rPr>
        <w:t>Reasonable Best Efforts and Regulatory Approvals</w:t>
      </w:r>
      <w:r>
        <w:rPr>
          <w:rFonts w:ascii="Arial" w:cs="Arial" w:eastAsia="Arial" w:hAnsi="Arial"/>
          <w:sz w:val="17"/>
          <w:szCs w:val="17"/>
          <w:color w:val="auto"/>
        </w:rPr>
        <w:t>” beginning on page [</w:t>
      </w:r>
      <w:hyperlink w:anchor="page128">
        <w:r>
          <w:rPr>
            <w:rFonts w:ascii="Arial" w:cs="Arial" w:eastAsia="Arial" w:hAnsi="Arial"/>
            <w:sz w:val="17"/>
            <w:szCs w:val="17"/>
            <w:u w:val="single" w:color="auto"/>
            <w:color w:val="0000EE"/>
          </w:rPr>
          <w:t>111</w:t>
        </w:r>
      </w:hyperlink>
      <w:r>
        <w:rPr>
          <w:rFonts w:ascii="Arial" w:cs="Arial" w:eastAsia="Arial" w:hAnsi="Arial"/>
          <w:sz w:val="17"/>
          <w:szCs w:val="17"/>
          <w:color w:val="auto"/>
        </w:rPr>
        <w:t>] and “</w:t>
      </w:r>
      <w:r>
        <w:rPr>
          <w:rFonts w:ascii="Arial" w:cs="Arial" w:eastAsia="Arial" w:hAnsi="Arial"/>
          <w:sz w:val="17"/>
          <w:szCs w:val="17"/>
          <w:b w:val="1"/>
          <w:bCs w:val="1"/>
          <w:color w:val="auto"/>
        </w:rPr>
        <w:t>Risk Factors</w:t>
      </w:r>
      <w:r>
        <w:rPr>
          <w:rFonts w:ascii="Arial" w:cs="Arial" w:eastAsia="Arial" w:hAnsi="Arial"/>
          <w:sz w:val="17"/>
          <w:szCs w:val="17"/>
          <w:color w:val="auto"/>
        </w:rPr>
        <w:t>—</w:t>
      </w:r>
      <w:r>
        <w:rPr>
          <w:rFonts w:ascii="Arial" w:cs="Arial" w:eastAsia="Arial" w:hAnsi="Arial"/>
          <w:sz w:val="17"/>
          <w:szCs w:val="17"/>
          <w:b w:val="1"/>
          <w:bCs w:val="1"/>
          <w:color w:val="auto"/>
        </w:rPr>
        <w:t>Risks Relating to the Merger</w:t>
      </w:r>
      <w:r>
        <w:rPr>
          <w:rFonts w:ascii="Arial" w:cs="Arial" w:eastAsia="Arial" w:hAnsi="Arial"/>
          <w:sz w:val="17"/>
          <w:szCs w:val="17"/>
          <w:color w:val="auto"/>
        </w:rPr>
        <w:t>—</w:t>
      </w:r>
      <w:r>
        <w:rPr>
          <w:rFonts w:ascii="Arial" w:cs="Arial" w:eastAsia="Arial" w:hAnsi="Arial"/>
          <w:sz w:val="17"/>
          <w:szCs w:val="17"/>
          <w:b w:val="1"/>
          <w:bCs w:val="1"/>
          <w:color w:val="auto"/>
        </w:rPr>
        <w:t>There is no assurance when or if the merger will be</w:t>
      </w:r>
      <w:r>
        <w:rPr>
          <w:rFonts w:ascii="Arial" w:cs="Arial" w:eastAsia="Arial" w:hAnsi="Arial"/>
          <w:sz w:val="17"/>
          <w:szCs w:val="17"/>
          <w:color w:val="auto"/>
        </w:rPr>
        <w:t xml:space="preserve"> </w:t>
      </w:r>
      <w:r>
        <w:rPr>
          <w:rFonts w:ascii="Arial" w:cs="Arial" w:eastAsia="Arial" w:hAnsi="Arial"/>
          <w:sz w:val="17"/>
          <w:szCs w:val="17"/>
          <w:b w:val="1"/>
          <w:bCs w:val="1"/>
          <w:color w:val="auto"/>
        </w:rPr>
        <w:t>completed</w:t>
      </w:r>
      <w:r>
        <w:rPr>
          <w:rFonts w:ascii="Arial" w:cs="Arial" w:eastAsia="Arial" w:hAnsi="Arial"/>
          <w:sz w:val="17"/>
          <w:szCs w:val="17"/>
          <w:color w:val="auto"/>
        </w:rPr>
        <w:t>” beginning on page [</w:t>
      </w:r>
      <w:hyperlink w:anchor="page51">
        <w:r>
          <w:rPr>
            <w:rFonts w:ascii="Arial" w:cs="Arial" w:eastAsia="Arial" w:hAnsi="Arial"/>
            <w:sz w:val="17"/>
            <w:szCs w:val="17"/>
            <w:u w:val="single" w:color="auto"/>
            <w:color w:val="0000EE"/>
          </w:rPr>
          <w:t>34</w:t>
        </w:r>
      </w:hyperlink>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conditions to the completion of the merger?</w:t>
      </w:r>
    </w:p>
    <w:p>
      <w:pPr>
        <w:spacing w:after="0" w:line="121" w:lineRule="exact"/>
        <w:rPr>
          <w:rFonts w:ascii="Arial" w:cs="Arial" w:eastAsia="Arial" w:hAnsi="Arial"/>
          <w:sz w:val="17"/>
          <w:szCs w:val="17"/>
          <w:color w:val="auto"/>
        </w:rPr>
      </w:pPr>
    </w:p>
    <w:p>
      <w:pPr>
        <w:jc w:val="both"/>
        <w:ind w:left="640" w:right="319" w:hanging="348"/>
        <w:spacing w:after="0" w:line="301"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addition to approval of the PRA merger agreement proposal by PRA stockholders and approval of the ICON share issuance proposal by ICON shareholders, completion of the merger is subject to the satisfaction or waiver of a number of other conditions, including the receipt of certain regulatory clearances. See the section entitled “</w:t>
      </w:r>
      <w:r>
        <w:rPr>
          <w:rFonts w:ascii="Arial" w:cs="Arial" w:eastAsia="Arial" w:hAnsi="Arial"/>
          <w:sz w:val="16"/>
          <w:szCs w:val="16"/>
          <w:b w:val="1"/>
          <w:bCs w:val="1"/>
          <w:color w:val="auto"/>
        </w:rPr>
        <w:t>The Merger Agreement</w:t>
      </w:r>
      <w:r>
        <w:rPr>
          <w:rFonts w:ascii="Arial" w:cs="Arial" w:eastAsia="Arial" w:hAnsi="Arial"/>
          <w:sz w:val="16"/>
          <w:szCs w:val="16"/>
          <w:color w:val="auto"/>
        </w:rPr>
        <w:t>—</w:t>
      </w:r>
      <w:r>
        <w:rPr>
          <w:rFonts w:ascii="Arial" w:cs="Arial" w:eastAsia="Arial" w:hAnsi="Arial"/>
          <w:sz w:val="16"/>
          <w:szCs w:val="16"/>
          <w:b w:val="1"/>
          <w:bCs w:val="1"/>
          <w:color w:val="auto"/>
        </w:rPr>
        <w:t>Conditions to the Completion of the Merger</w:t>
      </w:r>
      <w:r>
        <w:rPr>
          <w:rFonts w:ascii="Arial" w:cs="Arial" w:eastAsia="Arial" w:hAnsi="Arial"/>
          <w:sz w:val="16"/>
          <w:szCs w:val="16"/>
          <w:color w:val="auto"/>
        </w:rPr>
        <w:t>” beginning on page [</w:t>
      </w:r>
      <w:hyperlink w:anchor="page157">
        <w:r>
          <w:rPr>
            <w:rFonts w:ascii="Arial" w:cs="Arial" w:eastAsia="Arial" w:hAnsi="Arial"/>
            <w:sz w:val="16"/>
            <w:szCs w:val="16"/>
            <w:u w:val="single" w:color="auto"/>
            <w:color w:val="0000EE"/>
          </w:rPr>
          <w:t>140</w:t>
        </w:r>
      </w:hyperlink>
      <w:r>
        <w:rPr>
          <w:rFonts w:ascii="Arial" w:cs="Arial" w:eastAsia="Arial" w:hAnsi="Arial"/>
          <w:sz w:val="16"/>
          <w:szCs w:val="16"/>
          <w:color w:val="auto"/>
        </w:rPr>
        <w:t>].</w:t>
      </w:r>
    </w:p>
    <w:p>
      <w:pPr>
        <w:spacing w:after="0" w:line="153" w:lineRule="exact"/>
        <w:rPr>
          <w:rFonts w:ascii="Arial" w:cs="Arial" w:eastAsia="Arial" w:hAnsi="Arial"/>
          <w:sz w:val="17"/>
          <w:szCs w:val="17"/>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effect will the merger have on PRA and ICON?</w:t>
      </w:r>
    </w:p>
    <w:p>
      <w:pPr>
        <w:spacing w:after="0" w:line="121" w:lineRule="exact"/>
        <w:rPr>
          <w:rFonts w:ascii="Arial" w:cs="Arial" w:eastAsia="Arial" w:hAnsi="Arial"/>
          <w:sz w:val="17"/>
          <w:szCs w:val="17"/>
          <w:color w:val="auto"/>
        </w:rPr>
      </w:pPr>
    </w:p>
    <w:p>
      <w:pPr>
        <w:jc w:val="both"/>
        <w:ind w:left="640" w:right="299" w:hanging="348"/>
        <w:spacing w:after="0" w:line="271"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merger is structured as a “reverse triangular merger,” in which Merger Sub, a wholly owned subsidiary of ICON and US HoldCo, will merge with and into PRA, with PRA surviving the merger as a wholly owned subsidiary of ICON and US HoldCo. Upon consummation of the merger, PRA will no longer be a public company and its shares will be delisted from Nasdaq, deregistered under the Exchange Act and cease to be publicly traded. PRA stockholders will receive merger consideration consisting of cash consideration and share consideration in the merger. ICON ordinary shares will continue to be listed on Nasdaq and trade under the symbol “ICLR”, will continue to be registered under the Exchange Act, and ICON will continue to be subject to its reporting obligations under the Exchange Act.</w:t>
      </w:r>
    </w:p>
    <w:p>
      <w:pPr>
        <w:spacing w:after="0" w:line="174" w:lineRule="exact"/>
        <w:rPr>
          <w:rFonts w:ascii="Arial" w:cs="Arial" w:eastAsia="Arial" w:hAnsi="Arial"/>
          <w:sz w:val="17"/>
          <w:szCs w:val="17"/>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the merger is not completed?</w:t>
      </w:r>
    </w:p>
    <w:p>
      <w:pPr>
        <w:spacing w:after="0" w:line="121" w:lineRule="exact"/>
        <w:rPr>
          <w:rFonts w:ascii="Arial" w:cs="Arial" w:eastAsia="Arial" w:hAnsi="Arial"/>
          <w:sz w:val="17"/>
          <w:szCs w:val="17"/>
          <w:color w:val="auto"/>
        </w:rPr>
      </w:pPr>
    </w:p>
    <w:p>
      <w:pPr>
        <w:jc w:val="both"/>
        <w:ind w:left="640" w:right="299" w:hanging="348"/>
        <w:spacing w:after="0" w:line="271"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merger is not completed, PRA stockholders will not receive any consideration for their shares of PRA common stock. Instead, PRA and ICON will remain independent public companies and their shares of common stock or ordinary shares, respectively, will continue to be listed and traded separately on Nasdaq. If the merger agreement is terminated under specified circumstances, PRA may be required to pay ICON and US HoldCo a termination fee of $277,000,000 or an expense reimbursement of $100,000,000, or ICON and US HoldCo may be required to pay PRA a termination fee of $388,000,000 or an expense reimbursement of $120,000,000. See the section entitled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w:t>
      </w:r>
      <w:r>
        <w:rPr>
          <w:rFonts w:ascii="Arial" w:cs="Arial" w:eastAsia="Arial" w:hAnsi="Arial"/>
          <w:sz w:val="17"/>
          <w:szCs w:val="17"/>
          <w:b w:val="1"/>
          <w:bCs w:val="1"/>
          <w:color w:val="auto"/>
        </w:rPr>
        <w:t>Termination Fees</w:t>
      </w:r>
      <w:r>
        <w:rPr>
          <w:rFonts w:ascii="Arial" w:cs="Arial" w:eastAsia="Arial" w:hAnsi="Arial"/>
          <w:sz w:val="17"/>
          <w:szCs w:val="17"/>
          <w:color w:val="auto"/>
        </w:rPr>
        <w:t>” beginning on page [</w:t>
      </w:r>
      <w:hyperlink w:anchor="page159">
        <w:r>
          <w:rPr>
            <w:rFonts w:ascii="Arial" w:cs="Arial" w:eastAsia="Arial" w:hAnsi="Arial"/>
            <w:sz w:val="17"/>
            <w:szCs w:val="17"/>
            <w:u w:val="single" w:color="auto"/>
            <w:color w:val="0000EE"/>
          </w:rPr>
          <w:t>142</w:t>
        </w:r>
      </w:hyperlink>
      <w:r>
        <w:rPr>
          <w:rFonts w:ascii="Arial" w:cs="Arial" w:eastAsia="Arial" w:hAnsi="Arial"/>
          <w:sz w:val="17"/>
          <w:szCs w:val="17"/>
          <w:color w:val="auto"/>
        </w:rPr>
        <w:t>] for a more detailed discussion of the termination fees.</w:t>
      </w:r>
    </w:p>
    <w:p>
      <w:pPr>
        <w:spacing w:after="0" w:line="174" w:lineRule="exact"/>
        <w:rPr>
          <w:rFonts w:ascii="Arial" w:cs="Arial" w:eastAsia="Arial" w:hAnsi="Arial"/>
          <w:sz w:val="17"/>
          <w:szCs w:val="17"/>
          <w:color w:val="auto"/>
        </w:rPr>
      </w:pPr>
    </w:p>
    <w:p>
      <w:pPr>
        <w:ind w:left="640" w:right="799" w:hanging="348"/>
        <w:spacing w:after="0" w:line="282" w:lineRule="auto"/>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respective equity stakes will ICON shareholders and PRA stockholders hold in the combined company immediately following the merger?</w:t>
      </w:r>
    </w:p>
    <w:p>
      <w:pPr>
        <w:spacing w:after="0" w:line="58" w:lineRule="exact"/>
        <w:rPr>
          <w:rFonts w:ascii="Arial" w:cs="Arial" w:eastAsia="Arial" w:hAnsi="Arial"/>
          <w:sz w:val="17"/>
          <w:szCs w:val="17"/>
          <w:color w:val="auto"/>
        </w:rPr>
      </w:pPr>
    </w:p>
    <w:p>
      <w:pPr>
        <w:ind w:left="640" w:right="319" w:hanging="348"/>
        <w:spacing w:after="0" w:line="342"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the number of ICON ordinary shares and PRA common stock outstanding on February 23, 2021, and the exchange ratio of 0.4125, ICON and PRA estimate that, immediately following completion of the merger,</w:t>
      </w:r>
    </w:p>
    <w:p>
      <w:pPr>
        <w:sectPr>
          <w:pgSz w:w="11900" w:h="16838" w:orient="portrait"/>
          <w:cols w:equalWidth="0" w:num="1">
            <w:col w:w="9019"/>
          </w:cols>
          <w:pgMar w:left="1440" w:top="265" w:right="1440" w:bottom="1440" w:gutter="0" w:footer="0" w:header="0"/>
        </w:sectPr>
      </w:pPr>
    </w:p>
    <w:p>
      <w:pPr>
        <w:spacing w:after="0" w:line="12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former PRA stockholders will hold, in the aggregate, approximately 34% of the issued and outstanding shares of ICON, and ICON shareholders as of immediately prior to the completion of the merger will hold, in the aggregate, approximately 66% of the issued and outstanding ordinary shares of ICON. The exact equity stake of current ICON shareholders and former PRA stockholders in the combined company immediately following the merger will depend on the number of ICON ordinary shares and PRA common stock issued and outstanding immediately prior to the merger.</w:t>
      </w:r>
    </w:p>
    <w:p>
      <w:pPr>
        <w:spacing w:after="0" w:line="18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and in its entirety, including the annexes, and return your completed, signed and dated proxy card(s) by mail in the enclosed envelope or submit your voting instructions by telephone or over the Internet as soon as possible so that your shares will be voted in accordance with your instructions.</w:t>
      </w:r>
    </w:p>
    <w:p>
      <w:pPr>
        <w:spacing w:after="0" w:line="74" w:lineRule="exact"/>
        <w:rPr>
          <w:rFonts w:ascii="Arial" w:cs="Arial" w:eastAsia="Arial" w:hAnsi="Arial"/>
          <w:sz w:val="18"/>
          <w:szCs w:val="18"/>
          <w:color w:val="auto"/>
        </w:rPr>
      </w:pPr>
    </w:p>
    <w:p>
      <w:pPr>
        <w:jc w:val="both"/>
        <w:ind w:left="660" w:right="299"/>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Please do not submit your PRA stock certificates at this time. If the merger is completed, you will receive instructions for surrendering your PRA stock certificates in exchange for ICON ordinary shares from the exchange agent. More information may be found in the sections entitled “The Merger—Exchange of Shares” beginning on page [</w:t>
      </w:r>
      <w:hyperlink w:anchor="page131">
        <w:r>
          <w:rPr>
            <w:rFonts w:ascii="Arial" w:cs="Arial" w:eastAsia="Arial" w:hAnsi="Arial"/>
            <w:sz w:val="18"/>
            <w:szCs w:val="18"/>
            <w:b w:val="1"/>
            <w:bCs w:val="1"/>
            <w:u w:val="single" w:color="auto"/>
            <w:color w:val="0000EE"/>
          </w:rPr>
          <w:t>114</w:t>
        </w:r>
      </w:hyperlink>
      <w:r>
        <w:rPr>
          <w:rFonts w:ascii="Arial" w:cs="Arial" w:eastAsia="Arial" w:hAnsi="Arial"/>
          <w:sz w:val="18"/>
          <w:szCs w:val="18"/>
          <w:b w:val="1"/>
          <w:bCs w:val="1"/>
          <w:color w:val="auto"/>
        </w:rPr>
        <w:t>] and “The Merger Agreement—Exchange of Shares” beginning on page [</w:t>
      </w:r>
      <w:hyperlink w:anchor="page134">
        <w:r>
          <w:rPr>
            <w:rFonts w:ascii="Arial" w:cs="Arial" w:eastAsia="Arial" w:hAnsi="Arial"/>
            <w:sz w:val="18"/>
            <w:szCs w:val="18"/>
            <w:b w:val="1"/>
            <w:bCs w:val="1"/>
            <w:u w:val="single" w:color="auto"/>
            <w:color w:val="0000EE"/>
          </w:rPr>
          <w:t>117</w:t>
        </w:r>
      </w:hyperlink>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should I contact if I have any questions about the proxy materials or voting?</w:t>
      </w:r>
    </w:p>
    <w:p>
      <w:pPr>
        <w:spacing w:after="0" w:line="121" w:lineRule="exact"/>
        <w:rPr>
          <w:rFonts w:ascii="Arial" w:cs="Arial" w:eastAsia="Arial" w:hAnsi="Arial"/>
          <w:sz w:val="18"/>
          <w:szCs w:val="18"/>
          <w:color w:val="auto"/>
        </w:rPr>
      </w:pPr>
    </w:p>
    <w:p>
      <w:pPr>
        <w:jc w:val="both"/>
        <w:ind w:left="640" w:right="299" w:hanging="348"/>
        <w:spacing w:after="0" w:line="286" w:lineRule="auto"/>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you have any questions about the proxy materials or if you need assistance submitting your proxy or voting your shares or need additional copies of this joint proxy statement/prospectus or the enclosed proxy card, you should contact the proxy solicitation agent for the company in which you hold shares.</w:t>
      </w:r>
    </w:p>
    <w:p>
      <w:pPr>
        <w:spacing w:after="0" w:line="57" w:lineRule="exact"/>
        <w:rPr>
          <w:rFonts w:ascii="Arial" w:cs="Arial" w:eastAsia="Arial" w:hAnsi="Arial"/>
          <w:sz w:val="17"/>
          <w:szCs w:val="17"/>
          <w:color w:val="auto"/>
        </w:rPr>
      </w:pPr>
    </w:p>
    <w:p>
      <w:pPr>
        <w:jc w:val="both"/>
        <w:ind w:left="660" w:right="299"/>
        <w:spacing w:after="0" w:line="263" w:lineRule="auto"/>
        <w:rPr>
          <w:rFonts w:ascii="Arial" w:cs="Arial" w:eastAsia="Arial" w:hAnsi="Arial"/>
          <w:sz w:val="17"/>
          <w:szCs w:val="17"/>
          <w:color w:val="auto"/>
        </w:rPr>
      </w:pPr>
      <w:r>
        <w:rPr>
          <w:rFonts w:ascii="Arial" w:cs="Arial" w:eastAsia="Arial" w:hAnsi="Arial"/>
          <w:sz w:val="18"/>
          <w:szCs w:val="18"/>
          <w:color w:val="auto"/>
        </w:rPr>
        <w:t>PRA stockholders should contact MacKenzie Partners, Inc., the proxy solicitation agent for PRA, at 1407 Broadway, New York, NY 10018. PRA stockholders may call MacKenzie collect at 1-212-929-5500 or toll-free at 1-800-322-2885.</w:t>
      </w:r>
    </w:p>
    <w:p>
      <w:pPr>
        <w:spacing w:after="0" w:line="75" w:lineRule="exact"/>
        <w:rPr>
          <w:rFonts w:ascii="Arial" w:cs="Arial" w:eastAsia="Arial" w:hAnsi="Arial"/>
          <w:sz w:val="17"/>
          <w:szCs w:val="17"/>
          <w:color w:val="auto"/>
        </w:rPr>
      </w:pPr>
    </w:p>
    <w:p>
      <w:pPr>
        <w:jc w:val="both"/>
        <w:ind w:left="660" w:right="299"/>
        <w:spacing w:after="0" w:line="263" w:lineRule="auto"/>
        <w:rPr>
          <w:rFonts w:ascii="Arial" w:cs="Arial" w:eastAsia="Arial" w:hAnsi="Arial"/>
          <w:sz w:val="17"/>
          <w:szCs w:val="17"/>
          <w:color w:val="auto"/>
        </w:rPr>
      </w:pPr>
      <w:r>
        <w:rPr>
          <w:rFonts w:ascii="Arial" w:cs="Arial" w:eastAsia="Arial" w:hAnsi="Arial"/>
          <w:sz w:val="18"/>
          <w:szCs w:val="18"/>
          <w:color w:val="auto"/>
        </w:rPr>
        <w:t>ICON shareholders should contact Georgeson LLC, the proxy solicitation agent for ICON, at 1290 Avenue of the Americas, 9th Floor, New York, NY 10104. ICON shareholders may call Georgeson at 1-866-295-4321 (toll-free within the United States) or at 1-781-575-2137 (outside the United States).</w:t>
      </w:r>
    </w:p>
    <w:p>
      <w:pPr>
        <w:spacing w:after="0" w:line="180"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more information about PRA and ICON?</w:t>
      </w:r>
    </w:p>
    <w:p>
      <w:pPr>
        <w:spacing w:after="0" w:line="121" w:lineRule="exact"/>
        <w:rPr>
          <w:rFonts w:ascii="Arial" w:cs="Arial" w:eastAsia="Arial" w:hAnsi="Arial"/>
          <w:sz w:val="18"/>
          <w:szCs w:val="18"/>
          <w:color w:val="auto"/>
        </w:rPr>
      </w:pPr>
    </w:p>
    <w:p>
      <w:pPr>
        <w:ind w:left="640" w:right="319" w:hanging="348"/>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You can find more information about PRA and ICON from the various sources described under the section entitled “</w:t>
      </w:r>
      <w:r>
        <w:rPr>
          <w:rFonts w:ascii="Arial" w:cs="Arial" w:eastAsia="Arial" w:hAnsi="Arial"/>
          <w:sz w:val="18"/>
          <w:szCs w:val="18"/>
          <w:b w:val="1"/>
          <w:bCs w:val="1"/>
          <w:color w:val="auto"/>
        </w:rPr>
        <w:t>Where You Can Find More Information</w:t>
      </w:r>
      <w:r>
        <w:rPr>
          <w:rFonts w:ascii="Arial" w:cs="Arial" w:eastAsia="Arial" w:hAnsi="Arial"/>
          <w:sz w:val="18"/>
          <w:szCs w:val="18"/>
          <w:color w:val="auto"/>
        </w:rPr>
        <w:t>” beginning on page [</w:t>
      </w:r>
      <w:hyperlink w:anchor="page235">
        <w:r>
          <w:rPr>
            <w:rFonts w:ascii="Arial" w:cs="Arial" w:eastAsia="Arial" w:hAnsi="Arial"/>
            <w:sz w:val="18"/>
            <w:szCs w:val="18"/>
            <w:u w:val="single" w:color="auto"/>
            <w:color w:val="0000EE"/>
          </w:rPr>
          <w:t>218</w:t>
        </w:r>
      </w:hyperlink>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Are there other things I should know if I intend to attend the ICON EGM?</w:t>
      </w:r>
    </w:p>
    <w:p>
      <w:pPr>
        <w:spacing w:after="0" w:line="121" w:lineRule="exact"/>
        <w:rPr>
          <w:rFonts w:ascii="Arial" w:cs="Arial" w:eastAsia="Arial" w:hAnsi="Arial"/>
          <w:sz w:val="18"/>
          <w:szCs w:val="18"/>
          <w:color w:val="auto"/>
        </w:rPr>
      </w:pPr>
    </w:p>
    <w:p>
      <w:pPr>
        <w:jc w:val="both"/>
        <w:ind w:left="640" w:right="299" w:hanging="348"/>
        <w:spacing w:after="0" w:line="259"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ICON encourages stockholders and shareholders to vote by Internet, by mail or by telephone, rather than attend the ICON EGM in person in light of the public health concerns related to COVID-19. Please refer to the section entitled “</w:t>
      </w:r>
      <w:r>
        <w:rPr>
          <w:rFonts w:ascii="Arial" w:cs="Arial" w:eastAsia="Arial" w:hAnsi="Arial"/>
          <w:sz w:val="18"/>
          <w:szCs w:val="18"/>
          <w:b w:val="1"/>
          <w:bCs w:val="1"/>
          <w:color w:val="auto"/>
        </w:rPr>
        <w:t>The ICON Extraordinary General Meeting—Attending the ICON EGM</w:t>
      </w:r>
      <w:r>
        <w:rPr>
          <w:rFonts w:ascii="Arial" w:cs="Arial" w:eastAsia="Arial" w:hAnsi="Arial"/>
          <w:sz w:val="18"/>
          <w:szCs w:val="18"/>
          <w:color w:val="auto"/>
        </w:rPr>
        <w:t>” beginning on page [</w:t>
      </w:r>
      <w:hyperlink w:anchor="page70">
        <w:r>
          <w:rPr>
            <w:rFonts w:ascii="Arial" w:cs="Arial" w:eastAsia="Arial" w:hAnsi="Arial"/>
            <w:sz w:val="18"/>
            <w:szCs w:val="18"/>
            <w:u w:val="single" w:color="auto"/>
            <w:color w:val="0000EE"/>
          </w:rPr>
          <w:t>53</w:t>
        </w:r>
      </w:hyperlink>
      <w:r>
        <w:rPr>
          <w:rFonts w:ascii="Arial" w:cs="Arial" w:eastAsia="Arial" w:hAnsi="Arial"/>
          <w:sz w:val="18"/>
          <w:szCs w:val="18"/>
          <w:color w:val="auto"/>
        </w:rPr>
        <w:t>] for more information.</w:t>
      </w:r>
    </w:p>
    <w:p>
      <w:pPr>
        <w:spacing w:after="0" w:line="18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45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83451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firstLine="360"/>
        <w:spacing w:after="0" w:line="270" w:lineRule="auto"/>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For your convenience, provided below is a brief summary of certain information contained in this joint proxy statement/prospectus. This summary highlights selected information from this joint proxy statement/prospectus and does not contain all of the information that may be important to you as an ICON shareholder or a PRA stockholder. To understand the merger fully and for a more complete description of the terms of the merger agreement, you should read carefully this entire joint proxy statement/prospectus, the annexes hereto and the other documents incorporated herein by reference. Items in this summary include a page reference directing you to a more complete description of those items. You may obtain the information incorporated by reference into this joint proxy statement/prospectus without charge by following the instructions under the section entitled “</w:t>
      </w:r>
      <w:r>
        <w:rPr>
          <w:rFonts w:ascii="Arial" w:cs="Arial" w:eastAsia="Arial" w:hAnsi="Arial"/>
          <w:sz w:val="17"/>
          <w:szCs w:val="17"/>
          <w:b w:val="1"/>
          <w:bCs w:val="1"/>
          <w:i w:val="1"/>
          <w:iCs w:val="1"/>
          <w:color w:val="auto"/>
        </w:rPr>
        <w:t>Where You Can Find</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More Information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beginning on page [</w:t>
      </w:r>
      <w:hyperlink w:anchor="page235">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p>
    <w:p>
      <w:pPr>
        <w:spacing w:after="0" w:line="17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Parties to the Merger (Page [</w:t>
      </w:r>
      <w:hyperlink w:anchor="page65">
        <w:r>
          <w:rPr>
            <w:rFonts w:ascii="Arial" w:cs="Arial" w:eastAsia="Arial" w:hAnsi="Arial"/>
            <w:sz w:val="18"/>
            <w:szCs w:val="18"/>
            <w:b w:val="1"/>
            <w:bCs w:val="1"/>
            <w:u w:val="single" w:color="auto"/>
            <w:color w:val="0000EE"/>
          </w:rPr>
          <w:t>48</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ICON plc</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ICON plc is a clinical research organization, founded in Dublin, Ireland in 1990. Over thirty years ICON has grown significantly to become a leading global provider of outsourced development and commercialization services to pharmaceutical, biotechnology, medical device and government and public health organizations. ICON’s mission is to help its clients to accelerate the development of drugs and devices that save lives and improve quality of life. ICON is a public limited company incorporated in Ireland and operates under the Irish Companies Act 2014. ICON’s principal executive office is located at South County Business Park, Leopardstown, Dublin 18, Ireland and its telephone number is +353 1 2912000.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ICON US Holdings Inc.</w:t>
      </w:r>
    </w:p>
    <w:p>
      <w:pPr>
        <w:spacing w:after="0" w:line="117"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ICON US Holdings Inc. is a Delaware corporation and a wholly owned subsidiary of ICON. US HoldCo was formed in 2013 and acts primarily as a holding company for ICON’s US subsidiaries. US HoldCo’s principal executive office is located at 2100 Pennbrook Parkway, North Wales, PA 19454, United States and its telephone number is +1 215-616-3000.</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Indigo Merger Sub, Inc.</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Indigo Merger Sub, Inc., a Delaware corporation and a wholly owned subsidiary of ICON and US HoldCo, was formed solely for the purpose of facilitating the merger. Merger Sub has not carried on any activities or operations to date, except for those activities incidental to its formation and undertaken in connection with the merger and the other transactions contemplated by the merger agreement. By operation of the merger, Merger Sub will be merged with and into PRA, with PRA surviving the merger as a wholly owned subsidiary of ICON and US HoldCo. Merger Sub’s principal executive office is located at 2100 Pennbrook Parkway, North Wales, PA 19454, United States and its telephone number is +1 215-616-3000.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Health Sciences, Inc.</w:t>
      </w:r>
    </w:p>
    <w:p>
      <w:pPr>
        <w:spacing w:after="0" w:line="117"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PRA Health Sciences, Inc.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more than 17,500 employees worldwide. Since 2000, PRA has participated in approximately 4,000 clinical trials worldwide. In addition, PRA has participated in the pivotal or supportive trials that led to U.S. Food and Drug Administration or international regulatory approval of more than 95 drugs. PRA’s principal executive offices are located at 4130 ParkLake Avenue, Suite 400, Raleigh, North Carolina 27612, United States and its telephone number is +1 919-786-8200.</w:t>
      </w:r>
    </w:p>
    <w:p>
      <w:pPr>
        <w:spacing w:after="0" w:line="174"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Merger and the Merger Agreement (Page [</w:t>
      </w:r>
      <w:hyperlink w:anchor="page83">
        <w:r>
          <w:rPr>
            <w:rFonts w:ascii="Arial" w:cs="Arial" w:eastAsia="Arial" w:hAnsi="Arial"/>
            <w:sz w:val="18"/>
            <w:szCs w:val="18"/>
            <w:b w:val="1"/>
            <w:bCs w:val="1"/>
            <w:u w:val="single" w:color="auto"/>
            <w:color w:val="0000EE"/>
          </w:rPr>
          <w:t>66</w:t>
        </w:r>
      </w:hyperlink>
      <w:r>
        <w:rPr>
          <w:rFonts w:ascii="Arial" w:cs="Arial" w:eastAsia="Arial" w:hAnsi="Arial"/>
          <w:sz w:val="18"/>
          <w:szCs w:val="18"/>
          <w:b w:val="1"/>
          <w:bCs w:val="1"/>
          <w:color w:val="auto"/>
        </w:rPr>
        <w:t>] and [</w:t>
      </w:r>
      <w:hyperlink w:anchor="page133">
        <w:r>
          <w:rPr>
            <w:rFonts w:ascii="Arial" w:cs="Arial" w:eastAsia="Arial" w:hAnsi="Arial"/>
            <w:sz w:val="18"/>
            <w:szCs w:val="18"/>
            <w:b w:val="1"/>
            <w:bCs w:val="1"/>
            <w:u w:val="single" w:color="auto"/>
            <w:color w:val="0000EE"/>
          </w:rPr>
          <w:t>116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 xml:space="preserve">The terms and conditions of the merger are contained in the merger agreement, a copy of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 You are encouraged to read the merger agreement carefully and in its entirety, as it is the primary legal document that governs the merger.</w:t>
      </w:r>
    </w:p>
    <w:p>
      <w:pPr>
        <w:spacing w:after="0" w:line="76"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PRA. At the effective time, the separate existence of Merger Sub will cease, and PRA will be the surviving corporation and a wholly owned subsidiary of ICON and US HoldCo. Following the merger, PRA common stock will be delisted from Nasdaq, deregistered under the Exchange Act and will cease to be publicly traded.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13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3405" cy="84137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Merger Consideration (Page [</w:t>
      </w:r>
      <w:hyperlink w:anchor="page83">
        <w:r>
          <w:rPr>
            <w:rFonts w:ascii="Arial" w:cs="Arial" w:eastAsia="Arial" w:hAnsi="Arial"/>
            <w:sz w:val="18"/>
            <w:szCs w:val="18"/>
            <w:b w:val="1"/>
            <w:bCs w:val="1"/>
            <w:u w:val="single" w:color="auto"/>
            <w:color w:val="0000EE"/>
          </w:rPr>
          <w:t>66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color w:val="auto"/>
        </w:rPr>
      </w:pPr>
      <w:r>
        <w:rPr>
          <w:rFonts w:ascii="Arial" w:cs="Arial" w:eastAsia="Arial" w:hAnsi="Arial"/>
          <w:sz w:val="17"/>
          <w:szCs w:val="17"/>
          <w:color w:val="auto"/>
        </w:rPr>
        <w:t>In the merger, each share of PRA common stock (other than excluded shares, as defined in the section entitled “</w:t>
      </w:r>
      <w:r>
        <w:rPr>
          <w:rFonts w:ascii="Arial" w:cs="Arial" w:eastAsia="Arial" w:hAnsi="Arial"/>
          <w:sz w:val="17"/>
          <w:szCs w:val="17"/>
          <w:b w:val="1"/>
          <w:bCs w:val="1"/>
          <w:color w:val="auto"/>
        </w:rPr>
        <w:t>The Merger—Merger Consideration</w:t>
      </w:r>
      <w:r>
        <w:rPr>
          <w:rFonts w:ascii="Arial" w:cs="Arial" w:eastAsia="Arial" w:hAnsi="Arial"/>
          <w:sz w:val="17"/>
          <w:szCs w:val="17"/>
          <w:color w:val="auto"/>
        </w:rPr>
        <w:t>” beginning on page [</w:t>
      </w:r>
      <w:hyperlink w:anchor="page83">
        <w:r>
          <w:rPr>
            <w:rFonts w:ascii="Arial" w:cs="Arial" w:eastAsia="Arial" w:hAnsi="Arial"/>
            <w:sz w:val="17"/>
            <w:szCs w:val="17"/>
            <w:u w:val="single" w:color="auto"/>
            <w:color w:val="0000EE"/>
          </w:rPr>
          <w:t>66</w:t>
        </w:r>
      </w:hyperlink>
      <w:r>
        <w:rPr>
          <w:rFonts w:ascii="Arial" w:cs="Arial" w:eastAsia="Arial" w:hAnsi="Arial"/>
          <w:sz w:val="17"/>
          <w:szCs w:val="17"/>
          <w:color w:val="auto"/>
        </w:rPr>
        <w:t>], and dissenting shares, as defined in the section entitled “</w:t>
      </w:r>
      <w:r>
        <w:rPr>
          <w:rFonts w:ascii="Arial" w:cs="Arial" w:eastAsia="Arial" w:hAnsi="Arial"/>
          <w:sz w:val="17"/>
          <w:szCs w:val="17"/>
          <w:b w:val="1"/>
          <w:bCs w:val="1"/>
          <w:color w:val="auto"/>
        </w:rPr>
        <w:t>The Merger Agreement—Dissenting Shares</w:t>
      </w:r>
      <w:r>
        <w:rPr>
          <w:rFonts w:ascii="Arial" w:cs="Arial" w:eastAsia="Arial" w:hAnsi="Arial"/>
          <w:sz w:val="17"/>
          <w:szCs w:val="17"/>
          <w:color w:val="auto"/>
        </w:rPr>
        <w:t>” beginning on page [</w:t>
      </w:r>
      <w:hyperlink w:anchor="page136">
        <w:r>
          <w:rPr>
            <w:rFonts w:ascii="Arial" w:cs="Arial" w:eastAsia="Arial" w:hAnsi="Arial"/>
            <w:sz w:val="17"/>
            <w:szCs w:val="17"/>
            <w:u w:val="single" w:color="auto"/>
            <w:color w:val="0000EE"/>
          </w:rPr>
          <w:t>119</w:t>
        </w:r>
      </w:hyperlink>
      <w:r>
        <w:rPr>
          <w:rFonts w:ascii="Arial" w:cs="Arial" w:eastAsia="Arial" w:hAnsi="Arial"/>
          <w:sz w:val="17"/>
          <w:szCs w:val="17"/>
          <w:color w:val="auto"/>
        </w:rPr>
        <w:t>])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No fractional ICON ordinary shares will be issued upon the conversion of shares of PRA common stock pursuant to the merger agreement. Each PRA stockholder that otherwise would have been entitled to receive a fraction of a share of ICON ordinary shares will be entitled to receive cash in lieu of a fractional share. At the effective time of the merger, all excluded shares (other than subsidiary-held shares) will be cancelled and will cease to exist, and no payment will be made in respect of such shares.</w:t>
      </w:r>
    </w:p>
    <w:p>
      <w:pPr>
        <w:spacing w:after="0" w:line="74"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shareholders will continue to own the ICON ordinary shares held by them immediately prior to the merger, and such shares will not be affected by the merger.</w:t>
      </w:r>
    </w:p>
    <w:p>
      <w:pPr>
        <w:spacing w:after="0" w:line="58" w:lineRule="exact"/>
        <w:rPr>
          <w:sz w:val="20"/>
          <w:szCs w:val="20"/>
          <w:color w:val="auto"/>
        </w:rPr>
      </w:pPr>
    </w:p>
    <w:p>
      <w:pPr>
        <w:jc w:val="both"/>
        <w:ind w:left="320" w:right="279" w:firstLine="3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For more information on the exchange ratio and the merger consideration, see the sections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Merger—Merger Consideration</w:t>
      </w:r>
      <w:r>
        <w:rPr>
          <w:rFonts w:ascii="Arial" w:cs="Arial" w:eastAsia="Arial" w:hAnsi="Arial"/>
          <w:sz w:val="18"/>
          <w:szCs w:val="18"/>
          <w:color w:val="auto"/>
        </w:rPr>
        <w:t>” beginning on page [</w:t>
      </w:r>
      <w:hyperlink w:anchor="page83">
        <w:r>
          <w:rPr>
            <w:rFonts w:ascii="Arial" w:cs="Arial" w:eastAsia="Arial" w:hAnsi="Arial"/>
            <w:sz w:val="18"/>
            <w:szCs w:val="18"/>
            <w:u w:val="single" w:color="auto"/>
            <w:color w:val="0000EE"/>
          </w:rPr>
          <w:t>66</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w:t>
      </w:r>
      <w:r>
        <w:rPr>
          <w:rFonts w:ascii="Arial" w:cs="Arial" w:eastAsia="Arial" w:hAnsi="Arial"/>
          <w:sz w:val="18"/>
          <w:szCs w:val="18"/>
          <w:b w:val="1"/>
          <w:bCs w:val="1"/>
          <w:color w:val="auto"/>
        </w:rPr>
        <w:t>The Merger Agreement—Merger Consideration</w:t>
      </w:r>
      <w:r>
        <w:rPr>
          <w:rFonts w:ascii="Arial" w:cs="Arial" w:eastAsia="Arial" w:hAnsi="Arial"/>
          <w:sz w:val="18"/>
          <w:szCs w:val="18"/>
          <w:color w:val="auto"/>
        </w:rPr>
        <w:t>” beginning on page [</w:t>
      </w:r>
      <w:hyperlink w:anchor="page134">
        <w:r>
          <w:rPr>
            <w:rFonts w:ascii="Arial" w:cs="Arial" w:eastAsia="Arial" w:hAnsi="Arial"/>
            <w:sz w:val="18"/>
            <w:szCs w:val="18"/>
            <w:u w:val="single" w:color="auto"/>
            <w:color w:val="0000EE"/>
          </w:rPr>
          <w:t>117</w:t>
        </w:r>
      </w:hyperlink>
      <w:r>
        <w:rPr>
          <w:rFonts w:ascii="Arial" w:cs="Arial" w:eastAsia="Arial" w:hAnsi="Arial"/>
          <w:sz w:val="18"/>
          <w:szCs w:val="18"/>
          <w:color w:val="auto"/>
        </w:rPr>
        <w:t>].</w:t>
      </w:r>
    </w:p>
    <w:p>
      <w:pPr>
        <w:spacing w:after="0" w:line="17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Treatment of PRA Equity Awards (Page [</w:t>
      </w:r>
      <w:hyperlink w:anchor="page134">
        <w:r>
          <w:rPr>
            <w:rFonts w:ascii="Arial" w:cs="Arial" w:eastAsia="Arial" w:hAnsi="Arial"/>
            <w:sz w:val="18"/>
            <w:szCs w:val="18"/>
            <w:b w:val="1"/>
            <w:bCs w:val="1"/>
            <w:u w:val="single" w:color="auto"/>
            <w:color w:val="0000EE"/>
          </w:rPr>
          <w:t>117</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Stock Options</w:t>
      </w:r>
    </w:p>
    <w:p>
      <w:pPr>
        <w:spacing w:after="0" w:line="117"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w:t>
      </w:r>
    </w:p>
    <w:p>
      <w:pPr>
        <w:spacing w:after="0" w:line="4" w:lineRule="exact"/>
        <w:rPr>
          <w:sz w:val="20"/>
          <w:szCs w:val="20"/>
          <w:color w:val="auto"/>
        </w:rPr>
      </w:pPr>
    </w:p>
    <w:p>
      <w:pPr>
        <w:jc w:val="both"/>
        <w:ind w:left="320" w:right="279" w:hanging="10"/>
        <w:spacing w:after="0" w:line="255" w:lineRule="auto"/>
        <w:tabs>
          <w:tab w:leader="none" w:pos="5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equity award conversion ratio (rounded up to the nearest whole cent), in each case, subject to the same terms and conditions as were applicable to such PRA stock option immediately prior to the effective time (including applicable vesting conditions).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Restricted Stock</w:t>
      </w:r>
    </w:p>
    <w:p>
      <w:pPr>
        <w:spacing w:after="0" w:line="11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At the effective time, each outstanding restricted share of PRA common stock will vest at closing and be converted automatically into the right to receive the merger consideration for each such share.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Restricted Stock Units</w:t>
      </w:r>
    </w:p>
    <w:p>
      <w:pPr>
        <w:spacing w:after="0" w:line="117" w:lineRule="exact"/>
        <w:rPr>
          <w:sz w:val="20"/>
          <w:szCs w:val="20"/>
          <w:color w:val="auto"/>
        </w:rPr>
      </w:pPr>
    </w:p>
    <w:p>
      <w:pPr>
        <w:jc w:val="both"/>
        <w:ind w:left="320" w:right="279" w:firstLine="360"/>
        <w:spacing w:after="0" w:line="287" w:lineRule="auto"/>
        <w:rPr>
          <w:sz w:val="20"/>
          <w:szCs w:val="20"/>
          <w:color w:val="auto"/>
        </w:rPr>
      </w:pPr>
      <w:r>
        <w:rPr>
          <w:rFonts w:ascii="Arial" w:cs="Arial" w:eastAsia="Arial" w:hAnsi="Arial"/>
          <w:sz w:val="16"/>
          <w:szCs w:val="16"/>
          <w:color w:val="auto"/>
        </w:rPr>
        <w:t>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2" w:lineRule="exact"/>
        <w:rPr>
          <w:sz w:val="20"/>
          <w:szCs w:val="20"/>
          <w:color w:val="auto"/>
        </w:rPr>
      </w:pPr>
    </w:p>
    <w:p>
      <w:pPr>
        <w:jc w:val="both"/>
        <w:ind w:left="320" w:right="299" w:hanging="10"/>
        <w:spacing w:after="0" w:line="277" w:lineRule="auto"/>
        <w:tabs>
          <w:tab w:leader="none" w:pos="58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w:t>
      </w:r>
    </w:p>
    <w:p>
      <w:pPr>
        <w:spacing w:after="0" w:line="16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ICON’s Reasons for the Merger (Page [</w:t>
      </w:r>
      <w:hyperlink w:anchor="page95">
        <w:r>
          <w:rPr>
            <w:rFonts w:ascii="Arial" w:cs="Arial" w:eastAsia="Arial" w:hAnsi="Arial"/>
            <w:sz w:val="18"/>
            <w:szCs w:val="18"/>
            <w:b w:val="1"/>
            <w:bCs w:val="1"/>
            <w:u w:val="single" w:color="auto"/>
            <w:color w:val="0000EE"/>
          </w:rPr>
          <w:t>78</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91" w:lineRule="auto"/>
        <w:rPr>
          <w:rFonts w:ascii="Arial" w:cs="Arial" w:eastAsia="Arial" w:hAnsi="Arial"/>
          <w:sz w:val="16"/>
          <w:szCs w:val="16"/>
          <w:color w:val="auto"/>
        </w:rPr>
      </w:pPr>
      <w:r>
        <w:rPr>
          <w:rFonts w:ascii="Arial" w:cs="Arial" w:eastAsia="Arial" w:hAnsi="Arial"/>
          <w:sz w:val="16"/>
          <w:szCs w:val="16"/>
          <w:color w:val="auto"/>
        </w:rPr>
        <w:t>The ICON board of directors unanimously approved and declared advisable the merger agreement and the transactions contemplated by the merger agreement, including the merger and the ICON share issuance. ICON is engaging in the merger transaction because ICON’s management and board of directors believe that the merger will provide significant strategic opportunities for ICON. There can be no assurance that any anticipated strategic opportunities will be realized. ICON shareholders are not required to approve the adoption of the merger agreement under Irish law. Accordingly, ICON shareholders are not being asked to vote on the merger or the adoption of the merger agreement. See the section titled “</w:t>
      </w:r>
      <w:r>
        <w:rPr>
          <w:rFonts w:ascii="Arial" w:cs="Arial" w:eastAsia="Arial" w:hAnsi="Arial"/>
          <w:sz w:val="16"/>
          <w:szCs w:val="16"/>
          <w:b w:val="1"/>
          <w:bCs w:val="1"/>
          <w:color w:val="auto"/>
        </w:rPr>
        <w:t>The Merger—ICON’s Reasons for the Merger</w:t>
      </w:r>
      <w:r>
        <w:rPr>
          <w:rFonts w:ascii="Arial" w:cs="Arial" w:eastAsia="Arial" w:hAnsi="Arial"/>
          <w:sz w:val="16"/>
          <w:szCs w:val="16"/>
          <w:color w:val="auto"/>
        </w:rPr>
        <w:t>” beginning on page [</w:t>
      </w:r>
      <w:hyperlink w:anchor="page95">
        <w:r>
          <w:rPr>
            <w:rFonts w:ascii="Arial" w:cs="Arial" w:eastAsia="Arial" w:hAnsi="Arial"/>
            <w:sz w:val="16"/>
            <w:szCs w:val="16"/>
            <w:u w:val="single" w:color="auto"/>
            <w:color w:val="0000EE"/>
          </w:rPr>
          <w:t>78</w:t>
        </w:r>
      </w:hyperlink>
      <w:r>
        <w:rPr>
          <w:rFonts w:ascii="Arial" w:cs="Arial" w:eastAsia="Arial" w:hAnsi="Arial"/>
          <w:sz w:val="16"/>
          <w:szCs w:val="16"/>
          <w:color w:val="auto"/>
        </w:rPr>
        <w:t>].</w:t>
      </w:r>
    </w:p>
    <w:p>
      <w:pPr>
        <w:spacing w:after="0" w:line="16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PRA’s Reasons for the Merger (Page [</w:t>
      </w:r>
      <w:hyperlink w:anchor="page90">
        <w:r>
          <w:rPr>
            <w:rFonts w:ascii="Arial" w:cs="Arial" w:eastAsia="Arial" w:hAnsi="Arial"/>
            <w:sz w:val="18"/>
            <w:szCs w:val="18"/>
            <w:b w:val="1"/>
            <w:bCs w:val="1"/>
            <w:u w:val="single" w:color="auto"/>
            <w:color w:val="0000EE"/>
          </w:rPr>
          <w:t>73</w:t>
        </w:r>
      </w:hyperlink>
      <w:r>
        <w:rPr>
          <w:rFonts w:ascii="Arial" w:cs="Arial" w:eastAsia="Arial" w:hAnsi="Arial"/>
          <w:sz w:val="18"/>
          <w:szCs w:val="18"/>
          <w:b w:val="1"/>
          <w:bCs w:val="1"/>
          <w:color w:val="auto"/>
        </w:rPr>
        <w:t>])</w:t>
      </w:r>
    </w:p>
    <w:p>
      <w:pPr>
        <w:spacing w:after="0" w:line="117" w:lineRule="exact"/>
        <w:rPr>
          <w:sz w:val="20"/>
          <w:szCs w:val="20"/>
          <w:color w:val="auto"/>
        </w:rPr>
      </w:pPr>
    </w:p>
    <w:p>
      <w:pPr>
        <w:jc w:val="both"/>
        <w:ind w:left="320" w:right="299" w:firstLine="360"/>
        <w:spacing w:after="0" w:line="282" w:lineRule="auto"/>
        <w:rPr>
          <w:sz w:val="20"/>
          <w:szCs w:val="20"/>
          <w:color w:val="auto"/>
        </w:rPr>
      </w:pPr>
      <w:r>
        <w:rPr>
          <w:rFonts w:ascii="Arial" w:cs="Arial" w:eastAsia="Arial" w:hAnsi="Arial"/>
          <w:sz w:val="18"/>
          <w:szCs w:val="18"/>
          <w:b w:val="1"/>
          <w:bCs w:val="1"/>
          <w:color w:val="auto"/>
        </w:rPr>
        <w:t>PRA’s board of directors unanimously recommends that PRA stockholders vote “FOR” the PRA merger agreement proposal (PRA Proposal 1).</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76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The PRA board of directors unanimously approved and declared advisable the merger agreement, the merger and the other transactions contemplated by the merger agreement and determined that the merger agreement, the merger and the other transactions contemplated by the merger agreement are fair to, and in the best interests of, PRA and its stockholders. In reaching its decision to approve and declare advisable the merger agreement, the merger and the other transactions contemplated thereby and to recommend the adoption of the merger agreement to PRA stockholders, the PRA board of directors consulted with PRA’s senior management, as well as outside legal and financial advisors, and considered a number of factors it believed supported its decision to enter into the merger agreement, including without limitation those listed in the section entitled “</w:t>
      </w:r>
      <w:r>
        <w:rPr>
          <w:rFonts w:ascii="Arial" w:cs="Arial" w:eastAsia="Arial" w:hAnsi="Arial"/>
          <w:sz w:val="16"/>
          <w:szCs w:val="16"/>
          <w:b w:val="1"/>
          <w:bCs w:val="1"/>
          <w:color w:val="auto"/>
        </w:rPr>
        <w:t>The Merger—Recommendation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PRA Board of Directors; PRA’s Reasons for the Merger</w:t>
      </w:r>
      <w:r>
        <w:rPr>
          <w:rFonts w:ascii="Arial" w:cs="Arial" w:eastAsia="Arial" w:hAnsi="Arial"/>
          <w:sz w:val="16"/>
          <w:szCs w:val="16"/>
          <w:color w:val="auto"/>
        </w:rPr>
        <w:t>” beginning on page [</w:t>
      </w:r>
      <w:hyperlink w:anchor="page90">
        <w:r>
          <w:rPr>
            <w:rFonts w:ascii="Arial" w:cs="Arial" w:eastAsia="Arial" w:hAnsi="Arial"/>
            <w:sz w:val="16"/>
            <w:szCs w:val="16"/>
            <w:u w:val="single" w:color="auto"/>
            <w:color w:val="0000EE"/>
          </w:rPr>
          <w:t>73</w:t>
        </w:r>
      </w:hyperlink>
      <w:r>
        <w:rPr>
          <w:rFonts w:ascii="Arial" w:cs="Arial" w:eastAsia="Arial" w:hAnsi="Arial"/>
          <w:sz w:val="16"/>
          <w:szCs w:val="16"/>
          <w:color w:val="auto"/>
        </w:rPr>
        <w:t>].</w:t>
      </w:r>
    </w:p>
    <w:p>
      <w:pPr>
        <w:spacing w:after="0" w:line="270"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Opinion of ICON’s Financial Advisor (Page [</w:t>
      </w:r>
      <w:hyperlink w:anchor="page95">
        <w:r>
          <w:rPr>
            <w:rFonts w:ascii="Arial" w:cs="Arial" w:eastAsia="Arial" w:hAnsi="Arial"/>
            <w:sz w:val="18"/>
            <w:szCs w:val="18"/>
            <w:b w:val="1"/>
            <w:bCs w:val="1"/>
            <w:u w:val="single" w:color="auto"/>
            <w:color w:val="0000EE"/>
          </w:rPr>
          <w:t>78</w:t>
        </w:r>
      </w:hyperlink>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Annex B</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ICON retained Centerview Partners LLC, which is referred to in this joint proxy statement/prospectus as Centerview, as financial advisor to the ICON board of directors in connection with the proposed merger and the other transactions contemplated by the merger agreement, which are collectively referred to as the “Transaction” in this paragraph and in the section of this joint proxy statement/prospectus entitled “</w:t>
      </w:r>
      <w:r>
        <w:rPr>
          <w:rFonts w:ascii="Arial" w:cs="Arial" w:eastAsia="Arial" w:hAnsi="Arial"/>
          <w:sz w:val="16"/>
          <w:szCs w:val="16"/>
          <w:b w:val="1"/>
          <w:bCs w:val="1"/>
          <w:color w:val="auto"/>
        </w:rPr>
        <w:t>The Merger—Opinion of</w:t>
      </w:r>
      <w:r>
        <w:rPr>
          <w:rFonts w:ascii="Arial" w:cs="Arial" w:eastAsia="Arial" w:hAnsi="Arial"/>
          <w:sz w:val="16"/>
          <w:szCs w:val="16"/>
          <w:color w:val="auto"/>
        </w:rPr>
        <w:t xml:space="preserve"> </w:t>
      </w:r>
      <w:r>
        <w:rPr>
          <w:rFonts w:ascii="Arial" w:cs="Arial" w:eastAsia="Arial" w:hAnsi="Arial"/>
          <w:sz w:val="16"/>
          <w:szCs w:val="16"/>
          <w:b w:val="1"/>
          <w:bCs w:val="1"/>
          <w:color w:val="auto"/>
        </w:rPr>
        <w:t>ICON’s Financial Advisor</w:t>
      </w:r>
      <w:r>
        <w:rPr>
          <w:rFonts w:ascii="Arial" w:cs="Arial" w:eastAsia="Arial" w:hAnsi="Arial"/>
          <w:sz w:val="16"/>
          <w:szCs w:val="16"/>
          <w:color w:val="auto"/>
        </w:rPr>
        <w:t>.” In connection with this engagement, the ICON board of directors requested that</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evaluate the fairness, from a financial point of view, to ICON of the merger consideration (referred to as the “Consideration” in this paragraph and in the sections of this joint proxy statement/prospectus entitled “</w:t>
      </w:r>
      <w:r>
        <w:rPr>
          <w:rFonts w:ascii="Arial" w:cs="Arial" w:eastAsia="Arial" w:hAnsi="Arial"/>
          <w:sz w:val="16"/>
          <w:szCs w:val="16"/>
          <w:b w:val="1"/>
          <w:bCs w:val="1"/>
          <w:color w:val="auto"/>
        </w:rPr>
        <w:t>ICON’s</w:t>
      </w:r>
      <w:r>
        <w:rPr>
          <w:rFonts w:ascii="Arial" w:cs="Arial" w:eastAsia="Arial" w:hAnsi="Arial"/>
          <w:sz w:val="16"/>
          <w:szCs w:val="16"/>
          <w:color w:val="auto"/>
        </w:rPr>
        <w:t xml:space="preserve"> </w:t>
      </w:r>
      <w:r>
        <w:rPr>
          <w:rFonts w:ascii="Arial" w:cs="Arial" w:eastAsia="Arial" w:hAnsi="Arial"/>
          <w:sz w:val="16"/>
          <w:szCs w:val="16"/>
          <w:b w:val="1"/>
          <w:bCs w:val="1"/>
          <w:color w:val="auto"/>
        </w:rPr>
        <w:t>Reasons for the Merger</w:t>
      </w:r>
      <w:r>
        <w:rPr>
          <w:rFonts w:ascii="Arial" w:cs="Arial" w:eastAsia="Arial" w:hAnsi="Arial"/>
          <w:sz w:val="16"/>
          <w:szCs w:val="16"/>
          <w:color w:val="auto"/>
        </w:rPr>
        <w:t>” and “</w:t>
      </w:r>
      <w:r>
        <w:rPr>
          <w:rFonts w:ascii="Arial" w:cs="Arial" w:eastAsia="Arial" w:hAnsi="Arial"/>
          <w:sz w:val="16"/>
          <w:szCs w:val="16"/>
          <w:b w:val="1"/>
          <w:bCs w:val="1"/>
          <w:color w:val="auto"/>
        </w:rPr>
        <w:t>The Merger—Opinion of ICON’s Financial Advisor</w:t>
      </w:r>
      <w:r>
        <w:rPr>
          <w:rFonts w:ascii="Arial" w:cs="Arial" w:eastAsia="Arial" w:hAnsi="Arial"/>
          <w:sz w:val="16"/>
          <w:szCs w:val="16"/>
          <w:color w:val="auto"/>
        </w:rPr>
        <w:t>”) proposed to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ICON and its subsidiaries pursuant to the merger agreement. On February 23, 2021, Centerview rendered to the ICON board of directors its oral opinion, which was subsequently confirmed by delivery of a written opinion dated February 23, 2021, that, as of such date and based upon and subject to the assumptions made, procedures followed, matters considered, and qualifications and limitations upon the review undertaken by Centerview in preparing its opinion, the Consideration proposed to be paid pursuant to the merger agreement was fair, from a financial point of view, to ICON. The full text of Centerview’s written opinion, dated February 23, 2021, which describes the assumptions made, procedures followed, matters considered, and qualifications and limitations upon the review undertaken by Centerview in preparing its opinion, is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is incorporated herein by reference. Centerview’s financial advisory services and opinion were provided for the information and assistance of the ICON board of directors (in their capacity as directors and not in any other capacity) in connection with and for purposes of its consideration of the Transaction and Centerview’s opinion addressed only the fairness, from a financial point of view, as of the date thereof, to ICON of the Consideration to be paid by ICON and its subsidiaries pursuant to the merger agreement. Centerview’s opinion did not address any other term or aspect of the merger agreement or the Transaction and does not constitute a recommendation to any ICON shareholder or any other person as to how such shareholder or other person should vote with respect to the merger or otherwise act with respect to the Transaction or any other matter.</w:t>
      </w:r>
    </w:p>
    <w:p>
      <w:pPr>
        <w:spacing w:after="0" w:line="285"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8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Opinions of PRA’s Financial Advisors (Page [</w:t>
      </w:r>
      <w:hyperlink w:anchor="page105">
        <w:r>
          <w:rPr>
            <w:rFonts w:ascii="Arial" w:cs="Arial" w:eastAsia="Arial" w:hAnsi="Arial"/>
            <w:sz w:val="18"/>
            <w:szCs w:val="18"/>
            <w:b w:val="1"/>
            <w:bCs w:val="1"/>
            <w:u w:val="single" w:color="auto"/>
            <w:color w:val="0000EE"/>
          </w:rPr>
          <w:t>88</w:t>
        </w:r>
      </w:hyperlink>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Annex C</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Annex D</w:t>
      </w:r>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BofA Securities, Inc.</w:t>
      </w:r>
    </w:p>
    <w:p>
      <w:pPr>
        <w:spacing w:after="0" w:line="117"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On February 24, 2021, at a meeting of the PRA board of directors held to evaluate the merger, BofA Securities, Inc. (“BofA Securities”), PRA’s financial advisor, delivered to the PRA board of directors BofA Securities’ oral opinion, which was confirmed by delivery to the PRA board of directors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w:t>
      </w:r>
    </w:p>
    <w:p>
      <w:pPr>
        <w:spacing w:after="0" w:line="70" w:lineRule="exact"/>
        <w:rPr>
          <w:sz w:val="20"/>
          <w:szCs w:val="20"/>
          <w:color w:val="auto"/>
        </w:rPr>
      </w:pPr>
    </w:p>
    <w:p>
      <w:pPr>
        <w:jc w:val="both"/>
        <w:ind w:left="320" w:right="299" w:firstLine="360"/>
        <w:spacing w:after="0" w:line="254" w:lineRule="auto"/>
        <w:rPr>
          <w:sz w:val="20"/>
          <w:szCs w:val="20"/>
          <w:color w:val="auto"/>
        </w:rPr>
      </w:pPr>
      <w:r>
        <w:rPr>
          <w:rFonts w:ascii="Arial" w:cs="Arial" w:eastAsia="Arial" w:hAnsi="Arial"/>
          <w:sz w:val="18"/>
          <w:szCs w:val="18"/>
          <w:i w:val="1"/>
          <w:iCs w:val="1"/>
          <w:color w:val="auto"/>
        </w:rPr>
        <w:t xml:space="preserve">The full text of BofA Securities’ written opinion to the PRA board of directors, which describes, among other things, the assumptions made, procedures followed, factors considered and limitations on the review undertaken, is attached as </w:t>
      </w:r>
      <w:r>
        <w:rPr>
          <w:rFonts w:ascii="Arial" w:cs="Arial" w:eastAsia="Arial" w:hAnsi="Arial"/>
          <w:sz w:val="18"/>
          <w:szCs w:val="18"/>
          <w:i w:val="1"/>
          <w:iCs w:val="1"/>
          <w:u w:val="single" w:color="auto"/>
          <w:color w:val="auto"/>
        </w:rPr>
        <w:t>Annex C</w:t>
      </w:r>
      <w:r>
        <w:rPr>
          <w:rFonts w:ascii="Arial" w:cs="Arial" w:eastAsia="Arial" w:hAnsi="Arial"/>
          <w:sz w:val="18"/>
          <w:szCs w:val="18"/>
          <w:i w:val="1"/>
          <w:iCs w:val="1"/>
          <w:color w:val="auto"/>
        </w:rPr>
        <w:t xml:space="preserve"> to this joint proxy statement/prospectus and is incorporated by reference herein in its entirety. The summary of BofA Securities’ opinion included in this joint proxy statement/prospectus is qualified in its entirety by reference to the full text of BofA Securities’ written opinion. BofA Securities delivered its opinion to the PRA board of directors for the benefit and use of the PRA board of directors (in its capacity as such) in connection with and for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72"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purposes of its evaluation of the merger. BofA Securities’ opinion does not address any other terms or other aspects or implications of the merger and no opinion or view was expressed as to the relative merits of the merger in comparison to other strategies or transactions that might be available to PRA or in which PRA might engage or as to the underlying business decision of PRA to proceed with or effect the merger. BofA Securities’ opinion does not address any other aspect of the merger and does not express any opinion or recommendation as to how any stockholder should vote or act in connection with the merger or any related matter. </w:t>
      </w:r>
      <w:r>
        <w:rPr>
          <w:rFonts w:ascii="Arial" w:cs="Arial" w:eastAsia="Arial" w:hAnsi="Arial"/>
          <w:sz w:val="17"/>
          <w:szCs w:val="17"/>
          <w:color w:val="auto"/>
        </w:rPr>
        <w:t>See the section entitled “</w:t>
      </w:r>
      <w:r>
        <w:rPr>
          <w:rFonts w:ascii="Arial" w:cs="Arial" w:eastAsia="Arial" w:hAnsi="Arial"/>
          <w:sz w:val="17"/>
          <w:szCs w:val="17"/>
          <w:b w:val="1"/>
          <w:bCs w:val="1"/>
          <w:color w:val="auto"/>
        </w:rPr>
        <w:t>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Merger—Opinions of PRA’s Financial Advisors</w:t>
      </w:r>
      <w:r>
        <w:rPr>
          <w:rFonts w:ascii="Arial" w:cs="Arial" w:eastAsia="Arial" w:hAnsi="Arial"/>
          <w:sz w:val="17"/>
          <w:szCs w:val="17"/>
          <w:color w:val="auto"/>
        </w:rPr>
        <w:t>” beginning on page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UBS Securities LLC</w:t>
      </w:r>
    </w:p>
    <w:p>
      <w:pPr>
        <w:spacing w:after="0" w:line="117" w:lineRule="exact"/>
        <w:rPr>
          <w:sz w:val="20"/>
          <w:szCs w:val="20"/>
          <w:color w:val="auto"/>
        </w:rPr>
      </w:pPr>
    </w:p>
    <w:p>
      <w:pPr>
        <w:jc w:val="both"/>
        <w:ind w:left="320" w:right="279" w:firstLine="360"/>
        <w:spacing w:after="0" w:line="296" w:lineRule="auto"/>
        <w:rPr>
          <w:sz w:val="20"/>
          <w:szCs w:val="20"/>
          <w:color w:val="auto"/>
        </w:rPr>
      </w:pPr>
      <w:r>
        <w:rPr>
          <w:rFonts w:ascii="Arial" w:cs="Arial" w:eastAsia="Arial" w:hAnsi="Arial"/>
          <w:sz w:val="16"/>
          <w:szCs w:val="16"/>
          <w:color w:val="auto"/>
        </w:rPr>
        <w:t>On February 24, 2021, at a meeting of the PRA board of directors held to evaluate the merger, UBS Securities LLC (“UBS”) delivered to the PRA board of directors an oral opinion, which opinion was confirmed by delivery of a written opinion dated the same date,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w:t>
      </w:r>
    </w:p>
    <w:p>
      <w:pPr>
        <w:spacing w:after="0" w:line="53"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The full text of UBS’ opinion describes the assumptions made, procedures followed, matters considered and limitations on the review undertaken by UBS. The opinion is attached to this joint proxy statement/prospectus as </w:t>
      </w:r>
      <w:r>
        <w:rPr>
          <w:rFonts w:ascii="Arial" w:cs="Arial" w:eastAsia="Arial" w:hAnsi="Arial"/>
          <w:sz w:val="17"/>
          <w:szCs w:val="17"/>
          <w:i w:val="1"/>
          <w:iCs w:val="1"/>
          <w:u w:val="single" w:color="auto"/>
          <w:color w:val="auto"/>
        </w:rPr>
        <w:t>Annex D</w:t>
      </w:r>
      <w:r>
        <w:rPr>
          <w:rFonts w:ascii="Arial" w:cs="Arial" w:eastAsia="Arial" w:hAnsi="Arial"/>
          <w:sz w:val="17"/>
          <w:szCs w:val="17"/>
          <w:i w:val="1"/>
          <w:iCs w:val="1"/>
          <w:color w:val="auto"/>
        </w:rPr>
        <w:t xml:space="preserve"> and is incorporated herein by reference. UBS’ opinion was provided for the benefit of the PRA board of directors (in its capacity as such) in connection with, and for the purpose of, its evaluation of the merger consideration in the merger and addresses only the fairness, from a financial point of view, of the merger consideration to be received by PRA stockholders in the merger. The opinion does not address the relative merits of the merger as compared to other business strategies or transactions that might be available with respect to PRA or PRA’s underlying business decision to effect the merger. The opinion does not constitute a recommendation to any shareholder as to how such shareholder should vote or act with respect to the merger. PRA stockholders are encouraged to read UBS’ opinion carefully in its entirety. </w:t>
      </w:r>
      <w:r>
        <w:rPr>
          <w:rFonts w:ascii="Arial" w:cs="Arial" w:eastAsia="Arial" w:hAnsi="Arial"/>
          <w:sz w:val="17"/>
          <w:szCs w:val="17"/>
          <w:color w:val="auto"/>
        </w:rPr>
        <w:t>See the section entitled “</w:t>
      </w:r>
      <w:r>
        <w:rPr>
          <w:rFonts w:ascii="Arial" w:cs="Arial" w:eastAsia="Arial" w:hAnsi="Arial"/>
          <w:sz w:val="17"/>
          <w:szCs w:val="17"/>
          <w:b w:val="1"/>
          <w:bCs w:val="1"/>
          <w:color w:val="auto"/>
        </w:rPr>
        <w:t>The Merger—Opinions of</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PRA’s Financial Advisors</w:t>
      </w:r>
      <w:r>
        <w:rPr>
          <w:rFonts w:ascii="Arial" w:cs="Arial" w:eastAsia="Arial" w:hAnsi="Arial"/>
          <w:sz w:val="17"/>
          <w:szCs w:val="17"/>
          <w:color w:val="auto"/>
        </w:rPr>
        <w:t>” beginning on page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3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Solicitation Costs (Page [</w:t>
      </w:r>
      <w:hyperlink w:anchor="page69">
        <w:r>
          <w:rPr>
            <w:rFonts w:ascii="Arial" w:cs="Arial" w:eastAsia="Arial" w:hAnsi="Arial"/>
            <w:sz w:val="18"/>
            <w:szCs w:val="18"/>
            <w:b w:val="1"/>
            <w:bCs w:val="1"/>
            <w:u w:val="single" w:color="auto"/>
            <w:color w:val="0000EE"/>
          </w:rPr>
          <w:t>52</w:t>
        </w:r>
      </w:hyperlink>
      <w:r>
        <w:rPr>
          <w:rFonts w:ascii="Arial" w:cs="Arial" w:eastAsia="Arial" w:hAnsi="Arial"/>
          <w:sz w:val="18"/>
          <w:szCs w:val="18"/>
          <w:b w:val="1"/>
          <w:bCs w:val="1"/>
          <w:color w:val="auto"/>
        </w:rPr>
        <w:t>] and [</w:t>
      </w:r>
      <w:hyperlink w:anchor="page77">
        <w:r>
          <w:rPr>
            <w:rFonts w:ascii="Arial" w:cs="Arial" w:eastAsia="Arial" w:hAnsi="Arial"/>
            <w:sz w:val="18"/>
            <w:szCs w:val="18"/>
            <w:b w:val="1"/>
            <w:bCs w:val="1"/>
            <w:u w:val="single" w:color="auto"/>
            <w:color w:val="0000EE"/>
          </w:rPr>
          <w:t>60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ICON and PRA are soliciting proxies to provide an opportunity to all ICON shareholders and PRA stockholders to vote on agenda items at the EGM or special meeting, respectively, whether or not they are able to attend their respective EGM or special meeting or an adjournment or postponement thereof. ICON’s and PRA’s directors, officers and other employees may solicit proxies in person, by telephone, electronically, by mail or other means, but they will not be specifically compensated for doing this. ICON and PRA may be required to reimburse banks, brokers and other persons for expenses they incur in forwarding proxy materials to obtain voting instructions from beneficial stockholders. ICON has hired Georgeson LLC to assist in the solicitation of proxies, and PRA has hired MacKenzie Partners, Inc. to assist in the solicitation of proxies. The total cost of solicitation of proxies will be borne by ICON and PRA. For a description of the costs and expenses to ICON and PRA of soliciting proxies, see “</w:t>
      </w:r>
      <w:r>
        <w:rPr>
          <w:rFonts w:ascii="Arial" w:cs="Arial" w:eastAsia="Arial" w:hAnsi="Arial"/>
          <w:sz w:val="17"/>
          <w:szCs w:val="17"/>
          <w:b w:val="1"/>
          <w:bCs w:val="1"/>
          <w:color w:val="auto"/>
        </w:rPr>
        <w:t>The ICON EGM—Proxy Solicitation Costs</w:t>
      </w:r>
      <w:r>
        <w:rPr>
          <w:rFonts w:ascii="Arial" w:cs="Arial" w:eastAsia="Arial" w:hAnsi="Arial"/>
          <w:sz w:val="17"/>
          <w:szCs w:val="17"/>
          <w:color w:val="auto"/>
        </w:rPr>
        <w:t>” beginning on page [</w:t>
      </w:r>
      <w:hyperlink w:anchor="page69">
        <w:r>
          <w:rPr>
            <w:rFonts w:ascii="Arial" w:cs="Arial" w:eastAsia="Arial" w:hAnsi="Arial"/>
            <w:sz w:val="17"/>
            <w:szCs w:val="17"/>
            <w:u w:val="single" w:color="auto"/>
            <w:color w:val="0000EE"/>
          </w:rPr>
          <w:t>52</w:t>
        </w:r>
      </w:hyperlink>
      <w:r>
        <w:rPr>
          <w:rFonts w:ascii="Arial" w:cs="Arial" w:eastAsia="Arial" w:hAnsi="Arial"/>
          <w:sz w:val="17"/>
          <w:szCs w:val="17"/>
          <w:color w:val="auto"/>
        </w:rPr>
        <w:t>] and “</w:t>
      </w:r>
      <w:r>
        <w:rPr>
          <w:rFonts w:ascii="Arial" w:cs="Arial" w:eastAsia="Arial" w:hAnsi="Arial"/>
          <w:sz w:val="17"/>
          <w:szCs w:val="17"/>
          <w:b w:val="1"/>
          <w:bCs w:val="1"/>
          <w:color w:val="auto"/>
        </w:rPr>
        <w:t>The PRA Stockholder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Proxy Solicitation Costs</w:t>
      </w:r>
      <w:r>
        <w:rPr>
          <w:rFonts w:ascii="Arial" w:cs="Arial" w:eastAsia="Arial" w:hAnsi="Arial"/>
          <w:sz w:val="17"/>
          <w:szCs w:val="17"/>
          <w:color w:val="auto"/>
        </w:rPr>
        <w:t>” beginning on page [</w:t>
      </w:r>
      <w:hyperlink w:anchor="page77">
        <w:r>
          <w:rPr>
            <w:rFonts w:ascii="Arial" w:cs="Arial" w:eastAsia="Arial" w:hAnsi="Arial"/>
            <w:sz w:val="17"/>
            <w:szCs w:val="17"/>
            <w:u w:val="single" w:color="auto"/>
            <w:color w:val="0000EE"/>
          </w:rPr>
          <w:t>60</w:t>
        </w:r>
      </w:hyperlink>
      <w:r>
        <w:rPr>
          <w:rFonts w:ascii="Arial" w:cs="Arial" w:eastAsia="Arial" w:hAnsi="Arial"/>
          <w:sz w:val="17"/>
          <w:szCs w:val="17"/>
          <w:color w:val="auto"/>
        </w:rPr>
        <w:t>].</w:t>
      </w:r>
    </w:p>
    <w:p>
      <w:pPr>
        <w:spacing w:after="0" w:line="3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ICON EGM (Page [</w:t>
      </w:r>
      <w:hyperlink w:anchor="page67">
        <w:r>
          <w:rPr>
            <w:rFonts w:ascii="Arial" w:cs="Arial" w:eastAsia="Arial" w:hAnsi="Arial"/>
            <w:sz w:val="18"/>
            <w:szCs w:val="18"/>
            <w:b w:val="1"/>
            <w:bCs w:val="1"/>
            <w:u w:val="single" w:color="auto"/>
            <w:color w:val="0000EE"/>
          </w:rPr>
          <w:t>50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ICON EGM will be held on Tuesday, June 15, 2021, beginning at 3:30 p.m., Dublin time, at ICON’s global headquarters in South County Business Park, Leopardstown, Dublin 18, Ireland.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ICON EGM are as follows:</w:t>
      </w:r>
    </w:p>
    <w:p>
      <w:pPr>
        <w:spacing w:after="0" w:line="117" w:lineRule="exact"/>
        <w:rPr>
          <w:sz w:val="20"/>
          <w:szCs w:val="20"/>
          <w:color w:val="auto"/>
        </w:rPr>
      </w:pPr>
    </w:p>
    <w:p>
      <w:pPr>
        <w:ind w:left="1020" w:right="299" w:hanging="350"/>
        <w:spacing w:after="0" w:line="308"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ICON Proposal 1: Approval of the Issuance of ICON ordinary shares to PRA stockholders pursuant to the merger agreement</w:t>
      </w:r>
      <w:r>
        <w:rPr>
          <w:rFonts w:ascii="Arial" w:cs="Arial" w:eastAsia="Arial" w:hAnsi="Arial"/>
          <w:sz w:val="17"/>
          <w:szCs w:val="17"/>
          <w:color w:val="auto"/>
        </w:rPr>
        <w:t>. To consider and vote on the ICON share issuance proposal; and</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ICON Proposal 2: Adjournment of the ICON EGM</w:t>
      </w:r>
      <w:r>
        <w:rPr>
          <w:rFonts w:ascii="Arial" w:cs="Arial" w:eastAsia="Arial" w:hAnsi="Arial"/>
          <w:sz w:val="18"/>
          <w:szCs w:val="18"/>
          <w:color w:val="auto"/>
        </w:rPr>
        <w:t>. To consider and vote on the ICON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Completion of the merger is conditioned on the approval of ICON Proposal 1 by the required ICON’s vote.</w:t>
      </w:r>
    </w:p>
    <w:p>
      <w:pPr>
        <w:spacing w:after="0" w:line="125" w:lineRule="exact"/>
        <w:rPr>
          <w:sz w:val="20"/>
          <w:szCs w:val="20"/>
          <w:color w:val="auto"/>
        </w:rPr>
      </w:pPr>
    </w:p>
    <w:p>
      <w:pPr>
        <w:ind w:left="320" w:right="279" w:firstLine="360"/>
        <w:spacing w:after="0" w:line="282" w:lineRule="auto"/>
        <w:rPr>
          <w:sz w:val="20"/>
          <w:szCs w:val="20"/>
          <w:color w:val="auto"/>
        </w:rPr>
      </w:pPr>
      <w:r>
        <w:rPr>
          <w:rFonts w:ascii="Arial" w:cs="Arial" w:eastAsia="Arial" w:hAnsi="Arial"/>
          <w:sz w:val="18"/>
          <w:szCs w:val="18"/>
          <w:b w:val="1"/>
          <w:bCs w:val="1"/>
          <w:color w:val="auto"/>
        </w:rPr>
        <w:t>ICON board of directors unanimously recommends that ICON’s shareholders vote “FOR” the ICON share issuance proposal (ICON Proposal 1).</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79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3405" cy="77793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Only holders of record of issued and outstanding ICON ordinary shares as of the close of business on April 26, 2021, the record date for the ICON EGM, are entitled to notice of, and to vote at, the ICON EGM or any adjournment or postponement of the ICON EGM. ICON shareholders may cast one vote for each share of ICON ordinary shares that ICON shareholders owned as of the record date.</w:t>
      </w:r>
    </w:p>
    <w:p>
      <w:pPr>
        <w:spacing w:after="0" w:line="79"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Assuming a quorum is present at the ICON EGM, approval of the ICON share issuance proposal requires the affirmative vote of a majority of votes cast at the ICON EGM. A shareholder’s abstention from voting, a broker non-vote or other failure to vote (including a failure to instruct your bank, broker or other nominee to vote) will have no effect on the outcome of the proposal.</w:t>
      </w:r>
    </w:p>
    <w:p>
      <w:pPr>
        <w:spacing w:after="0" w:line="79" w:lineRule="exact"/>
        <w:rPr>
          <w:sz w:val="20"/>
          <w:szCs w:val="20"/>
          <w:color w:val="auto"/>
        </w:rPr>
      </w:pPr>
    </w:p>
    <w:p>
      <w:pPr>
        <w:jc w:val="both"/>
        <w:ind w:left="320" w:right="299" w:firstLine="360"/>
        <w:spacing w:after="0" w:line="311" w:lineRule="auto"/>
        <w:rPr>
          <w:sz w:val="20"/>
          <w:szCs w:val="20"/>
          <w:color w:val="auto"/>
        </w:rPr>
      </w:pPr>
      <w:r>
        <w:rPr>
          <w:rFonts w:ascii="Arial" w:cs="Arial" w:eastAsia="Arial" w:hAnsi="Arial"/>
          <w:sz w:val="16"/>
          <w:szCs w:val="16"/>
          <w:color w:val="auto"/>
        </w:rPr>
        <w:t>Approval of the ICON adjournment proposal requires the affirmative vote of a majority of the votes cast at the ICON EGM. A shareholder’s abstention from voting, a broker non-vote or other failure to vote (including a failure to instruct your bank, broker or other nominee to vote) will have no effect on the outcome of the proposal.</w:t>
      </w:r>
    </w:p>
    <w:p>
      <w:pPr>
        <w:spacing w:after="0" w:line="29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PRA Stockholder Meeting (Page [</w:t>
      </w:r>
      <w:hyperlink w:anchor="page74">
        <w:r>
          <w:rPr>
            <w:rFonts w:ascii="Arial" w:cs="Arial" w:eastAsia="Arial" w:hAnsi="Arial"/>
            <w:sz w:val="18"/>
            <w:szCs w:val="18"/>
            <w:b w:val="1"/>
            <w:bCs w:val="1"/>
            <w:u w:val="single" w:color="auto"/>
            <w:color w:val="0000EE"/>
          </w:rPr>
          <w:t>57</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72" w:lineRule="auto"/>
        <w:rPr>
          <w:sz w:val="20"/>
          <w:szCs w:val="20"/>
          <w:color w:val="auto"/>
        </w:rPr>
      </w:pPr>
      <w:r>
        <w:rPr>
          <w:rFonts w:ascii="Arial" w:cs="Arial" w:eastAsia="Arial" w:hAnsi="Arial"/>
          <w:sz w:val="17"/>
          <w:szCs w:val="17"/>
          <w:color w:val="auto"/>
        </w:rPr>
        <w:t>Due to the public health concerns regarding the coronavirus (COVID-19) outbreak, the PRA stockholder meeting will be held virtually via live audio-only webcast at www.virtualshareholdermeeting.com/PRAH2021SM on June 15, 2021 at 10:30 a.m. Eastern Time. The PRA stockholder meeting will be held online only and you will not be able to attend in person. Online check-in will begin at 10:15 a.m. Eastern Time and you should allow ample time for the check-in procedures. You will be able to vote your shares electronically by Internet and submit questions online during the PRA stockholder meeting by logging in to the website listed above using the 16-digit control number included in your proxy card.</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PRA stockholder meeting are as follows:</w:t>
      </w:r>
    </w:p>
    <w:p>
      <w:pPr>
        <w:spacing w:after="0" w:line="117" w:lineRule="exact"/>
        <w:rPr>
          <w:sz w:val="20"/>
          <w:szCs w:val="20"/>
          <w:color w:val="auto"/>
        </w:rPr>
      </w:pPr>
    </w:p>
    <w:p>
      <w:pPr>
        <w:ind w:left="1020" w:right="299" w:hanging="350"/>
        <w:spacing w:after="0" w:line="277"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PRA Proposal 1: Adoption of the Merger Agreement. </w:t>
      </w:r>
      <w:r>
        <w:rPr>
          <w:rFonts w:ascii="Arial" w:cs="Arial" w:eastAsia="Arial" w:hAnsi="Arial"/>
          <w:sz w:val="18"/>
          <w:szCs w:val="18"/>
          <w:color w:val="auto"/>
        </w:rPr>
        <w:t>To consider and vote on the PRA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PRA Proposal 2: Approval, on an Advisory (Non-Binding) Basis, of Certain Compensatory Arrangements with PRA’s Named Executive Officers. </w:t>
      </w:r>
      <w:r>
        <w:rPr>
          <w:rFonts w:ascii="Arial" w:cs="Arial" w:eastAsia="Arial" w:hAnsi="Arial"/>
          <w:sz w:val="16"/>
          <w:szCs w:val="16"/>
          <w:color w:val="auto"/>
        </w:rPr>
        <w:t>To consider and vote on the PRA compensation proposal; and</w:t>
      </w:r>
    </w:p>
    <w:p>
      <w:pPr>
        <w:spacing w:after="0" w:line="15" w:lineRule="exact"/>
        <w:rPr>
          <w:rFonts w:ascii="Arial" w:cs="Arial" w:eastAsia="Arial" w:hAnsi="Arial"/>
          <w:sz w:val="16"/>
          <w:szCs w:val="16"/>
          <w:color w:val="auto"/>
        </w:rPr>
      </w:pPr>
    </w:p>
    <w:p>
      <w:pPr>
        <w:ind w:left="1020" w:right="299" w:hanging="350"/>
        <w:spacing w:after="0" w:line="277"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PRA Proposal 3: Adjournments of the PRA Stockholder Meeting. </w:t>
      </w:r>
      <w:r>
        <w:rPr>
          <w:rFonts w:ascii="Arial" w:cs="Arial" w:eastAsia="Arial" w:hAnsi="Arial"/>
          <w:sz w:val="18"/>
          <w:szCs w:val="18"/>
          <w:color w:val="auto"/>
        </w:rPr>
        <w:t>To consider and vote on the PRA</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62"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Completion of the merger is conditioned on adoption of the merger agreement by PRA’s stockholders. Approval of the advisory proposal concerning the merger-related compensation arrangements for PRA’s named executive officers is not a condition to the obligation of either PRA or ICON to complete the merger.</w:t>
      </w:r>
    </w:p>
    <w:p>
      <w:pPr>
        <w:spacing w:after="0" w:line="57"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Only holders of record of issued and outstanding shares of PRA common stock as of the close of business on April 26, 2021, the record date for the PRA stockholder meeting, are entitled to notice of, and to vote at, the PRA stockholder meeting or any adjournment or postponement of the PRA stockholder meeting. PRA stockholders may cast one vote for each share of PRA common stock that PRA stockholders owned as of that record date.</w:t>
      </w:r>
    </w:p>
    <w:p>
      <w:pPr>
        <w:spacing w:after="0" w:line="49"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Assuming a quorum is present at the PRA stockholder meeting, the PRA merger agreement proposal requires the affirmative vote of a majority of the outstanding shares of PRA common stock entitled to vote thereon. Shares of PRA common stock not present, and shares present and not voted, whether by broker non-vote, abstention or otherwise, will have the same effect as votes cast “</w:t>
      </w:r>
      <w:r>
        <w:rPr>
          <w:rFonts w:ascii="Arial" w:cs="Arial" w:eastAsia="Arial" w:hAnsi="Arial"/>
          <w:sz w:val="16"/>
          <w:szCs w:val="16"/>
          <w:b w:val="1"/>
          <w:bCs w:val="1"/>
          <w:color w:val="auto"/>
        </w:rPr>
        <w:t>AGAINST</w:t>
      </w:r>
      <w:r>
        <w:rPr>
          <w:rFonts w:ascii="Arial" w:cs="Arial" w:eastAsia="Arial" w:hAnsi="Arial"/>
          <w:sz w:val="16"/>
          <w:szCs w:val="16"/>
          <w:color w:val="auto"/>
        </w:rPr>
        <w:t>” the proposal to approve the merger agreement.</w:t>
      </w:r>
    </w:p>
    <w:p>
      <w:pPr>
        <w:spacing w:after="0" w:line="49" w:lineRule="exact"/>
        <w:rPr>
          <w:sz w:val="20"/>
          <w:szCs w:val="20"/>
          <w:color w:val="auto"/>
        </w:rPr>
      </w:pPr>
    </w:p>
    <w:p>
      <w:pPr>
        <w:jc w:val="both"/>
        <w:ind w:left="320" w:right="299" w:firstLine="360"/>
        <w:spacing w:after="0" w:line="257" w:lineRule="auto"/>
        <w:rPr>
          <w:sz w:val="20"/>
          <w:szCs w:val="20"/>
          <w:color w:val="auto"/>
        </w:rPr>
      </w:pPr>
      <w:r>
        <w:rPr>
          <w:rFonts w:ascii="Arial" w:cs="Arial" w:eastAsia="Arial" w:hAnsi="Arial"/>
          <w:sz w:val="18"/>
          <w:szCs w:val="18"/>
          <w:color w:val="auto"/>
        </w:rPr>
        <w:t>Assuming a quorum is present at the PRA stockholder meeting, approval of the PRA compensation proposal requires the affirmative vote of a majority in voting power of the shares of PRA common stock represented at the PRA stockholder meeting. Accordingly,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PRA compensation proposal, while a broker non-vote or other failure to vote will have no effect on the outcome of the PRA compensation proposal.</w:t>
      </w:r>
    </w:p>
    <w:p>
      <w:pPr>
        <w:spacing w:after="0" w:line="80" w:lineRule="exact"/>
        <w:rPr>
          <w:sz w:val="20"/>
          <w:szCs w:val="20"/>
          <w:color w:val="auto"/>
        </w:rPr>
      </w:pPr>
    </w:p>
    <w:p>
      <w:pPr>
        <w:jc w:val="both"/>
        <w:ind w:left="320" w:right="299" w:firstLine="360"/>
        <w:spacing w:after="0" w:line="301" w:lineRule="auto"/>
        <w:rPr>
          <w:sz w:val="20"/>
          <w:szCs w:val="20"/>
          <w:color w:val="auto"/>
        </w:rPr>
      </w:pPr>
      <w:r>
        <w:rPr>
          <w:rFonts w:ascii="Arial" w:cs="Arial" w:eastAsia="Arial" w:hAnsi="Arial"/>
          <w:sz w:val="16"/>
          <w:szCs w:val="16"/>
          <w:color w:val="auto"/>
        </w:rPr>
        <w:t>Whether or not there is a quorum, the approval of the PRA adjournment proposal requires the affirmative vote of a majority in voting power of the shares of PRA common stock represented at the PRA stockholder meeting. Accordingly, an abstention will have the same effect as a vote “AGAINST” the PRA adjournment proposal, while a broker non-vote or other failure to vote will have no effect on the outcome of the PRA adjournment proposal.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391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3405" cy="84391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Interests of ICON’s Directors and Executive Officers in the Merger (Page [</w:t>
      </w:r>
      <w:hyperlink w:anchor="page183">
        <w:r>
          <w:rPr>
            <w:rFonts w:ascii="Arial" w:cs="Arial" w:eastAsia="Arial" w:hAnsi="Arial"/>
            <w:sz w:val="18"/>
            <w:szCs w:val="18"/>
            <w:b w:val="1"/>
            <w:bCs w:val="1"/>
            <w:u w:val="single" w:color="auto"/>
            <w:color w:val="0000EE"/>
          </w:rPr>
          <w:t>166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considering the recommendation of the ICON board of directors to vote for the ICON share issuance proposal, ICON shareholders should be aware that ICON’s directors and executive officers may have interests in the merger that are different from, or in addition to, the interests of ICON shareholders generally and that may create potential conflicts of interest. These interests include, following the closing of the merger, that certain of ICON’s directors and executive officers will continue to serve as directors or executive officers, as applicable, of the combined company. The members of the ICON board of directors were aware of and considered these interests, among other matters, when evaluating the merger agreement and the merger and when ultimately approving the merger agreement and the merger. These interests are described in more detail in the section entitled “</w:t>
      </w:r>
      <w:r>
        <w:rPr>
          <w:rFonts w:ascii="Arial" w:cs="Arial" w:eastAsia="Arial" w:hAnsi="Arial"/>
          <w:sz w:val="17"/>
          <w:szCs w:val="17"/>
          <w:b w:val="1"/>
          <w:bCs w:val="1"/>
          <w:color w:val="auto"/>
        </w:rPr>
        <w:t>Interests of</w:t>
      </w:r>
      <w:r>
        <w:rPr>
          <w:rFonts w:ascii="Arial" w:cs="Arial" w:eastAsia="Arial" w:hAnsi="Arial"/>
          <w:sz w:val="17"/>
          <w:szCs w:val="17"/>
          <w:color w:val="auto"/>
        </w:rPr>
        <w:t xml:space="preserve"> </w:t>
      </w:r>
      <w:r>
        <w:rPr>
          <w:rFonts w:ascii="Arial" w:cs="Arial" w:eastAsia="Arial" w:hAnsi="Arial"/>
          <w:sz w:val="17"/>
          <w:szCs w:val="17"/>
          <w:b w:val="1"/>
          <w:bCs w:val="1"/>
          <w:color w:val="auto"/>
        </w:rPr>
        <w:t>ICON’s Directors and Executive Officers in the Merger</w:t>
      </w:r>
      <w:r>
        <w:rPr>
          <w:rFonts w:ascii="Arial" w:cs="Arial" w:eastAsia="Arial" w:hAnsi="Arial"/>
          <w:sz w:val="17"/>
          <w:szCs w:val="17"/>
          <w:color w:val="auto"/>
        </w:rPr>
        <w:t>” beginning on page [</w:t>
      </w:r>
      <w:hyperlink w:anchor="page183">
        <w:r>
          <w:rPr>
            <w:rFonts w:ascii="Arial" w:cs="Arial" w:eastAsia="Arial" w:hAnsi="Arial"/>
            <w:sz w:val="17"/>
            <w:szCs w:val="17"/>
            <w:u w:val="single" w:color="auto"/>
            <w:color w:val="0000EE"/>
          </w:rPr>
          <w:t>166</w:t>
        </w:r>
      </w:hyperlink>
      <w:r>
        <w:rPr>
          <w:rFonts w:ascii="Arial" w:cs="Arial" w:eastAsia="Arial" w:hAnsi="Arial"/>
          <w:sz w:val="17"/>
          <w:szCs w:val="17"/>
          <w:color w:val="auto"/>
        </w:rPr>
        <w:t>].</w:t>
      </w:r>
    </w:p>
    <w:p>
      <w:pPr>
        <w:spacing w:after="0" w:line="73"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At the close of business on April 26, 2021, directors and executive officers of ICON beneficially owned and were entitled to vote approximately 638,389 ICON ordinary shares, collectively representing 1.21% of the ICON ordinary shares outstanding on April 26, 2021. The affirmative vote of ICON shareholders representing more than 50% of the votes cast at the ICON EGM, either in person or by proxy, is required for approval of the ICON share issuance. Although none of ICON’s directors and executive officers has entered into any agreement obligating them to do so, ICON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 For more information regarding the security ownership of ICON directors and executive officers, see Item 6 in ICON’s Annual Report on Form 20-F filed with the SEC on February 24, 2021, which is incorporated into this joint proxy statement/prospectus by reference.</w:t>
      </w:r>
    </w:p>
    <w:p>
      <w:pPr>
        <w:spacing w:after="0" w:line="244"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Interests of PRA’s Directors and Executive Officers in the Merger (Page [</w:t>
      </w:r>
      <w:hyperlink w:anchor="page184">
        <w:r>
          <w:rPr>
            <w:rFonts w:ascii="Arial" w:cs="Arial" w:eastAsia="Arial" w:hAnsi="Arial"/>
            <w:sz w:val="18"/>
            <w:szCs w:val="18"/>
            <w:b w:val="1"/>
            <w:bCs w:val="1"/>
            <w:u w:val="single" w:color="auto"/>
            <w:color w:val="0000EE"/>
          </w:rPr>
          <w:t>167</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91" w:lineRule="auto"/>
        <w:rPr>
          <w:rFonts w:ascii="Arial" w:cs="Arial" w:eastAsia="Arial" w:hAnsi="Arial"/>
          <w:sz w:val="16"/>
          <w:szCs w:val="16"/>
          <w:color w:val="auto"/>
        </w:rPr>
      </w:pPr>
      <w:r>
        <w:rPr>
          <w:rFonts w:ascii="Arial" w:cs="Arial" w:eastAsia="Arial" w:hAnsi="Arial"/>
          <w:sz w:val="16"/>
          <w:szCs w:val="16"/>
          <w:color w:val="auto"/>
        </w:rPr>
        <w:t>In considering the recommendation of the PRA board with respect to the merger proposal and the non-binding advisory compensation proposal, PRA stockholders should be aware that the directors and executive officers of PRA have interests in the merger that may be different from, or in addition to, the interests of PRA stockholders generally. The members of the PRA board were aware of and considered these interests, among other matters, in evaluating and negotiating the merger agreement, in approving the merger agreement and in determining to recommend that PRA stockholders approve the merger proposal. These interests are described in more detail in the section entitled “</w:t>
      </w:r>
      <w:r>
        <w:rPr>
          <w:rFonts w:ascii="Arial" w:cs="Arial" w:eastAsia="Arial" w:hAnsi="Arial"/>
          <w:sz w:val="16"/>
          <w:szCs w:val="16"/>
          <w:b w:val="1"/>
          <w:bCs w:val="1"/>
          <w:color w:val="auto"/>
        </w:rPr>
        <w:t>Interests of PRA’s Directors and Executive Officers in the Merger</w:t>
      </w:r>
      <w:r>
        <w:rPr>
          <w:rFonts w:ascii="Arial" w:cs="Arial" w:eastAsia="Arial" w:hAnsi="Arial"/>
          <w:sz w:val="16"/>
          <w:szCs w:val="16"/>
          <w:color w:val="auto"/>
        </w:rPr>
        <w:t>” beginning on page [</w:t>
      </w:r>
      <w:hyperlink w:anchor="page184">
        <w:r>
          <w:rPr>
            <w:rFonts w:ascii="Arial" w:cs="Arial" w:eastAsia="Arial" w:hAnsi="Arial"/>
            <w:sz w:val="16"/>
            <w:szCs w:val="16"/>
            <w:u w:val="single" w:color="auto"/>
            <w:color w:val="0000EE"/>
          </w:rPr>
          <w:t>167</w:t>
        </w:r>
      </w:hyperlink>
      <w:r>
        <w:rPr>
          <w:rFonts w:ascii="Arial" w:cs="Arial" w:eastAsia="Arial" w:hAnsi="Arial"/>
          <w:sz w:val="16"/>
          <w:szCs w:val="16"/>
          <w:color w:val="auto"/>
        </w:rPr>
        <w:t>].</w:t>
      </w:r>
    </w:p>
    <w:p>
      <w:pPr>
        <w:spacing w:after="0" w:line="21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Certain Beneficial Owners of PRA common stock (Page [</w:t>
      </w:r>
      <w:hyperlink w:anchor="page231">
        <w:r>
          <w:rPr>
            <w:rFonts w:ascii="Arial" w:cs="Arial" w:eastAsia="Arial" w:hAnsi="Arial"/>
            <w:sz w:val="18"/>
            <w:szCs w:val="18"/>
            <w:b w:val="1"/>
            <w:bCs w:val="1"/>
            <w:u w:val="single" w:color="auto"/>
            <w:color w:val="0000EE"/>
          </w:rPr>
          <w:t>214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At the close of business on April 26, 2021, directors and executive officers of PRA beneficially owned and were entitled to vote approximately 981,275 shares of PRA common stock, collectively representing 1.5% of the shares of PRA common stock outstanding on April 26, 2021. The affirmative vote of PRA stockholders representing more than 50% of the outstanding shares of PRA common stock, present either in person or by proxy, is required for approval of the PRA merger agreement proposal. Although none of them has entered into any agreement obligating them to do so, PRA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PRA merger agreement proposal, “</w:t>
      </w:r>
      <w:r>
        <w:rPr>
          <w:rFonts w:ascii="Arial" w:cs="Arial" w:eastAsia="Arial" w:hAnsi="Arial"/>
          <w:sz w:val="17"/>
          <w:szCs w:val="17"/>
          <w:b w:val="1"/>
          <w:bCs w:val="1"/>
          <w:color w:val="auto"/>
        </w:rPr>
        <w:t>FOR</w:t>
      </w:r>
      <w:r>
        <w:rPr>
          <w:rFonts w:ascii="Arial" w:cs="Arial" w:eastAsia="Arial" w:hAnsi="Arial"/>
          <w:sz w:val="17"/>
          <w:szCs w:val="17"/>
          <w:color w:val="auto"/>
        </w:rPr>
        <w:t>” the PRA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PRA adjournment proposal. For more information regarding the security ownership of PRA directors and executive officers, see the information provided in the section entitled “</w:t>
      </w:r>
      <w:r>
        <w:rPr>
          <w:rFonts w:ascii="Arial" w:cs="Arial" w:eastAsia="Arial" w:hAnsi="Arial"/>
          <w:sz w:val="17"/>
          <w:szCs w:val="17"/>
          <w:b w:val="1"/>
          <w:bCs w:val="1"/>
          <w:color w:val="auto"/>
        </w:rPr>
        <w:t>Certain Beneficial Owners of PRA common stock—Security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Ownership of PRA Directors and Executive Officers</w:t>
      </w:r>
      <w:r>
        <w:rPr>
          <w:rFonts w:ascii="Arial" w:cs="Arial" w:eastAsia="Arial" w:hAnsi="Arial"/>
          <w:sz w:val="17"/>
          <w:szCs w:val="17"/>
          <w:color w:val="auto"/>
        </w:rPr>
        <w:t>” beginning on page [</w:t>
      </w:r>
      <w:hyperlink w:anchor="page231">
        <w:r>
          <w:rPr>
            <w:rFonts w:ascii="Arial" w:cs="Arial" w:eastAsia="Arial" w:hAnsi="Arial"/>
            <w:sz w:val="17"/>
            <w:szCs w:val="17"/>
            <w:u w:val="single" w:color="auto"/>
            <w:color w:val="0000EE"/>
          </w:rPr>
          <w:t>214</w:t>
        </w:r>
      </w:hyperlink>
      <w:r>
        <w:rPr>
          <w:rFonts w:ascii="Arial" w:cs="Arial" w:eastAsia="Arial" w:hAnsi="Arial"/>
          <w:sz w:val="17"/>
          <w:szCs w:val="17"/>
          <w:color w:val="auto"/>
        </w:rPr>
        <w:t>].</w:t>
      </w:r>
    </w:p>
    <w:p>
      <w:pPr>
        <w:spacing w:after="0" w:line="23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Reasonable Best Efforts and Regulatory Approvals (Page [</w:t>
      </w:r>
      <w:hyperlink w:anchor="page128">
        <w:r>
          <w:rPr>
            <w:rFonts w:ascii="Arial" w:cs="Arial" w:eastAsia="Arial" w:hAnsi="Arial"/>
            <w:sz w:val="18"/>
            <w:szCs w:val="18"/>
            <w:b w:val="1"/>
            <w:bCs w:val="1"/>
            <w:u w:val="single" w:color="auto"/>
            <w:color w:val="0000EE"/>
          </w:rPr>
          <w:t>111</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ICON and PRA have agreed to each use, and cause their respective subsidiaries to use, their respective reasonable best efforts to take, or cause to be taken, all actions and to do, or cause to be done, and to assist and cooperate with the other parties in doing all things necessary, proper or advisable under applicable law to obtain required regulatory approvals.</w:t>
      </w:r>
    </w:p>
    <w:p>
      <w:pPr>
        <w:spacing w:after="0" w:line="79"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The completion of the merger is subject to the receipt of antitrust clearance in the United States, Austria, Germany and Russia, and to approval of foreign direct investment in each of Austria, France, Germany, Italy and New Zealand. In the United States, ICON and PRA each filed a notification and report form under the Hart-Scott-Rodino Antitrust Improvements Act of 1976, as amended, or HSR Act, which is referred to as an HSR notification, with the Federal Trade Commission, or FTC, and the Department of Justice, or DOJ, on March 15, 2021. The waiting period under the HSR Act with respect to the filed notifications expired on April 14, 2021. ICON and PRA have submitted antitrust filings in Austria, Germany and Russia. Approval was received with respect to antitrust filings in Austria and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Germany on April 17, 2021, and April 12, 2021, respectively. ICON and PRA have also submitted foreign direct investment filings in Austria, France, Germany, Italy and New Zealand. Approval with respect to the New Zealand filing was received on April 19, 2021, and approvals with respect to the German and Italian foreign direct investment filings were received on April 22, 2021.</w:t>
      </w:r>
    </w:p>
    <w:p>
      <w:pPr>
        <w:spacing w:after="0" w:line="79"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Subject to receipt of required regulatory approvals and satisfaction or waiver of the other conditions to completion of the merger, ICON and PRA expect the merger to close in July 2021.</w:t>
      </w:r>
    </w:p>
    <w:p>
      <w:pPr>
        <w:spacing w:after="0" w:line="24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Ownership of ICON after the Merger (Page [</w:t>
      </w:r>
      <w:hyperlink w:anchor="page129">
        <w:r>
          <w:rPr>
            <w:rFonts w:ascii="Arial" w:cs="Arial" w:eastAsia="Arial" w:hAnsi="Arial"/>
            <w:sz w:val="18"/>
            <w:szCs w:val="18"/>
            <w:b w:val="1"/>
            <w:bCs w:val="1"/>
            <w:u w:val="single" w:color="auto"/>
            <w:color w:val="0000EE"/>
          </w:rPr>
          <w:t>112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5" w:lineRule="auto"/>
        <w:rPr>
          <w:sz w:val="20"/>
          <w:szCs w:val="20"/>
          <w:color w:val="auto"/>
        </w:rPr>
      </w:pPr>
      <w:r>
        <w:rPr>
          <w:rFonts w:ascii="Arial" w:cs="Arial" w:eastAsia="Arial" w:hAnsi="Arial"/>
          <w:sz w:val="17"/>
          <w:szCs w:val="17"/>
          <w:color w:val="auto"/>
        </w:rPr>
        <w:t>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ordinary shares of ICON, and ICON shareholders as of immediately prior to the completion of the merger will hold, in the aggregate, approximately 66% of the issued and outstanding ordinary shares of ICON.</w:t>
      </w:r>
    </w:p>
    <w:p>
      <w:pPr>
        <w:spacing w:after="0" w:line="25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Governance of ICON after the Merger (Page [</w:t>
      </w:r>
      <w:hyperlink w:anchor="page129">
        <w:r>
          <w:rPr>
            <w:rFonts w:ascii="Arial" w:cs="Arial" w:eastAsia="Arial" w:hAnsi="Arial"/>
            <w:sz w:val="18"/>
            <w:szCs w:val="18"/>
            <w:b w:val="1"/>
            <w:bCs w:val="1"/>
            <w:u w:val="single" w:color="auto"/>
            <w:color w:val="0000EE"/>
          </w:rPr>
          <w:t>112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Chairman of ICON plc, will serve as the Chairman of the Board of Directors of the combined company.</w:t>
      </w:r>
    </w:p>
    <w:p>
      <w:pPr>
        <w:spacing w:after="0" w:line="79"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constitution of ICON as currently in effect will be the constitution of ICON after the merger, until thereafter amended as provided therein or by applicable law.</w:t>
      </w:r>
    </w:p>
    <w:p>
      <w:pPr>
        <w:spacing w:after="0" w:line="62" w:lineRule="exact"/>
        <w:rPr>
          <w:sz w:val="20"/>
          <w:szCs w:val="20"/>
          <w:color w:val="auto"/>
        </w:rPr>
      </w:pPr>
    </w:p>
    <w:p>
      <w:pPr>
        <w:jc w:val="both"/>
        <w:ind w:left="320" w:right="279" w:firstLine="360"/>
        <w:spacing w:after="0" w:line="289" w:lineRule="auto"/>
        <w:rPr>
          <w:sz w:val="20"/>
          <w:szCs w:val="20"/>
          <w:color w:val="auto"/>
        </w:rPr>
      </w:pPr>
      <w:r>
        <w:rPr>
          <w:rFonts w:ascii="Arial" w:cs="Arial" w:eastAsia="Arial" w:hAnsi="Arial"/>
          <w:sz w:val="16"/>
          <w:szCs w:val="16"/>
          <w:color w:val="auto"/>
        </w:rPr>
        <w:t>ICON’s constitution provides that, unless otherwise determined by ICON at a general meeting, the number of directors shall not be more than fifteen (15) nor fewer than three (3). ICON’s board of directors comprises one (1) executive director and nine (9) outside or non-executive directors at the date of this joint proxy statement/prospectus. 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(2)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58"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is a foreign private issuer and, as such, is eligible for exemption from certain Nasdaq corporate governance requirements that apply to issuers that are not foreign private issuers.</w:t>
      </w:r>
    </w:p>
    <w:p>
      <w:pPr>
        <w:spacing w:after="0" w:line="24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Appraisal Rights (Page [</w:t>
      </w:r>
      <w:hyperlink w:anchor="page225">
        <w:r>
          <w:rPr>
            <w:rFonts w:ascii="Arial" w:cs="Arial" w:eastAsia="Arial" w:hAnsi="Arial"/>
            <w:sz w:val="18"/>
            <w:szCs w:val="18"/>
            <w:b w:val="1"/>
            <w:bCs w:val="1"/>
            <w:u w:val="single" w:color="auto"/>
            <w:color w:val="0000EE"/>
          </w:rPr>
          <w:t>208</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Pursuant to Section 262 of the DGCL, PRA stockholders who do not vote in favor of the adoption of the merger agreement or consent thereto in writing, who continuously hold their shares of PRA common stock through the effective date of the merger and who otherwise comply with the applicable requirements of Section 262 of the DGCL will be entitled to appraisal rights in connection with the merger, and if the merger is completed, subject to the provisions of Section 262 of the DGCL, obtain payment in cash of the fair value of their shares of PRA common stock, as determined by the Delaware Court of Chancery, together with interest, if any, on the amount determined to be the fair value, instead of receiving the merger consideration for their shares. The “fair value” of shares of PRA common stock as determined by the Delaware Court of Chancery could be greater than, the same as, or less than the value of the merger consideration that PRA stockholders would otherwise be entitled to receive under the terms of the merger agreement.</w:t>
      </w:r>
    </w:p>
    <w:p>
      <w:pPr>
        <w:spacing w:after="0" w:line="73" w:lineRule="exact"/>
        <w:rPr>
          <w:sz w:val="20"/>
          <w:szCs w:val="20"/>
          <w:color w:val="auto"/>
        </w:rPr>
      </w:pPr>
    </w:p>
    <w:p>
      <w:pPr>
        <w:jc w:val="both"/>
        <w:ind w:left="320" w:right="279" w:firstLine="360"/>
        <w:spacing w:after="0" w:line="266" w:lineRule="auto"/>
        <w:rPr>
          <w:sz w:val="20"/>
          <w:szCs w:val="20"/>
          <w:color w:val="auto"/>
        </w:rPr>
      </w:pPr>
      <w:r>
        <w:rPr>
          <w:rFonts w:ascii="Arial" w:cs="Arial" w:eastAsia="Arial" w:hAnsi="Arial"/>
          <w:sz w:val="18"/>
          <w:szCs w:val="18"/>
          <w:color w:val="auto"/>
        </w:rPr>
        <w:t>The right to seek appraisal will be lost if a PRA stockholder votes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However, abstaining or voting against adoption of the merger agreement is not in itself sufficient to perfect appraisal rights because additional actions must also be taken to perfect such rights.</w:t>
      </w:r>
    </w:p>
    <w:p>
      <w:pPr>
        <w:spacing w:after="0" w:line="72" w:lineRule="exact"/>
        <w:rPr>
          <w:sz w:val="20"/>
          <w:szCs w:val="20"/>
          <w:color w:val="auto"/>
        </w:rPr>
      </w:pPr>
    </w:p>
    <w:p>
      <w:pPr>
        <w:jc w:val="both"/>
        <w:ind w:left="320" w:right="299" w:firstLine="360"/>
        <w:spacing w:after="0" w:line="301" w:lineRule="auto"/>
        <w:rPr>
          <w:sz w:val="20"/>
          <w:szCs w:val="20"/>
          <w:color w:val="auto"/>
        </w:rPr>
      </w:pPr>
      <w:r>
        <w:rPr>
          <w:rFonts w:ascii="Arial" w:cs="Arial" w:eastAsia="Arial" w:hAnsi="Arial"/>
          <w:sz w:val="16"/>
          <w:szCs w:val="16"/>
          <w:color w:val="auto"/>
        </w:rPr>
        <w:t>PRA stockholders who wish to exercise the right to seek an appraisal of their shares must so advise PRA by delivering a written demand for appraisal prior to the taking of the vote on the merger agreement at the PRA stockholder meeting, and must otherwise follow the procedures prescribed by Section 262 of the DGCL. A person having a beneficial interest in shares of PRA common stock held of record in the name of another person, such as</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50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3405" cy="7950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 nominee or intermediary, must act promptly to cause the record holder to follow the steps required by Section 262 of the DGCL and in a timely manner to make the written demand for appraisal. In view of the complexity of Section 262 of the DGCL, PRA stockholders that may wish to pursue appraisal rights are urged to consult their legal and financial advisors. In addition, assuming the shares of PRA common stock remain listed on a national securities exchange immediately prior to the effective time of the merger, under Section 262 of the DGCL, the Delaware Court of Chancery will dismiss any appraisal proceedings as to all PRA stockholders who have perfected their appraisal rights unless (i) the total number of such shares entitled to appraisal exceeds 1% of the outstanding shares of PRA common stock, or (ii) the value of the merger consideration provided in the merger agreement for the total number of shares of PRA common stock entitled to appraisal exceeds $1 million. See the section entitled “</w:t>
      </w:r>
      <w:r>
        <w:rPr>
          <w:rFonts w:ascii="Arial" w:cs="Arial" w:eastAsia="Arial" w:hAnsi="Arial"/>
          <w:sz w:val="17"/>
          <w:szCs w:val="17"/>
          <w:b w:val="1"/>
          <w:bCs w:val="1"/>
          <w:color w:val="auto"/>
        </w:rPr>
        <w:t>Appraisal</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beginning on page [</w:t>
      </w:r>
      <w:hyperlink w:anchor="page225">
        <w:r>
          <w:rPr>
            <w:rFonts w:ascii="Arial" w:cs="Arial" w:eastAsia="Arial" w:hAnsi="Arial"/>
            <w:sz w:val="17"/>
            <w:szCs w:val="17"/>
            <w:u w:val="single" w:color="auto"/>
            <w:color w:val="0000EE"/>
          </w:rPr>
          <w:t>208</w:t>
        </w:r>
      </w:hyperlink>
      <w:r>
        <w:rPr>
          <w:rFonts w:ascii="Arial" w:cs="Arial" w:eastAsia="Arial" w:hAnsi="Arial"/>
          <w:sz w:val="17"/>
          <w:szCs w:val="17"/>
          <w:color w:val="auto"/>
        </w:rPr>
        <w:t>].</w:t>
      </w:r>
    </w:p>
    <w:p>
      <w:pPr>
        <w:spacing w:after="0" w:line="77"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ICON shareholders are not entitled to appraisal rights under Irish law in connection with the merger or the other transactions contemplated by the merger agreement.</w:t>
      </w:r>
    </w:p>
    <w:p>
      <w:pPr>
        <w:spacing w:after="0" w:line="31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Completion of the Merger (Page [</w:t>
      </w:r>
      <w:hyperlink w:anchor="page157">
        <w:r>
          <w:rPr>
            <w:rFonts w:ascii="Arial" w:cs="Arial" w:eastAsia="Arial" w:hAnsi="Arial"/>
            <w:sz w:val="18"/>
            <w:szCs w:val="18"/>
            <w:b w:val="1"/>
            <w:bCs w:val="1"/>
            <w:u w:val="single" w:color="auto"/>
            <w:color w:val="0000EE"/>
          </w:rPr>
          <w:t>140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Each party’s obligation to effect the merger is subject to the satisfaction at closing or waiver at or prior to closing of each of the following conditions:</w:t>
      </w:r>
    </w:p>
    <w:p>
      <w:pPr>
        <w:spacing w:after="0" w:line="58" w:lineRule="exact"/>
        <w:rPr>
          <w:sz w:val="20"/>
          <w:szCs w:val="20"/>
          <w:color w:val="auto"/>
        </w:rPr>
      </w:pPr>
    </w:p>
    <w:p>
      <w:pPr>
        <w:jc w:val="both"/>
        <w:ind w:left="1020" w:right="299" w:hanging="350"/>
        <w:spacing w:after="0" w:line="266"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receipt of the required PRA vote and the required ICON vote (each as defined in the section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Agreement—No Solicitation of Takeover Proposals; No Change of Recommendation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expiration or termination of the waiting periods (and any extension thereof or any agreement with any governmental entity by a party not to consummate the merger) applicable to the merger under the HSR Act and the making of all required filings and obtainment of all required approvals (or expiration or termination of waiting periods) under applicable antitrust laws of certain jurisdictions;</w:t>
      </w:r>
    </w:p>
    <w:p>
      <w:pPr>
        <w:spacing w:after="0" w:line="63"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obtainment of certain consents, approvals and other authorizations of governmental entities free of any burdensome condition;</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ICON ordinary shares to be issued to PRA stockholders in accordance with the merger agreement having been approved for listing on Nasdaq, subject to official notice of issuance;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joint proxy statement/prospectus forms a part and the absence of a stop order or proceedings seeking a stop order;</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absence of any governmental entity having jurisdiction over any party having enacted, issued, promulgated, enforced, or entered any laws or orders, whether temporary, preliminary, or permanent, that make illegal, enjoin, or otherwise prohibit consummation of the merger, the ICON share issuance, or the other transactions contemplated by the merger agreement;</w:t>
      </w:r>
    </w:p>
    <w:p>
      <w:pPr>
        <w:spacing w:after="0" w:line="78"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to the extent required under the merger agreement;</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in all material respects by each party of all obligations and compliance in all material respects with the agreements and covenants in the merger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receipt by each party of a certificate signed by the chief executive officer or chief financial officer of the other party certifying that specified conditions in the two (2) immediately preceding bullets have been satisfied to the extent required under the merger agreement; and</w:t>
      </w:r>
    </w:p>
    <w:p>
      <w:pPr>
        <w:spacing w:after="0" w:line="75"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that ICON has in place a composition agreement with the Revenue Commissioners of Ireland and a Special Eligibility Agreement for Securities with The Depository Trust Company in respect of the ICON ordinary shares issuable as merger consideration pursuant to the merger agreement, both of which are in full force and effect and are enforceable in accordance with their terms.</w:t>
      </w:r>
    </w:p>
    <w:p>
      <w:pPr>
        <w:spacing w:after="0" w:line="63" w:lineRule="exact"/>
        <w:rPr>
          <w:sz w:val="20"/>
          <w:szCs w:val="20"/>
          <w:color w:val="auto"/>
        </w:rPr>
      </w:pPr>
    </w:p>
    <w:p>
      <w:pPr>
        <w:jc w:val="both"/>
        <w:ind w:left="320" w:right="279" w:firstLine="360"/>
        <w:spacing w:after="0" w:line="263" w:lineRule="auto"/>
        <w:rPr>
          <w:rFonts w:ascii="Arial" w:cs="Arial" w:eastAsia="Arial" w:hAnsi="Arial"/>
          <w:sz w:val="18"/>
          <w:szCs w:val="18"/>
          <w:color w:val="auto"/>
        </w:rPr>
      </w:pPr>
      <w:r>
        <w:rPr>
          <w:rFonts w:ascii="Arial" w:cs="Arial" w:eastAsia="Arial" w:hAnsi="Arial"/>
          <w:sz w:val="18"/>
          <w:szCs w:val="18"/>
          <w:color w:val="auto"/>
        </w:rPr>
        <w:t>For a more complete summary of the conditions that must be satisfied or waived prior to completion of the merger, see the section entitled “</w:t>
      </w:r>
      <w:r>
        <w:rPr>
          <w:rFonts w:ascii="Arial" w:cs="Arial" w:eastAsia="Arial" w:hAnsi="Arial"/>
          <w:sz w:val="18"/>
          <w:szCs w:val="18"/>
          <w:b w:val="1"/>
          <w:bCs w:val="1"/>
          <w:color w:val="auto"/>
        </w:rPr>
        <w:t>The Merger Agreement—Conditions to the Completion of the Merger</w:t>
      </w:r>
      <w:r>
        <w:rPr>
          <w:rFonts w:ascii="Arial" w:cs="Arial" w:eastAsia="Arial" w:hAnsi="Arial"/>
          <w:sz w:val="18"/>
          <w:szCs w:val="18"/>
          <w:color w:val="auto"/>
        </w:rPr>
        <w:t>” beginning on page [</w:t>
      </w:r>
      <w:hyperlink w:anchor="page157">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30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3405" cy="78308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 Solicitation of Takeover Proposals; No Change of Recommendation (Page [</w:t>
      </w:r>
      <w:hyperlink w:anchor="page144">
        <w:r>
          <w:rPr>
            <w:rFonts w:ascii="Arial" w:cs="Arial" w:eastAsia="Arial" w:hAnsi="Arial"/>
            <w:sz w:val="18"/>
            <w:szCs w:val="18"/>
            <w:b w:val="1"/>
            <w:bCs w:val="1"/>
            <w:u w:val="single" w:color="auto"/>
            <w:color w:val="0000EE"/>
          </w:rPr>
          <w:t>127</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Solicitation of Takeover Proposals</w:t>
      </w:r>
    </w:p>
    <w:p>
      <w:pPr>
        <w:spacing w:after="0" w:line="117" w:lineRule="exact"/>
        <w:rPr>
          <w:sz w:val="20"/>
          <w:szCs w:val="20"/>
          <w:color w:val="auto"/>
        </w:rPr>
      </w:pPr>
    </w:p>
    <w:p>
      <w:pPr>
        <w:jc w:val="both"/>
        <w:ind w:left="32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Each of ICON and PRA have agreed not to, and to cause its subsidiaries and its and its subsidiaries’ respective directors, officers and employees not to, and use reasonable best efforts to cause other representatives (as defined in the section entitled “</w:t>
      </w:r>
      <w:r>
        <w:rPr>
          <w:rFonts w:ascii="Arial" w:cs="Arial" w:eastAsia="Arial" w:hAnsi="Arial"/>
          <w:sz w:val="18"/>
          <w:szCs w:val="18"/>
          <w:b w:val="1"/>
          <w:bCs w:val="1"/>
          <w:color w:val="auto"/>
        </w:rPr>
        <w:t>The Merger Agreement—No Solicitation of Takeover Proposals; No 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 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it and its subsidiaries not to, directly or indirectly,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permitted under the merger agreement:</w:t>
      </w:r>
    </w:p>
    <w:p>
      <w:pPr>
        <w:spacing w:after="0" w:line="39" w:lineRule="exact"/>
        <w:rPr>
          <w:sz w:val="20"/>
          <w:szCs w:val="20"/>
          <w:color w:val="auto"/>
        </w:rPr>
      </w:pPr>
    </w:p>
    <w:p>
      <w:pPr>
        <w:jc w:val="both"/>
        <w:ind w:left="1020" w:right="299" w:hanging="350"/>
        <w:spacing w:after="0" w:line="259" w:lineRule="auto"/>
        <w:tabs>
          <w:tab w:leader="none" w:pos="102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solicit, initiate, propose, or knowingly encourage or knowingly facilitate the submission of any takeover proposal (as defined in the section entitled “</w:t>
      </w:r>
      <w:r>
        <w:rPr>
          <w:rFonts w:ascii="Arial" w:cs="Arial" w:eastAsia="Arial" w:hAnsi="Arial"/>
          <w:sz w:val="18"/>
          <w:szCs w:val="18"/>
          <w:b w:val="1"/>
          <w:bCs w:val="1"/>
          <w:color w:val="auto"/>
        </w:rPr>
        <w:t>The Merger Agreement—No Solicitation of Takeover</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 No Change of Recommendation</w:t>
      </w:r>
      <w:r>
        <w:rPr>
          <w:rFonts w:ascii="Arial" w:cs="Arial" w:eastAsia="Arial" w:hAnsi="Arial"/>
          <w:sz w:val="18"/>
          <w:szCs w:val="18"/>
          <w:color w:val="auto"/>
        </w:rPr>
        <w:t>” 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making of any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reasonably be expected to lead to any takeover proposal;</w:t>
      </w:r>
    </w:p>
    <w:p>
      <w:pPr>
        <w:spacing w:after="0" w:line="38" w:lineRule="exact"/>
        <w:rPr>
          <w:rFonts w:ascii="Arial" w:cs="Arial" w:eastAsia="Arial" w:hAnsi="Arial"/>
          <w:sz w:val="18"/>
          <w:szCs w:val="18"/>
          <w:b w:val="1"/>
          <w:bCs w:val="1"/>
          <w:color w:val="auto"/>
        </w:rPr>
      </w:pPr>
    </w:p>
    <w:p>
      <w:pPr>
        <w:jc w:val="both"/>
        <w:ind w:left="1020" w:right="299" w:hanging="350"/>
        <w:spacing w:after="0" w:line="25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52" w:lineRule="exact"/>
        <w:rPr>
          <w:rFonts w:ascii="Arial" w:cs="Arial" w:eastAsia="Arial" w:hAnsi="Arial"/>
          <w:sz w:val="18"/>
          <w:szCs w:val="18"/>
          <w:color w:val="auto"/>
        </w:rPr>
      </w:pPr>
    </w:p>
    <w:p>
      <w:pPr>
        <w:jc w:val="both"/>
        <w:ind w:left="1020" w:right="299" w:hanging="350"/>
        <w:spacing w:after="0" w:line="290"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16" w:lineRule="exact"/>
        <w:rPr>
          <w:rFonts w:ascii="Arial" w:cs="Arial" w:eastAsia="Arial" w:hAnsi="Arial"/>
          <w:sz w:val="16"/>
          <w:szCs w:val="16"/>
          <w:color w:val="auto"/>
        </w:rPr>
      </w:pPr>
    </w:p>
    <w:p>
      <w:pPr>
        <w:jc w:val="both"/>
        <w:ind w:left="1020" w:right="299" w:hanging="350"/>
        <w:spacing w:after="0" w:line="270" w:lineRule="auto"/>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by the merger agreement or to comply with its disclosure obligations to ICON pursuant to the merger agreement, entered into in compliance with the terms and conditions of the merger agreement) relating to any takeover proposal (which is referred to as the acquisition agreement);</w:t>
      </w:r>
    </w:p>
    <w:p>
      <w:pPr>
        <w:spacing w:after="0" w:line="32" w:lineRule="exact"/>
        <w:rPr>
          <w:rFonts w:ascii="Arial" w:cs="Arial" w:eastAsia="Arial" w:hAnsi="Arial"/>
          <w:sz w:val="17"/>
          <w:szCs w:val="17"/>
          <w:color w:val="auto"/>
        </w:rPr>
      </w:pPr>
    </w:p>
    <w:p>
      <w:pPr>
        <w:ind w:left="1020" w:hanging="350"/>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ICON, submit any takeover proposal to the vote of shareholders of ICON; or</w:t>
      </w:r>
    </w:p>
    <w:p>
      <w:pPr>
        <w:spacing w:after="0" w:line="90"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 foregoing provisions.</w:t>
      </w:r>
    </w:p>
    <w:p>
      <w:pPr>
        <w:spacing w:after="0" w:line="79"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Notwithstanding anything in the merger agreement to the contrary, in the case of PRA, prior to the time that the required PRA vote is obtained, in response to a bona fide takeover proposal after the date of the merger agreement that did not result from a breach of the obligations described in this section, PRA may:</w:t>
      </w:r>
    </w:p>
    <w:p>
      <w:pPr>
        <w:spacing w:after="0" w:line="17" w:lineRule="exact"/>
        <w:rPr>
          <w:sz w:val="20"/>
          <w:szCs w:val="20"/>
          <w:color w:val="auto"/>
        </w:rPr>
      </w:pPr>
    </w:p>
    <w:p>
      <w:pPr>
        <w:ind w:left="1020" w:right="299" w:hanging="350"/>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participate in negotiations or discussions with the third party making such takeover proposal regarding such takeover proposal; and</w:t>
      </w:r>
    </w:p>
    <w:p>
      <w:pPr>
        <w:spacing w:after="0" w:line="21" w:lineRule="exact"/>
        <w:rPr>
          <w:rFonts w:ascii="Arial" w:cs="Arial" w:eastAsia="Arial" w:hAnsi="Arial"/>
          <w:sz w:val="18"/>
          <w:szCs w:val="18"/>
          <w:color w:val="auto"/>
        </w:rPr>
      </w:pPr>
    </w:p>
    <w:p>
      <w:pPr>
        <w:jc w:val="both"/>
        <w:ind w:left="1020" w:right="299" w:hanging="350"/>
        <w:spacing w:after="0" w:line="254"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furnish to such third party non-public information relating to PRA or its subsidiaries pursuant to an executed confidentiality agreement that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93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41" w:lineRule="exact"/>
        <w:rPr>
          <w:sz w:val="20"/>
          <w:szCs w:val="20"/>
          <w:color w:val="auto"/>
        </w:rPr>
      </w:pPr>
    </w:p>
    <w:p>
      <w:pPr>
        <w:jc w:val="both"/>
        <w:ind w:left="320" w:right="27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each case only if, prior to doing so, the board of directors of PRA believes in good faith, after consultation with outside legal counsel and financial advisors constitutes or would reasonably be expected to lead to a superior proposal (as defined in the section entitled “</w:t>
      </w:r>
      <w:r>
        <w:rPr>
          <w:rFonts w:ascii="Arial" w:cs="Arial" w:eastAsia="Arial" w:hAnsi="Arial"/>
          <w:sz w:val="18"/>
          <w:szCs w:val="18"/>
          <w:b w:val="1"/>
          <w:bCs w:val="1"/>
          <w:color w:val="auto"/>
        </w:rPr>
        <w:t>The Merger Agreement—No Solicitation of Takeover Proposals; No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of Recommendation</w:t>
      </w:r>
      <w:r>
        <w:rPr>
          <w:rFonts w:ascii="Arial" w:cs="Arial" w:eastAsia="Arial" w:hAnsi="Arial"/>
          <w:sz w:val="18"/>
          <w:szCs w:val="18"/>
          <w:color w:val="auto"/>
        </w:rPr>
        <w:t>” 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Existing Discussions</w:t>
      </w:r>
    </w:p>
    <w:p>
      <w:pPr>
        <w:spacing w:after="0" w:line="117" w:lineRule="exact"/>
        <w:rPr>
          <w:sz w:val="20"/>
          <w:szCs w:val="20"/>
          <w:color w:val="auto"/>
        </w:rPr>
      </w:pPr>
    </w:p>
    <w:p>
      <w:pPr>
        <w:jc w:val="both"/>
        <w:ind w:left="320" w:right="299" w:firstLine="360"/>
        <w:spacing w:after="0" w:line="270" w:lineRule="auto"/>
        <w:rPr>
          <w:sz w:val="20"/>
          <w:szCs w:val="20"/>
          <w:color w:val="auto"/>
        </w:rPr>
      </w:pPr>
      <w:r>
        <w:rPr>
          <w:rFonts w:ascii="Arial" w:cs="Arial" w:eastAsia="Arial" w:hAnsi="Arial"/>
          <w:sz w:val="17"/>
          <w:szCs w:val="17"/>
          <w:color w:val="auto"/>
        </w:rPr>
        <w:t>Following the execution and delivery of the merger agreement, each of ICON and PRA shall not, and shall cause its subsidiaries and its and their officers, employees and directors not to, and shall use reasonable best efforts to cause the other representatives of such party and its subsidiaries not to continue, any and all existing activities, discussions, or negotiations, if any, with any third party (or its agents or advisors) conducted prior to the date of the merger agreement with respect to any takeover proposal and shall use its reasonable best efforts to cause any such third party (or its agents or advisors) in possession of non-public information in respect of such party and its subsidiaries that was furnished by or on behalf of such party or its subsidiaries to return or destroy (and confirm destruction of) all such information and immediately terminate access by any third party to any physical or electronic data room relating to any potential takeover proposal.</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Change of Recommendation</w:t>
      </w:r>
    </w:p>
    <w:p>
      <w:pPr>
        <w:spacing w:after="0" w:line="11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and PRA have agreed that, except as otherwise set forth in the merger agreement, neither the ICON board nor the PRA board, nor any committee thereof, will:</w:t>
      </w:r>
    </w:p>
    <w:p>
      <w:pPr>
        <w:spacing w:after="0" w:line="62" w:lineRule="exact"/>
        <w:rPr>
          <w:sz w:val="20"/>
          <w:szCs w:val="20"/>
          <w:color w:val="auto"/>
        </w:rPr>
      </w:pPr>
    </w:p>
    <w:p>
      <w:pPr>
        <w:jc w:val="both"/>
        <w:ind w:left="1020" w:right="299" w:hanging="350"/>
        <w:spacing w:after="0" w:line="259"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withhold or withdraw (or amend, modify or materially qualify, in a manner adverse to PRA or to ICON or Merger Sub, as applicable), the ICON recommendation or the PRA recommendation (each as defined in the section entitled “</w:t>
      </w:r>
      <w:r>
        <w:rPr>
          <w:rFonts w:ascii="Arial" w:cs="Arial" w:eastAsia="Arial" w:hAnsi="Arial"/>
          <w:sz w:val="18"/>
          <w:szCs w:val="18"/>
          <w:b w:val="1"/>
          <w:bCs w:val="1"/>
          <w:color w:val="auto"/>
        </w:rPr>
        <w:t>The Merger Agreement—Representations and Warranties</w:t>
      </w:r>
      <w:r>
        <w:rPr>
          <w:rFonts w:ascii="Arial" w:cs="Arial" w:eastAsia="Arial" w:hAnsi="Arial"/>
          <w:sz w:val="18"/>
          <w:szCs w:val="18"/>
          <w:color w:val="auto"/>
        </w:rPr>
        <w:t>” beginning on page [</w:t>
      </w:r>
      <w:hyperlink w:anchor="page137">
        <w:r>
          <w:rPr>
            <w:rFonts w:ascii="Arial" w:cs="Arial" w:eastAsia="Arial" w:hAnsi="Arial"/>
            <w:sz w:val="18"/>
            <w:szCs w:val="18"/>
            <w:u w:val="single" w:color="auto"/>
            <w:color w:val="0000EE"/>
          </w:rPr>
          <w:t>120</w:t>
        </w:r>
      </w:hyperlink>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fail to include the ICON recommendation or the PRA recommendation, as applicable, in this joint proxy statement/prospectus when disseminated to ICON shareholders or PRA stockholders, as applicable;</w:t>
      </w:r>
    </w:p>
    <w:p>
      <w:pPr>
        <w:spacing w:after="0" w:line="11" w:lineRule="exact"/>
        <w:rPr>
          <w:rFonts w:ascii="Arial" w:cs="Arial" w:eastAsia="Arial" w:hAnsi="Arial"/>
          <w:sz w:val="16"/>
          <w:szCs w:val="16"/>
          <w:color w:val="auto"/>
        </w:rPr>
      </w:pPr>
    </w:p>
    <w:p>
      <w:pPr>
        <w:jc w:val="both"/>
        <w:ind w:left="1020" w:right="299" w:hanging="350"/>
        <w:spacing w:after="0" w:line="266"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adopt, approve or recommend a takeover proposal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Agreement—No Solicitation of Takeover Proposals; No Change of Recommendation</w:t>
      </w:r>
      <w:r>
        <w:rPr>
          <w:rFonts w:ascii="Arial" w:cs="Arial" w:eastAsia="Arial" w:hAnsi="Arial"/>
          <w:sz w:val="18"/>
          <w:szCs w:val="18"/>
          <w:color w:val="auto"/>
        </w:rPr>
        <w:t>”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 to recommend against acceptance of any tender offer or exchange offer for the ICON ordinary shares or the PRA common stock, as applicable, within ten (10) business days after the commencement of such offer (within the meaning of Rule 14d-2 under the Exchange Act);</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 to reaffirm (publicly, if so requested by PRA or ICON, as applicable), the ICON recommendation or the PRA recommendation, as applicable, within ten (10) business days after the date any takeover proposal (or material modification thereto) is first publicly disclosed by PRA, ICON or the person making such takeover proposal; or</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resolve, agree or publicly propose to take any of the actions in the previous five (5) bullets.</w:t>
      </w:r>
    </w:p>
    <w:p>
      <w:pPr>
        <w:spacing w:after="0" w:line="306"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of Recommendation for an Intervening Event</w:t>
      </w:r>
    </w:p>
    <w:p>
      <w:pPr>
        <w:spacing w:after="0" w:line="117" w:lineRule="exact"/>
        <w:rPr>
          <w:rFonts w:ascii="Arial" w:cs="Arial" w:eastAsia="Arial" w:hAnsi="Arial"/>
          <w:sz w:val="18"/>
          <w:szCs w:val="18"/>
          <w:color w:val="auto"/>
        </w:rPr>
      </w:pPr>
    </w:p>
    <w:p>
      <w:pPr>
        <w:jc w:val="both"/>
        <w:ind w:left="320" w:right="279" w:firstLine="3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Notwithstanding anything in the merger agreement to the contrary, prior to the time, in the case of PRA, the required PRA vote is obtained or, in the case of ICON, the required ICON vote is obtained, the PRA board of directors or the ICON board of directors, as applicable, may effect an adverse recommendation change in response to an intervening event (as defined in the section entitled “</w:t>
      </w:r>
      <w:r>
        <w:rPr>
          <w:rFonts w:ascii="Arial" w:cs="Arial" w:eastAsia="Arial" w:hAnsi="Arial"/>
          <w:sz w:val="17"/>
          <w:szCs w:val="17"/>
          <w:b w:val="1"/>
          <w:bCs w:val="1"/>
          <w:color w:val="auto"/>
        </w:rPr>
        <w:t>The Merger Agreement—No Solicitation of Takeover</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 No Change of Recommendation</w:t>
      </w:r>
      <w:r>
        <w:rPr>
          <w:rFonts w:ascii="Arial" w:cs="Arial" w:eastAsia="Arial" w:hAnsi="Arial"/>
          <w:sz w:val="17"/>
          <w:szCs w:val="17"/>
          <w:color w:val="auto"/>
        </w:rPr>
        <w:t>” beginning on page [</w:t>
      </w:r>
      <w:hyperlink w:anchor="page144">
        <w:r>
          <w:rPr>
            <w:rFonts w:ascii="Arial" w:cs="Arial" w:eastAsia="Arial" w:hAnsi="Arial"/>
            <w:sz w:val="17"/>
            <w:szCs w:val="17"/>
            <w:u w:val="single" w:color="auto"/>
            <w:color w:val="0000EE"/>
          </w:rPr>
          <w:t>127</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such board of directors determines</w:t>
      </w:r>
      <w:r>
        <w:rPr>
          <w:rFonts w:ascii="Arial" w:cs="Arial" w:eastAsia="Arial" w:hAnsi="Arial"/>
          <w:sz w:val="17"/>
          <w:szCs w:val="17"/>
          <w:b w:val="1"/>
          <w:bCs w:val="1"/>
          <w:color w:val="auto"/>
        </w:rPr>
        <w:t xml:space="preserve"> </w:t>
      </w:r>
      <w:r>
        <w:rPr>
          <w:rFonts w:ascii="Arial" w:cs="Arial" w:eastAsia="Arial" w:hAnsi="Arial"/>
          <w:sz w:val="17"/>
          <w:szCs w:val="17"/>
          <w:color w:val="auto"/>
        </w:rPr>
        <w:t>in good faith, after consultation with its outside legal counsel and a financial advisor of national reputation, that the failure to do so would be inconsistent with such board of directors’ fiduciary duties under applicable law, only if all of the following conditions are met:</w:t>
      </w:r>
    </w:p>
    <w:p>
      <w:pPr>
        <w:spacing w:after="0" w:line="70"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PRA or ICON, as applicable, has first provided to the other party an intervening event notice (as defined in the section entitled “</w:t>
      </w:r>
      <w:r>
        <w:rPr>
          <w:rFonts w:ascii="Arial" w:cs="Arial" w:eastAsia="Arial" w:hAnsi="Arial"/>
          <w:sz w:val="16"/>
          <w:szCs w:val="16"/>
          <w:b w:val="1"/>
          <w:bCs w:val="1"/>
          <w:color w:val="auto"/>
        </w:rPr>
        <w:t>The Merger Agreement—No Solicitation of Takeover Proposals; No Change of</w:t>
      </w:r>
    </w:p>
    <w:p>
      <w:pPr>
        <w:sectPr>
          <w:pgSz w:w="11900" w:h="16838" w:orient="portrait"/>
          <w:cols w:equalWidth="0" w:num="1">
            <w:col w:w="9019"/>
          </w:cols>
          <w:pgMar w:left="1440" w:top="265" w:right="1440" w:bottom="1440" w:gutter="0" w:footer="0" w:header="0"/>
          <w:type w:val="continuous"/>
        </w:sectPr>
      </w:pPr>
    </w:p>
    <w:p>
      <w:pPr>
        <w:spacing w:after="0" w:line="36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96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3405" cy="83966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both"/>
        <w:ind w:left="1020" w:right="279"/>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Recommendation</w:t>
      </w:r>
      <w:r>
        <w:rPr>
          <w:rFonts w:ascii="Arial" w:cs="Arial" w:eastAsia="Arial" w:hAnsi="Arial"/>
          <w:sz w:val="18"/>
          <w:szCs w:val="18"/>
          <w:color w:val="auto"/>
        </w:rPr>
        <w:t>” 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three (3) business days in advance advising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of its intention to make an adverse recommendation change and specifying in reasonable detail the intervening event (it being understood that the delivery and receipt of any such notice shall not, in and of itself, be an adverse recommendation change);</w:t>
      </w:r>
    </w:p>
    <w:p>
      <w:pPr>
        <w:spacing w:after="0" w:line="76" w:lineRule="exact"/>
        <w:rPr>
          <w:sz w:val="20"/>
          <w:szCs w:val="20"/>
          <w:color w:val="auto"/>
        </w:rPr>
      </w:pPr>
    </w:p>
    <w:p>
      <w:pPr>
        <w:jc w:val="both"/>
        <w:ind w:left="1020" w:right="299" w:hanging="350"/>
        <w:spacing w:after="0" w:line="286" w:lineRule="auto"/>
        <w:tabs>
          <w:tab w:leader="none" w:pos="102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prior to making such an adverse recommendation change, to the extent requested in writing by the other party, engages in good faith negotiations with the other party during such three (3) business day period to amend the merger agreement in such a manner that the failure of the board of directors of such party to make an adverse recommendation change with respect to such intervening event would no longer be, in the good faith determination of the board of directors of such party in consultation with its outside legal counsel and financial advisor of national reputation, inconsistent with the directors’ fiduciary duties under applicable law (it being understood that, if after commencement of the intervening event notice period (as defined in the section entitled “</w:t>
      </w:r>
      <w:r>
        <w:rPr>
          <w:rFonts w:ascii="Arial" w:cs="Arial" w:eastAsia="Arial" w:hAnsi="Arial"/>
          <w:sz w:val="16"/>
          <w:szCs w:val="16"/>
          <w:b w:val="1"/>
          <w:bCs w:val="1"/>
          <w:color w:val="auto"/>
        </w:rPr>
        <w:t>The Merger Agreement—No Solicitation of Takeover Proposals; No</w:t>
      </w:r>
      <w:r>
        <w:rPr>
          <w:rFonts w:ascii="Arial" w:cs="Arial" w:eastAsia="Arial" w:hAnsi="Arial"/>
          <w:sz w:val="16"/>
          <w:szCs w:val="16"/>
          <w:color w:val="auto"/>
        </w:rPr>
        <w:t xml:space="preserve"> </w:t>
      </w:r>
      <w:r>
        <w:rPr>
          <w:rFonts w:ascii="Arial" w:cs="Arial" w:eastAsia="Arial" w:hAnsi="Arial"/>
          <w:sz w:val="16"/>
          <w:szCs w:val="16"/>
          <w:b w:val="1"/>
          <w:bCs w:val="1"/>
          <w:color w:val="auto"/>
        </w:rPr>
        <w:t>Change of Recommendation</w:t>
      </w:r>
      <w:r>
        <w:rPr>
          <w:rFonts w:ascii="Arial" w:cs="Arial" w:eastAsia="Arial" w:hAnsi="Arial"/>
          <w:sz w:val="16"/>
          <w:szCs w:val="16"/>
          <w:color w:val="auto"/>
        </w:rPr>
        <w:t>” beginning on page [</w:t>
      </w:r>
      <w:hyperlink w:anchor="page144">
        <w:r>
          <w:rPr>
            <w:rFonts w:ascii="Arial" w:cs="Arial" w:eastAsia="Arial" w:hAnsi="Arial"/>
            <w:sz w:val="16"/>
            <w:szCs w:val="16"/>
            <w:u w:val="single" w:color="auto"/>
            <w:color w:val="0000EE"/>
          </w:rPr>
          <w:t>127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any material change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giving rise to the intervening event that was previously the subject of a notice under the merger agreement, a new notice to the other party shall be required as provided above; provided, that with respect to each such material change, each reference in the merger agreement to a “three (3) business day” period shall be changed to refer to a “two (2) business day” period); and</w:t>
      </w:r>
    </w:p>
    <w:p>
      <w:pPr>
        <w:spacing w:after="0" w:line="65" w:lineRule="exact"/>
        <w:rPr>
          <w:rFonts w:ascii="Arial" w:cs="Arial" w:eastAsia="Arial" w:hAnsi="Arial"/>
          <w:sz w:val="16"/>
          <w:szCs w:val="16"/>
          <w:b w:val="1"/>
          <w:bCs w:val="1"/>
          <w:color w:val="auto"/>
        </w:rPr>
      </w:pPr>
    </w:p>
    <w:p>
      <w:pPr>
        <w:jc w:val="both"/>
        <w:ind w:left="1020" w:right="299" w:hanging="350"/>
        <w:spacing w:after="0" w:line="255"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the conclusion of the intervening event notice period, the board of directors of PRA or ICON, as applicable (or a committee thereof, in the case of PRA) shall have determined in good faith, after consultation with its outside legal counsel and a financial advisor of national reputation, that in light of such intervening event and taking into account any revised terms proposed by the other party, the failure to make an adverse recommendation change would be inconsistent with the directors’ fiduciary duties under applicable law.</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of Recommendation for a Superior Proposal</w:t>
      </w:r>
    </w:p>
    <w:p>
      <w:pPr>
        <w:spacing w:after="0" w:line="117"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In the case of PRA, prior to the time the required stockholder vote of PRA stockholders to adopt the merger agreement, which is referred to as the required PRA vote, is obtained, PRA directly or indirectly through any representative may, subject to certain notification requirements:</w:t>
      </w:r>
    </w:p>
    <w:p>
      <w:pPr>
        <w:spacing w:after="0" w:line="76" w:lineRule="exact"/>
        <w:rPr>
          <w:sz w:val="20"/>
          <w:szCs w:val="20"/>
          <w:color w:val="auto"/>
        </w:rPr>
      </w:pPr>
    </w:p>
    <w:p>
      <w:pPr>
        <w:jc w:val="both"/>
        <w:ind w:left="1020" w:right="299" w:hanging="350"/>
        <w:spacing w:after="0" w:line="254"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participate in negotiations or discussions with any third party that has made (and not withdrawn) a bona fide takeover proposal (as defined in the section entitled “</w:t>
      </w:r>
      <w:r>
        <w:rPr>
          <w:rFonts w:ascii="Arial" w:cs="Arial" w:eastAsia="Arial" w:hAnsi="Arial"/>
          <w:sz w:val="18"/>
          <w:szCs w:val="18"/>
          <w:b w:val="1"/>
          <w:bCs w:val="1"/>
          <w:color w:val="auto"/>
        </w:rPr>
        <w:t>The Merger Agreement—No Solicitation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Takeover Proposals; No Change of Recommendation</w:t>
      </w:r>
      <w:r>
        <w:rPr>
          <w:rFonts w:ascii="Arial" w:cs="Arial" w:eastAsia="Arial" w:hAnsi="Arial"/>
          <w:sz w:val="18"/>
          <w:szCs w:val="18"/>
          <w:color w:val="auto"/>
        </w:rPr>
        <w:t>” 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that did not arise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breach of the obligations set forth in the merger agreement in writing that the PRA board of directors believes in good faith, after consultation with outside legal counsel and financial advisor, constitutes or would reasonably be expected to lead to a superior proposal (as defined in the section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Agreement—No Solicitation of Takeover Proposals; No Change of Recommendation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1020" w:right="299" w:hanging="350"/>
        <w:spacing w:after="0" w:line="275" w:lineRule="auto"/>
        <w:tabs>
          <w:tab w:leader="none" w:pos="10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furnish to such third party non-public information relating to PRA or its subsidiaries pursuant to an executed confidentiality agreement that constitutes an acceptable confidentiality agreement (a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6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receipt of and on account of a superior proposal, make an adverse recommendation change; and/or</w:t>
      </w:r>
    </w:p>
    <w:p>
      <w:pPr>
        <w:spacing w:after="0" w:line="62" w:lineRule="exact"/>
        <w:rPr>
          <w:rFonts w:ascii="Arial" w:cs="Arial" w:eastAsia="Arial" w:hAnsi="Arial"/>
          <w:sz w:val="18"/>
          <w:szCs w:val="18"/>
          <w:color w:val="auto"/>
        </w:rPr>
      </w:pPr>
    </w:p>
    <w:p>
      <w:pPr>
        <w:jc w:val="both"/>
        <w:ind w:left="1020" w:right="299" w:hanging="350"/>
        <w:spacing w:after="0" w:line="257"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take any action that any court of competent jurisdiction orders PRA to take (which order remains unstayed), but in each case referred to in the foregoing clause or in the foregoing three (3) bullets, only if PRA board of directors determines in good faith, after consultation with outside legal counsel, that the failure to take such action would be inconsistent with the fiduciary duties of the board of directors under applicable law.</w:t>
      </w:r>
    </w:p>
    <w:p>
      <w:pPr>
        <w:spacing w:after="0" w:line="228"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b w:val="1"/>
          <w:bCs w:val="1"/>
          <w:i w:val="1"/>
          <w:iCs w:val="1"/>
          <w:color w:val="auto"/>
        </w:rPr>
        <w:t>Notice Regarding Takeover Proposals</w:t>
      </w:r>
    </w:p>
    <w:p>
      <w:pPr>
        <w:spacing w:after="0" w:line="117" w:lineRule="exact"/>
        <w:rPr>
          <w:rFonts w:ascii="Arial" w:cs="Arial" w:eastAsia="Arial" w:hAnsi="Arial"/>
          <w:sz w:val="18"/>
          <w:szCs w:val="18"/>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Each of ICON and PRA must promptly (and, in any event, within twenty-four (24) hours in the case of PRA and two (2) business days in the case of ICON) notify the other party of any takeover proposal, any inquiry that would reasonably be expected to lead to a takeover proposal, any request for non-public information relating to such party</w:t>
      </w:r>
    </w:p>
    <w:p>
      <w:pPr>
        <w:sectPr>
          <w:pgSz w:w="11900" w:h="16838" w:orient="portrait"/>
          <w:cols w:equalWidth="0" w:num="1">
            <w:col w:w="9019"/>
          </w:cols>
          <w:pgMar w:left="1440" w:top="265" w:right="1440" w:bottom="1440" w:gutter="0" w:footer="0" w:header="0"/>
          <w:type w:val="continuous"/>
        </w:sect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54" w:lineRule="auto"/>
        <w:rPr>
          <w:sz w:val="20"/>
          <w:szCs w:val="20"/>
          <w:color w:val="auto"/>
        </w:rPr>
      </w:pPr>
      <w:r>
        <w:rPr>
          <w:rFonts w:ascii="Arial" w:cs="Arial" w:eastAsia="Arial" w:hAnsi="Arial"/>
          <w:sz w:val="18"/>
          <w:szCs w:val="18"/>
          <w:color w:val="auto"/>
        </w:rPr>
        <w:t>or its subsidiaries, or for access to the business, properties, assets, books, or records of such party or its subsidiaries by any third party that would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reasonably informed, on a reasonably current basis, of the status and material terms of such takeover proposal, indication or request, including any material amendments or proposed amendments as to price, proposed financing, and other material terms thereof.</w:t>
      </w:r>
    </w:p>
    <w:p>
      <w:pPr>
        <w:spacing w:after="0" w:line="33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Merger Agreement (Page [</w:t>
      </w:r>
      <w:hyperlink w:anchor="page158">
        <w:r>
          <w:rPr>
            <w:rFonts w:ascii="Arial" w:cs="Arial" w:eastAsia="Arial" w:hAnsi="Arial"/>
            <w:sz w:val="18"/>
            <w:szCs w:val="18"/>
            <w:b w:val="1"/>
            <w:bCs w:val="1"/>
            <w:u w:val="single" w:color="auto"/>
            <w:color w:val="0000EE"/>
          </w:rPr>
          <w:t>141</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Mutual Consent</w:t>
      </w:r>
    </w:p>
    <w:p>
      <w:pPr>
        <w:spacing w:after="0" w:line="117" w:lineRule="exact"/>
        <w:rPr>
          <w:sz w:val="20"/>
          <w:szCs w:val="20"/>
          <w:color w:val="auto"/>
        </w:rPr>
      </w:pPr>
    </w:p>
    <w:p>
      <w:pPr>
        <w:jc w:val="both"/>
        <w:ind w:left="320" w:right="279" w:firstLine="360"/>
        <w:spacing w:after="0" w:line="308" w:lineRule="auto"/>
        <w:rPr>
          <w:sz w:val="20"/>
          <w:szCs w:val="20"/>
          <w:color w:val="auto"/>
        </w:rPr>
      </w:pPr>
      <w:r>
        <w:rPr>
          <w:rFonts w:ascii="Arial" w:cs="Arial" w:eastAsia="Arial" w:hAnsi="Arial"/>
          <w:sz w:val="17"/>
          <w:szCs w:val="17"/>
          <w:color w:val="auto"/>
        </w:rPr>
        <w:t>The merger agreement may be terminated at any time prior to the effective time by mutual written consent of ICON and US HoldCo, on the one hand, and PRA, on the other hand. Termination by Either ICON or PRA.</w:t>
      </w:r>
    </w:p>
    <w:p>
      <w:pPr>
        <w:spacing w:after="0" w:line="38"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Either ICON and US HoldCo, on the one hand, or PRA, on the other hand, may terminate the merger agreement at any time prior to the effective time if:</w:t>
      </w:r>
    </w:p>
    <w:p>
      <w:pPr>
        <w:spacing w:after="0" w:line="62" w:lineRule="exact"/>
        <w:rPr>
          <w:sz w:val="20"/>
          <w:szCs w:val="20"/>
          <w:color w:val="auto"/>
        </w:rPr>
      </w:pPr>
    </w:p>
    <w:p>
      <w:pPr>
        <w:jc w:val="both"/>
        <w:ind w:left="1020" w:right="299" w:hanging="350"/>
        <w:spacing w:after="0" w:line="254" w:lineRule="auto"/>
        <w:tabs>
          <w:tab w:leader="none" w:pos="10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merger has not been completed by 11:59 p.m., Eastern Time, on February 24, 2022 (which date is referred to as the end date), subject to extension of the end date in certain circumstances and to certain exceptions, including that such right to terminate will not be available to any party whose material breach of any provision in the merger agreement has been the proximate cause of, or resulted in, the failure of the merger to be consummated on or before such time, in each case as further described in the section entitled “</w:t>
      </w:r>
      <w:r>
        <w:rPr>
          <w:rFonts w:ascii="Arial" w:cs="Arial" w:eastAsia="Arial" w:hAnsi="Arial"/>
          <w:sz w:val="18"/>
          <w:szCs w:val="18"/>
          <w:b w:val="1"/>
          <w:bCs w:val="1"/>
          <w:color w:val="auto"/>
        </w:rPr>
        <w:t>The Merger Agreement—Termination of the Merger Agreement—Termination by Mutual</w:t>
      </w:r>
      <w:r>
        <w:rPr>
          <w:rFonts w:ascii="Arial" w:cs="Arial" w:eastAsia="Arial" w:hAnsi="Arial"/>
          <w:sz w:val="18"/>
          <w:szCs w:val="18"/>
          <w:color w:val="auto"/>
        </w:rPr>
        <w:t xml:space="preserve"> </w:t>
      </w:r>
      <w:r>
        <w:rPr>
          <w:rFonts w:ascii="Arial" w:cs="Arial" w:eastAsia="Arial" w:hAnsi="Arial"/>
          <w:sz w:val="18"/>
          <w:szCs w:val="18"/>
          <w:b w:val="1"/>
          <w:bCs w:val="1"/>
          <w:color w:val="auto"/>
        </w:rPr>
        <w:t>Consent</w:t>
      </w:r>
      <w:r>
        <w:rPr>
          <w:rFonts w:ascii="Arial" w:cs="Arial" w:eastAsia="Arial" w:hAnsi="Arial"/>
          <w:sz w:val="18"/>
          <w:szCs w:val="18"/>
          <w:color w:val="auto"/>
        </w:rPr>
        <w:t>” beginning on page [</w:t>
      </w:r>
      <w:hyperlink w:anchor="page158">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86" w:lineRule="exact"/>
        <w:rPr>
          <w:rFonts w:ascii="Arial" w:cs="Arial" w:eastAsia="Arial" w:hAnsi="Arial"/>
          <w:sz w:val="18"/>
          <w:szCs w:val="18"/>
          <w:b w:val="1"/>
          <w:bCs w:val="1"/>
          <w:color w:val="auto"/>
        </w:rPr>
      </w:pPr>
    </w:p>
    <w:p>
      <w:pPr>
        <w:jc w:val="both"/>
        <w:ind w:left="1020" w:right="299" w:hanging="350"/>
        <w:spacing w:after="0" w:line="273"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final, nonappealable law or order has been enacted, issued, promulgated, enforced or entered by any governmental entity having competent jurisdiction over ICON, US HoldCo, Merger Sub or PRA that makes illegal, permanently enjoins, or otherwise permanently prohibits the consummation of the merger or the ICON share issuance, although such right to terminate will not be available to any party whose material breach of any provision in the merger agreement has been the proximate cause of, or resulted in, the issuance, promulgation, enforcement, or entry of any such law or order;</w:t>
      </w:r>
    </w:p>
    <w:p>
      <w:pPr>
        <w:spacing w:after="0" w:line="69" w:lineRule="exact"/>
        <w:rPr>
          <w:rFonts w:ascii="Arial" w:cs="Arial" w:eastAsia="Arial" w:hAnsi="Arial"/>
          <w:sz w:val="17"/>
          <w:szCs w:val="17"/>
          <w:color w:val="auto"/>
        </w:rPr>
      </w:pPr>
    </w:p>
    <w:p>
      <w:pPr>
        <w:jc w:val="both"/>
        <w:ind w:left="1020" w:right="299" w:hanging="350"/>
        <w:spacing w:after="0" w:line="259"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merger agreement has been submitted to the PRA stockholders for adoption at a duly convened PRA stockholders meeting and the requisite vote shall not have been obtained at the PRA stockholders meeting (unless such stockholder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ICON share issuance has been submitted to the shareholders of ICON for approval at a duly convened ICON EGM and the requisite vote shall not have been obtained at the EGM (unless the EGM has been adjourned or postponed, in which case at the final adjournment or postponement thereof).</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ICON and US HoldCo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ICON and US HoldCo may terminate the merger agreement at any time prior to the effective time,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020" w:right="299" w:hanging="350"/>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 PRA adverse recommendation change has occurred; or</w:t>
      </w:r>
    </w:p>
    <w:p>
      <w:pPr>
        <w:spacing w:after="0" w:line="62" w:lineRule="exact"/>
        <w:rPr>
          <w:rFonts w:ascii="Arial" w:cs="Arial" w:eastAsia="Arial" w:hAnsi="Arial"/>
          <w:sz w:val="18"/>
          <w:szCs w:val="18"/>
          <w:color w:val="auto"/>
        </w:rPr>
      </w:pPr>
    </w:p>
    <w:p>
      <w:pPr>
        <w:jc w:val="both"/>
        <w:ind w:left="1020" w:right="299" w:hanging="350"/>
        <w:spacing w:after="0" w:line="289"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has been a breach of any representation, warranty, covenant, or agreement on part of PRA set forth in the merger agreement such that the conditions to the closing of the merger would not be satisfied, and such breach is incapable of being cured by the end date or, if capable of being cured before the end date, has not been cured by PRA within thirty (30) days after written notice has been given by ICON or US HoldCo to PRA of such breach or failure to perform; provided, that ICON and US HoldCo shall not have the right to terminate the merger agreement if ICON, US HoldCo or Merger Sub is then in material breach of any representation, warranty, covenant, or obligation under the merger agreement (it being understood and agreed that if ICON and US HoldCo remedy any such breach, then it may terminate the merger agreement pursuant to this bullet when such breach has been so remedied).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36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3405" cy="80365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PRA</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PRA may terminate the merger agreement at any time prior to the effective time, if:</w:t>
      </w:r>
    </w:p>
    <w:p>
      <w:pPr>
        <w:spacing w:after="0" w:line="117" w:lineRule="exact"/>
        <w:rPr>
          <w:sz w:val="20"/>
          <w:szCs w:val="20"/>
          <w:color w:val="auto"/>
        </w:rPr>
      </w:pPr>
    </w:p>
    <w:p>
      <w:pPr>
        <w:jc w:val="both"/>
        <w:ind w:left="1020" w:right="299" w:hanging="350"/>
        <w:spacing w:after="0" w:line="255"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at PRA stockholders meeting, the board of directors of PRA authorizes PRA, to the extent permitted and subject to full compliance with the terms and conditions of the merger agreement, to enter into a definitive agreement in respect of a superior proposal; provided, that PRA shall have paid any applicable amounts due under the merger agreement; and provided further, that in the event of such termination, PRA substantially concurrently enters into such definitive agreement with respect to such superior proposal;</w:t>
      </w:r>
    </w:p>
    <w:p>
      <w:pPr>
        <w:spacing w:after="0" w:line="84"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the time the required ICON vote is obtained, an ICON adverse recommendation change has occurred (whether or not such ICON adverse recommendation change is permitted by the merger agreement); or</w:t>
      </w:r>
    </w:p>
    <w:p>
      <w:pPr>
        <w:spacing w:after="0" w:line="75" w:lineRule="exact"/>
        <w:rPr>
          <w:rFonts w:ascii="Arial" w:cs="Arial" w:eastAsia="Arial" w:hAnsi="Arial"/>
          <w:sz w:val="18"/>
          <w:szCs w:val="18"/>
          <w:color w:val="auto"/>
        </w:rPr>
      </w:pPr>
    </w:p>
    <w:p>
      <w:pPr>
        <w:jc w:val="both"/>
        <w:ind w:left="1020" w:right="299" w:hanging="350"/>
        <w:spacing w:after="0" w:line="270" w:lineRule="auto"/>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there shall have been a breach of any representation, warranty, covenant, or agreement on the part of ICON, US HoldCo or Merger Sub set forth in the merger agreement such that the conditions to the closing of the merger would not be satisfied and such breach is incapable of being cured by the end date or, if capable of being cured before the date, has not been cured by ICON, US HoldCo or Merger Sub within thirty (30) days after written notice has been given by PRA to ICON of such breach or failure to perform; provided, that PRA will not have the right to terminate the merger agreement if PRA is then in material breach of any representation, warranty, covenant, or obligation under the merger agreement (it being understood and agreed that if PRA remedies any such breach, then it may terminate the merger agreement when such breach has been so remedied).</w:t>
      </w:r>
    </w:p>
    <w:p>
      <w:pPr>
        <w:spacing w:after="0" w:line="32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Termination Fees (Page [</w:t>
      </w:r>
      <w:hyperlink w:anchor="page159">
        <w:r>
          <w:rPr>
            <w:rFonts w:ascii="Arial" w:cs="Arial" w:eastAsia="Arial" w:hAnsi="Arial"/>
            <w:sz w:val="18"/>
            <w:szCs w:val="18"/>
            <w:b w:val="1"/>
            <w:bCs w:val="1"/>
            <w:u w:val="single" w:color="auto"/>
            <w:color w:val="0000EE"/>
          </w:rPr>
          <w:t>142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PRA will be required to pay to ICON and US HoldCo a termination fee of $277,000,000 if the merger agreement is terminated (with each following termination right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of the Merger Agreement</w:t>
      </w:r>
      <w:r>
        <w:rPr>
          <w:rFonts w:ascii="Arial" w:cs="Arial" w:eastAsia="Arial" w:hAnsi="Arial"/>
          <w:sz w:val="18"/>
          <w:szCs w:val="18"/>
          <w:color w:val="auto"/>
        </w:rPr>
        <w:t>” beginning on page [</w:t>
      </w:r>
      <w:hyperlink w:anchor="page158">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76" w:lineRule="exact"/>
        <w:rPr>
          <w:sz w:val="20"/>
          <w:szCs w:val="20"/>
          <w:color w:val="auto"/>
        </w:rPr>
      </w:pPr>
    </w:p>
    <w:p>
      <w:pPr>
        <w:ind w:left="1020" w:hanging="350"/>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ICON and US HoldCo due to a PRA adverse recommendation change;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PRA due to PRA entering into a definitive agreement in respect of a superior proposal;</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ICON and US HoldCo or PRA for a failure to obtain PRA stockholder approval at a time when the merger agreement was terminable by ICON for a PRA adverse recommendation change;</w:t>
      </w:r>
    </w:p>
    <w:p>
      <w:pPr>
        <w:spacing w:after="0" w:line="62" w:lineRule="exact"/>
        <w:rPr>
          <w:rFonts w:ascii="Arial" w:cs="Arial" w:eastAsia="Arial" w:hAnsi="Arial"/>
          <w:sz w:val="18"/>
          <w:szCs w:val="18"/>
          <w:color w:val="auto"/>
        </w:rPr>
      </w:pPr>
    </w:p>
    <w:p>
      <w:pPr>
        <w:jc w:val="both"/>
        <w:ind w:left="1020" w:right="299" w:hanging="350"/>
        <w:spacing w:after="0" w:line="269" w:lineRule="auto"/>
        <w:tabs>
          <w:tab w:leader="none" w:pos="10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by ICON and US HoldCo due to a terminable breach by PRA or by ICON or PRA due to a failure to complete to merger by the end date, in each case (A) prior to such termination a PRA takeover proposal shall have been publicly disclosed or otherwise publicly known or otherwise made or communicated to the PRA board of directors and not publicly withdrawn without qualification at least seven (7) business days prior to such termination (provided that a PRA takeover proposal shall be deemed not to have been publicly withdrawn if a PRA acquisition agreement with respect to such PRA takeover proposal is entered into within the time period set forth in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 or</w:t>
      </w:r>
    </w:p>
    <w:p>
      <w:pPr>
        <w:spacing w:after="0" w:line="73" w:lineRule="exact"/>
        <w:rPr>
          <w:rFonts w:ascii="Arial" w:cs="Arial" w:eastAsia="Arial" w:hAnsi="Arial"/>
          <w:sz w:val="17"/>
          <w:szCs w:val="17"/>
          <w:color w:val="auto"/>
        </w:rPr>
      </w:pPr>
    </w:p>
    <w:p>
      <w:pPr>
        <w:jc w:val="both"/>
        <w:ind w:left="1020" w:right="299" w:hanging="350"/>
        <w:spacing w:after="0" w:line="288"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ICON and US HoldCo or PRA due to a failure to obtain PRA stockholder approval and (A) prior to the PRA stockholders meeting a PRA takeover proposal shall have been publicly disclosed or otherwise publicly known or otherwise made or communicated to PRA board of directors and not publicly withdrawn without qualification at least seven (7) business days prior to the PRA stockholders meeting (provided that a PRA takeover proposal shall be deemed not to have been publicly withdrawn if a PRA acquisition agreement with respect to such PRA takeover proposal is entered into within the time period set forth in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w:t>
      </w:r>
    </w:p>
    <w:p>
      <w:pPr>
        <w:sectPr>
          <w:pgSz w:w="11900" w:h="16838" w:orient="portrait"/>
          <w:cols w:equalWidth="0" w:num="1">
            <w:col w:w="9019"/>
          </w:cols>
          <w:pgMar w:left="1440" w:top="265" w:right="1440"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PRA will be required to pay ICON and US HoldCo expense reimbursement in an amount of $100,000,000 (excluding any amounts in respect of VAT, if applicable) if the merger agreement is terminated by ICON and US HoldCo or PRA due to a failure to obtain PRA stockholder approval.</w:t>
      </w:r>
    </w:p>
    <w:p>
      <w:pPr>
        <w:spacing w:after="0" w:line="76" w:lineRule="exact"/>
        <w:rPr>
          <w:sz w:val="20"/>
          <w:szCs w:val="20"/>
          <w:color w:val="auto"/>
        </w:rPr>
      </w:pPr>
    </w:p>
    <w:p>
      <w:pPr>
        <w:jc w:val="both"/>
        <w:ind w:left="320" w:right="27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ICON and US HoldCo will be required to pay to PRA a termination fee of $388,000,000 if the merger agreement is terminated (with each following termination right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of the Merger Agreement</w:t>
      </w:r>
      <w:r>
        <w:rPr>
          <w:rFonts w:ascii="Arial" w:cs="Arial" w:eastAsia="Arial" w:hAnsi="Arial"/>
          <w:sz w:val="18"/>
          <w:szCs w:val="18"/>
          <w:color w:val="auto"/>
        </w:rPr>
        <w:t>” beginning on page [</w:t>
      </w:r>
      <w:hyperlink w:anchor="page158">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76" w:lineRule="exact"/>
        <w:rPr>
          <w:sz w:val="20"/>
          <w:szCs w:val="20"/>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PRA due to an ICON adverse recommendation change;</w:t>
      </w:r>
    </w:p>
    <w:p>
      <w:pPr>
        <w:spacing w:after="0" w:line="117"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by ICON and US HoldCo or PRA due to a failure to obtain ICON shareholder approval at a time when the merger agreement was terminable by PRA for an ICON adverse recommendation change;</w:t>
      </w:r>
    </w:p>
    <w:p>
      <w:pPr>
        <w:spacing w:after="0" w:line="38" w:lineRule="exact"/>
        <w:rPr>
          <w:rFonts w:ascii="Arial" w:cs="Arial" w:eastAsia="Arial" w:hAnsi="Arial"/>
          <w:sz w:val="17"/>
          <w:szCs w:val="17"/>
          <w:color w:val="auto"/>
        </w:rPr>
      </w:pPr>
    </w:p>
    <w:p>
      <w:pPr>
        <w:jc w:val="both"/>
        <w:ind w:left="1020" w:right="299" w:hanging="350"/>
        <w:spacing w:after="0" w:line="269" w:lineRule="auto"/>
        <w:tabs>
          <w:tab w:leader="none" w:pos="1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by PRA due to a terminable breach by ICON or by ICON or PRA due to a failure to complete to merger by the end date, in each case, (1) prior to such termination an ICON takeover proposal shall have been publicly disclosed or otherwise publicly known or otherwise made or communicated to the ICON board of directors and not publicly withdrawn without qualification at least seven (7) Business Days prior to such termination (provided that an ICON takeover proposal shall be deemed not to have been publicly withdrawn if an ICON acquisition agreement with respect to such ICON takeover proposal is entered into within the time period set forth in clause (2)) and (2)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73" w:lineRule="exact"/>
        <w:rPr>
          <w:rFonts w:ascii="Arial" w:cs="Arial" w:eastAsia="Arial" w:hAnsi="Arial"/>
          <w:sz w:val="17"/>
          <w:szCs w:val="17"/>
          <w:color w:val="auto"/>
        </w:rPr>
      </w:pPr>
    </w:p>
    <w:p>
      <w:pPr>
        <w:jc w:val="both"/>
        <w:ind w:left="1020" w:right="299" w:hanging="350"/>
        <w:spacing w:after="0" w:line="288"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by ICON and US HoldCo or PRA due to a failure to obtain ICON shareholder approval and (A) prior to the ICON EGM an ICON takeover proposal shall have been publicly disclosed or otherwise publicly known or otherwise made or communicated to the ICON board of directors and not publicly withdrawn without qualification at least seven (7) business days prior to the ICON EGM (provided that an ICON takeover proposal shall be deemed not to have been publicly withdrawn if an ICON acquisition agreement with respect to such ICON takeover proposal is entered into within the time period set forth in clause (B)) and (B)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60" w:lineRule="exact"/>
        <w:rPr>
          <w:sz w:val="20"/>
          <w:szCs w:val="20"/>
          <w:color w:val="auto"/>
        </w:rPr>
      </w:pPr>
    </w:p>
    <w:p>
      <w:pPr>
        <w:jc w:val="both"/>
        <w:ind w:left="320" w:right="279" w:firstLine="360"/>
        <w:spacing w:after="0" w:line="311" w:lineRule="auto"/>
        <w:rPr>
          <w:sz w:val="20"/>
          <w:szCs w:val="20"/>
          <w:color w:val="auto"/>
        </w:rPr>
      </w:pPr>
      <w:r>
        <w:rPr>
          <w:rFonts w:ascii="Arial" w:cs="Arial" w:eastAsia="Arial" w:hAnsi="Arial"/>
          <w:sz w:val="16"/>
          <w:szCs w:val="16"/>
          <w:color w:val="auto"/>
        </w:rPr>
        <w:t>ICON and/or US HoldCo will be required to pay, or cause to be paid by a subsidiary, to PRA expense reimbursement in an amount of $120,000,000 (excluding any amounts in respect of VAT, if applicable) if the merger agreement is terminated by ICON and US HoldCo or PRA due to a failure to obtain ICON shareholder approval.</w:t>
      </w:r>
    </w:p>
    <w:p>
      <w:pPr>
        <w:spacing w:after="0" w:line="2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Accounting Treatment of the Merger (Page [</w:t>
      </w:r>
      <w:hyperlink w:anchor="page130">
        <w:r>
          <w:rPr>
            <w:rFonts w:ascii="Arial" w:cs="Arial" w:eastAsia="Arial" w:hAnsi="Arial"/>
            <w:sz w:val="18"/>
            <w:szCs w:val="18"/>
            <w:b w:val="1"/>
            <w:bCs w:val="1"/>
            <w:u w:val="single" w:color="auto"/>
            <w:color w:val="0000EE"/>
          </w:rPr>
          <w:t>113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ICON and PRA each prepare their respective financial statements in accordance with accounting principles generally accepted in the United States, which are referred to as GAAP. The merger will be accounted for using the acquisition method of accounting, and ICON will be treated as the accounting acquirer.</w:t>
      </w:r>
    </w:p>
    <w:p>
      <w:pPr>
        <w:spacing w:after="0" w:line="24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Certain Tax Considerations (Page [</w:t>
      </w:r>
      <w:hyperlink w:anchor="page188">
        <w:r>
          <w:rPr>
            <w:rFonts w:ascii="Arial" w:cs="Arial" w:eastAsia="Arial" w:hAnsi="Arial"/>
            <w:sz w:val="18"/>
            <w:szCs w:val="18"/>
            <w:b w:val="1"/>
            <w:bCs w:val="1"/>
            <w:u w:val="single" w:color="auto"/>
            <w:color w:val="0000EE"/>
          </w:rPr>
          <w:t>171</w:t>
        </w:r>
      </w:hyperlink>
      <w:r>
        <w:rPr>
          <w:rFonts w:ascii="Arial" w:cs="Arial" w:eastAsia="Arial" w:hAnsi="Arial"/>
          <w:sz w:val="18"/>
          <w:szCs w:val="18"/>
          <w:b w:val="1"/>
          <w:bCs w:val="1"/>
          <w:color w:val="auto"/>
        </w:rPr>
        <w:t>] and Page [</w:t>
      </w:r>
      <w:hyperlink w:anchor="page196">
        <w:r>
          <w:rPr>
            <w:rFonts w:ascii="Arial" w:cs="Arial" w:eastAsia="Arial" w:hAnsi="Arial"/>
            <w:sz w:val="18"/>
            <w:szCs w:val="18"/>
            <w:b w:val="1"/>
            <w:bCs w:val="1"/>
            <w:u w:val="single" w:color="auto"/>
            <w:color w:val="0000EE"/>
          </w:rPr>
          <w:t>179</w:t>
        </w:r>
      </w:hyperlink>
      <w:r>
        <w:rPr>
          <w:rFonts w:ascii="Arial" w:cs="Arial" w:eastAsia="Arial" w:hAnsi="Arial"/>
          <w:sz w:val="18"/>
          <w:szCs w:val="18"/>
          <w:b w:val="1"/>
          <w:bCs w:val="1"/>
          <w:color w:val="auto"/>
        </w:rPr>
        <w:t>])</w:t>
      </w:r>
    </w:p>
    <w:p>
      <w:pPr>
        <w:spacing w:after="0" w:line="117" w:lineRule="exact"/>
        <w:rPr>
          <w:sz w:val="20"/>
          <w:szCs w:val="20"/>
          <w:color w:val="auto"/>
        </w:rPr>
      </w:pPr>
    </w:p>
    <w:p>
      <w:pPr>
        <w:jc w:val="both"/>
        <w:ind w:left="320" w:right="279" w:firstLine="360"/>
        <w:spacing w:after="0" w:line="256" w:lineRule="auto"/>
        <w:rPr>
          <w:rFonts w:ascii="Arial" w:cs="Arial" w:eastAsia="Arial" w:hAnsi="Arial"/>
          <w:sz w:val="18"/>
          <w:szCs w:val="18"/>
          <w:color w:val="auto"/>
        </w:rPr>
      </w:pPr>
      <w:r>
        <w:rPr>
          <w:rFonts w:ascii="Arial" w:cs="Arial" w:eastAsia="Arial" w:hAnsi="Arial"/>
          <w:sz w:val="18"/>
          <w:szCs w:val="18"/>
          <w:color w:val="auto"/>
        </w:rPr>
        <w:t>PRA stockholders should read the section entitled “</w:t>
      </w:r>
      <w:r>
        <w:rPr>
          <w:rFonts w:ascii="Arial" w:cs="Arial" w:eastAsia="Arial" w:hAnsi="Arial"/>
          <w:sz w:val="18"/>
          <w:szCs w:val="18"/>
          <w:b w:val="1"/>
          <w:bCs w:val="1"/>
          <w:color w:val="auto"/>
        </w:rPr>
        <w:t>Certain United States Federal Income Tax</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Considerations</w:t>
      </w:r>
      <w:r>
        <w:rPr>
          <w:rFonts w:ascii="Arial" w:cs="Arial" w:eastAsia="Arial" w:hAnsi="Arial"/>
          <w:sz w:val="18"/>
          <w:szCs w:val="18"/>
          <w:color w:val="auto"/>
        </w:rPr>
        <w:t>” beginning on page [</w:t>
      </w:r>
      <w:hyperlink w:anchor="page188">
        <w:r>
          <w:rPr>
            <w:rFonts w:ascii="Arial" w:cs="Arial" w:eastAsia="Arial" w:hAnsi="Arial"/>
            <w:sz w:val="18"/>
            <w:szCs w:val="18"/>
            <w:u w:val="single" w:color="auto"/>
            <w:color w:val="0000EE"/>
          </w:rPr>
          <w:t>171</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a discussion of the U.S. federal income tax considerations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and the section entitled “</w:t>
      </w:r>
      <w:r>
        <w:rPr>
          <w:rFonts w:ascii="Arial" w:cs="Arial" w:eastAsia="Arial" w:hAnsi="Arial"/>
          <w:sz w:val="18"/>
          <w:szCs w:val="18"/>
          <w:b w:val="1"/>
          <w:bCs w:val="1"/>
          <w:color w:val="auto"/>
        </w:rPr>
        <w:t>Irish Tax Consequences</w:t>
      </w:r>
      <w:r>
        <w:rPr>
          <w:rFonts w:ascii="Arial" w:cs="Arial" w:eastAsia="Arial" w:hAnsi="Arial"/>
          <w:sz w:val="18"/>
          <w:szCs w:val="18"/>
          <w:color w:val="auto"/>
        </w:rPr>
        <w:t>” beginning on page [</w:t>
      </w:r>
      <w:hyperlink w:anchor="page196">
        <w:r>
          <w:rPr>
            <w:rFonts w:ascii="Arial" w:cs="Arial" w:eastAsia="Arial" w:hAnsi="Arial"/>
            <w:sz w:val="18"/>
            <w:szCs w:val="18"/>
            <w:u w:val="single" w:color="auto"/>
            <w:color w:val="0000EE"/>
          </w:rPr>
          <w:t>179</w:t>
        </w:r>
      </w:hyperlink>
      <w:r>
        <w:rPr>
          <w:rFonts w:ascii="Arial" w:cs="Arial" w:eastAsia="Arial" w:hAnsi="Arial"/>
          <w:sz w:val="18"/>
          <w:szCs w:val="18"/>
          <w:color w:val="auto"/>
        </w:rPr>
        <w:t>] for a discussion of Irish tax considerations related to the merger and holding ICON ordinary shares. Because individual circumstances may differ, each PRA stockholder should consult its own tax advisor as to the tax consequences of the merger and of holding ICON ordinary shares.</w:t>
      </w:r>
    </w:p>
    <w:p>
      <w:pPr>
        <w:spacing w:after="0" w:line="26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Debt Financing (Page [</w:t>
      </w:r>
      <w:hyperlink w:anchor="page130">
        <w:r>
          <w:rPr>
            <w:rFonts w:ascii="Arial" w:cs="Arial" w:eastAsia="Arial" w:hAnsi="Arial"/>
            <w:sz w:val="18"/>
            <w:szCs w:val="18"/>
            <w:b w:val="1"/>
            <w:bCs w:val="1"/>
            <w:u w:val="single" w:color="auto"/>
            <w:color w:val="0000EE"/>
          </w:rPr>
          <w:t>113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340" w:lineRule="auto"/>
        <w:rPr>
          <w:sz w:val="20"/>
          <w:szCs w:val="20"/>
          <w:color w:val="auto"/>
        </w:rPr>
      </w:pPr>
      <w:r>
        <w:rPr>
          <w:rFonts w:ascii="Arial" w:cs="Arial" w:eastAsia="Arial" w:hAnsi="Arial"/>
          <w:sz w:val="15"/>
          <w:szCs w:val="15"/>
          <w:color w:val="auto"/>
        </w:rPr>
        <w:t>ICON’s obligation to complete the transaction is not contingent on the receipt by ICON of any financing. ICON estimates that ICON and US HoldCo will need approximately $6,441.9 million in order to pay PRA stockholders the cash consideration due to them as merger consideration under the merger agreement, pay related fees and transaction</w:t>
      </w:r>
    </w:p>
    <w:p>
      <w:pPr>
        <w:sectPr>
          <w:pgSz w:w="11900" w:h="16838" w:orient="portrait"/>
          <w:cols w:equalWidth="0" w:num="1">
            <w:col w:w="9019"/>
          </w:cols>
          <w:pgMar w:left="1440" w:top="265" w:right="1440"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99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spacing w:after="0" w:line="311" w:lineRule="auto"/>
        <w:rPr>
          <w:sz w:val="20"/>
          <w:szCs w:val="20"/>
          <w:color w:val="auto"/>
        </w:rPr>
      </w:pPr>
      <w:r>
        <w:rPr>
          <w:rFonts w:ascii="Arial" w:cs="Arial" w:eastAsia="Arial" w:hAnsi="Arial"/>
          <w:sz w:val="16"/>
          <w:szCs w:val="16"/>
          <w:color w:val="auto"/>
        </w:rPr>
        <w:t>costs in connection with the transactions, and refinance certain existing indebtedness of PRA. ICON anticipates that the funds needed to pay the foregoing amount will be obtained from a combination of some or all of cash on hand at ICON and PRA, borrowings under new credit facilities and the proceeds from the sale of debt securities.</w:t>
      </w:r>
    </w:p>
    <w:p>
      <w:pPr>
        <w:spacing w:after="0" w:line="41"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In connection with the execution of the merger agreement, ICON entered into a commitment letter with Citigroup Global Markets Inc. and certain other financial institutions, referred to collectively in this joint proxy statement/prospectus as the debt financing sources, pursuant to which the debt financing sources committed, on a several basis and subject to customary closing conditions, to provide to ICON a senior secured revolving credit facility in an aggregate principal amount of up to $300.0 million and a senior secured bridge loan facility in an aggregate principal amount of up to $6,060.0 million to, among other things, fund (i) cash consideration in connection with the merger, (ii) repayment of certain existing indebtedness and (iii) fees and expenses in connection with the foregoing. The debt financing sources several commitment to provide debt financing under the proposed credit facilities is available for a period which corresponds with the period in which closing can occur under the merger agreement.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Litigation Relating to the Merger (Page [114])</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 xml:space="preserve">Four complaints have been filed against PRA seeking to enjoin the proposed merger and to recover damages should the merger occur. The first, filed on April 1, 2021, was a complaint filed against PRA and the members of its board of directors in the United States District Court for the Southern District of New York under the caption </w:t>
      </w:r>
      <w:r>
        <w:rPr>
          <w:rFonts w:ascii="Arial" w:cs="Arial" w:eastAsia="Arial" w:hAnsi="Arial"/>
          <w:sz w:val="17"/>
          <w:szCs w:val="17"/>
          <w:i w:val="1"/>
          <w:iCs w:val="1"/>
          <w:color w:val="auto"/>
        </w:rPr>
        <w:t>Wang</w:t>
      </w:r>
      <w:r>
        <w:rPr>
          <w:rFonts w:ascii="Arial" w:cs="Arial" w:eastAsia="Arial" w:hAnsi="Arial"/>
          <w:sz w:val="17"/>
          <w:szCs w:val="17"/>
          <w:color w:val="auto"/>
        </w:rPr>
        <w:t xml:space="preserve"> </w:t>
      </w:r>
      <w:r>
        <w:rPr>
          <w:rFonts w:ascii="Arial" w:cs="Arial" w:eastAsia="Arial" w:hAnsi="Arial"/>
          <w:sz w:val="17"/>
          <w:szCs w:val="17"/>
          <w:i w:val="1"/>
          <w:iCs w:val="1"/>
          <w:color w:val="auto"/>
        </w:rPr>
        <w:t>v. PRA Health Sciences, Inc., et al.</w:t>
      </w:r>
      <w:r>
        <w:rPr>
          <w:rFonts w:ascii="Arial" w:cs="Arial" w:eastAsia="Arial" w:hAnsi="Arial"/>
          <w:sz w:val="17"/>
          <w:szCs w:val="17"/>
          <w:color w:val="auto"/>
        </w:rPr>
        <w:t>, Case No. 1:21-cv-02814 (S.D.N.Y.). The complaint alleges that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filed in connection with the proposed merger between PRA and Merger Sub omitted material information in violation of Sections 14(a) and 20(a) of the Securities Exchange Act of 1934, rendering the registration statement false and misleading. The complaint seeks an order preliminarily and permanently enjoining defendants from proceeding with the proposed transaction and related relief. Specifically, the complaint alleges that the registration statement omits material information regarding the financial projections of PRA and ICON, as well as the analyses of BofA Securities and UBS. The complaint also alleges that the registration statement fails to disclose certain relationships on the part of UBS.</w:t>
      </w:r>
    </w:p>
    <w:p>
      <w:pPr>
        <w:spacing w:after="0" w:line="74"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 xml:space="preserve">Between April 7, 2021, and April 26, 2021, three (3) subsequent complaints were filed in the United States District Court for the Southern District of New York: </w:t>
      </w:r>
      <w:r>
        <w:rPr>
          <w:rFonts w:ascii="Arial" w:cs="Arial" w:eastAsia="Arial" w:hAnsi="Arial"/>
          <w:sz w:val="18"/>
          <w:szCs w:val="18"/>
          <w:i w:val="1"/>
          <w:iCs w:val="1"/>
          <w:color w:val="auto"/>
        </w:rPr>
        <w:t>Ciccotelli v. PRA Health Sciences, Inc., et al.</w:t>
      </w:r>
      <w:r>
        <w:rPr>
          <w:rFonts w:ascii="Arial" w:cs="Arial" w:eastAsia="Arial" w:hAnsi="Arial"/>
          <w:sz w:val="18"/>
          <w:szCs w:val="18"/>
          <w:color w:val="auto"/>
        </w:rPr>
        <w:t xml:space="preserve">, Case No. 1:21-cv-02981 (S.D.N.Y.) on April 7, 2021; </w:t>
      </w:r>
      <w:r>
        <w:rPr>
          <w:rFonts w:ascii="Arial" w:cs="Arial" w:eastAsia="Arial" w:hAnsi="Arial"/>
          <w:sz w:val="18"/>
          <w:szCs w:val="18"/>
          <w:i w:val="1"/>
          <w:iCs w:val="1"/>
          <w:color w:val="auto"/>
        </w:rPr>
        <w:t>Tambe v. PRA Health Sciences, Inc., et al.</w:t>
      </w:r>
      <w:r>
        <w:rPr>
          <w:rFonts w:ascii="Arial" w:cs="Arial" w:eastAsia="Arial" w:hAnsi="Arial"/>
          <w:sz w:val="18"/>
          <w:szCs w:val="18"/>
          <w:color w:val="auto"/>
        </w:rPr>
        <w:t xml:space="preserve">, Case No. 1:21-cv-03189 (S.D.N.Y.) on April 13, 2021; and </w:t>
      </w:r>
      <w:r>
        <w:rPr>
          <w:rFonts w:ascii="Arial" w:cs="Arial" w:eastAsia="Arial" w:hAnsi="Arial"/>
          <w:sz w:val="18"/>
          <w:szCs w:val="18"/>
          <w:i w:val="1"/>
          <w:iCs w:val="1"/>
          <w:color w:val="auto"/>
        </w:rPr>
        <w:t>Trovato v. PRA Health Sciences, Inc., et al.</w:t>
      </w:r>
      <w:r>
        <w:rPr>
          <w:rFonts w:ascii="Arial" w:cs="Arial" w:eastAsia="Arial" w:hAnsi="Arial"/>
          <w:sz w:val="18"/>
          <w:szCs w:val="18"/>
          <w:color w:val="auto"/>
        </w:rPr>
        <w:t xml:space="preserve">, Case No. 1:21-cv-03324 (S.D.N.Y.) on April 15, 2021. The </w:t>
      </w:r>
      <w:r>
        <w:rPr>
          <w:rFonts w:ascii="Arial" w:cs="Arial" w:eastAsia="Arial" w:hAnsi="Arial"/>
          <w:sz w:val="18"/>
          <w:szCs w:val="18"/>
          <w:i w:val="1"/>
          <w:iCs w:val="1"/>
          <w:color w:val="auto"/>
        </w:rPr>
        <w:t>Ciccotelli</w:t>
      </w:r>
      <w:r>
        <w:rPr>
          <w:rFonts w:ascii="Arial" w:cs="Arial" w:eastAsia="Arial" w:hAnsi="Arial"/>
          <w:sz w:val="18"/>
          <w:szCs w:val="18"/>
          <w:color w:val="auto"/>
        </w:rPr>
        <w:t xml:space="preserve"> complaint names ICON and Merger Sub as additional defendants, and the </w:t>
      </w:r>
      <w:r>
        <w:rPr>
          <w:rFonts w:ascii="Arial" w:cs="Arial" w:eastAsia="Arial" w:hAnsi="Arial"/>
          <w:sz w:val="18"/>
          <w:szCs w:val="18"/>
          <w:i w:val="1"/>
          <w:iCs w:val="1"/>
          <w:color w:val="auto"/>
        </w:rPr>
        <w:t>Trovato</w:t>
      </w:r>
      <w:r>
        <w:rPr>
          <w:rFonts w:ascii="Arial" w:cs="Arial" w:eastAsia="Arial" w:hAnsi="Arial"/>
          <w:sz w:val="18"/>
          <w:szCs w:val="18"/>
          <w:color w:val="auto"/>
        </w:rPr>
        <w:t xml:space="preserve"> complaint additionally alleges a breach of fiduciary duty claim against the members of the board. The three later-filed complaints are otherwise substantially similar to the Wang complaint in their allegations, claims, and prayers for relief. It is possible additional lawsuits may be filed between the date of this joint proxy statement/prospectus and consummation of the merger.</w:t>
      </w:r>
    </w:p>
    <w:p>
      <w:pPr>
        <w:spacing w:after="0" w:line="19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Comparison of Stockholders’ Rights (Page [</w:t>
      </w:r>
      <w:hyperlink w:anchor="page201">
        <w:r>
          <w:rPr>
            <w:rFonts w:ascii="Arial" w:cs="Arial" w:eastAsia="Arial" w:hAnsi="Arial"/>
            <w:sz w:val="18"/>
            <w:szCs w:val="18"/>
            <w:b w:val="1"/>
            <w:bCs w:val="1"/>
            <w:u w:val="single" w:color="auto"/>
            <w:color w:val="0000EE"/>
          </w:rPr>
          <w:t>184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Upon completion of the merger, PRA stockholders immediately prior to the effective time of the merger will receive ICON ordinary shares and become ICON shareholders, and their rights will be governed by applicable Irish law, including the Irish Companies Act, and by the ICON constitution. PRA stockholders will have different rights once they become stockholders of the combined company due to differences between Delaware law and the governing documents of PRA, on the one hand, and Irish law and the governing documents ICON on the other hand. These differences are described in more detail under the section entitled “</w:t>
      </w:r>
      <w:r>
        <w:rPr>
          <w:rFonts w:ascii="Arial" w:cs="Arial" w:eastAsia="Arial" w:hAnsi="Arial"/>
          <w:sz w:val="18"/>
          <w:szCs w:val="18"/>
          <w:b w:val="1"/>
          <w:bCs w:val="1"/>
          <w:color w:val="auto"/>
        </w:rPr>
        <w:t>Comparison of Stockholders’ Rights</w:t>
      </w:r>
      <w:r>
        <w:rPr>
          <w:rFonts w:ascii="Arial" w:cs="Arial" w:eastAsia="Arial" w:hAnsi="Arial"/>
          <w:sz w:val="18"/>
          <w:szCs w:val="18"/>
          <w:color w:val="auto"/>
        </w:rPr>
        <w:t>” beginning on page [</w:t>
      </w:r>
      <w:hyperlink w:anchor="page201">
        <w:r>
          <w:rPr>
            <w:rFonts w:ascii="Arial" w:cs="Arial" w:eastAsia="Arial" w:hAnsi="Arial"/>
            <w:sz w:val="18"/>
            <w:szCs w:val="18"/>
            <w:u w:val="single" w:color="auto"/>
            <w:color w:val="0000EE"/>
          </w:rPr>
          <w:t>184</w:t>
        </w:r>
      </w:hyperlink>
      <w:r>
        <w:rPr>
          <w:rFonts w:ascii="Arial" w:cs="Arial" w:eastAsia="Arial" w:hAnsi="Arial"/>
          <w:sz w:val="18"/>
          <w:szCs w:val="18"/>
          <w:color w:val="auto"/>
        </w:rPr>
        <w:t>].</w:t>
      </w:r>
    </w:p>
    <w:p>
      <w:pPr>
        <w:spacing w:after="0" w:line="1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Listing of ICON ordinary shares; Delisting and Deregistration of PRA common stock (Page [</w:t>
      </w:r>
      <w:hyperlink w:anchor="page151">
        <w:r>
          <w:rPr>
            <w:rFonts w:ascii="Arial" w:cs="Arial" w:eastAsia="Arial" w:hAnsi="Arial"/>
            <w:sz w:val="18"/>
            <w:szCs w:val="18"/>
            <w:b w:val="1"/>
            <w:bCs w:val="1"/>
            <w:u w:val="single" w:color="auto"/>
            <w:color w:val="0000EE"/>
          </w:rPr>
          <w:t>134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If the merger is completed, the ICON ordinary shares issued as share consideration in the merger will be listed for trading on Nasdaq. In addition, if the merger is completed, PRA common stock will be delisted from Nasdaq and deregistered under the Exchange Act.</w:t>
      </w:r>
    </w:p>
    <w:p>
      <w:pPr>
        <w:spacing w:after="0" w:line="180"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Factors (Page [</w:t>
      </w:r>
      <w:hyperlink w:anchor="page51">
        <w:r>
          <w:rPr>
            <w:rFonts w:ascii="Arial" w:cs="Arial" w:eastAsia="Arial" w:hAnsi="Arial"/>
            <w:sz w:val="18"/>
            <w:szCs w:val="18"/>
            <w:b w:val="1"/>
            <w:bCs w:val="1"/>
            <w:u w:val="single" w:color="auto"/>
            <w:color w:val="0000EE"/>
          </w:rPr>
          <w:t>34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rFonts w:ascii="Arial" w:cs="Arial" w:eastAsia="Arial" w:hAnsi="Arial"/>
          <w:sz w:val="18"/>
          <w:szCs w:val="18"/>
          <w:color w:val="auto"/>
        </w:rPr>
      </w:pPr>
      <w:r>
        <w:rPr>
          <w:rFonts w:ascii="Arial" w:cs="Arial" w:eastAsia="Arial" w:hAnsi="Arial"/>
          <w:sz w:val="18"/>
          <w:szCs w:val="18"/>
          <w:color w:val="auto"/>
        </w:rPr>
        <w:t>In evaluating the merger agreement, the merger or the issuance of ICON ordinary shares in the merger, you should carefully read this joint proxy statement/prospectus and give special consideration to the factors discussed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10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599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3405" cy="75996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21" w:lineRule="exact"/>
        <w:rPr>
          <w:sz w:val="20"/>
          <w:szCs w:val="20"/>
          <w:color w:val="auto"/>
        </w:rPr>
      </w:pPr>
    </w:p>
    <w:p>
      <w:pPr>
        <w:jc w:val="both"/>
        <w:ind w:left="1320" w:right="1280" w:firstLine="360"/>
        <w:spacing w:after="0" w:line="269" w:lineRule="auto"/>
        <w:rPr>
          <w:rFonts w:ascii="Arial" w:cs="Arial" w:eastAsia="Arial" w:hAnsi="Arial"/>
          <w:sz w:val="17"/>
          <w:szCs w:val="17"/>
          <w:color w:val="auto"/>
        </w:rPr>
      </w:pPr>
      <w:r>
        <w:rPr>
          <w:rFonts w:ascii="Arial" w:cs="Arial" w:eastAsia="Arial" w:hAnsi="Arial"/>
          <w:sz w:val="17"/>
          <w:szCs w:val="17"/>
          <w:color w:val="auto"/>
        </w:rPr>
        <w:t>The following tables show a summary of the unaudited pro forma condensed combined financial information about the financial condition and results of operations of the combined company, after giving effect to the merger, which were prepared using the acquisition method of accounting with ICON as the accounting acquirer of PRA. See the section entitled “</w:t>
      </w:r>
      <w:r>
        <w:rPr>
          <w:rFonts w:ascii="Arial" w:cs="Arial" w:eastAsia="Arial" w:hAnsi="Arial"/>
          <w:sz w:val="17"/>
          <w:szCs w:val="17"/>
          <w:b w:val="1"/>
          <w:bCs w:val="1"/>
          <w:color w:val="auto"/>
        </w:rPr>
        <w:t>The Merger—Accounting Treatment of the Merger</w:t>
      </w:r>
      <w:r>
        <w:rPr>
          <w:rFonts w:ascii="Arial" w:cs="Arial" w:eastAsia="Arial" w:hAnsi="Arial"/>
          <w:sz w:val="17"/>
          <w:szCs w:val="17"/>
          <w:color w:val="auto"/>
        </w:rPr>
        <w:t>” beginning on page [</w:t>
      </w:r>
      <w:hyperlink w:anchor="page130">
        <w:r>
          <w:rPr>
            <w:rFonts w:ascii="Arial" w:cs="Arial" w:eastAsia="Arial" w:hAnsi="Arial"/>
            <w:sz w:val="17"/>
            <w:szCs w:val="17"/>
            <w:u w:val="single" w:color="auto"/>
            <w:color w:val="0000EE"/>
          </w:rPr>
          <w:t>113</w:t>
        </w:r>
      </w:hyperlink>
      <w:r>
        <w:rPr>
          <w:rFonts w:ascii="Arial" w:cs="Arial" w:eastAsia="Arial" w:hAnsi="Arial"/>
          <w:sz w:val="17"/>
          <w:szCs w:val="17"/>
          <w:color w:val="auto"/>
        </w:rPr>
        <w:t>] for a description of the expected accounting treatment of the merger. The unaudited pro forma condensed combined balance sheet information as of December 31, 2020, is based on the individual historical consolidated balance sheets of ICON and PRA, and has been prepared to reflect the merger as if it had occurred on December 31, 2020. The unaudited pro forma condensed combined statements of operations for the year ended December 31, 2020 combine the historical results of operations of ICON and PRA and have been prepared to reflect the merger as if it had occurred on January 1, 2020.</w:t>
      </w:r>
    </w:p>
    <w:p>
      <w:pPr>
        <w:spacing w:after="0" w:line="77" w:lineRule="exact"/>
        <w:rPr>
          <w:sz w:val="20"/>
          <w:szCs w:val="20"/>
          <w:color w:val="auto"/>
        </w:rPr>
      </w:pPr>
    </w:p>
    <w:p>
      <w:pPr>
        <w:jc w:val="both"/>
        <w:ind w:left="1320" w:right="1280" w:firstLine="360"/>
        <w:spacing w:after="0" w:line="286" w:lineRule="auto"/>
        <w:rPr>
          <w:rFonts w:ascii="Arial" w:cs="Arial" w:eastAsia="Arial" w:hAnsi="Arial"/>
          <w:sz w:val="16"/>
          <w:szCs w:val="16"/>
          <w:color w:val="auto"/>
        </w:rPr>
      </w:pPr>
      <w:r>
        <w:rPr>
          <w:rFonts w:ascii="Arial" w:cs="Arial" w:eastAsia="Arial" w:hAnsi="Arial"/>
          <w:sz w:val="16"/>
          <w:szCs w:val="16"/>
          <w:color w:val="auto"/>
        </w:rPr>
        <w:t>The following selected unaudited pro forma condensed combined financial information has been prepared for illustrative purposes only and is not necessarily indicative of what the combined company’s operating results or financial position would actually have been had the merger been completed as of the dates indicated. In addition, the selected unaudited pro forma condensed combined financial information includes adjustments which are preliminary and may be revised. The selected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the section entitled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 [</w:t>
      </w:r>
      <w:hyperlink w:anchor="page51">
        <w:r>
          <w:rPr>
            <w:rFonts w:ascii="Arial" w:cs="Arial" w:eastAsia="Arial" w:hAnsi="Arial"/>
            <w:sz w:val="16"/>
            <w:szCs w:val="16"/>
            <w:u w:val="single" w:color="auto"/>
            <w:color w:val="0000EE"/>
          </w:rPr>
          <w:t>34</w:t>
        </w:r>
      </w:hyperlink>
      <w:r>
        <w:rPr>
          <w:rFonts w:ascii="Arial" w:cs="Arial" w:eastAsia="Arial" w:hAnsi="Arial"/>
          <w:sz w:val="16"/>
          <w:szCs w:val="16"/>
          <w:color w:val="auto"/>
        </w:rPr>
        <w:t>]. The following selected unaudited pro forma condensed combined financial information has been developed from and should be read in conjunction with the section entitled “</w:t>
      </w:r>
      <w:r>
        <w:rPr>
          <w:rFonts w:ascii="Arial" w:cs="Arial" w:eastAsia="Arial" w:hAnsi="Arial"/>
          <w:sz w:val="16"/>
          <w:szCs w:val="16"/>
          <w:b w:val="1"/>
          <w:bCs w:val="1"/>
          <w:color w:val="auto"/>
        </w:rPr>
        <w:t>Unaudited Pro</w:t>
      </w:r>
      <w:r>
        <w:rPr>
          <w:rFonts w:ascii="Arial" w:cs="Arial" w:eastAsia="Arial" w:hAnsi="Arial"/>
          <w:sz w:val="16"/>
          <w:szCs w:val="16"/>
          <w:color w:val="auto"/>
        </w:rPr>
        <w:t xml:space="preserve"> </w:t>
      </w:r>
      <w:r>
        <w:rPr>
          <w:rFonts w:ascii="Arial" w:cs="Arial" w:eastAsia="Arial" w:hAnsi="Arial"/>
          <w:sz w:val="16"/>
          <w:szCs w:val="16"/>
          <w:b w:val="1"/>
          <w:bCs w:val="1"/>
          <w:color w:val="auto"/>
        </w:rPr>
        <w:t>Forma Condensed Combined Financial Information</w:t>
      </w:r>
      <w:r>
        <w:rPr>
          <w:rFonts w:ascii="Arial" w:cs="Arial" w:eastAsia="Arial" w:hAnsi="Arial"/>
          <w:sz w:val="16"/>
          <w:szCs w:val="16"/>
          <w:color w:val="auto"/>
        </w:rPr>
        <w:t>” and the notes related thereto beginning on page [</w:t>
      </w:r>
      <w:hyperlink w:anchor="page163">
        <w:r>
          <w:rPr>
            <w:rFonts w:ascii="Arial" w:cs="Arial" w:eastAsia="Arial" w:hAnsi="Arial"/>
            <w:sz w:val="16"/>
            <w:szCs w:val="16"/>
            <w:u w:val="single" w:color="auto"/>
            <w:color w:val="0000EE"/>
          </w:rPr>
          <w:t>146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historical consolidated financial statements of ICON and PRA and related notes that have been filed with the SEC, certain of which are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5">
        <w:r>
          <w:rPr>
            <w:rFonts w:ascii="Arial" w:cs="Arial" w:eastAsia="Arial" w:hAnsi="Arial"/>
            <w:sz w:val="16"/>
            <w:szCs w:val="16"/>
            <w:u w:val="single" w:color="auto"/>
            <w:color w:val="0000EE"/>
          </w:rPr>
          <w:t>218</w:t>
        </w:r>
      </w:hyperlink>
      <w:r>
        <w:rPr>
          <w:rFonts w:ascii="Arial" w:cs="Arial" w:eastAsia="Arial" w:hAnsi="Arial"/>
          <w:sz w:val="16"/>
          <w:szCs w:val="16"/>
          <w:color w:val="auto"/>
        </w:rPr>
        <w:t>].</w:t>
      </w:r>
    </w:p>
    <w:p>
      <w:pPr>
        <w:spacing w:after="0" w:line="318" w:lineRule="exact"/>
        <w:rPr>
          <w:rFonts w:ascii="Arial" w:cs="Arial" w:eastAsia="Arial" w:hAnsi="Arial"/>
          <w:sz w:val="16"/>
          <w:szCs w:val="16"/>
          <w:color w:val="auto"/>
        </w:rPr>
      </w:pPr>
    </w:p>
    <w:p>
      <w:pPr>
        <w:ind w:left="132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6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c>
          <w:tcPr>
            <w:tcW w:w="220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$ 5,960,987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Income/(loss) from operations</w:t>
            </w: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82,874</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the combined company</w:t>
            </w: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(165,328)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Basic earnings/(loss) per share ($)</w:t>
            </w: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ordinary shares outstanding</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78,992,611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b w:val="1"/>
                <w:bCs w:val="1"/>
                <w:color w:val="auto"/>
              </w:rPr>
              <w:t>Unaudited Pro Forma Condensed Combined Balance Sheet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c>
          <w:tcPr>
            <w:tcW w:w="2200" w:type="dxa"/>
            <w:vAlign w:val="bottom"/>
            <w:gridSpan w:val="4"/>
          </w:tcPr>
          <w:p>
            <w:pPr>
              <w:jc w:val="center"/>
              <w:ind w:right="1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$ 3,065,834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$17,246,841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8,704,366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$10,263,595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6,983,246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180" w:type="dxa"/>
            <w:vAlign w:val="bottom"/>
            <w:gridSpan w:val="3"/>
          </w:tcPr>
          <w:p>
            <w:pPr>
              <w:jc w:val="right"/>
              <w:ind w:right="2493"/>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46" w:name="page47"/>
    <w:bookmarkEnd w:id="46"/>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476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3405" cy="9476740"/>
                    </a:xfrm>
                    <a:prstGeom prst="rect">
                      <a:avLst/>
                    </a:prstGeom>
                    <a:noFill/>
                  </pic:spPr>
                </pic:pic>
              </a:graphicData>
            </a:graphic>
          </wp:anchor>
        </w:drawing>
      </w:r>
    </w:p>
    <w:p>
      <w:pPr>
        <w:sectPr>
          <w:pgSz w:w="11900" w:h="16838" w:orient="portrait"/>
          <w:cols w:equalWidth="0" w:num="1">
            <w:col w:w="9019"/>
          </w:cols>
          <w:pgMar w:left="1440" w:top="265" w:right="1440" w:bottom="399"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jc w:val="both"/>
        <w:ind w:left="320" w:right="299" w:firstLine="360"/>
        <w:spacing w:after="0" w:line="287" w:lineRule="auto"/>
        <w:rPr>
          <w:rFonts w:ascii="Arial" w:cs="Arial" w:eastAsia="Arial" w:hAnsi="Arial"/>
          <w:sz w:val="16"/>
          <w:szCs w:val="16"/>
          <w:color w:val="auto"/>
        </w:rPr>
      </w:pPr>
      <w:r>
        <w:rPr>
          <w:rFonts w:ascii="Arial" w:cs="Arial" w:eastAsia="Arial" w:hAnsi="Arial"/>
          <w:sz w:val="16"/>
          <w:szCs w:val="16"/>
          <w:color w:val="auto"/>
        </w:rPr>
        <w:t>The following table presents selected historical and pro forma per share data of ICON and selected historical and equivalent per share data of PRA. You should read this information in conjunction with, and the information is qualified in its entirety by (i) the consolidated financial statements of ICON and notes thereto incorporated by reference into this joint proxy statement/prospectus, (ii) the consolidated financial statements of PRA and notes thereto incorporated by reference into this joint proxy statement/prospectus, and (iii) the pro forma financial information and notes thereto in the section entitled “</w:t>
      </w:r>
      <w:r>
        <w:rPr>
          <w:rFonts w:ascii="Arial" w:cs="Arial" w:eastAsia="Arial" w:hAnsi="Arial"/>
          <w:sz w:val="16"/>
          <w:szCs w:val="16"/>
          <w:b w:val="1"/>
          <w:bCs w:val="1"/>
          <w:color w:val="auto"/>
        </w:rPr>
        <w:t>Unaudited Pro Forma Condensed Combined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beginning on page [</w:t>
      </w:r>
      <w:hyperlink w:anchor="page163">
        <w:r>
          <w:rPr>
            <w:rFonts w:ascii="Arial" w:cs="Arial" w:eastAsia="Arial" w:hAnsi="Arial"/>
            <w:sz w:val="16"/>
            <w:szCs w:val="16"/>
            <w:u w:val="single" w:color="auto"/>
            <w:color w:val="0000EE"/>
          </w:rPr>
          <w:t>146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information about the filings incorporated by reference in this joint</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see the section entitled “</w:t>
      </w:r>
      <w:r>
        <w:rPr>
          <w:rFonts w:ascii="Arial" w:cs="Arial" w:eastAsia="Arial" w:hAnsi="Arial"/>
          <w:sz w:val="16"/>
          <w:szCs w:val="16"/>
          <w:b w:val="1"/>
          <w:bCs w:val="1"/>
          <w:color w:val="auto"/>
        </w:rPr>
        <w:t>Where You Can Find Additional Information</w:t>
      </w:r>
      <w:r>
        <w:rPr>
          <w:rFonts w:ascii="Arial" w:cs="Arial" w:eastAsia="Arial" w:hAnsi="Arial"/>
          <w:sz w:val="16"/>
          <w:szCs w:val="16"/>
          <w:color w:val="auto"/>
        </w:rPr>
        <w:t>” beginning on page [</w:t>
      </w:r>
      <w:hyperlink w:anchor="page235">
        <w:r>
          <w:rPr>
            <w:rFonts w:ascii="Arial" w:cs="Arial" w:eastAsia="Arial" w:hAnsi="Arial"/>
            <w:sz w:val="16"/>
            <w:szCs w:val="16"/>
            <w:u w:val="single" w:color="auto"/>
            <w:color w:val="0000EE"/>
          </w:rPr>
          <w:t>218</w:t>
        </w:r>
      </w:hyperlink>
      <w:r>
        <w:rPr>
          <w:rFonts w:ascii="Arial" w:cs="Arial" w:eastAsia="Arial" w:hAnsi="Arial"/>
          <w:sz w:val="16"/>
          <w:szCs w:val="16"/>
          <w:color w:val="auto"/>
        </w:rPr>
        <w:t>]. The unaudited pro forma per share data is presented for illustrative purposes only and is not necessarily indicative of actual or future financial condition or results of operations that would have been realized if the merger had been completed as of the dates indicated or will be realized upon the completion of the merger.</w:t>
      </w:r>
    </w:p>
    <w:p>
      <w:pPr>
        <w:spacing w:after="0" w:line="64" w:lineRule="exact"/>
        <w:rPr>
          <w:sz w:val="20"/>
          <w:szCs w:val="20"/>
          <w:color w:val="auto"/>
        </w:rPr>
      </w:pPr>
    </w:p>
    <w:p>
      <w:pPr>
        <w:jc w:val="both"/>
        <w:ind w:left="320" w:right="279" w:firstLine="360"/>
        <w:spacing w:after="0" w:line="287" w:lineRule="auto"/>
        <w:rPr>
          <w:rFonts w:ascii="Arial" w:cs="Arial" w:eastAsia="Arial" w:hAnsi="Arial"/>
          <w:sz w:val="16"/>
          <w:szCs w:val="16"/>
          <w:color w:val="auto"/>
        </w:rPr>
      </w:pPr>
      <w:r>
        <w:rPr>
          <w:rFonts w:ascii="Arial" w:cs="Arial" w:eastAsia="Arial" w:hAnsi="Arial"/>
          <w:sz w:val="16"/>
          <w:szCs w:val="16"/>
          <w:color w:val="auto"/>
        </w:rPr>
        <w:t>The following table assumes the issuance of 26,132,700 ICON ordinary shares in connection with the merger, which is the number of shares issuable by ICON in connection with the transaction based on the closing price of ICON ordinary shares on March 19, 2021, and based on the number of outstanding shares of PRA common stock on December 31, 2020. See note 4j. to the “</w:t>
      </w:r>
      <w:r>
        <w:rPr>
          <w:rFonts w:ascii="Arial" w:cs="Arial" w:eastAsia="Arial" w:hAnsi="Arial"/>
          <w:sz w:val="16"/>
          <w:szCs w:val="16"/>
          <w:b w:val="1"/>
          <w:bCs w:val="1"/>
          <w:color w:val="auto"/>
        </w:rPr>
        <w:t>Unaudited Pro Forma Condensed Combined Financial Information</w:t>
      </w:r>
      <w:r>
        <w:rPr>
          <w:rFonts w:ascii="Arial" w:cs="Arial" w:eastAsia="Arial" w:hAnsi="Arial"/>
          <w:sz w:val="16"/>
          <w:szCs w:val="16"/>
          <w:color w:val="auto"/>
        </w:rPr>
        <w:t>” on page [</w:t>
      </w:r>
      <w:hyperlink w:anchor="page163">
        <w:r>
          <w:rPr>
            <w:rFonts w:ascii="Arial" w:cs="Arial" w:eastAsia="Arial" w:hAnsi="Arial"/>
            <w:sz w:val="16"/>
            <w:szCs w:val="16"/>
            <w:u w:val="single" w:color="auto"/>
            <w:color w:val="0000EE"/>
          </w:rPr>
          <w:t>146</w:t>
        </w:r>
      </w:hyperlink>
      <w:r>
        <w:rPr>
          <w:rFonts w:ascii="Arial" w:cs="Arial" w:eastAsia="Arial" w:hAnsi="Arial"/>
          <w:sz w:val="16"/>
          <w:szCs w:val="16"/>
          <w:color w:val="auto"/>
        </w:rPr>
        <w:t>] for more information. As discussed in this joint proxy statement/prospectus, the actual number of ICON ordinary shares issuable in the merger will be adjusted based on the number of shares of PRA common stock outstanding at the completion of the merger. The unaudited pro forma data in the table below assume that the transaction occurred on January 1, 2020 for income statement purposes and on December 31, 2020 for balance sheet purposes. The unaudited equivalent pro forma per share data of PRA shows the effect of the transaction from the perspective of a PRA stockholder. The information was calculated by multiplying the unaudited combined pro forma per share data by 0.4125, the exchange ratio at which each PRA share will be converted into an ICON share at closing. This calculation excludes the cash consideration at closing.</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76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center"/>
              <w:ind w:right="15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r>
      <w:tr>
        <w:trPr>
          <w:trHeight w:val="53"/>
        </w:trPr>
        <w:tc>
          <w:tcPr>
            <w:tcW w:w="7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1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ICON historical per ordinary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PRA historical per common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ICON unaudited combined pro forma per ordinary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(2.15)</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(2.15)</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$87.94</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PRA unaudited equivalent pro forma per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(0.89)</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(0.89)</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23"/>
                <w:szCs w:val="23"/>
                <w:color w:val="auto"/>
              </w:rPr>
            </w:pPr>
          </w:p>
        </w:tc>
      </w:tr>
      <w:tr>
        <w:trPr>
          <w:trHeight w:val="54"/>
        </w:trPr>
        <w:tc>
          <w:tcPr>
            <w:tcW w:w="7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r>
    </w:tbl>
    <w:p>
      <w:pPr>
        <w:spacing w:after="0" w:line="94"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Neither ICON nor PRA have declared or paid dividends during the periods presented. Following the completion of the merger, the declaration of dividends will be at the discretion of ICON’s board of directors. The ICON board of directors do not expect ICON to pay any cash dividends for the foreseeable future.</w:t>
      </w:r>
    </w:p>
    <w:p>
      <w:pPr>
        <w:sectPr>
          <w:pgSz w:w="11900" w:h="16838" w:orient="portrait"/>
          <w:cols w:equalWidth="0" w:num="1">
            <w:col w:w="9019"/>
          </w:cols>
          <w:pgMar w:left="1440" w:top="265" w:right="1440" w:bottom="399"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399" w:gutter="0" w:footer="0" w:header="0"/>
          <w:type w:val="continuous"/>
        </w:sectPr>
      </w:pPr>
    </w:p>
    <w:bookmarkStart w:id="47" w:name="page48"/>
    <w:bookmarkEnd w:id="47"/>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5102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3405" cy="35102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PER SHARE MARKET PRICE INFORMATION</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ordinary shares trade on Nasdaq under the symbol “ICLR” and PRA common stock trades on Nasdaq under the symbol “PRAH.”</w:t>
      </w:r>
    </w:p>
    <w:p>
      <w:pPr>
        <w:spacing w:after="0" w:line="62" w:lineRule="exact"/>
        <w:rPr>
          <w:sz w:val="20"/>
          <w:szCs w:val="20"/>
          <w:color w:val="auto"/>
        </w:rPr>
      </w:pPr>
    </w:p>
    <w:p>
      <w:pPr>
        <w:jc w:val="both"/>
        <w:ind w:left="320" w:right="279" w:firstLine="360"/>
        <w:spacing w:after="0" w:line="296" w:lineRule="auto"/>
        <w:rPr>
          <w:sz w:val="20"/>
          <w:szCs w:val="20"/>
          <w:color w:val="auto"/>
        </w:rPr>
      </w:pPr>
      <w:r>
        <w:rPr>
          <w:rFonts w:ascii="Arial" w:cs="Arial" w:eastAsia="Arial" w:hAnsi="Arial"/>
          <w:sz w:val="16"/>
          <w:szCs w:val="16"/>
          <w:color w:val="auto"/>
        </w:rPr>
        <w:t>The table below sets forth the closing price per share of ICON ordinary shares and PRA common stock on Nasdaq on February 23, 2021, the date preceding public announcement of the merger, and on April 26, 2021, the latest practicable date before the date of this joint proxy statement/prospectus, and the equivalent price per share of PRA common stock (as determined by multiplying the closing price per share of ICON ordinary shares by the exchange ratio of 0.4125 and adding the cash consideration of $80.00 per share, without interest) on each such date.</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ICON ordinary shares</w:t>
            </w:r>
          </w:p>
        </w:tc>
        <w:tc>
          <w:tcPr>
            <w:tcW w:w="18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PRA common stock</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Equivalent value of</w:t>
            </w:r>
          </w:p>
        </w:tc>
        <w:tc>
          <w:tcPr>
            <w:tcW w:w="0" w:type="dxa"/>
            <w:vAlign w:val="bottom"/>
          </w:tcPr>
          <w:p>
            <w:pPr>
              <w:spacing w:after="0"/>
              <w:rPr>
                <w:sz w:val="1"/>
                <w:szCs w:val="1"/>
                <w:color w:val="auto"/>
              </w:rPr>
            </w:pPr>
          </w:p>
        </w:tc>
      </w:tr>
      <w:tr>
        <w:trPr>
          <w:trHeight w:val="148"/>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18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merger consideration per</w:t>
            </w:r>
          </w:p>
        </w:tc>
        <w:tc>
          <w:tcPr>
            <w:tcW w:w="0" w:type="dxa"/>
            <w:vAlign w:val="bottom"/>
          </w:tcPr>
          <w:p>
            <w:pPr>
              <w:spacing w:after="0"/>
              <w:rPr>
                <w:sz w:val="1"/>
                <w:szCs w:val="1"/>
                <w:color w:val="auto"/>
              </w:rPr>
            </w:pPr>
          </w:p>
        </w:tc>
      </w:tr>
      <w:tr>
        <w:trPr>
          <w:trHeight w:val="186"/>
        </w:trPr>
        <w:tc>
          <w:tcPr>
            <w:tcW w:w="3020" w:type="dxa"/>
            <w:vAlign w:val="bottom"/>
            <w:gridSpan w:val="2"/>
            <w:vMerge w:val="continue"/>
          </w:tcPr>
          <w:p>
            <w:pPr>
              <w:spacing w:after="0"/>
              <w:rPr>
                <w:sz w:val="16"/>
                <w:szCs w:val="16"/>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closing price per share</w:t>
            </w: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closing price per share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share of PRA common stock</w:t>
            </w:r>
          </w:p>
        </w:tc>
        <w:tc>
          <w:tcPr>
            <w:tcW w:w="0" w:type="dxa"/>
            <w:vAlign w:val="bottom"/>
          </w:tcPr>
          <w:p>
            <w:pPr>
              <w:spacing w:after="0"/>
              <w:rPr>
                <w:sz w:val="1"/>
                <w:szCs w:val="1"/>
                <w:color w:val="auto"/>
              </w:rPr>
            </w:pPr>
          </w:p>
        </w:tc>
      </w:tr>
      <w:tr>
        <w:trPr>
          <w:trHeight w:val="53"/>
        </w:trPr>
        <w:tc>
          <w:tcPr>
            <w:tcW w:w="26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23, 2021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3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$127.73</w:t>
            </w:r>
          </w:p>
        </w:tc>
        <w:tc>
          <w:tcPr>
            <w:tcW w:w="3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27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April 26,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$217.88</w:t>
            </w:r>
          </w:p>
        </w:tc>
        <w:tc>
          <w:tcPr>
            <w:tcW w:w="3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$167.11</w:t>
            </w:r>
          </w:p>
        </w:tc>
        <w:tc>
          <w:tcPr>
            <w:tcW w:w="38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$169.88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The market prices of ICON ordinary shares and PRA common stock have fluctuated since the date of the announcement of the merger agreement and will continue to fluctuate from the date of this joint proxy statement/prospectus to the date of the ICON EGM and the PRA stockholder meeting and the date the merger is completed and thereafter. See “</w:t>
      </w:r>
      <w:r>
        <w:rPr>
          <w:rFonts w:ascii="Arial" w:cs="Arial" w:eastAsia="Arial" w:hAnsi="Arial"/>
          <w:sz w:val="18"/>
          <w:szCs w:val="18"/>
          <w:b w:val="1"/>
          <w:bCs w:val="1"/>
          <w:color w:val="auto"/>
        </w:rPr>
        <w:t>Risk Factors—Because the exchange ratio is fixed and will not be adjusted in</w:t>
      </w:r>
      <w:r>
        <w:rPr>
          <w:rFonts w:ascii="Arial" w:cs="Arial" w:eastAsia="Arial" w:hAnsi="Arial"/>
          <w:sz w:val="18"/>
          <w:szCs w:val="18"/>
          <w:color w:val="auto"/>
        </w:rPr>
        <w:t xml:space="preserve"> </w:t>
      </w:r>
      <w:r>
        <w:rPr>
          <w:rFonts w:ascii="Arial" w:cs="Arial" w:eastAsia="Arial" w:hAnsi="Arial"/>
          <w:sz w:val="18"/>
          <w:szCs w:val="18"/>
          <w:b w:val="1"/>
          <w:bCs w:val="1"/>
          <w:color w:val="auto"/>
        </w:rPr>
        <w:t>the event of any change in either ICON’s or PRA’s stock price, the value of the share consideration that PRA stockholders will receive in the merger is uncertain</w:t>
      </w:r>
      <w:r>
        <w:rPr>
          <w:rFonts w:ascii="Arial" w:cs="Arial" w:eastAsia="Arial" w:hAnsi="Arial"/>
          <w:sz w:val="18"/>
          <w:szCs w:val="18"/>
          <w:color w:val="auto"/>
        </w:rPr>
        <w:t>”. We encourage you to obtain current quotes for the ICON</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and the PRA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This registration statement on Form F-4, of which this joint proxy statement/prospectus forms a part, and the documents to which ICON and PRA refer you to in this registration statement, as well as oral statements made or to be made by ICON and PRA, include certain “forward-looking statements” within the meaning of, and subject to the safe harbor created by, Section 27A of the Securities Act, Section 21E of the Exchange Act and the Private Securities Litigation Reform Act of 1995, which are referred to as the safe harbor provisions.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Statements included in or incorporated by reference into this registration statement, of which this joint proxy statement/prospectus forms a part, that are not historical facts are forward-looking statements. ICON and PRA caution investors that any forward-looking statements are subject to risks and uncertainties that may cause actual results and future trends to differ materially from those matters expressed in, or implied or projected by, such forward-looking statements, which speak only as of the date of this joint proxy statement/prospectus. Investors are cautioned not to place undue reliance on these forward-looking statements. Key factors that could cause actual results to differ materially from those projected in the forward-looking statements include:</w:t>
      </w:r>
    </w:p>
    <w:p>
      <w:pPr>
        <w:spacing w:after="0" w:line="70" w:lineRule="exact"/>
        <w:rPr>
          <w:sz w:val="20"/>
          <w:szCs w:val="20"/>
          <w:color w:val="auto"/>
        </w:rPr>
      </w:pPr>
    </w:p>
    <w:p>
      <w:pPr>
        <w:jc w:val="both"/>
        <w:ind w:left="1020" w:right="299" w:hanging="350"/>
        <w:spacing w:after="0" w:line="263"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market price for ICON ordinary shares and PRA common stock could change before the completion of the merger, including as a result of uncertainty as to the long-term value of ICON ordinary shares following the merger or as a result of broader stock market movements;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 that may impact the ability of ICON and PRA to pursue certain business opportunities or strategic transactions;</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failure, or unexpected delays, of PRA stockholders to adopt the merger agreement or of ICON shareholders to approve the share issuance, or the failure to satisfy other conditions to the completion of the merger;</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uncertainties related to the timing of the receipt of required regulatory approvals for the merger and the possibility that ICON and PRA may be required to accept conditions that could reduce or eliminate the anticipated benefits of the merger as a condition to obtaining regulatory approvals or that the required regulatory approvals might not be obtained at all;</w:t>
      </w:r>
    </w:p>
    <w:p>
      <w:pPr>
        <w:spacing w:after="0" w:line="78"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risk that the proposed merger and any announcement relating to the proposed merger could have an adverse effect on the ability of ICON and PRA to retain and hire key personnel or maintain relationships with customers, clients, suppliers or strategic partners, or on ICON’s or PRA’s operating results and businesses generally;</w:t>
      </w:r>
    </w:p>
    <w:p>
      <w:pPr>
        <w:spacing w:after="0" w:line="78"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risks that the merger and the other transactions contemplated by the merger agreement, including any debt financing, could disrupt current plans and operations that may harm ICON’s and/or PRA’s businesses;</w:t>
      </w:r>
    </w:p>
    <w:p>
      <w:pPr>
        <w:spacing w:after="0" w:line="15" w:lineRule="exact"/>
        <w:rPr>
          <w:rFonts w:ascii="Arial" w:cs="Arial" w:eastAsia="Arial" w:hAnsi="Arial"/>
          <w:sz w:val="16"/>
          <w:szCs w:val="16"/>
          <w:color w:val="auto"/>
        </w:rPr>
      </w:pPr>
    </w:p>
    <w:p>
      <w:pPr>
        <w:jc w:val="both"/>
        <w:ind w:left="1020" w:right="299" w:hanging="350"/>
        <w:spacing w:after="0" w:line="259"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occurrence of any change, event, series of events or circumstances that could give rise to the termination of the merger agreement, including a termination of the merger agreement under circumstances that could require PRA to pay a termination fee to ICON or require ICON to pay a termination fee to PRA;</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 of any costs, fees, expenses, impairments and charges related to the merger;</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litigation relating to the proposed merger that has been or could be instituted against ICON, PRA or their respective directors;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delays in closing, or the failure to close, the merger for any reason could negatively impact ICON or PRA;</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758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3405" cy="6758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99" w:hanging="350"/>
        <w:spacing w:after="0" w:line="263"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difficulties and delays in integrating the businesses, systems and processes of ICON and PRA following completion of the merger or fully realizing the anticipated synergies and other benefits expected from the merger;</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risks related to the diversion of the attention and time of ICON’s and PRA’s respective management teams from ongoing business concerns;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laws and regulations applicable to ICON and/or PRA;</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effects of industry, market, economic, political or regulatory conditions outside of ICON’s or PRA’s control (including public health crises, such as pandemics and epidemics);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ICON’s and PRA’s respective businesses and general economic conditions;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risks regarding ICON’s and PRA’s ability to maintain large customer contracts or enter into new contracts;</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ICON’s and PRA’s ability to attract suitable investigators and patients for clinical trials;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ICON’s and PRA’s ability to keep pace with rapid technological change;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ICON’s and PRA’s potential liability if a patient is harmed; and</w:t>
      </w:r>
    </w:p>
    <w:p>
      <w:pPr>
        <w:spacing w:after="0" w:line="117"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factors set forth under the heading “Risk Factors” of ICON’s Annual Report on Form 20-F and PRA’s Annual Report on Form 10-K, and in subsequent filings with the U.S. Securities and Exchange Commission.</w:t>
      </w:r>
    </w:p>
    <w:p>
      <w:pPr>
        <w:spacing w:after="0" w:line="76"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ICON and PRA caution that the foregoing list of important factors is not exhaustive and other factors could also adversely affect the completion of the merger and related transactions and the future results of ICON, PRA and the combined company. The forward-looking statements speak only as of the date of this joint proxy statement/prospectus, in the case of forward-looking statements contained in this joint proxy statement/prospectus, or the dates of the documents incorporated by reference into this joint proxy statement/prospectus, in the case of forward-looking statements made in those incorporated documents. Readers are cautioned not to place undue reliance on forward-looking statements. Nothing in this joint proxy statement/prospectus should be construed as a profit forecast.</w:t>
      </w:r>
    </w:p>
    <w:p>
      <w:pPr>
        <w:spacing w:after="0" w:line="84" w:lineRule="exact"/>
        <w:rPr>
          <w:sz w:val="20"/>
          <w:szCs w:val="20"/>
          <w:color w:val="auto"/>
        </w:rPr>
      </w:pPr>
    </w:p>
    <w:p>
      <w:pPr>
        <w:jc w:val="both"/>
        <w:ind w:left="320" w:right="279" w:firstLine="360"/>
        <w:spacing w:after="0" w:line="296" w:lineRule="auto"/>
        <w:rPr>
          <w:rFonts w:ascii="Arial" w:cs="Arial" w:eastAsia="Arial" w:hAnsi="Arial"/>
          <w:sz w:val="16"/>
          <w:szCs w:val="16"/>
          <w:color w:val="auto"/>
        </w:rPr>
      </w:pPr>
      <w:r>
        <w:rPr>
          <w:rFonts w:ascii="Arial" w:cs="Arial" w:eastAsia="Arial" w:hAnsi="Arial"/>
          <w:sz w:val="16"/>
          <w:szCs w:val="16"/>
          <w:color w:val="auto"/>
        </w:rPr>
        <w:t>For further discussion of these and other risks, contingencies and uncertainties applicable to ICON and PRA, see the section entitled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 [</w:t>
      </w:r>
      <w:hyperlink w:anchor="page51">
        <w:r>
          <w:rPr>
            <w:rFonts w:ascii="Arial" w:cs="Arial" w:eastAsia="Arial" w:hAnsi="Arial"/>
            <w:sz w:val="16"/>
            <w:szCs w:val="16"/>
            <w:u w:val="single" w:color="auto"/>
            <w:color w:val="0000EE"/>
          </w:rPr>
          <w:t>34</w:t>
        </w:r>
      </w:hyperlink>
      <w:r>
        <w:rPr>
          <w:rFonts w:ascii="Arial" w:cs="Arial" w:eastAsia="Arial" w:hAnsi="Arial"/>
          <w:sz w:val="16"/>
          <w:szCs w:val="16"/>
          <w:color w:val="auto"/>
        </w:rPr>
        <w:t>] of this joint proxy statement/prospectus and in ICON’s and PRA’s other filings with the SEC incorporated by reference into this joint proxy statement/prospectus. See also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5">
        <w:r>
          <w:rPr>
            <w:rFonts w:ascii="Arial" w:cs="Arial" w:eastAsia="Arial" w:hAnsi="Arial"/>
            <w:sz w:val="16"/>
            <w:szCs w:val="16"/>
            <w:u w:val="single" w:color="auto"/>
            <w:color w:val="0000EE"/>
          </w:rPr>
          <w:t>218</w:t>
        </w:r>
      </w:hyperlink>
      <w:r>
        <w:rPr>
          <w:rFonts w:ascii="Arial" w:cs="Arial" w:eastAsia="Arial" w:hAnsi="Arial"/>
          <w:sz w:val="16"/>
          <w:szCs w:val="16"/>
          <w:color w:val="auto"/>
        </w:rPr>
        <w:t>] for more information about the SEC filings incorporated by reference into this joint proxy statement/prospectus.</w:t>
      </w:r>
    </w:p>
    <w:p>
      <w:pPr>
        <w:spacing w:after="0" w:line="53"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All subsequent written or oral forward-looking statements concerning the merger or other matters addressed in this joint proxy statement/prospectus and attributable to ICON or PRA or any person acting on its or their behalf are expressly qualified in their entirety by the cautionary statements contained or referred to in this section. Neither ICON nor PRA is under any obligation, and each expressly disclaims any obligation, to update, alter, or otherwise revise any forward-looking statements, whether written or oral, that may be made from time to time, whether as a result of new information, future events, or otherwise, except as may be required by law. ICON and PRA and their respective directors, employees, agents and advisers do not accept or assume responsibility to any other person to whom this joint proxy statement/prospectus is shown or into whose hands it may come and any such responsibility or liability is expressly disclaimed.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In deciding whether to vote for the adoption of the merger agreement, in the case of PRA stockholders, or the approval of the share issuance, in the case of ICON shareholders, you are urged to carefully read and consider all of the information included in this joint proxy statement/prospectus, including the matters addressed in the section entitled “Cautionary Statements Regarding Forward-Looking Statements,” all of the information incorporated herein by reference as described in the section entitled “Where You Can Find More Information,” including the risks associated with the businesses of ICON and PRA, and the following material risks relating to the merger and the business of the combined company.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Because the exchange ratio is fixed and will not be adjusted in the event of any change in either ICON’s or PRA’s stock price, the value of the share consideration that PRA stockholders will receive in the merger is uncertain.</w:t>
      </w:r>
    </w:p>
    <w:p>
      <w:pPr>
        <w:spacing w:after="0" w:line="1" w:lineRule="exact"/>
        <w:rPr>
          <w:sz w:val="20"/>
          <w:szCs w:val="20"/>
          <w:color w:val="auto"/>
        </w:rPr>
      </w:pPr>
    </w:p>
    <w:p>
      <w:pPr>
        <w:jc w:val="both"/>
        <w:ind w:left="300" w:right="299" w:firstLine="360"/>
        <w:spacing w:after="0" w:line="284" w:lineRule="auto"/>
        <w:rPr>
          <w:rFonts w:ascii="Arial" w:cs="Arial" w:eastAsia="Arial" w:hAnsi="Arial"/>
          <w:sz w:val="16"/>
          <w:szCs w:val="16"/>
          <w:color w:val="auto"/>
        </w:rPr>
      </w:pPr>
      <w:r>
        <w:rPr>
          <w:rFonts w:ascii="Arial" w:cs="Arial" w:eastAsia="Arial" w:hAnsi="Arial"/>
          <w:sz w:val="16"/>
          <w:szCs w:val="16"/>
          <w:color w:val="auto"/>
        </w:rPr>
        <w:t>Upon completion of the merger, each share of PRA common stock outstanding immediately prior to the merger, other than excluded shares (as defined in the section entitled “</w:t>
      </w:r>
      <w:r>
        <w:rPr>
          <w:rFonts w:ascii="Arial" w:cs="Arial" w:eastAsia="Arial" w:hAnsi="Arial"/>
          <w:sz w:val="16"/>
          <w:szCs w:val="16"/>
          <w:b w:val="1"/>
          <w:bCs w:val="1"/>
          <w:color w:val="auto"/>
        </w:rPr>
        <w:t>The Merger—Merger Consideration</w:t>
      </w:r>
      <w:r>
        <w:rPr>
          <w:rFonts w:ascii="Arial" w:cs="Arial" w:eastAsia="Arial" w:hAnsi="Arial"/>
          <w:sz w:val="16"/>
          <w:szCs w:val="16"/>
          <w:color w:val="auto"/>
        </w:rPr>
        <w:t>” beginning on page [</w:t>
      </w:r>
      <w:hyperlink w:anchor="page83">
        <w:r>
          <w:rPr>
            <w:rFonts w:ascii="Arial" w:cs="Arial" w:eastAsia="Arial" w:hAnsi="Arial"/>
            <w:sz w:val="16"/>
            <w:szCs w:val="16"/>
            <w:u w:val="single" w:color="auto"/>
            <w:color w:val="0000EE"/>
          </w:rPr>
          <w:t>66</w:t>
        </w:r>
      </w:hyperlink>
      <w:r>
        <w:rPr>
          <w:rFonts w:ascii="Arial" w:cs="Arial" w:eastAsia="Arial" w:hAnsi="Arial"/>
          <w:sz w:val="16"/>
          <w:szCs w:val="16"/>
          <w:color w:val="auto"/>
        </w:rPr>
        <w:t>]) and dissenting shares (as defined in the section entitled “</w:t>
      </w:r>
      <w:r>
        <w:rPr>
          <w:rFonts w:ascii="Arial" w:cs="Arial" w:eastAsia="Arial" w:hAnsi="Arial"/>
          <w:sz w:val="16"/>
          <w:szCs w:val="16"/>
          <w:b w:val="1"/>
          <w:bCs w:val="1"/>
          <w:color w:val="auto"/>
        </w:rPr>
        <w:t>The Merger Agreement—Dissenting Shares</w:t>
      </w:r>
      <w:r>
        <w:rPr>
          <w:rFonts w:ascii="Arial" w:cs="Arial" w:eastAsia="Arial" w:hAnsi="Arial"/>
          <w:sz w:val="16"/>
          <w:szCs w:val="16"/>
          <w:color w:val="auto"/>
        </w:rPr>
        <w:t>” beginning on page [</w:t>
      </w:r>
      <w:hyperlink w:anchor="page136">
        <w:r>
          <w:rPr>
            <w:rFonts w:ascii="Arial" w:cs="Arial" w:eastAsia="Arial" w:hAnsi="Arial"/>
            <w:sz w:val="16"/>
            <w:szCs w:val="16"/>
            <w:u w:val="single" w:color="auto"/>
            <w:color w:val="0000EE"/>
          </w:rPr>
          <w:t>119</w:t>
        </w:r>
      </w:hyperlink>
      <w:r>
        <w:rPr>
          <w:rFonts w:ascii="Arial" w:cs="Arial" w:eastAsia="Arial" w:hAnsi="Arial"/>
          <w:sz w:val="16"/>
          <w:szCs w:val="16"/>
          <w:color w:val="auto"/>
        </w:rPr>
        <w:t>]), will be converted automatically into the right to receive (i) 0.4125 of one ICON ordinary share and (ii) $80.00 in cash, without interest. This exchange ratio is fixed in the merger agreement and will not be adjusted for changes in the market price of either ICON ordinary shares or PRA common stock. The market price of ICON ordinary shares and, as a result, the value of the share consideration that PRA stockholders will receive pursuant to the merger agreement, has been fluctuating since the date that the merger agreement was executed and may continue to fluctuate through the date of the completion of the merger. Accordingly, the market price of ICON ordinary shares when PRA stockholders receive those shares after the merger is completed could be greater than, less than or the same as the market price of ICON ordinary shares on the date the merger agreement was executed, on the date of this joint proxy statement/prospectus or on the date of the stockholder meetings. Stock price changes may result from a variety of factors, including, among others, changes in ICON’s or PRA’s respective businesses, operations or prospects; legislative, regulatory and legal developments in the healthcare industry; general market, industry and economic conditions; and market assessments of the likelihood that the merger will be completed. Because the value of the share consideration will depend on the market price of ICON ordinary shares at the time the merger is completed, PRA stockholders will not know or be able to determine at the time of the PRA stockholder meeting the market value of the merger consideration they would receive upon completion of the merger. Similarly, ICON shareholders will not know or be able to determine at the time of the ICON EGM the market value of the ICON ordinary shares to be issued pursuant to the merger agreement compared to the market value of the shares of PRA common stock that are being exchanged. You are urged to obtain current market quotations for ICON ordinary shares and PRA common stock in determining whether to vote for approval of the share issuance in the case of ICON shareholders or for the adoption of the merger agreement in the case of PRA stockholders. In addition, see the section entitled “</w:t>
      </w:r>
      <w:r>
        <w:rPr>
          <w:rFonts w:ascii="Arial" w:cs="Arial" w:eastAsia="Arial" w:hAnsi="Arial"/>
          <w:sz w:val="16"/>
          <w:szCs w:val="16"/>
          <w:b w:val="1"/>
          <w:bCs w:val="1"/>
          <w:color w:val="auto"/>
        </w:rPr>
        <w:t>Comparative Per Share Market Price Information</w:t>
      </w:r>
      <w:r>
        <w:rPr>
          <w:rFonts w:ascii="Arial" w:cs="Arial" w:eastAsia="Arial" w:hAnsi="Arial"/>
          <w:sz w:val="16"/>
          <w:szCs w:val="16"/>
          <w:color w:val="auto"/>
        </w:rPr>
        <w:t>” beginning on page [</w:t>
      </w:r>
      <w:hyperlink w:anchor="page48">
        <w:r>
          <w:rPr>
            <w:rFonts w:ascii="Arial" w:cs="Arial" w:eastAsia="Arial" w:hAnsi="Arial"/>
            <w:sz w:val="16"/>
            <w:szCs w:val="16"/>
            <w:u w:val="single" w:color="auto"/>
            <w:color w:val="0000EE"/>
          </w:rPr>
          <w:t>31</w:t>
        </w:r>
      </w:hyperlink>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no assurance when or if the merger will be completed.</w:t>
      </w:r>
    </w:p>
    <w:p>
      <w:pPr>
        <w:spacing w:after="0" w:line="117" w:lineRule="exact"/>
        <w:rPr>
          <w:rFonts w:ascii="Arial" w:cs="Arial" w:eastAsia="Arial" w:hAnsi="Arial"/>
          <w:sz w:val="16"/>
          <w:szCs w:val="16"/>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receipt of the required PRA vote and the required ICON vote; the expiration or termination of the waiting periods applicable to the merger under the HSR Act; obtainment of all required approvals under antitrust and foreign direct investment laws of certain jurisdictions; obtainment of certain consents, approvals and other authorizations of governmental entities free of any burdensome condition; the ICON ordinary shares to be issued to PRA stockholders having been approved for listing on Nasdaq; the effectiveness of the registration statement of which this joint proxy statement/prospectus forms a part and the absence of a stop order or proceedings seeking a stop order; absence of any governmental entity having jurisdiction over any party having enacted, issued, promulgated, enforced, or entered any laws or orders that make illegal, enjoin, or otherwise prohibit consummation of the merger, the ICON share issuance, or the other transactions contemplated by the merger agreement; the accuracy of the representations and warranties of the parties to the merger agreement to the extent required under the merger agreement; the performance in all material respects by each party of all obligations and covenants required to be performed by or complied with prior to the closing date; the receipt by each party of an officer’s certificate of the other party certifying as to certain matters; and that ICON has in place a composition agreement with the Revenue Commissioners of Ireland and a Special Eligibility Agreement for Securities with The Depository Trust Company in respect of the ICON ordinary shares issuable as merger consideration. There can be no assurance as to when these</w:t>
      </w:r>
    </w:p>
    <w:p>
      <w:pPr>
        <w:spacing w:after="0" w:line="17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conditions will be satisfied or waived, if at all, or that other events will not intervene to delay or result in the failure to complete the transaction. For a more complete summary of the conditions that must be satisfied or waived prior to completion of the merger, see the section entitled “</w:t>
      </w:r>
      <w:r>
        <w:rPr>
          <w:rFonts w:ascii="Arial" w:cs="Arial" w:eastAsia="Arial" w:hAnsi="Arial"/>
          <w:sz w:val="18"/>
          <w:szCs w:val="18"/>
          <w:b w:val="1"/>
          <w:bCs w:val="1"/>
          <w:color w:val="auto"/>
        </w:rPr>
        <w:t>The Merger Agreement—Conditions to the Completion of 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beginning on page [</w:t>
      </w:r>
      <w:hyperlink w:anchor="page157">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Failure to complete the merger could have material and adverse effects on ICON and PRA.</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merger is not completed on a timely basis, or at all, for any reason, including as a result of ICON shareholders failing to approve the share issuance or PRA stockholders failing to adopt the merger agreement, ICON’s and PRA’s respective ongoing businesses may be adversely affected and, without realizing any of the benefits of having completed the merger, ICON and PRA would be subject to a number of risks, including the following:</w:t>
      </w:r>
    </w:p>
    <w:p>
      <w:pPr>
        <w:spacing w:after="0" w:line="80" w:lineRule="exact"/>
        <w:rPr>
          <w:sz w:val="20"/>
          <w:szCs w:val="20"/>
          <w:color w:val="auto"/>
        </w:rPr>
      </w:pPr>
    </w:p>
    <w:p>
      <w:pPr>
        <w:ind w:left="1000" w:right="319" w:hanging="348"/>
        <w:spacing w:after="0" w:line="308"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ICON and PRA will be required to pay their respective costs relating to the merger, such as certain legal, accounting, financial advisory and printing fees, whether or not the merger is completed;</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time and resources committed by ICON’s and PRA’s respective management to matters relating to the merger (including integration planning) could otherwise have been devoted to day-to-day operations and other opportunities that may have been beneficial to ICON or PRA, as applicable, as an independent company;</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market price of ICON ordinary shares or PRA common stock could decline to the extent that the current market price reflects a market assumption that the merger will be completed;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company may experience negative reactions from its suppliers, customers, regulators and employees;</w:t>
      </w:r>
    </w:p>
    <w:p>
      <w:pPr>
        <w:spacing w:after="0" w:line="1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ICON and/or PRA could be subject to litigation related to any failure to complete the merger or related to any enforcement proceeding commenced against ICON or PRA to perform their respective obligations under the merger agreement;</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PRA may be required, in certain circumstances, to pay a termination fee of $277,000,000 or an expense reimbursement of $100,000,000 to ICON and US HoldCo (see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Fees</w:t>
      </w:r>
      <w:r>
        <w:rPr>
          <w:rFonts w:ascii="Arial" w:cs="Arial" w:eastAsia="Arial" w:hAnsi="Arial"/>
          <w:sz w:val="18"/>
          <w:szCs w:val="18"/>
          <w:color w:val="auto"/>
        </w:rPr>
        <w:t>” beginning on page [</w:t>
      </w:r>
      <w:hyperlink w:anchor="page159">
        <w:r>
          <w:rPr>
            <w:rFonts w:ascii="Arial" w:cs="Arial" w:eastAsia="Arial" w:hAnsi="Arial"/>
            <w:sz w:val="18"/>
            <w:szCs w:val="18"/>
            <w:u w:val="single" w:color="auto"/>
            <w:color w:val="0000EE"/>
          </w:rPr>
          <w:t>142</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b w:val="1"/>
          <w:bCs w:val="1"/>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ICON and US HoldCo may be required, in certain circumstances, to pay a termination fee of $388,000,000 or an expense reimbursement of $120,000,000 to PRA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Fees</w:t>
      </w:r>
      <w:r>
        <w:rPr>
          <w:rFonts w:ascii="Arial" w:cs="Arial" w:eastAsia="Arial" w:hAnsi="Arial"/>
          <w:sz w:val="18"/>
          <w:szCs w:val="18"/>
          <w:color w:val="auto"/>
        </w:rPr>
        <w:t>” beginning on page [</w:t>
      </w:r>
      <w:hyperlink w:anchor="page159">
        <w:r>
          <w:rPr>
            <w:rFonts w:ascii="Arial" w:cs="Arial" w:eastAsia="Arial" w:hAnsi="Arial"/>
            <w:sz w:val="18"/>
            <w:szCs w:val="18"/>
            <w:u w:val="single" w:color="auto"/>
            <w:color w:val="0000EE"/>
          </w:rPr>
          <w:t>142</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Until the completion of the merger or the termination of the merger agreement in accordance with its terms, ICON and PRA are each prohibited from entering into certain transactions and taking certain actions that might otherwise be beneficial to ICON or PRA and their respective stockholders.</w:t>
      </w:r>
    </w:p>
    <w:p>
      <w:pPr>
        <w:spacing w:after="0" w:line="57" w:lineRule="exact"/>
        <w:rPr>
          <w:rFonts w:ascii="Arial" w:cs="Arial" w:eastAsia="Arial" w:hAnsi="Arial"/>
          <w:sz w:val="18"/>
          <w:szCs w:val="18"/>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After the date of the merger agreement and prior to the effective time, the merger agreement restricts ICON and PRA from taking specified actions without the consent of the other party (which consent may not be unreasonably withheld or delayed) and requires that the business of each company and its respective subsidiaries be conducted in all material respects in the ordinary course of business consistent with past practice. These restrictions may prevent ICON or PRA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 pendency of the merger could be exacerbated by any delays in consummation of the merger or termination of the merger agreement. See the section entitled “</w:t>
      </w:r>
      <w:r>
        <w:rPr>
          <w:rFonts w:ascii="Arial" w:cs="Arial" w:eastAsia="Arial" w:hAnsi="Arial"/>
          <w:sz w:val="17"/>
          <w:szCs w:val="17"/>
          <w:b w:val="1"/>
          <w:bCs w:val="1"/>
          <w:color w:val="auto"/>
        </w:rPr>
        <w:t>The Merger Agreement—Conduct of Business Prior to the Effective Time</w:t>
      </w:r>
      <w:r>
        <w:rPr>
          <w:rFonts w:ascii="Arial" w:cs="Arial" w:eastAsia="Arial" w:hAnsi="Arial"/>
          <w:sz w:val="17"/>
          <w:szCs w:val="17"/>
          <w:color w:val="auto"/>
        </w:rPr>
        <w:t>” beginning on page [</w:t>
      </w:r>
      <w:hyperlink w:anchor="page140">
        <w:r>
          <w:rPr>
            <w:rFonts w:ascii="Arial" w:cs="Arial" w:eastAsia="Arial" w:hAnsi="Arial"/>
            <w:sz w:val="17"/>
            <w:szCs w:val="17"/>
            <w:u w:val="single" w:color="auto"/>
            <w:color w:val="0000EE"/>
          </w:rPr>
          <w:t>123</w:t>
        </w:r>
      </w:hyperlink>
      <w:r>
        <w:rPr>
          <w:rFonts w:ascii="Arial" w:cs="Arial" w:eastAsia="Arial" w:hAnsi="Arial"/>
          <w:sz w:val="17"/>
          <w:szCs w:val="17"/>
          <w:color w:val="auto"/>
        </w:rPr>
        <w:t>].</w:t>
      </w:r>
    </w:p>
    <w:p>
      <w:pPr>
        <w:spacing w:after="0" w:line="185" w:lineRule="exact"/>
        <w:rPr>
          <w:rFonts w:ascii="Arial" w:cs="Arial" w:eastAsia="Arial" w:hAnsi="Arial"/>
          <w:sz w:val="18"/>
          <w:szCs w:val="18"/>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There can be no assurance that ICON will be able to secure the funds necessary to pay the cash portion of the merger consideration and refinance certain of PRA’s existing indebtedness on acceptable terms, in a timely manner, or at all.</w:t>
      </w:r>
    </w:p>
    <w:p>
      <w:pPr>
        <w:spacing w:after="0" w:line="76" w:lineRule="exact"/>
        <w:rPr>
          <w:rFonts w:ascii="Arial" w:cs="Arial" w:eastAsia="Arial" w:hAnsi="Arial"/>
          <w:sz w:val="18"/>
          <w:szCs w:val="18"/>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 intends to fund the cash consideration due pursuant to the merger agreement and to refinance certain of ICON’s and PRA’s existing indebtedness with a combination of cash on hand at ICON and PRA and debt financing. To this end, ICON has entered into a commitment letter pursuant to which certain debt financing sources have committed, subject to customary closing conditions, to provide to ICON a senior secured revolving credit facility in an aggregate principal amount of up to $300.0 million and a senior secured bridge loan facility in an aggregate principal amount of up to $6,060.0 million. However, as of the date of this joint proxy statement/prospectus, neither</w:t>
      </w:r>
    </w:p>
    <w:p>
      <w:pPr>
        <w:sectPr>
          <w:pgSz w:w="11900" w:h="16838" w:orient="portrait"/>
          <w:cols w:equalWidth="0" w:num="1">
            <w:col w:w="9019"/>
          </w:cols>
          <w:pgMar w:left="1440" w:top="265" w:right="1440" w:bottom="1440" w:gutter="0" w:footer="0" w:header="0"/>
        </w:sectPr>
      </w:pP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ICON nor any of its subsidiaries has entered into definitive agreements for any such debt facilities. There can be no assurance that ICON will be able to secure the debt financings contemplated by the commitment letter. In the event that the debt financing contemplated by the commitment letter is not available, other financing to enable ICON to pay the cash portion of the merger consideration may not be available on acceptable terms, in a timely manner, or at all.</w:t>
      </w:r>
    </w:p>
    <w:p>
      <w:pPr>
        <w:spacing w:after="0" w:line="188" w:lineRule="exact"/>
        <w:rPr>
          <w:sz w:val="20"/>
          <w:szCs w:val="20"/>
          <w:color w:val="auto"/>
        </w:rPr>
      </w:pPr>
    </w:p>
    <w:p>
      <w:pPr>
        <w:jc w:val="both"/>
        <w:ind w:left="300" w:right="319"/>
        <w:spacing w:after="0" w:line="340" w:lineRule="auto"/>
        <w:rPr>
          <w:sz w:val="20"/>
          <w:szCs w:val="20"/>
          <w:color w:val="auto"/>
        </w:rPr>
      </w:pPr>
      <w:r>
        <w:rPr>
          <w:rFonts w:ascii="Arial" w:cs="Arial" w:eastAsia="Arial" w:hAnsi="Arial"/>
          <w:sz w:val="15"/>
          <w:szCs w:val="15"/>
          <w:b w:val="1"/>
          <w:bCs w:val="1"/>
          <w:i w:val="1"/>
          <w:iCs w:val="1"/>
          <w:color w:val="auto"/>
        </w:rPr>
        <w:t>In order to complete the transaction, ICON and PRA must obtain certain governmental approvals, and if such approvals are not granted or are granted with conditions that become applicable to the parties, completion of the transaction may be delayed, jeopardized or prevented and the anticipated benefits of the merger could be reduced.</w:t>
      </w:r>
    </w:p>
    <w:p>
      <w:pPr>
        <w:spacing w:after="0" w:line="2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No assurance can be given that the required consents, orders and approvals will be obtained or that the required conditions to the completion of the transaction will be satisfied.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ICON and PRA or may impose requirements, limitations or costs or place restrictions on the conduct of ICON’s or PRA’s business, and if such consents, orders and approvals require an extended period of time to be obtained, such extended period of time could increase the chance that an adverse event occurs with respect to ICON or PRA. Such extended period of time also may increase the chance that other adverse effects with respect to ICON or PRA could occur, such as the loss of key personnel. Even if all necessary approvals are obtained, no assurance can be given as to the terms, conditions and timing of such approvals. For more information, see the sections entitled “</w:t>
      </w:r>
      <w:r>
        <w:rPr>
          <w:rFonts w:ascii="Arial" w:cs="Arial" w:eastAsia="Arial" w:hAnsi="Arial"/>
          <w:sz w:val="16"/>
          <w:szCs w:val="16"/>
          <w:b w:val="1"/>
          <w:bCs w:val="1"/>
          <w:color w:val="auto"/>
        </w:rPr>
        <w:t>The Merger Agreement—Reasonable Best</w:t>
      </w:r>
      <w:r>
        <w:rPr>
          <w:rFonts w:ascii="Arial" w:cs="Arial" w:eastAsia="Arial" w:hAnsi="Arial"/>
          <w:sz w:val="16"/>
          <w:szCs w:val="16"/>
          <w:color w:val="auto"/>
        </w:rPr>
        <w:t xml:space="preserve"> </w:t>
      </w:r>
      <w:r>
        <w:rPr>
          <w:rFonts w:ascii="Arial" w:cs="Arial" w:eastAsia="Arial" w:hAnsi="Arial"/>
          <w:sz w:val="16"/>
          <w:szCs w:val="16"/>
          <w:b w:val="1"/>
          <w:bCs w:val="1"/>
          <w:color w:val="auto"/>
        </w:rPr>
        <w:t>Efforts and Regulatory Approvals</w:t>
      </w:r>
      <w:r>
        <w:rPr>
          <w:rFonts w:ascii="Arial" w:cs="Arial" w:eastAsia="Arial" w:hAnsi="Arial"/>
          <w:sz w:val="16"/>
          <w:szCs w:val="16"/>
          <w:color w:val="auto"/>
        </w:rPr>
        <w:t>” and “</w:t>
      </w:r>
      <w:r>
        <w:rPr>
          <w:rFonts w:ascii="Arial" w:cs="Arial" w:eastAsia="Arial" w:hAnsi="Arial"/>
          <w:sz w:val="16"/>
          <w:szCs w:val="16"/>
          <w:b w:val="1"/>
          <w:bCs w:val="1"/>
          <w:color w:val="auto"/>
        </w:rPr>
        <w:t>The Merger Agreement—Conditions to Completion of the Merger.</w:t>
      </w:r>
      <w:r>
        <w:rPr>
          <w:rFonts w:ascii="Arial" w:cs="Arial" w:eastAsia="Arial" w:hAnsi="Arial"/>
          <w:sz w:val="16"/>
          <w:szCs w:val="16"/>
          <w:color w:val="auto"/>
        </w:rPr>
        <w:t>”</w:t>
      </w:r>
    </w:p>
    <w:p>
      <w:pPr>
        <w:spacing w:after="0" w:line="16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merger, including uncertainty regarding the merger, may cause customers, suppliers or strategic partners to delay or defer decisions concerning ICON and/or PRA, which could adversely affect each company’s ability to effectively manage its respective businesses.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merger will happen only if certain conditions are met including, among other conditions, the approval of the merger agreement proposal by the required PRA vote, the approval of the share issuance proposal by the required ICON vote and either early termination or expiration of any applicable waiting period or periods under the HSR Act. Many of the conditions are outside the control of ICON and PRA, and both parties also have certain rights to terminate the merger agreement. Accordingly, there may be uncertainty regarding the completion of the merger. This uncertainty may cause customers, suppliers, vendors, strategic partners or others that deal with ICON and/or PRA to delay or defer entering into contracts with ICON and/or PRA or making other decisions concerning ICON and/or PRA or seek to change or cancel existing business relationships with ICON and/or PRA, which could negatively affect ICON’s and PRA’s respective businesses. Any delay or deferral of those decisions or changes in existing agreements could have a material adverse effect on the respective businesses of ICON and PRA, regardless of whether the merger is ultimately completed.</w:t>
      </w:r>
    </w:p>
    <w:p>
      <w:pPr>
        <w:spacing w:after="0" w:line="18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Failure to attract, motivate and retain executives and other key employees could diminish the anticipated benefits of the merger.</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success of the merger will depend in part on the retention of personnel critical to the business and operations of the combined company due to, for example, their technical skills or management expertise. Competition for qualified personnel can be intense.</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Current and prospective employees of ICON and PRA may experience uncertainty about their future role with ICON and PRA until strategies with regard to these employees are announced or executed, which may impair ICON’s and PRA’s ability to attract, retain and motivate key management, clinical, technical, business development, operational and customer-facing employees and other personnel prior to and following the merger. If ICON and PRA are unable to retain personnel, ICON and PRA could face disruptions in their operations, loss of existing customers, loss of key information, expertise or know-how, and unanticipated additional recruitment and training costs. In addition, the loss of key personnel could diminish the anticipated benefits of the merger.</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the effective time, outstanding shares of PRA restricted stock will vest at closing and be converted into the right to receive the merger consideration, and PRA’s outstanding compensatory restricted stock unit and stock option awards will be assumed and converted into corresponding ICON equity awards, generally subject to the same terms and conditions as were applicable to the applicable PRA equity award (including applicable vesting conditions). As discussed further below in “</w:t>
      </w:r>
      <w:r>
        <w:rPr>
          <w:rFonts w:ascii="Arial" w:cs="Arial" w:eastAsia="Arial" w:hAnsi="Arial"/>
          <w:sz w:val="16"/>
          <w:szCs w:val="16"/>
          <w:b w:val="1"/>
          <w:bCs w:val="1"/>
          <w:color w:val="auto"/>
        </w:rPr>
        <w:t>The Merger Agreement—Employee Benefit Plans and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91" w:lineRule="auto"/>
        <w:rPr>
          <w:rFonts w:ascii="Arial" w:cs="Arial" w:eastAsia="Arial" w:hAnsi="Arial"/>
          <w:sz w:val="16"/>
          <w:szCs w:val="16"/>
          <w:b w:val="1"/>
          <w:bCs w:val="1"/>
          <w:color w:val="auto"/>
        </w:rPr>
      </w:pPr>
      <w:r>
        <w:rPr>
          <w:rFonts w:ascii="Arial" w:cs="Arial" w:eastAsia="Arial" w:hAnsi="Arial"/>
          <w:sz w:val="16"/>
          <w:szCs w:val="16"/>
          <w:b w:val="1"/>
          <w:bCs w:val="1"/>
          <w:color w:val="auto"/>
        </w:rPr>
        <w:t>Matters—Retention Bonus Program</w:t>
      </w:r>
      <w:r>
        <w:rPr>
          <w:rFonts w:ascii="Arial" w:cs="Arial" w:eastAsia="Arial" w:hAnsi="Arial"/>
          <w:sz w:val="16"/>
          <w:szCs w:val="16"/>
          <w:color w:val="auto"/>
        </w:rPr>
        <w:t>” beginning on page [</w:t>
      </w:r>
      <w:hyperlink w:anchor="page152">
        <w:r>
          <w:rPr>
            <w:rFonts w:ascii="Arial" w:cs="Arial" w:eastAsia="Arial" w:hAnsi="Arial"/>
            <w:sz w:val="16"/>
            <w:szCs w:val="16"/>
            <w:u w:val="single" w:color="auto"/>
            <w:color w:val="0000EE"/>
          </w:rPr>
          <w:t>135</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terms of the merger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will implement a retention bonus program that will provide cash retention bonus awards to certain employees in connection with the merger. In addition, each of PRA’s executive officers are entitled to receive severance benefits upon a qualifying termination of employment following the completion of the merger. Each of PRA’s executive officers could potentially terminate his or her employment following specified circumstances set forth in the section entitled “</w:t>
      </w:r>
      <w:r>
        <w:rPr>
          <w:rFonts w:ascii="Arial" w:cs="Arial" w:eastAsia="Arial" w:hAnsi="Arial"/>
          <w:sz w:val="16"/>
          <w:szCs w:val="16"/>
          <w:b w:val="1"/>
          <w:bCs w:val="1"/>
          <w:color w:val="auto"/>
        </w:rPr>
        <w:t>Interests of PRA’s Directors and Executive Officers in the Merger—PRA Executive 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Agreements</w:t>
      </w:r>
      <w:r>
        <w:rPr>
          <w:rFonts w:ascii="Arial" w:cs="Arial" w:eastAsia="Arial" w:hAnsi="Arial"/>
          <w:sz w:val="16"/>
          <w:szCs w:val="16"/>
          <w:color w:val="auto"/>
        </w:rPr>
        <w:t>” beginning on page [</w:t>
      </w:r>
      <w:hyperlink w:anchor="page184">
        <w:r>
          <w:rPr>
            <w:rFonts w:ascii="Arial" w:cs="Arial" w:eastAsia="Arial" w:hAnsi="Arial"/>
            <w:sz w:val="16"/>
            <w:szCs w:val="16"/>
            <w:u w:val="single" w:color="auto"/>
            <w:color w:val="0000EE"/>
          </w:rPr>
          <w:t>167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See the section entitled “</w:t>
      </w:r>
      <w:r>
        <w:rPr>
          <w:rFonts w:ascii="Arial" w:cs="Arial" w:eastAsia="Arial" w:hAnsi="Arial"/>
          <w:sz w:val="16"/>
          <w:szCs w:val="16"/>
          <w:b w:val="1"/>
          <w:bCs w:val="1"/>
          <w:color w:val="auto"/>
        </w:rPr>
        <w:t>Interests of PRA’s Directors and Executive Officers in the Merger</w:t>
      </w:r>
      <w:r>
        <w:rPr>
          <w:rFonts w:ascii="Arial" w:cs="Arial" w:eastAsia="Arial" w:hAnsi="Arial"/>
          <w:sz w:val="16"/>
          <w:szCs w:val="16"/>
          <w:color w:val="auto"/>
        </w:rPr>
        <w:t>” beginning on page [</w:t>
      </w:r>
      <w:hyperlink w:anchor="page184">
        <w:r>
          <w:rPr>
            <w:rFonts w:ascii="Arial" w:cs="Arial" w:eastAsia="Arial" w:hAnsi="Arial"/>
            <w:sz w:val="16"/>
            <w:szCs w:val="16"/>
            <w:u w:val="single" w:color="auto"/>
            <w:color w:val="0000EE"/>
          </w:rPr>
          <w:t>167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 further discussion of some of these issues.</w:t>
      </w:r>
    </w:p>
    <w:p>
      <w:pPr>
        <w:spacing w:after="0" w:line="55" w:lineRule="exact"/>
        <w:rPr>
          <w:rFonts w:ascii="Arial" w:cs="Arial" w:eastAsia="Arial" w:hAnsi="Arial"/>
          <w:sz w:val="16"/>
          <w:szCs w:val="16"/>
          <w:b w:val="1"/>
          <w:bCs w:val="1"/>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If key employees of ICON or PRA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ICON or PRA, and the combined company’s ability to realize the anticipated benefits of the merger may be adversely affected. In addition, there could be disruptions to or distractions for the workforce and management associated with activities of labor unions or integrating employees into the combined company. Accordingly, no assurance can be given that the combined company will be able to attract or retain key employees of ICON and PRA to the same extent that those companies have been able to attract or retain their own employees in the past.</w:t>
      </w:r>
    </w:p>
    <w:p>
      <w:pPr>
        <w:spacing w:after="0" w:line="329" w:lineRule="exact"/>
        <w:rPr>
          <w:rFonts w:ascii="Arial" w:cs="Arial" w:eastAsia="Arial" w:hAnsi="Arial"/>
          <w:sz w:val="16"/>
          <w:szCs w:val="16"/>
          <w:b w:val="1"/>
          <w:bCs w:val="1"/>
          <w:color w:val="auto"/>
        </w:rPr>
      </w:pPr>
    </w:p>
    <w:p>
      <w:pPr>
        <w:ind w:left="300"/>
        <w:spacing w:after="0"/>
        <w:rPr>
          <w:sz w:val="20"/>
          <w:szCs w:val="20"/>
          <w:color w:val="auto"/>
        </w:rPr>
      </w:pPr>
      <w:r>
        <w:rPr>
          <w:rFonts w:ascii="Arial" w:cs="Arial" w:eastAsia="Arial" w:hAnsi="Arial"/>
          <w:sz w:val="15"/>
          <w:szCs w:val="15"/>
          <w:b w:val="1"/>
          <w:bCs w:val="1"/>
          <w:i w:val="1"/>
          <w:iCs w:val="1"/>
          <w:color w:val="auto"/>
        </w:rPr>
        <w:t>The merger agreement may be terminated in accordance with its terms and the merger may not be consummated.</w:t>
      </w:r>
    </w:p>
    <w:p>
      <w:pPr>
        <w:spacing w:after="0" w:line="152" w:lineRule="exact"/>
        <w:rPr>
          <w:rFonts w:ascii="Arial" w:cs="Arial" w:eastAsia="Arial" w:hAnsi="Arial"/>
          <w:sz w:val="16"/>
          <w:szCs w:val="16"/>
          <w:b w:val="1"/>
          <w:bCs w:val="1"/>
          <w:color w:val="auto"/>
        </w:rPr>
      </w:pPr>
    </w:p>
    <w:p>
      <w:pPr>
        <w:jc w:val="both"/>
        <w:ind w:left="300" w:right="299" w:firstLine="3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Either ICON or PRA may terminate the merger agreement under certain circumstances, including, among other reasons, if the merger is not completed by February 24, 2022 (subject, under certain circumstances, to extension to August 24, 2022, or later). In addition, if the merger agreement is terminated under certain circumstances specified in the merger agreement, PRA may be required to pay ICON and US HoldCo a termination fee of $277,000,000 or an expense reimbursement of $100,000,000, including certain circumstances in which the PRA board of directors effects a change of recommendation (as defined in the section entitled “</w:t>
      </w:r>
      <w:r>
        <w:rPr>
          <w:rFonts w:ascii="Arial" w:cs="Arial" w:eastAsia="Arial" w:hAnsi="Arial"/>
          <w:sz w:val="16"/>
          <w:szCs w:val="16"/>
          <w:b w:val="1"/>
          <w:bCs w:val="1"/>
          <w:color w:val="auto"/>
        </w:rPr>
        <w:t>The Merger Agreement—No Solicitation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Takeover Proposals; No Change of Recommendation</w:t>
      </w:r>
      <w:r>
        <w:rPr>
          <w:rFonts w:ascii="Arial" w:cs="Arial" w:eastAsia="Arial" w:hAnsi="Arial"/>
          <w:sz w:val="16"/>
          <w:szCs w:val="16"/>
          <w:color w:val="auto"/>
        </w:rPr>
        <w:t>” beginning on page [</w:t>
      </w:r>
      <w:hyperlink w:anchor="page144">
        <w:r>
          <w:rPr>
            <w:rFonts w:ascii="Arial" w:cs="Arial" w:eastAsia="Arial" w:hAnsi="Arial"/>
            <w:sz w:val="16"/>
            <w:szCs w:val="16"/>
            <w:u w:val="single" w:color="auto"/>
            <w:color w:val="0000EE"/>
          </w:rPr>
          <w:t>127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or PRA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respect to an takeover proposal (as defined in the section entitled “</w:t>
      </w:r>
      <w:r>
        <w:rPr>
          <w:rFonts w:ascii="Arial" w:cs="Arial" w:eastAsia="Arial" w:hAnsi="Arial"/>
          <w:sz w:val="16"/>
          <w:szCs w:val="16"/>
          <w:b w:val="1"/>
          <w:bCs w:val="1"/>
          <w:color w:val="auto"/>
        </w:rPr>
        <w:t>The Merger Agreement—No</w:t>
      </w:r>
      <w:r>
        <w:rPr>
          <w:rFonts w:ascii="Arial" w:cs="Arial" w:eastAsia="Arial" w:hAnsi="Arial"/>
          <w:sz w:val="16"/>
          <w:szCs w:val="16"/>
          <w:color w:val="auto"/>
        </w:rPr>
        <w:t xml:space="preserve"> </w:t>
      </w:r>
      <w:r>
        <w:rPr>
          <w:rFonts w:ascii="Arial" w:cs="Arial" w:eastAsia="Arial" w:hAnsi="Arial"/>
          <w:sz w:val="16"/>
          <w:szCs w:val="16"/>
          <w:b w:val="1"/>
          <w:bCs w:val="1"/>
          <w:color w:val="auto"/>
        </w:rPr>
        <w:t>Solicitation of Takeover Proposals; No Change of Recommendation</w:t>
      </w:r>
      <w:r>
        <w:rPr>
          <w:rFonts w:ascii="Arial" w:cs="Arial" w:eastAsia="Arial" w:hAnsi="Arial"/>
          <w:sz w:val="16"/>
          <w:szCs w:val="16"/>
          <w:color w:val="auto"/>
        </w:rPr>
        <w:t>” beginning on page [</w:t>
      </w:r>
      <w:hyperlink w:anchor="page144">
        <w:r>
          <w:rPr>
            <w:rFonts w:ascii="Arial" w:cs="Arial" w:eastAsia="Arial" w:hAnsi="Arial"/>
            <w:sz w:val="16"/>
            <w:szCs w:val="16"/>
            <w:u w:val="single" w:color="auto"/>
            <w:color w:val="0000EE"/>
          </w:rPr>
          <w:t>127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the merger agreement. In addition, if the merger agreement is terminated under certain circumstances specified in the merger agreement, ICON and US HoldCo may be required to pay PRA a termination fee of $388,000,000 or an expense reimbursement of $120,000,000, including certain circumstances in which the ICON board of directors effects a change of recommendation or ICON enters into an agreement with respect to a takeover proposal following the termination of the merger agreement. See the section entitled “</w:t>
      </w:r>
      <w:r>
        <w:rPr>
          <w:rFonts w:ascii="Arial" w:cs="Arial" w:eastAsia="Arial" w:hAnsi="Arial"/>
          <w:sz w:val="16"/>
          <w:szCs w:val="16"/>
          <w:b w:val="1"/>
          <w:bCs w:val="1"/>
          <w:color w:val="auto"/>
        </w:rPr>
        <w:t>The Merger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of the Merger Agreement</w:t>
      </w:r>
      <w:r>
        <w:rPr>
          <w:rFonts w:ascii="Arial" w:cs="Arial" w:eastAsia="Arial" w:hAnsi="Arial"/>
          <w:sz w:val="16"/>
          <w:szCs w:val="16"/>
          <w:color w:val="auto"/>
        </w:rPr>
        <w:t>” beginning on page [</w:t>
      </w:r>
      <w:hyperlink w:anchor="page158">
        <w:r>
          <w:rPr>
            <w:rFonts w:ascii="Arial" w:cs="Arial" w:eastAsia="Arial" w:hAnsi="Arial"/>
            <w:sz w:val="16"/>
            <w:szCs w:val="16"/>
            <w:u w:val="single" w:color="auto"/>
            <w:color w:val="0000EE"/>
          </w:rPr>
          <w:t>141</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section entitled “</w:t>
      </w:r>
      <w:r>
        <w:rPr>
          <w:rFonts w:ascii="Arial" w:cs="Arial" w:eastAsia="Arial" w:hAnsi="Arial"/>
          <w:sz w:val="16"/>
          <w:szCs w:val="16"/>
          <w:b w:val="1"/>
          <w:bCs w:val="1"/>
          <w:color w:val="auto"/>
        </w:rPr>
        <w:t>The Merger Agreement—Termination Fees</w:t>
      </w:r>
      <w:r>
        <w:rPr>
          <w:rFonts w:ascii="Arial" w:cs="Arial" w:eastAsia="Arial" w:hAnsi="Arial"/>
          <w:sz w:val="16"/>
          <w:szCs w:val="16"/>
          <w:color w:val="auto"/>
        </w:rPr>
        <w:t>” beginning on page [</w:t>
      </w:r>
      <w:hyperlink w:anchor="page159">
        <w:r>
          <w:rPr>
            <w:rFonts w:ascii="Arial" w:cs="Arial" w:eastAsia="Arial" w:hAnsi="Arial"/>
            <w:sz w:val="16"/>
            <w:szCs w:val="16"/>
            <w:u w:val="single" w:color="auto"/>
            <w:color w:val="0000EE"/>
          </w:rPr>
          <w:t>142</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 more complete discussion of the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which the merger agreement could be terminated and when a termination fee may be payable by ICON or PRA.</w:t>
      </w:r>
    </w:p>
    <w:p>
      <w:pPr>
        <w:spacing w:after="0" w:line="200" w:lineRule="exact"/>
        <w:rPr>
          <w:rFonts w:ascii="Arial" w:cs="Arial" w:eastAsia="Arial" w:hAnsi="Arial"/>
          <w:sz w:val="16"/>
          <w:szCs w:val="16"/>
          <w:b w:val="1"/>
          <w:bCs w:val="1"/>
          <w:color w:val="auto"/>
        </w:rPr>
      </w:pPr>
    </w:p>
    <w:p>
      <w:pPr>
        <w:spacing w:after="0" w:line="338" w:lineRule="exact"/>
        <w:rPr>
          <w:rFonts w:ascii="Arial" w:cs="Arial" w:eastAsia="Arial" w:hAnsi="Arial"/>
          <w:sz w:val="16"/>
          <w:szCs w:val="16"/>
          <w:b w:val="1"/>
          <w:bCs w:val="1"/>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directors and executive officers of ICON and PRA have interests and arrangements that may be different from, or in addition to, the interests of ICON shareholders and PRA stockholders generally.</w:t>
      </w:r>
    </w:p>
    <w:p>
      <w:pPr>
        <w:spacing w:after="0" w:line="38" w:lineRule="exact"/>
        <w:rPr>
          <w:rFonts w:ascii="Arial" w:cs="Arial" w:eastAsia="Arial" w:hAnsi="Arial"/>
          <w:sz w:val="16"/>
          <w:szCs w:val="16"/>
          <w:b w:val="1"/>
          <w:bCs w:val="1"/>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When considering the recommendations of the boards of directors of ICON or PRA, as applicable, with respect to the proposals described in this joint proxy statement/prospectus, ICON shareholders and PRA stockholders should be aware that the directors and executive officers of each of ICON and PRA may have interests in the merger and have arrangements that are different from, or in addition to, those of ICON shareholders and PRA stockholders generally. These interests and arrangements may create potential conflicts of interest.</w:t>
      </w:r>
    </w:p>
    <w:p>
      <w:pPr>
        <w:spacing w:after="0" w:line="53" w:lineRule="exact"/>
        <w:rPr>
          <w:rFonts w:ascii="Arial" w:cs="Arial" w:eastAsia="Arial" w:hAnsi="Arial"/>
          <w:sz w:val="16"/>
          <w:szCs w:val="16"/>
          <w:b w:val="1"/>
          <w:bCs w:val="1"/>
          <w:color w:val="auto"/>
        </w:rPr>
      </w:pPr>
    </w:p>
    <w:p>
      <w:pPr>
        <w:jc w:val="both"/>
        <w:ind w:left="300" w:right="299" w:firstLine="3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With respect to directors and executive officers of ICON, these interests and arrangements include the continued employment of such executive officers by ICON after the merger and the continued service of such directors on the board of directors of ICON after the merger. The ICON board of directors was aware of these interests and considered these interests, among other matters, when it approved and declared advisable the merger agreement and the transactions contemplated thereby on the terms and subject to the conditions set forth in the merger agreement and recommended that ICON shareholders approve the share issuance. The interests of ICON directors and executive officers are described in more detail in the section entitled “</w:t>
      </w:r>
      <w:r>
        <w:rPr>
          <w:rFonts w:ascii="Arial" w:cs="Arial" w:eastAsia="Arial" w:hAnsi="Arial"/>
          <w:sz w:val="17"/>
          <w:szCs w:val="17"/>
          <w:b w:val="1"/>
          <w:bCs w:val="1"/>
          <w:color w:val="auto"/>
        </w:rPr>
        <w:t>Interests of ICON’s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and Executive Officers in the Merger</w:t>
      </w:r>
      <w:r>
        <w:rPr>
          <w:rFonts w:ascii="Arial" w:cs="Arial" w:eastAsia="Arial" w:hAnsi="Arial"/>
          <w:sz w:val="17"/>
          <w:szCs w:val="17"/>
          <w:color w:val="auto"/>
        </w:rPr>
        <w:t>” beginning on page [</w:t>
      </w:r>
      <w:hyperlink w:anchor="page183">
        <w:r>
          <w:rPr>
            <w:rFonts w:ascii="Arial" w:cs="Arial" w:eastAsia="Arial" w:hAnsi="Arial"/>
            <w:sz w:val="17"/>
            <w:szCs w:val="17"/>
            <w:u w:val="single" w:color="auto"/>
            <w:color w:val="0000EE"/>
          </w:rPr>
          <w:t>166</w:t>
        </w:r>
      </w:hyperlink>
      <w:r>
        <w:rPr>
          <w:rFonts w:ascii="Arial" w:cs="Arial" w:eastAsia="Arial" w:hAnsi="Arial"/>
          <w:sz w:val="17"/>
          <w:szCs w:val="17"/>
          <w:color w:val="auto"/>
        </w:rPr>
        <w:t>].</w:t>
      </w:r>
    </w:p>
    <w:p>
      <w:pPr>
        <w:spacing w:after="0" w:line="178"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With respect to directors and executive directors of PRA, these interests and arrangements include the continued employment of certain executive officers by the combined company, the appointment of certain PRA directors as directors of the combined company, the treatment in the merger of outstanding equity, equity-based and incentive awards, severance arrangements, other compensation and benefit arrangements and the right to continued indemnification of former PRA directors and officers by the combined company. The PRA board of directors was aware of these interests and considered these interests, among other matters, when it approved and declared advisable the merger agreement, the merger and the transactions contemplated thereby on the terms and subject to the conditions set forth in the merger agreement, determined that the merger agreement, the merger and the transactions contemplated by the merger agreement were fair to, and in the best interests of, PRA and PRA stockholders and recommended that PRA stockholders adopt the merger agreement. The interests of PRA directors and executive officers are described in more detail in the section entitled “</w:t>
      </w:r>
      <w:r>
        <w:rPr>
          <w:rFonts w:ascii="Arial" w:cs="Arial" w:eastAsia="Arial" w:hAnsi="Arial"/>
          <w:sz w:val="17"/>
          <w:szCs w:val="17"/>
          <w:b w:val="1"/>
          <w:bCs w:val="1"/>
          <w:color w:val="auto"/>
        </w:rPr>
        <w:t>Interests of PRA’s Directors and</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 Officers in the Merger</w:t>
      </w:r>
      <w:r>
        <w:rPr>
          <w:rFonts w:ascii="Arial" w:cs="Arial" w:eastAsia="Arial" w:hAnsi="Arial"/>
          <w:sz w:val="17"/>
          <w:szCs w:val="17"/>
          <w:color w:val="auto"/>
        </w:rPr>
        <w:t>” beginning on page [</w:t>
      </w:r>
      <w:hyperlink w:anchor="page184">
        <w:r>
          <w:rPr>
            <w:rFonts w:ascii="Arial" w:cs="Arial" w:eastAsia="Arial" w:hAnsi="Arial"/>
            <w:sz w:val="17"/>
            <w:szCs w:val="17"/>
            <w:u w:val="single" w:color="auto"/>
            <w:color w:val="0000EE"/>
          </w:rPr>
          <w:t>167</w:t>
        </w:r>
      </w:hyperlink>
      <w:r>
        <w:rPr>
          <w:rFonts w:ascii="Arial" w:cs="Arial" w:eastAsia="Arial" w:hAnsi="Arial"/>
          <w:sz w:val="17"/>
          <w:szCs w:val="17"/>
          <w:color w:val="auto"/>
        </w:rPr>
        <w:t>].</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ICON or PRA may waive one or more of the closing conditions without re-soliciting stockholder approval.</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 or PRA may determine to waive, in whole or part, one or more of the conditions of its obligations to consummate the merger. ICON and PRA currently expect to evaluate the materiality of any waiver and its effect on ICON or PRA stockholders, as applicable, in light of the facts and circumstances at the time to determine whether any amendment of this joint proxy statement/prospectus or any re-solicitation of proxies or voting cards is required in light of such waiver. Any determination whether to waive any condition to the merger or as to re-soliciting stockholder approval or amending this joint proxy statement/prospectus as a result of a waiver will be made by ICON or PRA, as applicable, at the time of such waiver based on the facts and circumstances as they exist at that time.</w:t>
      </w:r>
    </w:p>
    <w:p>
      <w:pPr>
        <w:spacing w:after="0" w:line="34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PRA.</w:t>
      </w:r>
    </w:p>
    <w:p>
      <w:pPr>
        <w:spacing w:after="0" w:line="62" w:lineRule="exact"/>
        <w:rPr>
          <w:sz w:val="20"/>
          <w:szCs w:val="20"/>
          <w:color w:val="auto"/>
        </w:rPr>
      </w:pPr>
    </w:p>
    <w:p>
      <w:pPr>
        <w:jc w:val="both"/>
        <w:ind w:left="300" w:right="31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merger agreement contains “no shop” provisions that restrict PRA’s ability to, among other things (each as described under the section entitled “</w:t>
      </w:r>
      <w:r>
        <w:rPr>
          <w:rFonts w:ascii="Arial" w:cs="Arial" w:eastAsia="Arial" w:hAnsi="Arial"/>
          <w:sz w:val="18"/>
          <w:szCs w:val="18"/>
          <w:b w:val="1"/>
          <w:bCs w:val="1"/>
          <w:color w:val="auto"/>
        </w:rPr>
        <w:t>The Merger Agreement—No Solicitation of Takeover Proposals;</w:t>
      </w:r>
      <w:r>
        <w:rPr>
          <w:rFonts w:ascii="Arial" w:cs="Arial" w:eastAsia="Arial" w:hAnsi="Arial"/>
          <w:sz w:val="18"/>
          <w:szCs w:val="18"/>
          <w:color w:val="auto"/>
        </w:rPr>
        <w:t xml:space="preserve"> </w:t>
      </w:r>
      <w:r>
        <w:rPr>
          <w:rFonts w:ascii="Arial" w:cs="Arial" w:eastAsia="Arial" w:hAnsi="Arial"/>
          <w:sz w:val="18"/>
          <w:szCs w:val="18"/>
          <w:b w:val="1"/>
          <w:bCs w:val="1"/>
          <w:color w:val="auto"/>
        </w:rPr>
        <w:t>No Change of Recommendation</w:t>
      </w:r>
      <w:r>
        <w:rPr>
          <w:rFonts w:ascii="Arial" w:cs="Arial" w:eastAsia="Arial" w:hAnsi="Arial"/>
          <w:sz w:val="18"/>
          <w:szCs w:val="18"/>
          <w:color w:val="auto"/>
        </w:rPr>
        <w:t>” beginning on page [</w:t>
      </w:r>
      <w:hyperlink w:anchor="page144">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76" w:lineRule="exact"/>
        <w:rPr>
          <w:sz w:val="20"/>
          <w:szCs w:val="20"/>
          <w:color w:val="auto"/>
        </w:rPr>
      </w:pPr>
    </w:p>
    <w:p>
      <w:pPr>
        <w:ind w:left="1000" w:right="319" w:hanging="348"/>
        <w:spacing w:after="0" w:line="342"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solicit, initiate, propose or knowingly facilitate or knowingly encourage the submission of any takeover proposal or the making of any proposal that would reasonably be expected to lead to a takeover proposal;</w:t>
      </w:r>
    </w:p>
    <w:p>
      <w:pPr>
        <w:spacing w:after="0" w:line="15"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79"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57"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relating to any takeover proposal (which is referred to as the acquisition agreement);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9"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these provisions.</w:t>
      </w:r>
    </w:p>
    <w:p>
      <w:pPr>
        <w:spacing w:after="0" w:line="79" w:lineRule="exact"/>
        <w:rPr>
          <w:sz w:val="20"/>
          <w:szCs w:val="20"/>
          <w:color w:val="auto"/>
        </w:rPr>
      </w:pPr>
    </w:p>
    <w:p>
      <w:pPr>
        <w:jc w:val="both"/>
        <w:ind w:left="300" w:right="29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Furthermore, there are only limited exceptions to the requirement under the merger agreement that PRA’s board of directors withhold or withdraw (or modify, amend or qualify in a manner adverse to ICON or Merger Sub), or propose publicly to withhold or withdraw (or modify, amend or qualify in a manner adverse to ICON or Merger Sub), the PRA recommendation (as defined in the section entitled “</w:t>
      </w:r>
      <w:r>
        <w:rPr>
          <w:rFonts w:ascii="Arial" w:cs="Arial" w:eastAsia="Arial" w:hAnsi="Arial"/>
          <w:sz w:val="17"/>
          <w:szCs w:val="17"/>
          <w:b w:val="1"/>
          <w:bCs w:val="1"/>
          <w:color w:val="auto"/>
        </w:rPr>
        <w:t>The Merger Agreement—Representations and</w:t>
      </w:r>
      <w:r>
        <w:rPr>
          <w:rFonts w:ascii="Arial" w:cs="Arial" w:eastAsia="Arial" w:hAnsi="Arial"/>
          <w:sz w:val="17"/>
          <w:szCs w:val="17"/>
          <w:color w:val="auto"/>
        </w:rPr>
        <w:t xml:space="preserve"> </w:t>
      </w:r>
      <w:r>
        <w:rPr>
          <w:rFonts w:ascii="Arial" w:cs="Arial" w:eastAsia="Arial" w:hAnsi="Arial"/>
          <w:sz w:val="17"/>
          <w:szCs w:val="17"/>
          <w:b w:val="1"/>
          <w:bCs w:val="1"/>
          <w:color w:val="auto"/>
        </w:rPr>
        <w:t>Warranties</w:t>
      </w:r>
      <w:r>
        <w:rPr>
          <w:rFonts w:ascii="Arial" w:cs="Arial" w:eastAsia="Arial" w:hAnsi="Arial"/>
          <w:sz w:val="17"/>
          <w:szCs w:val="17"/>
          <w:color w:val="auto"/>
        </w:rPr>
        <w:t>” beginning on page [</w:t>
      </w:r>
      <w:hyperlink w:anchor="page137">
        <w:r>
          <w:rPr>
            <w:rFonts w:ascii="Arial" w:cs="Arial" w:eastAsia="Arial" w:hAnsi="Arial"/>
            <w:sz w:val="17"/>
            <w:szCs w:val="17"/>
            <w:u w:val="single" w:color="auto"/>
            <w:color w:val="0000EE"/>
          </w:rPr>
          <w:t>120</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PRA’s board of directors is permitted to effect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recommendation, after complying with certain procedures set forth in the merger agreement, in response to a takeover proposal if it determines in good faith that a failure to do so would be inconsistent with its fiduciary duties, its doing so would entitle ICON and US HoldCo to terminate the merger agreement and collect a termination fee from PRA in the amount of $277,000,000. For more information, see the sections 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of the Merger Agreement</w:t>
      </w:r>
      <w:r>
        <w:rPr>
          <w:rFonts w:ascii="Arial" w:cs="Arial" w:eastAsia="Arial" w:hAnsi="Arial"/>
          <w:sz w:val="17"/>
          <w:szCs w:val="17"/>
          <w:color w:val="auto"/>
        </w:rPr>
        <w:t>” beginning on page [</w:t>
      </w:r>
      <w:hyperlink w:anchor="page158">
        <w:r>
          <w:rPr>
            <w:rFonts w:ascii="Arial" w:cs="Arial" w:eastAsia="Arial" w:hAnsi="Arial"/>
            <w:sz w:val="17"/>
            <w:szCs w:val="17"/>
            <w:u w:val="single" w:color="auto"/>
            <w:color w:val="0000EE"/>
          </w:rPr>
          <w:t>141</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r>
        <w:rPr>
          <w:rFonts w:ascii="Arial" w:cs="Arial" w:eastAsia="Arial" w:hAnsi="Arial"/>
          <w:sz w:val="17"/>
          <w:szCs w:val="17"/>
          <w:b w:val="1"/>
          <w:bCs w:val="1"/>
          <w:color w:val="auto"/>
        </w:rPr>
        <w:t>The Merger Agreement—Termination Fees</w:t>
      </w:r>
      <w:r>
        <w:rPr>
          <w:rFonts w:ascii="Arial" w:cs="Arial" w:eastAsia="Arial" w:hAnsi="Arial"/>
          <w:sz w:val="17"/>
          <w:szCs w:val="17"/>
          <w:color w:val="auto"/>
        </w:rPr>
        <w:t>” beginning on page [</w:t>
      </w:r>
      <w:hyperlink w:anchor="page159">
        <w:r>
          <w:rPr>
            <w:rFonts w:ascii="Arial" w:cs="Arial" w:eastAsia="Arial" w:hAnsi="Arial"/>
            <w:sz w:val="17"/>
            <w:szCs w:val="17"/>
            <w:u w:val="single" w:color="auto"/>
            <w:color w:val="0000EE"/>
          </w:rPr>
          <w:t>142</w:t>
        </w:r>
      </w:hyperlink>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These provisions could discourage a potential competing acquirer from considering or proposing an acquisition or merger, even if it were prepared to pay consideration with a higher value than that implied by the merger consideration, or might result in a potential competing acquirer proposing to pay a lower per share price than it might otherwise have proposed to pay because of the added expense of the termination fee.</w:t>
      </w:r>
    </w:p>
    <w:p>
      <w:pPr>
        <w:spacing w:after="0" w:line="252" w:lineRule="exact"/>
        <w:rPr>
          <w:rFonts w:ascii="Arial" w:cs="Arial" w:eastAsia="Arial" w:hAnsi="Arial"/>
          <w:sz w:val="17"/>
          <w:szCs w:val="17"/>
          <w:b w:val="1"/>
          <w:bCs w:val="1"/>
          <w:color w:val="auto"/>
        </w:rPr>
      </w:pPr>
    </w:p>
    <w:p>
      <w:pPr>
        <w:ind w:left="300"/>
        <w:spacing w:after="0"/>
        <w:rPr>
          <w:sz w:val="20"/>
          <w:szCs w:val="20"/>
          <w:color w:val="auto"/>
        </w:rPr>
      </w:pPr>
      <w:r>
        <w:rPr>
          <w:rFonts w:ascii="Arial" w:cs="Arial" w:eastAsia="Arial" w:hAnsi="Arial"/>
          <w:sz w:val="17"/>
          <w:szCs w:val="17"/>
          <w:b w:val="1"/>
          <w:bCs w:val="1"/>
          <w:i w:val="1"/>
          <w:iCs w:val="1"/>
          <w:color w:val="auto"/>
        </w:rPr>
        <w:t>ICON and PRA will incur significant transaction and merger-related costs in connection with the merger.</w:t>
      </w:r>
    </w:p>
    <w:p>
      <w:pPr>
        <w:spacing w:after="0" w:line="129" w:lineRule="exact"/>
        <w:rPr>
          <w:rFonts w:ascii="Arial" w:cs="Arial" w:eastAsia="Arial" w:hAnsi="Arial"/>
          <w:sz w:val="17"/>
          <w:szCs w:val="17"/>
          <w:b w:val="1"/>
          <w:bCs w:val="1"/>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PRA have incurred and expect to incur a number of non-recurring costs associated with the merger. These costs and expenses include fees paid to financial, legal and accounting advisors, systems consolidation costs, severance and other potential employment-related costs, including payments that may be made to certain ICON executives and certain PRA executives, filing fees, printing expenses and other related charges. Some of these costs are payable by ICON and PRA regardless of whether the merger is completed. There are also a large number of processes, policies, procedures, operations, technologies and systems that must be integrated in connection with the merger and the integration of the two companies’ businesses. While both ICON and PRA have assumed that a certain level of expenses would be incurred in connection with the merger and the other transactions contemplated by the merger agreement, there are many factors beyond their control that could affect the total amount or the timing of the integration and implementation expenses.</w:t>
      </w:r>
    </w:p>
    <w:p>
      <w:pPr>
        <w:spacing w:after="0" w:line="77" w:lineRule="exact"/>
        <w:rPr>
          <w:rFonts w:ascii="Arial" w:cs="Arial" w:eastAsia="Arial" w:hAnsi="Arial"/>
          <w:sz w:val="17"/>
          <w:szCs w:val="17"/>
          <w:b w:val="1"/>
          <w:bCs w:val="1"/>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There may also be additional unanticipated significant costs in connection with the merger that the combined company may not recoup. These costs and expenses could reduce the realization of efficiencies, strategic benefits and additional income ICON and PRA expect to achieve from the merger. Although ICON and PRA expect that these benefits will offset the transaction expenses and implementation costs over time, this net benefit may not be achieved in the near term or at all.</w:t>
      </w:r>
    </w:p>
    <w:p>
      <w:pPr>
        <w:spacing w:after="0" w:line="188" w:lineRule="exact"/>
        <w:rPr>
          <w:rFonts w:ascii="Arial" w:cs="Arial" w:eastAsia="Arial" w:hAnsi="Arial"/>
          <w:sz w:val="17"/>
          <w:szCs w:val="17"/>
          <w:b w:val="1"/>
          <w:bCs w:val="1"/>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opinions rendered to ICON and PRA by their respective financial advisors will not reflect changes in circumstances between the dates of such opinions and the completion of the merger.</w:t>
      </w:r>
    </w:p>
    <w:p>
      <w:pPr>
        <w:spacing w:after="0" w:line="62" w:lineRule="exact"/>
        <w:rPr>
          <w:rFonts w:ascii="Arial" w:cs="Arial" w:eastAsia="Arial" w:hAnsi="Arial"/>
          <w:sz w:val="17"/>
          <w:szCs w:val="17"/>
          <w:b w:val="1"/>
          <w:bCs w:val="1"/>
          <w:color w:val="auto"/>
        </w:rPr>
      </w:pPr>
    </w:p>
    <w:p>
      <w:pPr>
        <w:jc w:val="both"/>
        <w:ind w:left="300" w:right="299" w:firstLine="3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Neither ICON nor PRA has obtained, nor will obtain, an updated opinion regarding the fairness, from a financial point of view, of the merger consideration as of the date of this joint proxy statement/prospectus or prior to the completion of the merger. The financial advisors’ opinions do not speak as of any date other than the respective dates of such opinions. For a more complete description of the above-described opinions, please refer to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Merger—Opinion of ICON’s Financial Advisor</w:t>
      </w:r>
      <w:r>
        <w:rPr>
          <w:rFonts w:ascii="Arial" w:cs="Arial" w:eastAsia="Arial" w:hAnsi="Arial"/>
          <w:sz w:val="17"/>
          <w:szCs w:val="17"/>
          <w:color w:val="auto"/>
        </w:rPr>
        <w:t>” beginning on page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r>
        <w:rPr>
          <w:rFonts w:ascii="Arial" w:cs="Arial" w:eastAsia="Arial" w:hAnsi="Arial"/>
          <w:sz w:val="17"/>
          <w:szCs w:val="17"/>
          <w:b w:val="1"/>
          <w:bCs w:val="1"/>
          <w:color w:val="auto"/>
        </w:rPr>
        <w:t>The Merger—Opinions of PRA’s Financial Advisors</w:t>
      </w:r>
      <w:r>
        <w:rPr>
          <w:rFonts w:ascii="Arial" w:cs="Arial" w:eastAsia="Arial" w:hAnsi="Arial"/>
          <w:sz w:val="17"/>
          <w:szCs w:val="17"/>
          <w:color w:val="auto"/>
        </w:rPr>
        <w:t>” beginning on page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17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unaudited financial forecasts included in this joint proxy statement/prospectus were prepared based on various assumptions that may not be realized in full, at all, or within projected timeframes, and the combined company’s actual results of operations after the merger may differ materially and adversely from the unaudited financial forecasts.</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unaudited financial forecasts included in this joint proxy statement/prospectus were provided by ICON and/or PRA to their respective boards of directors and financial advisors in connection with each party’s consideration of the merger agreement. Such unaudited financial forecasts were prepared based on assumptions regarding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operating cash flows, expenditures, income and other variables that may not be realized in full, at all, or within projected timeframes and the combined company’s actual results may differ materially and adversely from the unaudited financial forecasts. The unaudited financial forecasts were not prepared with a view toward public disclosure. Neither ICON nor PRA undertakes any obligation to update any unaudited prospective financial information included in this joint proxy statement/prospectus except as may be required by applicable law. For more information, see the sections entitled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 beginning on page [</w:t>
      </w:r>
      <w:hyperlink w:anchor="page124">
        <w:r>
          <w:rPr>
            <w:rFonts w:ascii="Arial" w:cs="Arial" w:eastAsia="Arial" w:hAnsi="Arial"/>
            <w:sz w:val="17"/>
            <w:szCs w:val="17"/>
            <w:u w:val="single" w:color="auto"/>
            <w:color w:val="0000EE"/>
          </w:rPr>
          <w:t>107</w:t>
        </w:r>
      </w:hyperlink>
      <w:r>
        <w:rPr>
          <w:rFonts w:ascii="Arial" w:cs="Arial" w:eastAsia="Arial" w:hAnsi="Arial"/>
          <w:sz w:val="17"/>
          <w:szCs w:val="17"/>
          <w:color w:val="auto"/>
        </w:rPr>
        <w:t>] and “</w:t>
      </w:r>
      <w:r>
        <w:rPr>
          <w:rFonts w:ascii="Arial" w:cs="Arial" w:eastAsia="Arial" w:hAnsi="Arial"/>
          <w:sz w:val="17"/>
          <w:szCs w:val="17"/>
          <w:b w:val="1"/>
          <w:bCs w:val="1"/>
          <w:color w:val="auto"/>
        </w:rPr>
        <w:t>PRA</w:t>
      </w:r>
      <w:r>
        <w:rPr>
          <w:rFonts w:ascii="Arial" w:cs="Arial" w:eastAsia="Arial" w:hAnsi="Arial"/>
          <w:sz w:val="17"/>
          <w:szCs w:val="17"/>
          <w:color w:val="auto"/>
        </w:rPr>
        <w:t xml:space="preserve"> </w:t>
      </w:r>
      <w:r>
        <w:rPr>
          <w:rFonts w:ascii="Arial" w:cs="Arial" w:eastAsia="Arial" w:hAnsi="Arial"/>
          <w:sz w:val="17"/>
          <w:szCs w:val="17"/>
          <w:b w:val="1"/>
          <w:bCs w:val="1"/>
          <w:color w:val="auto"/>
        </w:rPr>
        <w:t>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w:t>
      </w:r>
    </w:p>
    <w:p>
      <w:pPr>
        <w:spacing w:after="0" w:line="1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is presented for illustrative purposes only and should not be considered to be an indication of the results of operations or financial condition had ICON and PRA operated as a combined entity during the periods presented or of the combined company following completion of the merger.</w:t>
      </w:r>
    </w:p>
    <w:p>
      <w:pPr>
        <w:spacing w:after="0" w:line="79" w:lineRule="exact"/>
        <w:rPr>
          <w:sz w:val="20"/>
          <w:szCs w:val="20"/>
          <w:color w:val="auto"/>
        </w:rPr>
      </w:pPr>
    </w:p>
    <w:p>
      <w:pPr>
        <w:jc w:val="both"/>
        <w:ind w:left="300" w:right="299" w:firstLine="360"/>
        <w:spacing w:after="0" w:line="268" w:lineRule="auto"/>
        <w:rPr>
          <w:rFonts w:ascii="Arial" w:cs="Arial" w:eastAsia="Arial" w:hAnsi="Arial"/>
          <w:sz w:val="17"/>
          <w:szCs w:val="17"/>
          <w:color w:val="auto"/>
        </w:rPr>
      </w:pPr>
      <w:r>
        <w:rPr>
          <w:rFonts w:ascii="Arial" w:cs="Arial" w:eastAsia="Arial" w:hAnsi="Arial"/>
          <w:sz w:val="17"/>
          <w:szCs w:val="17"/>
          <w:color w:val="auto"/>
        </w:rPr>
        <w:t>The unaudited pro forma condensed combined financial information included in this joint proxy statement/prospectus has been prepared using the consolidated historical financial statements of ICON and PRA, is presented for illustrative purposes only, and should not be considered to be an indication of the results of operations or financial condition of the combined company following the merger and the other transactions contemplated by the merger agreement (which, together with the merger, are referred to collectively as the transactions). In addition, the pro forma financial information included in this joint proxy statement/prospectus is based in part on certain assumptions regarding the transactions. These assumptions may not prove to be accurate, and other factors may affect the combined company’s results of operations or financial condition following the completion of the transactions. Accordingly, the historical and pro forma financial information included in this joint proxy statement/prospectus does not necessarily represent the combined company’s results of operations and financial condition had ICON and PRA operated as a combined entity during the periods presented, or of the combined company’s results of operations and financial condition following completion of the transactions. The combined company’s potential for future business success and operating profitability must be considered in light of the risks, uncertainties, expenses and difficulties typically encountered by recently combined companies. For more information, see the section entitled “</w:t>
      </w:r>
      <w:r>
        <w:rPr>
          <w:rFonts w:ascii="Arial" w:cs="Arial" w:eastAsia="Arial" w:hAnsi="Arial"/>
          <w:sz w:val="17"/>
          <w:szCs w:val="17"/>
          <w:b w:val="1"/>
          <w:bCs w:val="1"/>
          <w:color w:val="auto"/>
        </w:rPr>
        <w:t>Unaudited Pro Forma Condensed Combined Financial Information</w:t>
      </w:r>
      <w:r>
        <w:rPr>
          <w:rFonts w:ascii="Arial" w:cs="Arial" w:eastAsia="Arial" w:hAnsi="Arial"/>
          <w:sz w:val="17"/>
          <w:szCs w:val="17"/>
          <w:color w:val="auto"/>
        </w:rPr>
        <w:t>” beginning on page [</w:t>
      </w:r>
      <w:hyperlink w:anchor="page163">
        <w:r>
          <w:rPr>
            <w:rFonts w:ascii="Arial" w:cs="Arial" w:eastAsia="Arial" w:hAnsi="Arial"/>
            <w:sz w:val="17"/>
            <w:szCs w:val="17"/>
            <w:u w:val="single" w:color="auto"/>
            <w:color w:val="0000EE"/>
          </w:rPr>
          <w:t>146</w:t>
        </w:r>
      </w:hyperlink>
      <w:r>
        <w:rPr>
          <w:rFonts w:ascii="Arial" w:cs="Arial" w:eastAsia="Arial" w:hAnsi="Arial"/>
          <w:sz w:val="17"/>
          <w:szCs w:val="17"/>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parties may terminate or alter existing contracts or relationships with ICON or PRA.</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PRA has contracts with customers, suppliers, vendors, landlords, licensors and other business partners which may require PRA to obtain consent from these other parties in connection with the merger. If these consents cannot be obtained, the combined company may suffer a loss of potential future revenue and may lose rights that are material to its business and the business of the combined company. In addition, third parties with whom ICON or PRA currently have relationships may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w:t>
      </w:r>
    </w:p>
    <w:p>
      <w:pPr>
        <w:spacing w:after="0" w:line="17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ICON and PRA are targets of shareholder lawsuits which could result in substantial costs and may delay or prevent the transaction from being completed.</w:t>
      </w:r>
    </w:p>
    <w:p>
      <w:pPr>
        <w:spacing w:after="0" w:line="62" w:lineRule="exact"/>
        <w:rPr>
          <w:sz w:val="20"/>
          <w:szCs w:val="20"/>
          <w:color w:val="auto"/>
        </w:rPr>
      </w:pPr>
    </w:p>
    <w:p>
      <w:pPr>
        <w:jc w:val="both"/>
        <w:ind w:left="300" w:right="299" w:firstLine="360"/>
        <w:spacing w:after="0" w:line="286" w:lineRule="auto"/>
        <w:rPr>
          <w:rFonts w:ascii="Arial" w:cs="Arial" w:eastAsia="Arial" w:hAnsi="Arial"/>
          <w:sz w:val="16"/>
          <w:szCs w:val="16"/>
          <w:color w:val="auto"/>
        </w:rPr>
      </w:pPr>
      <w:r>
        <w:rPr>
          <w:rFonts w:ascii="Arial" w:cs="Arial" w:eastAsia="Arial" w:hAnsi="Arial"/>
          <w:sz w:val="16"/>
          <w:szCs w:val="16"/>
          <w:color w:val="auto"/>
        </w:rPr>
        <w:t>Shareholder lawsuits are often brought against public companies that have entered into merger agreements. Even if the lawsuits are without merit, defending against these claims can result in substantial costs and divert management time and resources. Lawsuits filed in connection with the merger against ICON, PRA, US HoldCo, Merger Sub and/or their respective directors and officers could prevent or delay the consummation of the merger, including through an injunction, and result in additional costs to ICON and PRA. The ultimate resolution of any lawsuits cannot be predicted, and an adverse ruling in any such lawsuit may cause the merger to be delayed or not to be completed, which could cause ICON and PRA not to realize some or all of the anticipated benefits of the merger. The defense or settlement of any lawsuit or claim that remains unresolved at the time the merger is consummated may adversely affect the combined company’s business, financial condition, results of operations and cash flows. ICON and PRA cannot currently predict the outcome of or reasonably estimate the possible loss or range of loss from any lawsuits or claims. As of the date of this joint proxy statement/prospectus, ICON and PRA are only aware of four (4) shareholder lawsuits filed in connection with the merger. For information with respect to the existing lawsuits relating to the merger, see the section entitled “</w:t>
      </w:r>
      <w:r>
        <w:rPr>
          <w:rFonts w:ascii="Arial" w:cs="Arial" w:eastAsia="Arial" w:hAnsi="Arial"/>
          <w:sz w:val="16"/>
          <w:szCs w:val="16"/>
          <w:b w:val="1"/>
          <w:bCs w:val="1"/>
          <w:color w:val="auto"/>
        </w:rPr>
        <w:t>The Merger</w:t>
      </w:r>
      <w:r>
        <w:rPr>
          <w:rFonts w:ascii="Arial" w:cs="Arial" w:eastAsia="Arial" w:hAnsi="Arial"/>
          <w:sz w:val="16"/>
          <w:szCs w:val="16"/>
          <w:color w:val="auto"/>
        </w:rPr>
        <w:t>—</w:t>
      </w:r>
      <w:r>
        <w:rPr>
          <w:rFonts w:ascii="Arial" w:cs="Arial" w:eastAsia="Arial" w:hAnsi="Arial"/>
          <w:sz w:val="16"/>
          <w:szCs w:val="16"/>
          <w:b w:val="1"/>
          <w:bCs w:val="1"/>
          <w:color w:val="auto"/>
        </w:rPr>
        <w:t>Litigation Relating to the Merger</w:t>
      </w:r>
      <w:r>
        <w:rPr>
          <w:rFonts w:ascii="Arial" w:cs="Arial" w:eastAsia="Arial" w:hAnsi="Arial"/>
          <w:sz w:val="16"/>
          <w:szCs w:val="16"/>
          <w:color w:val="auto"/>
        </w:rPr>
        <w:t>” beginning on page [</w:t>
      </w:r>
      <w:hyperlink w:anchor="page131">
        <w:r>
          <w:rPr>
            <w:rFonts w:ascii="Arial" w:cs="Arial" w:eastAsia="Arial" w:hAnsi="Arial"/>
            <w:sz w:val="16"/>
            <w:szCs w:val="16"/>
            <w:u w:val="single" w:color="auto"/>
            <w:color w:val="0000EE"/>
          </w:rPr>
          <w:t>114</w:t>
        </w:r>
      </w:hyperlink>
      <w:r>
        <w:rPr>
          <w:rFonts w:ascii="Arial" w:cs="Arial" w:eastAsia="Arial" w:hAnsi="Arial"/>
          <w:sz w:val="16"/>
          <w:szCs w:val="16"/>
          <w:color w:val="auto"/>
        </w:rPr>
        <w:t>]. Additional lawsuits may be filed in connection with the merger in the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ICON ordinary shares to be received by PRA stockholders as a result of the merger will have rights different from the PRA common stock.</w:t>
      </w:r>
    </w:p>
    <w:p>
      <w:pPr>
        <w:spacing w:after="0" w:line="62" w:lineRule="exact"/>
        <w:rPr>
          <w:sz w:val="20"/>
          <w:szCs w:val="20"/>
          <w:color w:val="auto"/>
        </w:rPr>
      </w:pPr>
    </w:p>
    <w:p>
      <w:pPr>
        <w:jc w:val="both"/>
        <w:ind w:left="300" w:right="299" w:firstLine="360"/>
        <w:spacing w:after="0" w:line="259" w:lineRule="auto"/>
        <w:rPr>
          <w:rFonts w:ascii="Arial" w:cs="Arial" w:eastAsia="Arial" w:hAnsi="Arial"/>
          <w:sz w:val="18"/>
          <w:szCs w:val="18"/>
          <w:color w:val="auto"/>
        </w:rPr>
      </w:pPr>
      <w:r>
        <w:rPr>
          <w:rFonts w:ascii="Arial" w:cs="Arial" w:eastAsia="Arial" w:hAnsi="Arial"/>
          <w:sz w:val="18"/>
          <w:szCs w:val="18"/>
          <w:color w:val="auto"/>
        </w:rPr>
        <w:t>Upon consummation of the merger, the rights of PRA stockholders, who will become shareholders of ICON, will be governed by the ICON constitution. The rights associated with PRA common stock are different from the rights associated with ICON ordinary shares. See the section entitled “</w:t>
      </w:r>
      <w:r>
        <w:rPr>
          <w:rFonts w:ascii="Arial" w:cs="Arial" w:eastAsia="Arial" w:hAnsi="Arial"/>
          <w:sz w:val="18"/>
          <w:szCs w:val="18"/>
          <w:b w:val="1"/>
          <w:bCs w:val="1"/>
          <w:color w:val="auto"/>
        </w:rPr>
        <w:t>Comparison of Stockholders’ Rights</w:t>
      </w:r>
      <w:r>
        <w:rPr>
          <w:rFonts w:ascii="Arial" w:cs="Arial" w:eastAsia="Arial" w:hAnsi="Arial"/>
          <w:sz w:val="18"/>
          <w:szCs w:val="18"/>
          <w:color w:val="auto"/>
        </w:rPr>
        <w:t>” beginning on page [</w:t>
      </w:r>
      <w:hyperlink w:anchor="page201">
        <w:r>
          <w:rPr>
            <w:rFonts w:ascii="Arial" w:cs="Arial" w:eastAsia="Arial" w:hAnsi="Arial"/>
            <w:sz w:val="18"/>
            <w:szCs w:val="18"/>
            <w:u w:val="single" w:color="auto"/>
            <w:color w:val="0000EE"/>
          </w:rPr>
          <w:t>184</w:t>
        </w:r>
      </w:hyperlink>
      <w:r>
        <w:rPr>
          <w:rFonts w:ascii="Arial" w:cs="Arial" w:eastAsia="Arial" w:hAnsi="Arial"/>
          <w:sz w:val="18"/>
          <w:szCs w:val="18"/>
          <w:color w:val="auto"/>
        </w:rPr>
        <w:t>] for a discussion of these differences.</w:t>
      </w:r>
    </w:p>
    <w:p>
      <w:pPr>
        <w:spacing w:after="0" w:line="349" w:lineRule="exact"/>
        <w:rPr>
          <w:sz w:val="20"/>
          <w:szCs w:val="20"/>
          <w:color w:val="auto"/>
        </w:rPr>
      </w:pPr>
    </w:p>
    <w:p>
      <w:pPr>
        <w:jc w:val="both"/>
        <w:ind w:left="300" w:right="319"/>
        <w:spacing w:after="0" w:line="287" w:lineRule="auto"/>
        <w:rPr>
          <w:sz w:val="20"/>
          <w:szCs w:val="20"/>
          <w:color w:val="auto"/>
        </w:rPr>
      </w:pPr>
      <w:r>
        <w:rPr>
          <w:rFonts w:ascii="Arial" w:cs="Arial" w:eastAsia="Arial" w:hAnsi="Arial"/>
          <w:sz w:val="16"/>
          <w:szCs w:val="16"/>
          <w:b w:val="1"/>
          <w:bCs w:val="1"/>
          <w:i w:val="1"/>
          <w:iCs w:val="1"/>
          <w:color w:val="auto"/>
        </w:rPr>
        <w:t>Because it is impracticable to determine the identity of all of the owners of a publicly traded corporation, each instance of constructive ownership or the precise extent to which the ownership of two public corporations overlaps, ICON intends to assume, and other applicable withholding agents are likely to assume, that</w:t>
      </w:r>
    </w:p>
    <w:p>
      <w:pPr>
        <w:spacing w:after="0" w:line="2" w:lineRule="exact"/>
        <w:rPr>
          <w:sz w:val="20"/>
          <w:szCs w:val="20"/>
          <w:color w:val="auto"/>
        </w:rPr>
      </w:pPr>
    </w:p>
    <w:p>
      <w:pPr>
        <w:ind w:left="560" w:hanging="268"/>
        <w:spacing w:after="0"/>
        <w:tabs>
          <w:tab w:leader="none" w:pos="560" w:val="left"/>
        </w:tabs>
        <w:numPr>
          <w:ilvl w:val="0"/>
          <w:numId w:val="8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Section 304 of the Internal Revenue Code of 1986, as amended (the “Code”) will apply to the merger and</w:t>
      </w:r>
    </w:p>
    <w:p>
      <w:pPr>
        <w:spacing w:after="0" w:line="32" w:lineRule="exact"/>
        <w:rPr>
          <w:rFonts w:ascii="Arial" w:cs="Arial" w:eastAsia="Arial" w:hAnsi="Arial"/>
          <w:sz w:val="16"/>
          <w:szCs w:val="16"/>
          <w:b w:val="1"/>
          <w:bCs w:val="1"/>
          <w:i w:val="1"/>
          <w:iCs w:val="1"/>
          <w:color w:val="auto"/>
        </w:rPr>
      </w:pPr>
    </w:p>
    <w:p>
      <w:pPr>
        <w:jc w:val="both"/>
        <w:ind w:left="300" w:right="299" w:hanging="8"/>
        <w:spacing w:after="0" w:line="255" w:lineRule="auto"/>
        <w:tabs>
          <w:tab w:leader="none" w:pos="567"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cash consideration (other than cash in lieu of fractional ICON ordinary shares) should be treated in its entirety as a dividend for U.S. federal income tax purposes (as opposed to sale proceeds from a sale of PRA common stock).</w:t>
      </w:r>
    </w:p>
    <w:p>
      <w:pPr>
        <w:spacing w:after="0" w:line="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in more detail in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w:t>
      </w:r>
      <w:r>
        <w:rPr>
          <w:rFonts w:ascii="Arial" w:cs="Arial" w:eastAsia="Arial" w:hAnsi="Arial"/>
          <w:sz w:val="16"/>
          <w:szCs w:val="16"/>
          <w:b w:val="1"/>
          <w:bCs w:val="1"/>
          <w:color w:val="auto"/>
        </w:rPr>
        <w:t>Certain</w:t>
      </w:r>
      <w:r>
        <w:rPr>
          <w:rFonts w:ascii="Arial" w:cs="Arial" w:eastAsia="Arial" w:hAnsi="Arial"/>
          <w:sz w:val="16"/>
          <w:szCs w:val="16"/>
          <w:color w:val="auto"/>
        </w:rPr>
        <w:t xml:space="preserve"> </w:t>
      </w:r>
      <w:r>
        <w:rPr>
          <w:rFonts w:ascii="Arial" w:cs="Arial" w:eastAsia="Arial" w:hAnsi="Arial"/>
          <w:sz w:val="16"/>
          <w:szCs w:val="16"/>
          <w:b w:val="1"/>
          <w:bCs w:val="1"/>
          <w:color w:val="auto"/>
        </w:rPr>
        <w:t>U.S. Federal Income Tax Considerations Related to the Merger—Tax Characterization of the Merger</w:t>
      </w:r>
      <w:r>
        <w:rPr>
          <w:rFonts w:ascii="Arial" w:cs="Arial" w:eastAsia="Arial" w:hAnsi="Arial"/>
          <w:sz w:val="16"/>
          <w:szCs w:val="16"/>
          <w:color w:val="auto"/>
        </w:rPr>
        <w:t>—</w:t>
      </w:r>
      <w:r>
        <w:rPr>
          <w:rFonts w:ascii="Arial" w:cs="Arial" w:eastAsia="Arial" w:hAnsi="Arial"/>
          <w:sz w:val="16"/>
          <w:szCs w:val="16"/>
          <w:b w:val="1"/>
          <w:bCs w:val="1"/>
          <w:color w:val="auto"/>
        </w:rPr>
        <w:t>The US HoldCo Acquisition</w:t>
      </w:r>
      <w:r>
        <w:rPr>
          <w:rFonts w:ascii="Arial" w:cs="Arial" w:eastAsia="Arial" w:hAnsi="Arial"/>
          <w:sz w:val="16"/>
          <w:szCs w:val="16"/>
          <w:color w:val="auto"/>
        </w:rPr>
        <w:t>,” if the PRA stockholders immediately before the merger are deemed,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to own collectively 50% or more (by vote or value) of the outstanding stock of ICON (taking into account the ICON ordinary shares being issued to the PRA stockholders as merger consideration), Section 304 of the Code (“Section 304”) may require the cash portion of the merger consideration deemed to have been received from US HoldCo to be treated, for U.S. federal income tax purposes, as a dividend rather than as proceeds of a sale of PRA common stock. Even if Section 304 were to apply, such dividend treatment generally should apply to any particular PRA stockholder only if the percentage of PRA’s outstanding common stock constructively owned by such stockholder immediately after the merger (through such stockholder’s actual and constructive ownership of ICON ordinary shares immediately after the merger) does not represent a meaningful reduction relative to such stockholder’s actual and constructive equity ownership percentage in PRA’s outstanding common stock immediately prior to the merger. However, because it is generally impracticable to ascertain the identity of all of the stockholders of a publicly-traded corporation (or the extent to which any identified stockholder constructively owns additional shares), it will be impracticable to determine whether Section 304 will actually apply to the merger or whether, if Section 304 were to apply, any particular stockholder would qualify for sale (as opposed to dividend) treatment. Moreover, as discussed in more detail in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w:t>
      </w:r>
      <w:r>
        <w:rPr>
          <w:rFonts w:ascii="Arial" w:cs="Arial" w:eastAsia="Arial" w:hAnsi="Arial"/>
          <w:sz w:val="16"/>
          <w:szCs w:val="16"/>
          <w:b w:val="1"/>
          <w:bCs w:val="1"/>
          <w:color w:val="auto"/>
        </w:rPr>
        <w:t>Certain</w:t>
      </w:r>
      <w:r>
        <w:rPr>
          <w:rFonts w:ascii="Arial" w:cs="Arial" w:eastAsia="Arial" w:hAnsi="Arial"/>
          <w:sz w:val="16"/>
          <w:szCs w:val="16"/>
          <w:color w:val="auto"/>
        </w:rPr>
        <w:t xml:space="preserve"> </w:t>
      </w:r>
      <w:r>
        <w:rPr>
          <w:rFonts w:ascii="Arial" w:cs="Arial" w:eastAsia="Arial" w:hAnsi="Arial"/>
          <w:sz w:val="16"/>
          <w:szCs w:val="16"/>
          <w:b w:val="1"/>
          <w:bCs w:val="1"/>
          <w:color w:val="auto"/>
        </w:rPr>
        <w:t>U.S. Federal Income Tax Considerations Related to the Merger—Tax Characterization of the Merger</w:t>
      </w:r>
      <w:r>
        <w:rPr>
          <w:rFonts w:ascii="Arial" w:cs="Arial" w:eastAsia="Arial" w:hAnsi="Arial"/>
          <w:sz w:val="16"/>
          <w:szCs w:val="16"/>
          <w:color w:val="auto"/>
        </w:rPr>
        <w:t>—</w:t>
      </w:r>
      <w:r>
        <w:rPr>
          <w:rFonts w:ascii="Arial" w:cs="Arial" w:eastAsia="Arial" w:hAnsi="Arial"/>
          <w:sz w:val="16"/>
          <w:szCs w:val="16"/>
          <w:b w:val="1"/>
          <w:bCs w:val="1"/>
          <w:color w:val="auto"/>
        </w:rPr>
        <w:t>The Deemed PRA Redemption</w:t>
      </w:r>
      <w:r>
        <w:rPr>
          <w:rFonts w:ascii="Arial" w:cs="Arial" w:eastAsia="Arial" w:hAnsi="Arial"/>
          <w:sz w:val="16"/>
          <w:szCs w:val="16"/>
          <w:color w:val="auto"/>
        </w:rPr>
        <w:t>,” although as a technical matter a portion of the cash consideration should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received from PRA (as opposed to US HoldCo) and, therefore not subject to Section 304 treatment, ICON is not yet able to determine which portion of the cash consideration should be deemed to have been received from PRA or US HoldCo, respectively, and may not be able to do so prior to closing.</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Given the foregoing uncertainty, regardless of whether sale (as opposed to dividend) treatment is appropriate in a PRA stockholder’s particular case, ICON intends to assume (both for purposes of withholding (with respect to non-U.S. PRA stockholders) and information reporting to the IRS (with respect to all PRA stockholders)), and other applicable withholding agents are likely to assume (for such purposes), that (1) Section 304 will apply to the merger,</w:t>
      </w:r>
    </w:p>
    <w:p>
      <w:pPr>
        <w:spacing w:after="0" w:line="1" w:lineRule="exact"/>
        <w:rPr>
          <w:sz w:val="20"/>
          <w:szCs w:val="20"/>
          <w:color w:val="auto"/>
        </w:rPr>
      </w:pPr>
    </w:p>
    <w:p>
      <w:pPr>
        <w:ind w:left="300" w:right="319" w:hanging="8"/>
        <w:spacing w:after="0" w:line="290" w:lineRule="auto"/>
        <w:tabs>
          <w:tab w:leader="none" w:pos="578"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dividend treatment (as opposed to sale treatment) will apply to each PRA stockholder and (3) such dividend treatment will apply to all of the cash consideration (other than cash in lieu of fractional ICON ordinary shares).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dividend treatment were to apply, (a) a U.S. stockholder of PRA generally would be subject to dividend treatment with respect to the applicable cash consideration without reduction for any portion of the stockholder’s adjusted tax basis in its PRA shares and (b) a non-U.S. stockholder of PRA generally would be subject to a U.S. federal withholding tax of 30% (or a lower applicable treaty rate) with respect to the applicable cash consideration without reduction for any portion of the stockholder’s adjusted tax basis in its PRA shares.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should consult their tax advisors about Section 304, including the possibility of avoiding any adverse tax consequences under Section 304 by selling their shares of PRA common stock in advance of the merger and, if a stockholder of PRA decides not to sell its PRA shares in advance of the merger,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IRS could challenge the intended U.S. federal income tax treatment of the merger.</w:t>
      </w:r>
    </w:p>
    <w:p>
      <w:pPr>
        <w:spacing w:after="0" w:line="113"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While ICON believes that the intended tax treatment discussed in “</w:t>
      </w:r>
      <w:r>
        <w:rPr>
          <w:rFonts w:ascii="Arial" w:cs="Arial" w:eastAsia="Arial" w:hAnsi="Arial"/>
          <w:sz w:val="18"/>
          <w:szCs w:val="18"/>
          <w:b w:val="1"/>
          <w:bCs w:val="1"/>
          <w:color w:val="auto"/>
        </w:rPr>
        <w:t>Certain United States Federal Income</w:t>
      </w:r>
      <w:r>
        <w:rPr>
          <w:rFonts w:ascii="Arial" w:cs="Arial" w:eastAsia="Arial" w:hAnsi="Arial"/>
          <w:sz w:val="18"/>
          <w:szCs w:val="18"/>
          <w:color w:val="auto"/>
        </w:rPr>
        <w:t xml:space="preserve"> </w:t>
      </w:r>
      <w:r>
        <w:rPr>
          <w:rFonts w:ascii="Arial" w:cs="Arial" w:eastAsia="Arial" w:hAnsi="Arial"/>
          <w:sz w:val="18"/>
          <w:szCs w:val="18"/>
          <w:b w:val="1"/>
          <w:bCs w:val="1"/>
          <w:color w:val="auto"/>
        </w:rPr>
        <w:t>Tax Considerations—Certain U.S. Federal Income Tax Considerations Related to the Merger—Tax Characterization of the Merger</w:t>
      </w:r>
      <w:r>
        <w:rPr>
          <w:rFonts w:ascii="Arial" w:cs="Arial" w:eastAsia="Arial" w:hAnsi="Arial"/>
          <w:sz w:val="18"/>
          <w:szCs w:val="18"/>
          <w:color w:val="auto"/>
        </w:rPr>
        <w:t>” (i.e., a partial purchase of the PRA common stock by ICON (for ICON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a partial purchase of PRA common stock by US HoldCo (for cash)) should be respected, this position is not entirely free from doubt and the IRS could assert that all of the outstanding common stock of PRA (other than the portion deemed to have been redeemed by PRA) was acquired solely by US HoldCo or, alternatively, solely by ICON.</w:t>
      </w:r>
    </w:p>
    <w:p>
      <w:pPr>
        <w:spacing w:after="0" w:line="85"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If the IRS were to successfully recharacterize the merger as an acquisition solely by US HoldCo, all of the merger consideration (i.e., the ICON ordinary shares and the cash, as opposed to only the cash) would be subject to possible deemed dividend treatment under Section 304 (as described below under “</w:t>
      </w:r>
      <w:r>
        <w:rPr>
          <w:rFonts w:ascii="Arial" w:cs="Arial" w:eastAsia="Arial" w:hAnsi="Arial"/>
          <w:sz w:val="16"/>
          <w:szCs w:val="16"/>
          <w:b w:val="1"/>
          <w:bCs w:val="1"/>
          <w:color w:val="auto"/>
        </w:rPr>
        <w:t>Certain United States Federal</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Income Tax Considerations—Certain U.S. Federal Income Tax Considerations Related to the Merger—Tax Characterization of the Merger—The US HoldCo Acquisition</w:t>
      </w:r>
      <w:r>
        <w:rPr>
          <w:rFonts w:ascii="Arial" w:cs="Arial" w:eastAsia="Arial" w:hAnsi="Arial"/>
          <w:sz w:val="18"/>
          <w:szCs w:val="18"/>
          <w:color w:val="auto"/>
        </w:rPr>
        <w:t>”).</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IRS were to successfully recharacterize the merger as an acquisition solely by ICON, a “U.S. Holder” (as defined under “</w:t>
      </w:r>
      <w:r>
        <w:rPr>
          <w:rFonts w:ascii="Arial" w:cs="Arial" w:eastAsia="Arial" w:hAnsi="Arial"/>
          <w:sz w:val="17"/>
          <w:szCs w:val="17"/>
          <w:b w:val="1"/>
          <w:bCs w:val="1"/>
          <w:color w:val="auto"/>
        </w:rPr>
        <w:t>Certain United States Federal Income Tax Considerations</w:t>
      </w:r>
      <w:r>
        <w:rPr>
          <w:rFonts w:ascii="Arial" w:cs="Arial" w:eastAsia="Arial" w:hAnsi="Arial"/>
          <w:sz w:val="17"/>
          <w:szCs w:val="17"/>
          <w:color w:val="auto"/>
        </w:rPr>
        <w:t>”) would be treated as having transferred a portion of each share of its PRA common stock for cash to ICON (a non-U.S. corporation) as opposed to US HoldCo (a U.S. corporation), which recharacterized transfer could, under Section 367(a) of the Code, cause U.S. Holders to recognize gain on such transfer as a taxable sale of such stock in addition to being subject to dividend treatment under Section 304 with respect to the same transfer, resulting in a greater total tax on the merger than if the intended tax treatment were respected.</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PRA stockholders should consult their tax advisors about the foregoing issues, including the possibility of avoiding any adverse tax consequences described above by selling their PRA common stock in advance of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Combined Company after Completion of the Merger</w:t>
      </w:r>
    </w:p>
    <w:p>
      <w:pPr>
        <w:spacing w:after="0" w:line="12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substantial additional indebtedness that ICON will incur in connection with the transaction could adversely affect the combined company’s business, financial condition or results of operations.</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Following completion of the merger and the other transactions contemplated by the merger agreement, the combined company will have a substantial amount of debt. ICON expects to borrow approximately $6,441.9 million in order to pay PRA stockholders the cash consideration due to them as merger consideration under the merger agreement, pay related fees and transaction costs in connection with the transactions, and refinance certain existing indebtedness of PRA. ICON’s consolidated borrowings were $348.5 million as at December 31, 2020. The combined company’s pro forma borrowings as at December 31, 2020, if the transactions had been completed on December 31, 2020, would have been approximately $6,287.7 million. This increased level of borrowings could adversely affect the combined company in a number of ways, including, but not limited to, by making it more difficult for the combined company to satisfy its obligations with respect to its debt or to its trade or other creditors, requiring a substantial portion of the combined company’s cash flows from operations for the payment of interest on the combined company’s debt, reducing the combined company’s flexibility to respond to changing business and economic conditions, and reducing funds available for the combined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7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addition, ICON’s increased level of indebtedness could adversely affect ICON’s credit rating which could result in increased borrowing costs for the combined company in the future. No assurances can be made that ICON will be able to refinance any indebtedness incurred in connection with the merger on terms acceptable to it or at all.</w:t>
      </w:r>
    </w:p>
    <w:p>
      <w:pPr>
        <w:spacing w:after="0" w:line="149"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The combined company may not be able to retain customers or suppliers, or attract new customers, or customers or suppliers may seek to modify contractual obligations with the combined company, which could have an adverse effect on the combined company’s business and operations.</w:t>
      </w:r>
    </w:p>
    <w:p>
      <w:pPr>
        <w:spacing w:after="0" w:line="5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a result of the merger, the combined company may experience strain in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or may decline to award new business to, or renew existing contracts or enter into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new long-term agreements with, the combined company. There can be no guarantee that customers and suppliers will remain with or continue to have a relationship with the combined company or do so on the same or similar contractual terms following the merger or that the combined company will be able to attract new customers. If any of the customers or suppliers seek to terminate or modify contractual obligations or discontinue the relationship with the combined company, or if the combined company is unable to attract new customers, then the combined company’s business and results of operations may be harmed.</w:t>
      </w:r>
    </w:p>
    <w:p>
      <w:pPr>
        <w:spacing w:after="0" w:line="178"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b w:val="1"/>
          <w:bCs w:val="1"/>
          <w:i w:val="1"/>
          <w:iCs w:val="1"/>
          <w:color w:val="auto"/>
        </w:rPr>
        <w:t>Combining the businesses of ICON and PRA may be more difficult, costly or time-consuming than expected and the combined company may fail to realize the anticipated benefits of the merger, which may adversely affect the combined company’s business results and negatively affect the market price of ICON ordinary shares following the merger.</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success of the merger will depend on, among other things, the ability of ICON and PRA to combine their businesses in a manner that facilitates growth opportunities and realizes cost savings. ICON and PRA have entered into the merger agreement because each believes that the merger and the other transactions contemplated by the merger agreement are fair to and in the best interests of its respective stockholders and that combining the businesses of ICON and PRA will produce benefits and cost savings.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However, ICON and PRA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ordinary shares of the combined company after the completion of the merger.</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the actual integration may result in additional and unforeseen expenses, and the anticipated benefits of the integration plan may not be realized. Actual growth and cost savings, if achieved, may be lower than what ICON and PRA expect and may take longer to achieve than anticipated. If ICON and PRA are not able to adequately address integration challenges, they may be unable to successfully integrate their operations or realize the anticipated benefits of the integration of the two companies.</w:t>
      </w:r>
    </w:p>
    <w:p>
      <w:pPr>
        <w:spacing w:after="0" w:line="17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ICON and PRA in the expected time frame may adversely affect the combined company’s future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PRA have operated and, until the completion of the merger, will continue to operate independently. There can be no assurances that their businesses can be integrated successfully. It is possible that the integration process could result in the loss of key ICON employees or key PRA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due to the integration process, customers may be slow to award new business to the combined company or may not award new business to the combined company at all. Specifically, the following issues, among others, must be addressed in integrating the operations of ICON and PRA in order to realize the anticipated benefits of the merger so the combined company performs as expected:</w:t>
      </w:r>
    </w:p>
    <w:p>
      <w:pPr>
        <w:spacing w:after="0" w:line="77" w:lineRule="exact"/>
        <w:rPr>
          <w:sz w:val="20"/>
          <w:szCs w:val="20"/>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combining the businesses of ICON and PRA and meeting the capital requirements of the combined company, in a manner that permits the combined company to achieve the synergies and other benefits anticipated to result from the merger;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integrating the companies’ technologies, systems and processes;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maintaining existing agreements with customers, distributors, providers and vendors and avoiding delays in entering into new agreements with prospective customers, distributors, providers and vendors;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addressing possible differences in business backgrounds, corporate cultures and management philosophies;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coordinating distribution and sales and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approvals.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ICON may be unable to realize anticipated cost and tax synergies and expects to incur substantial expenses related to the merger.</w:t>
      </w:r>
    </w:p>
    <w:p>
      <w:pPr>
        <w:spacing w:after="0" w:line="62"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ICON expects to generate run rate cost synergies of approximately $150 million and tax savings from the combined effective tax rate decreasing to 14% both to be realized within approximately four years after completion of the merger. 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 ICON’s ability to realize tax synergies is subject to uncertainties. See “</w:t>
      </w:r>
      <w:r>
        <w:rPr>
          <w:rFonts w:ascii="Arial" w:cs="Arial" w:eastAsia="Arial" w:hAnsi="Arial"/>
          <w:sz w:val="16"/>
          <w:szCs w:val="16"/>
          <w:b w:val="1"/>
          <w:bCs w:val="1"/>
          <w:color w:val="auto"/>
        </w:rPr>
        <w:t>—There is a risk that, as a result of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either (1) ICON could be treated as having become a U.S. corporation for U.S. federal income tax purposes or</w:t>
      </w:r>
    </w:p>
    <w:p>
      <w:pPr>
        <w:spacing w:after="0" w:line="6" w:lineRule="exact"/>
        <w:rPr>
          <w:sz w:val="20"/>
          <w:szCs w:val="20"/>
          <w:color w:val="auto"/>
        </w:rPr>
      </w:pPr>
    </w:p>
    <w:p>
      <w:pPr>
        <w:jc w:val="both"/>
        <w:ind w:left="300" w:right="299" w:hanging="8"/>
        <w:spacing w:after="0" w:line="267" w:lineRule="auto"/>
        <w:tabs>
          <w:tab w:leader="none" w:pos="567"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ICON and its affiliates could become subject to certain adverse U.S. federal income tax rules</w:t>
      </w:r>
      <w:r>
        <w:rPr>
          <w:rFonts w:ascii="Arial" w:cs="Arial" w:eastAsia="Arial" w:hAnsi="Arial"/>
          <w:sz w:val="17"/>
          <w:szCs w:val="17"/>
          <w:color w:val="auto"/>
        </w:rPr>
        <w:t>.” Failure to</w:t>
      </w:r>
      <w:r>
        <w:rPr>
          <w:rFonts w:ascii="Arial" w:cs="Arial" w:eastAsia="Arial" w:hAnsi="Arial"/>
          <w:sz w:val="17"/>
          <w:szCs w:val="17"/>
          <w:b w:val="1"/>
          <w:bCs w:val="1"/>
          <w:color w:val="auto"/>
        </w:rPr>
        <w:t xml:space="preserve"> </w:t>
      </w:r>
      <w:r>
        <w:rPr>
          <w:rFonts w:ascii="Arial" w:cs="Arial" w:eastAsia="Arial" w:hAnsi="Arial"/>
          <w:sz w:val="17"/>
          <w:szCs w:val="17"/>
          <w:color w:val="auto"/>
        </w:rPr>
        <w:t>achieve the expected cost and tax synergies could significantly reduce the expected benefits associated with the merger. In addition, ICON has incurred and will incur substantial expenses in connection with completion of the merger, including the costs and expenses of preparing and filing the Form F-4 Registration Statement that contains this joint proxy statement/prospectus with the SEC.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 and many of these costs will be borne by ICON even if the merger is not completed.</w:t>
      </w:r>
    </w:p>
    <w:p>
      <w:pPr>
        <w:spacing w:after="0" w:line="18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Current ICON shareholders and PRA stockholders will have a reduced ownership and voting interest after the merger and will exercise less influence over the management of the combined company.</w:t>
      </w:r>
    </w:p>
    <w:p>
      <w:pPr>
        <w:spacing w:after="0" w:line="38"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Upon completion of the merger, ICON expects to issue approximately 28,831,766 ICON ordinary shares to PRA stockholders pursuant to the merger agreement. As a result, it is expected that, immediately after completion of the transaction, former PRA stockholders will own approximately 34% of the outstanding ICON ordinary shares. Additional ICON ordinary shares may be issued from time to time following the merger to holders of PRA equity awards on the terms set forth in the merger agreement. See the section of this joint proxy statement/prospectus entitled “</w:t>
      </w:r>
      <w:r>
        <w:rPr>
          <w:rFonts w:ascii="Arial" w:cs="Arial" w:eastAsia="Arial" w:hAnsi="Arial"/>
          <w:sz w:val="17"/>
          <w:szCs w:val="17"/>
          <w:b w:val="1"/>
          <w:bCs w:val="1"/>
          <w:color w:val="auto"/>
        </w:rPr>
        <w:t>The Merger Agreement—Treatment of PRA Equity Awards</w:t>
      </w:r>
      <w:r>
        <w:rPr>
          <w:rFonts w:ascii="Arial" w:cs="Arial" w:eastAsia="Arial" w:hAnsi="Arial"/>
          <w:sz w:val="17"/>
          <w:szCs w:val="17"/>
          <w:color w:val="auto"/>
        </w:rPr>
        <w:t>” beginning on page [</w:t>
      </w:r>
      <w:hyperlink w:anchor="page134">
        <w:r>
          <w:rPr>
            <w:rFonts w:ascii="Arial" w:cs="Arial" w:eastAsia="Arial" w:hAnsi="Arial"/>
            <w:sz w:val="17"/>
            <w:szCs w:val="17"/>
            <w:u w:val="single" w:color="auto"/>
            <w:color w:val="0000EE"/>
          </w:rPr>
          <w:t>117</w:t>
        </w:r>
      </w:hyperlink>
      <w:r>
        <w:rPr>
          <w:rFonts w:ascii="Arial" w:cs="Arial" w:eastAsia="Arial" w:hAnsi="Arial"/>
          <w:sz w:val="17"/>
          <w:szCs w:val="17"/>
          <w:color w:val="auto"/>
        </w:rPr>
        <w:t>] for a more detailed explanation. Consequently, current ICON shareholders in the aggregate will have less influence over the management and policies of ICON than they currently have over the management and policies of ICON, and PRA stockholders in the aggregate will have significantly less influence over the management and policies of ICON than they currently have over the management and policies of PRA.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combined company may be exposed to increased litigation from stockholders, customers, suppliers, consumers and other third parties due to the combination of ICON’s business and PRA’s business following the merger. Such litigation may have an adverse impact on the combined company’s business and results of operations or may cause disruptions to the combined company’s operations.</w:t>
      </w:r>
    </w:p>
    <w:p>
      <w:pPr>
        <w:spacing w:after="0" w:line="1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Upon completion of the transaction, PRA stockholders will become ICON shareholders, and the market price for ICON ordinary shares may be affected by factors different from those that historically have affected the market price of PRA’s shares.</w:t>
      </w:r>
    </w:p>
    <w:p>
      <w:pPr>
        <w:spacing w:after="0" w:line="76" w:lineRule="exact"/>
        <w:rPr>
          <w:sz w:val="20"/>
          <w:szCs w:val="20"/>
          <w:color w:val="auto"/>
        </w:rPr>
      </w:pPr>
    </w:p>
    <w:p>
      <w:pPr>
        <w:jc w:val="both"/>
        <w:ind w:left="300" w:right="299" w:firstLine="36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Upon completion of the transaction, PRA stockholders will become ICON shareholders. ICON’s and PRA’s businesses differ and, accordingly, the results of operations of the combined company will be affected by some factors that are different from those currently or historically affecting the results of operations of ICON and those currently or historically affecting the results of operations of PRA. For a discussion of the businesses of ICON and PRA and of some important factors to consider in connection with those businesses, see the documents incorporated by reference in this joint proxy statement/prospectus and referred to in the section entitled “</w:t>
      </w:r>
      <w:r>
        <w:rPr>
          <w:rFonts w:ascii="Arial" w:cs="Arial" w:eastAsia="Arial" w:hAnsi="Arial"/>
          <w:sz w:val="17"/>
          <w:szCs w:val="17"/>
          <w:b w:val="1"/>
          <w:b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Additional Information</w:t>
      </w:r>
      <w:r>
        <w:rPr>
          <w:rFonts w:ascii="Arial" w:cs="Arial" w:eastAsia="Arial" w:hAnsi="Arial"/>
          <w:sz w:val="17"/>
          <w:szCs w:val="17"/>
          <w:color w:val="auto"/>
        </w:rPr>
        <w:t>” beginning on page [</w:t>
      </w:r>
      <w:hyperlink w:anchor="page235">
        <w:r>
          <w:rPr>
            <w:rFonts w:ascii="Arial" w:cs="Arial" w:eastAsia="Arial" w:hAnsi="Arial"/>
            <w:sz w:val="17"/>
            <w:szCs w:val="17"/>
            <w:u w:val="single" w:color="auto"/>
            <w:color w:val="0000EE"/>
          </w:rPr>
          <w:t>218</w:t>
        </w:r>
      </w:hyperlink>
      <w:r>
        <w:rPr>
          <w:rFonts w:ascii="Arial" w:cs="Arial" w:eastAsia="Arial" w:hAnsi="Arial"/>
          <w:sz w:val="17"/>
          <w:szCs w:val="17"/>
          <w:color w:val="auto"/>
        </w:rPr>
        <w:t>].</w:t>
      </w:r>
    </w:p>
    <w:p>
      <w:pPr>
        <w:spacing w:after="0" w:line="1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Resales of ICON ordinary shares following the merger may cause the market price of ICON ordinary shares to decline.</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ICON expects that it will issue up to approximately 28,831,766 ICON ordinary shares in connection with the merger. The issuance of these new ICON ordinary shares and the sale of additional ICON ordinary shares that may become eligible for sale in the public market from time to time could have the effect of depressing the market price for ICON ordinary shares. The increase in the number of ICON ordinary shares may lead to sales of such ICON ordinary shares or the perception that such sales may occur, either of which may adversely affect the market for, and the market price of, ICON ordinary shares.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market price of ICON ordinary shares may decline as a result of the transaction.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market price of ICON ordinary shares may decline as a result of the transaction if, among other things, the combined company is unable to achieve the expected growth in revenues and earnings, or if the cost savings estimates in connection with the integration of ICON’s and PRA’s businesses are not realized or if the transaction costs related to the transaction are greater than expected. The market price also may decline if the combined company does not achieve the perceived benefits of the transaction as rapidly or to the extent anticipated by the market or if the effect of the transaction on the combined company’s financial position, results of operations or cash flows is not consistent with the expectations of financial or industry analysts.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does not expect to pay any cash dividends for the foreseeable future.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 currently does not expect to declare dividends on ICON ordinary shares and has not done so in the past. Any determination to declare or pay dividends in the future will be at the discretion of the ICON board of directors, subject to relevant laws and dependent on a number of factors, including ICON’s earnings, capital requirements and overall financial condition. Therefore, the only opportunity for PRA stockholders to achieve a return on the ICON ordinary shares received as share consideration may be if the market price of ICON ordinary shares appreciates and shares received as share consideration are sold at a price higher than the implied value of the share consideration. The market price for ICON ordinary shares may not appreciate and may fall below the implied value of the share consideration.</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A future transfer of ICON ordinary shares, other than one effected by means of the transfer of book entry interests in DTC, may be subject to Irish stamp duty.</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Transfers of ICON ordinary shares effected by means of the transfer of book entry interests in DTC should not be subject to Irish stamp duty where ICON ordinary shares are traded through DTC, either directly or through brokers that hold such shares on behalf of customers through DTC. However, if you hold ICON ordinary shares as of record rather than beneficially through DTC, any transfer of ICON ordinary shares could be subject to Irish stamp duty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 For more information, see “</w:t>
      </w:r>
      <w:r>
        <w:rPr>
          <w:rFonts w:ascii="Arial" w:cs="Arial" w:eastAsia="Arial" w:hAnsi="Arial"/>
          <w:sz w:val="18"/>
          <w:szCs w:val="18"/>
          <w:b w:val="1"/>
          <w:bCs w:val="1"/>
          <w:color w:val="auto"/>
        </w:rPr>
        <w:t>Irish Tax Consequences—Stamp</w:t>
      </w:r>
      <w:r>
        <w:rPr>
          <w:rFonts w:ascii="Arial" w:cs="Arial" w:eastAsia="Arial" w:hAnsi="Arial"/>
          <w:sz w:val="18"/>
          <w:szCs w:val="18"/>
          <w:color w:val="auto"/>
        </w:rPr>
        <w:t xml:space="preserve"> </w:t>
      </w:r>
      <w:r>
        <w:rPr>
          <w:rFonts w:ascii="Arial" w:cs="Arial" w:eastAsia="Arial" w:hAnsi="Arial"/>
          <w:sz w:val="18"/>
          <w:szCs w:val="18"/>
          <w:b w:val="1"/>
          <w:bCs w:val="1"/>
          <w:color w:val="auto"/>
        </w:rPr>
        <w:t>Duty</w:t>
      </w:r>
      <w:r>
        <w:rPr>
          <w:rFonts w:ascii="Arial" w:cs="Arial" w:eastAsia="Arial" w:hAnsi="Arial"/>
          <w:sz w:val="18"/>
          <w:szCs w:val="18"/>
          <w:color w:val="auto"/>
        </w:rPr>
        <w:t>.”</w:t>
      </w:r>
    </w:p>
    <w:p>
      <w:pPr>
        <w:spacing w:after="0" w:line="18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There may be less publicly available information concerning ICON than there is for issuers that are not foreign private issuers because ICON, as a foreign private issuer, is exempt from a number of rules under the Exchange Act, is permitted to file less information with the SEC than issuers that are not foreign private issuers and is permitted to follow home country practice in lieu of the listing requirements of Nasdaq, subject to certain exceptions.</w:t>
      </w:r>
    </w:p>
    <w:p>
      <w:pPr>
        <w:spacing w:after="0" w:line="80" w:lineRule="exact"/>
        <w:rPr>
          <w:sz w:val="20"/>
          <w:szCs w:val="20"/>
          <w:color w:val="auto"/>
        </w:rPr>
      </w:pPr>
    </w:p>
    <w:p>
      <w:pPr>
        <w:jc w:val="both"/>
        <w:ind w:left="300" w:right="299" w:firstLine="36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As a foreign private issuer under the Exchange Act, ICON is exempt from certain rules under the Exchange Act, and is not required to file periodic reports and financial statements with the SEC as frequently or as promptly as companies whose securities are registered under the Exchange Act but are not foreign private issuers, or to comply with Regulation FD, which restricts the selective disclosure of material non-public information. In addition, ICON is exempt from certain disclosure and procedural requirements applicable to proxy solicitations under Section 14 of the Exchange Act. The members of the ICON management board, officers and principal shareholders are exempt from the reporting and “short-swing” profit recovery provisions of Section 16 of the Exchange Act. Accordingly, there may be less publicly available information concerning ICON than there is for companies whose securities are registered under the Exchange Act but are not foreign private issuers, and such information may not be provided as promptly as it is provided by such companies. In addition, certain information may be provided by ICON in accordance with Irish law, which may differ in substance or timing from such disclosure requirements under the Exchange Act. Further, as a foreign private issuer, under Nasdaq rules, ICON is subject to less stringent corporate governance requirements. Subject to certain exceptions, the rules of Nasdaq permit a foreign private issuer to follow its home country practice in lieu of the listing requirements of Nasdaq, including, for example, certain internal controls as well as board, committee and director independence requirements. Accordingly, if ICON remains a foreign private issuer after the merger, you may not have the same protections afforded to shareholders of companies that are required to comply with all of the Nasdaq corporate governance requirements. See the section entitled “</w:t>
      </w:r>
      <w:r>
        <w:rPr>
          <w:rFonts w:ascii="Arial" w:cs="Arial" w:eastAsia="Arial" w:hAnsi="Arial"/>
          <w:sz w:val="16"/>
          <w:szCs w:val="16"/>
          <w:b w:val="1"/>
          <w:bCs w:val="1"/>
          <w:color w:val="auto"/>
        </w:rPr>
        <w:t>Governance of ICON after the Merger—Certain exemptions from Nasdaq corporate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beginning on page [</w:t>
      </w:r>
      <w:hyperlink w:anchor="page129">
        <w:r>
          <w:rPr>
            <w:rFonts w:ascii="Arial" w:cs="Arial" w:eastAsia="Arial" w:hAnsi="Arial"/>
            <w:sz w:val="16"/>
            <w:szCs w:val="16"/>
            <w:u w:val="single" w:color="auto"/>
            <w:color w:val="0000EE"/>
          </w:rPr>
          <w:t>112</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 discussion of ICON’s corporate governance practices that differ from</w:t>
      </w:r>
      <w:r>
        <w:rPr>
          <w:rFonts w:ascii="Arial" w:cs="Arial" w:eastAsia="Arial" w:hAnsi="Arial"/>
          <w:sz w:val="16"/>
          <w:szCs w:val="16"/>
          <w:b w:val="1"/>
          <w:bCs w:val="1"/>
          <w:color w:val="auto"/>
        </w:rPr>
        <w:t xml:space="preserve"> </w:t>
      </w:r>
      <w:r>
        <w:rPr>
          <w:rFonts w:ascii="Arial" w:cs="Arial" w:eastAsia="Arial" w:hAnsi="Arial"/>
          <w:sz w:val="16"/>
          <w:szCs w:val="16"/>
          <w:color w:val="auto"/>
        </w:rPr>
        <w:t>those followed by issuers that are not foreign private issuers under Nasdaq listing standards.</w:t>
      </w:r>
    </w:p>
    <w:p>
      <w:pPr>
        <w:spacing w:after="0" w:line="18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ICON is a public limited company incorporated under the laws of Ireland and a substantial portion of its assets are, and many of its directors and officers reside, outside of the United States. As a result, it may not be possible for shareholders to enforce civil liability provisions of the securities laws of the United States against ICON or ICON’s directors and members of the ICON board.</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is organized under the laws of Ireland. A substantial portion of ICON’s assets are located outside the United States, and many of ICON’s directors and officers and some of the experts named in this joint proxy statement/prospectus are residents of jurisdictions outside of the United States and the assets of such persons may be located outside of the United States. As a result, it may be difficult for investors to effect service within the United States upon ICON and those directors, officers and experts, or to enforce judgments obtained in U.S. courts against ICON or such persons either inside or outside of the United States, or to enforce in U.S. courts judgments obtained against ICON or such persons in courts in jurisdictions outside the United States, in any action predicated upon the civil liability provisions of the federal securities laws of the United States.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There is no certainty that civil liabilities predicated solely upon the federal securities laws of the United States can be enforced in Ireland, whether by original action or by seeking to enforce a judgment of U.S. courts. In addition, punitive damages awards in actions brought in the United States or elsewhere may be unenforceable in Ireland.</w:t>
      </w:r>
    </w:p>
    <w:p>
      <w:pPr>
        <w:spacing w:after="0" w:line="187"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ICON believes that Section 7874 should not apply to ICON as a result of the merger, due to the factual and legal complexity of Section 7874 and the limited authority interpreting it, there can be no assurance that ICON’s view, if challenged, would be sustained. Moreover, it is possible that a future change in law could expand the scope of Section 7874 on a retroactive basis. In this regard, (1) a bill recently introduced in Congress (entitled the “No Tax Breaks for Outsourcing Act”) proposes a change to the anti-inversion rules that would, if enacted in its current form, retroactively pose a significant risk that Section 7874 would cause ICON to become a U.S. corporation as a result of the merger (which risk would depend on factors outside of ICON’s control, including the trading price of ICON common stock on the closing date) and (2) on April 7, 2021, the U.S. Treasury Department released the “Made in America Tax Plan,” which announced President Biden’s proposal to adopt such change, but was silent on whether such change would apply retroactively. ICON believes that, based on the current facts (including the current trading price of ICON common stock), Section 7874, as amended by the proposed bill in its current form, would not apply, but due to the factual and legal uncertainty with respect to Section 7874, there can be no assurance that ICON’s view, if challenged, would be sustained. The application of Section 7874 to ICON could have a materially adverse impact on the value of (and the U.S. federal income tax consequences of owning) ICON ordinary shares.</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PRA stockholders should review “</w:t>
      </w:r>
      <w:r>
        <w:rPr>
          <w:rFonts w:ascii="Arial" w:cs="Arial" w:eastAsia="Arial" w:hAnsi="Arial"/>
          <w:sz w:val="18"/>
          <w:szCs w:val="18"/>
          <w:b w:val="1"/>
          <w:bCs w:val="1"/>
          <w:color w:val="auto"/>
        </w:rPr>
        <w:t>Certain United States Federal Income Tax Considerations</w:t>
      </w:r>
      <w:r>
        <w:rPr>
          <w:rFonts w:ascii="Arial" w:cs="Arial" w:eastAsia="Arial" w:hAnsi="Arial"/>
          <w:sz w:val="18"/>
          <w:szCs w:val="18"/>
          <w:color w:val="auto"/>
        </w:rPr>
        <w:t>—</w:t>
      </w:r>
      <w:r>
        <w:rPr>
          <w:rFonts w:ascii="Arial" w:cs="Arial" w:eastAsia="Arial" w:hAnsi="Arial"/>
          <w:sz w:val="18"/>
          <w:szCs w:val="18"/>
          <w:b w:val="1"/>
          <w:bCs w:val="1"/>
          <w:color w:val="auto"/>
        </w:rPr>
        <w:t>Certain</w:t>
      </w:r>
      <w:r>
        <w:rPr>
          <w:rFonts w:ascii="Arial" w:cs="Arial" w:eastAsia="Arial" w:hAnsi="Arial"/>
          <w:sz w:val="18"/>
          <w:szCs w:val="18"/>
          <w:color w:val="auto"/>
        </w:rPr>
        <w:t xml:space="preserve"> </w:t>
      </w:r>
      <w:r>
        <w:rPr>
          <w:rFonts w:ascii="Arial" w:cs="Arial" w:eastAsia="Arial" w:hAnsi="Arial"/>
          <w:sz w:val="18"/>
          <w:szCs w:val="18"/>
          <w:b w:val="1"/>
          <w:bCs w:val="1"/>
          <w:color w:val="auto"/>
        </w:rPr>
        <w:t>U.S. Federal Income Tax Considerations Related to the Ownership and Disposition of ICON Ordinary Shares Received in the Merger</w:t>
      </w:r>
      <w:r>
        <w:rPr>
          <w:rFonts w:ascii="Arial" w:cs="Arial" w:eastAsia="Arial" w:hAnsi="Arial"/>
          <w:sz w:val="18"/>
          <w:szCs w:val="18"/>
          <w:color w:val="auto"/>
        </w:rPr>
        <w:t>—</w:t>
      </w:r>
      <w:r>
        <w:rPr>
          <w:rFonts w:ascii="Arial" w:cs="Arial" w:eastAsia="Arial" w:hAnsi="Arial"/>
          <w:sz w:val="18"/>
          <w:szCs w:val="18"/>
          <w:b w:val="1"/>
          <w:bCs w:val="1"/>
          <w:color w:val="auto"/>
        </w:rPr>
        <w:t>Possible Application of Section 7874 to ICON</w:t>
      </w:r>
      <w:r>
        <w:rPr>
          <w:rFonts w:ascii="Arial" w:cs="Arial" w:eastAsia="Arial" w:hAnsi="Arial"/>
          <w:sz w:val="18"/>
          <w:szCs w:val="18"/>
          <w:color w:val="auto"/>
        </w:rPr>
        <w:t>,” for a more detailed discussion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7874.</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ICON’s Business</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ICON’s business is and will continue to be subject to the risks described in the sections entitled “Risk Factors” in ICON’s Annual Report on Form 20-F for the year ended December 31, 2020 and in other documents incorporated by reference into this joint proxy statement/prospectus. See the section entitled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beginning on page [</w:t>
      </w:r>
      <w:hyperlink w:anchor="page235">
        <w:r>
          <w:rPr>
            <w:rFonts w:ascii="Arial" w:cs="Arial" w:eastAsia="Arial" w:hAnsi="Arial"/>
            <w:sz w:val="18"/>
            <w:szCs w:val="18"/>
            <w:u w:val="single" w:color="auto"/>
            <w:color w:val="0000EE"/>
          </w:rPr>
          <w:t>218</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location of information incorporated by reference into this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PRA’s Business</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PRA’s business is and will continue to be subject to the risks described in the sections entitled “Risk Factors” in PRA’s Annual Report on Form 10-K for the year ended December 31, 2020, and in other documents incorporated by reference into this joint proxy statement/prospectus. See the section entitled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beginning on page [</w:t>
      </w:r>
      <w:hyperlink w:anchor="page235">
        <w:r>
          <w:rPr>
            <w:rFonts w:ascii="Arial" w:cs="Arial" w:eastAsia="Arial" w:hAnsi="Arial"/>
            <w:sz w:val="18"/>
            <w:szCs w:val="18"/>
            <w:u w:val="single" w:color="auto"/>
            <w:color w:val="0000EE"/>
          </w:rPr>
          <w:t>218</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location of information incorporated by reference into this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TO THE MERGER</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plc</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ICON plc is a clinical research organization, founded in Dublin, Ireland in 1990. Over thirty years ICON has grown significantly to become a leading global provider of outsourced development and commercialization services to pharmaceutical, biotechnology, medical device and government and public health organizations. ICON’s mission is to help its clients to accelerate the development of drugs and devices that save lives and improve quality of life. ICON is a public limited company incorporated in Ireland and operates under the Irish Companies Act 2014. The principal executive office and phone number of ICON is:</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South County Business Park</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Leopardstown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Dublin 18</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Republic of Ireland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+353 1 2912000</w:t>
      </w: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US Holdings Inc. and Indigo Merger Sub, Inc.</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ICON US Holdings Inc. is a Delaware corporation and a wholly owned subsidiary of ICON. US HoldCo was formed in 2013 and acts primarily as a holding company for ICON’s US subsidiaries.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Indigo Merger Sub, Inc., a Delaware corporation and a wholly owned subsidiary of ICON and US HoldCo, was formed solely for the purpose of facilitating the merger. Merger Sub has not carried on any activities or operations to date, except for those activities incidental to its formation and undertaken in connection with the merger and the other transactions contemplated by the merger agreement. By operation of the merger, Merger Sub will be merged with and into PRA, with PRA surviving the merger as a wholly owned subsidiary of ICON and US HoldCo. The principal executive office and phone number of each of US HoldCo and Merger Sub 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2100 Pennbrook Parkway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North Wales, PA 19454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+1-215-616-3000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ordinary shares are listed on Nasdaq under the ticker symbol “ICLR.”</w:t>
      </w:r>
    </w:p>
    <w:p>
      <w:pPr>
        <w:spacing w:after="0" w:line="117"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For more information about ICON, please visit ICON’s Internet website at https://iconplc.com. ICON’s Internet website address is provided as an inactive textual reference only. The information contained on ICON’s Internet website or accessible through it (other than the documents incorporated by reference herein) does not constitute a part of this joint proxy statement/prospectus or any other report or document on file with or furnished to the SEC. Additional information about ICON is included in the documents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5">
        <w:r>
          <w:rPr>
            <w:rFonts w:ascii="Arial" w:cs="Arial" w:eastAsia="Arial" w:hAnsi="Arial"/>
            <w:sz w:val="16"/>
            <w:szCs w:val="16"/>
            <w:u w:val="single" w:color="auto"/>
            <w:color w:val="0000EE"/>
          </w:rPr>
          <w:t>218</w:t>
        </w:r>
      </w:hyperlink>
      <w:r>
        <w:rPr>
          <w:rFonts w:ascii="Arial" w:cs="Arial" w:eastAsia="Arial" w:hAnsi="Arial"/>
          <w:sz w:val="16"/>
          <w:szCs w:val="16"/>
          <w:color w:val="auto"/>
        </w:rPr>
        <w:t>].</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Health Sciences, Inc.</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PRA Health Sciences, Inc.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more than 17,500 employees worldwide. Since 2000, PRA has participated in approximately 4,000 clinical trials worldwide. In addition, PRA has participated in the pivotal or supportive trials that led to U.S. Food and Drug Administration or international regulatory approval of more than 95 drugs. PRA’s principal executive offices are located in Raleigh, North Carolina. The principal executive office and phone number of ICON 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4130 ParkLake Avenue, Suite 400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Raleigh, North Carolina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1-919-786-8200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PRA common stock is listed on Nasdaq under the ticker symbol “PRAH.”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For more information about PRA, please visit PRA’s Internet website at http://www.prahs.com. PRA’s internet website address is provided as an inactive textual reference only. The information contained on PRA’s internet website or accessible through it (other than the documents incorporated by reference herein) do not constitute a part of this joint proxy statement/prospectus or any other report or document on file with or furnished to the SEC. Additional information about PRA is included in the documents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5">
        <w:r>
          <w:rPr>
            <w:rFonts w:ascii="Arial" w:cs="Arial" w:eastAsia="Arial" w:hAnsi="Arial"/>
            <w:sz w:val="16"/>
            <w:szCs w:val="16"/>
            <w:u w:val="single" w:color="auto"/>
            <w:color w:val="0000EE"/>
          </w:rPr>
          <w:t>218</w:t>
        </w:r>
      </w:hyperlink>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ICON EXTRAORDINARY GENERAL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joint proxy statement/prospectus is being mailed on or about [•], 2021, to holders of record of ICON ordinary shares as of the close of business April 26, 2021, and constitutes notice of the ICON EGM in conformity with the requirements of the Irish Companies Act and ICON’s constitution.</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joint proxy statement/prospectus is being provided to ICON shareholders as part of a solicitation of proxies by the ICON board of directors for use at the ICON EGM and at any adjournments or postponements of the ICON EGM. ICON shareholders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ICON EGM</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ICON EGM will be held on Tuesday, June 15, 2021, beginning at 3:30 p.m., Dublin time, at ICON’s global headquarters in South County Business Park, Leopardstown, Dublin 18, Ireland.</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ICON encourages shareholders to vote by Internet, by mail or by telephone, rather than attend the ICON EGM in person in light of the public health concerns related to COVID-19. Shareholders are referred to the section below entitled “</w:t>
      </w:r>
      <w:r>
        <w:rPr>
          <w:rFonts w:ascii="Arial" w:cs="Arial" w:eastAsia="Arial" w:hAnsi="Arial"/>
          <w:sz w:val="18"/>
          <w:szCs w:val="18"/>
          <w:b w:val="1"/>
          <w:bCs w:val="1"/>
          <w:color w:val="auto"/>
        </w:rPr>
        <w:t>Attending the ICON EGM</w:t>
      </w:r>
      <w:r>
        <w:rPr>
          <w:rFonts w:ascii="Arial" w:cs="Arial" w:eastAsia="Arial" w:hAnsi="Arial"/>
          <w:sz w:val="18"/>
          <w:szCs w:val="18"/>
          <w:color w:val="auto"/>
        </w:rPr>
        <w:t>”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ICON EGM</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purposes of the ICON EGM are as follows, each as further described in this joint proxy statement/prospectus:</w:t>
      </w:r>
    </w:p>
    <w:p>
      <w:pPr>
        <w:spacing w:after="0" w:line="62" w:lineRule="exact"/>
        <w:rPr>
          <w:sz w:val="20"/>
          <w:szCs w:val="20"/>
          <w:color w:val="auto"/>
        </w:rPr>
      </w:pPr>
    </w:p>
    <w:p>
      <w:pPr>
        <w:ind w:left="1000" w:right="319" w:hanging="348"/>
        <w:spacing w:after="0" w:line="308"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ICON Proposal 1: Approval of the issuance of ICON ordinary shares to PRA stockholders pursuant to the merger agreement</w:t>
      </w:r>
      <w:r>
        <w:rPr>
          <w:rFonts w:ascii="Arial" w:cs="Arial" w:eastAsia="Arial" w:hAnsi="Arial"/>
          <w:sz w:val="17"/>
          <w:szCs w:val="17"/>
          <w:color w:val="auto"/>
        </w:rPr>
        <w:t>. To consider and vote on the ICON share issuance proposal;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ICON Proposal 2: Adjournment of the ICON EGM</w:t>
      </w:r>
      <w:r>
        <w:rPr>
          <w:rFonts w:ascii="Arial" w:cs="Arial" w:eastAsia="Arial" w:hAnsi="Arial"/>
          <w:sz w:val="18"/>
          <w:szCs w:val="18"/>
          <w:color w:val="auto"/>
        </w:rPr>
        <w:t>. To consider and vote on the ICON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ICON Board of Directors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board of directors unanimously recommends that ICON shareholders vote:</w:t>
      </w:r>
    </w:p>
    <w:p>
      <w:pPr>
        <w:spacing w:after="0" w:line="113" w:lineRule="exact"/>
        <w:rPr>
          <w:sz w:val="20"/>
          <w:szCs w:val="20"/>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ICON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ICON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After careful consideration, the ICON board of directors, unanimously (i) determined that the merger agreement and the transactions contemplated thereby are fair to, and in the best interests of, ICON and its stockholders, (ii) directed that the share issuance be submitted to ICON shareholders for their approval and (iii) recommended that ICON shareholders vote in favor of the approval of the share issuance.</w:t>
      </w:r>
    </w:p>
    <w:p>
      <w:pPr>
        <w:spacing w:after="0" w:line="115" w:lineRule="exact"/>
        <w:rPr>
          <w:sz w:val="20"/>
          <w:szCs w:val="20"/>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See also the section entitled “</w:t>
      </w:r>
      <w:r>
        <w:rPr>
          <w:rFonts w:ascii="Arial" w:cs="Arial" w:eastAsia="Arial" w:hAnsi="Arial"/>
          <w:sz w:val="17"/>
          <w:szCs w:val="17"/>
          <w:b w:val="1"/>
          <w:bCs w:val="1"/>
          <w:color w:val="auto"/>
        </w:rPr>
        <w:t>The Merger—ICON’s Reasons for the Merger</w:t>
      </w:r>
      <w:r>
        <w:rPr>
          <w:rFonts w:ascii="Arial" w:cs="Arial" w:eastAsia="Arial" w:hAnsi="Arial"/>
          <w:sz w:val="17"/>
          <w:szCs w:val="17"/>
          <w:color w:val="auto"/>
        </w:rPr>
        <w:t>” beginning on page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for the ICON EGM and Voting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ICON board of directors has fixed the close of business on April 26, 2021 as the record date of the ICON EGM. If you were a holder of record of ICON ordinary shares as of the close of business on the record date you are entitled to receive notice of and to vote at the ICON EGM or any adjournments or postponements thereof. You are entitled to one vote for each ICON ordinary share that you owned as of the close of business on the ICON record date. As of the close of business on the ICON record date, 52,860,690 ICON ordinary shares were outstanding and entitled to vote at the ICON EGM.</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 quorum of shareholders is necessary to conduct the ICON EGM. The presence of three (3) or more shareholders (present by proxy or in person) is necessary to constitute a quorum. Abstentions and broker non-votes will be counted as present for purposes of determining whether there is a quorum. If a quorum is not present, the ICON EGM will be adjourned.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Under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 “broker non-vote” occurs on an item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All of the proposals currently scheduled for consideration at the ICON EGM are “non-routine” matters. Because none of the proposals currently scheduled to be voted on at the ICON EGM are routine matters for which brokers may have discretionary authority to vote, ICON does not expect there to be any broker non-votes at the ICON EGM. As a result, if you hold your ICON ordinary shares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you fail to vote, fail to submit a proxy or fail to return a voting instruction card instructing your broker, bank or other nominee how to vote on any of the ICON proposals, this will have no effect on the vote count for such proposal but, in the case of broker non votes only, will count towards determining whether a quorum is present.</w:t>
      </w:r>
    </w:p>
    <w:p>
      <w:pPr>
        <w:spacing w:after="0" w:line="4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respond with an “abstain” vote on any of the ICON proposals, this will have no effect on the vote count for any such proposal, but will count towards determining whether a quorum is present. Executed but unvoted proxies will be voted in accordance with the recommendations of the ICON board of directors. If additional votes must be solicited to approve the share issuance, it is expected that the meeting will be adjourned to solicit additional proxies.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Votes; Vote of ICON’s Directors and Executive Officers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Approval of each of the ICON proposals requires the affirmative vote of a majority of the votes cast, either in person or by proxy, by shareholders entitled to vote on the ICON share issuance proposal at the ICON EGM. Because the vote required to approve each of the ICON proposals is based on votes properly cast at the ICON EGM, abstentions, along with failures to vote, will have no effect on such proposals.</w:t>
      </w:r>
    </w:p>
    <w:p>
      <w:pPr>
        <w:spacing w:after="0" w:line="63" w:lineRule="exact"/>
        <w:rPr>
          <w:sz w:val="20"/>
          <w:szCs w:val="20"/>
          <w:color w:val="auto"/>
        </w:rPr>
      </w:pPr>
    </w:p>
    <w:p>
      <w:pPr>
        <w:jc w:val="both"/>
        <w:ind w:left="300" w:right="299" w:firstLine="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the record date, ICON directors and executive officers, and their affiliates, as a group, owned and were entitled to vote 638,389 ICON ordinary shares, or approximately 1.21% of the total outstanding ICON ordinary shares. Although none of them has entered into any agreement obligating them to do so, ICON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ICON share issuance proposal and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ICON adjournment proposal. See also the section entitled</w:t>
      </w:r>
      <w:r>
        <w:rPr>
          <w:rFonts w:ascii="Arial" w:cs="Arial" w:eastAsia="Arial" w:hAnsi="Arial"/>
          <w:sz w:val="18"/>
          <w:szCs w:val="18"/>
          <w:b w:val="1"/>
          <w:bCs w:val="1"/>
          <w:color w:val="auto"/>
        </w:rPr>
        <w:t xml:space="preserve"> “Interests of ICON’s Directors and Executive Officers in the Merger” </w:t>
      </w:r>
      <w:r>
        <w:rPr>
          <w:rFonts w:ascii="Arial" w:cs="Arial" w:eastAsia="Arial" w:hAnsi="Arial"/>
          <w:sz w:val="18"/>
          <w:szCs w:val="18"/>
          <w:color w:val="auto"/>
        </w:rPr>
        <w:t>beginning on page [</w:t>
      </w:r>
      <w:hyperlink w:anchor="page183">
        <w:r>
          <w:rPr>
            <w:rFonts w:ascii="Arial" w:cs="Arial" w:eastAsia="Arial" w:hAnsi="Arial"/>
            <w:sz w:val="18"/>
            <w:szCs w:val="18"/>
            <w:u w:val="single" w:color="auto"/>
            <w:color w:val="0000EE"/>
          </w:rPr>
          <w:t>166</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arrangements described in ICON’s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20-F filed with the SEC on February 24, 2021, which is incorporated into this joint proxy statement/prospectus by reference.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000" w:right="29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Through the Internet by logging onto the website indicated on the enclosed proxy 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prompts using the control number located on the proxy card.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By calling using the toll-free (from the United States, Puerto Rico and Canada)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the enclosed proxy card.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 By completing, signing, dating and returning the enclosed proxy card in the envelope provided.</w:t>
      </w:r>
    </w:p>
    <w:p>
      <w:pPr>
        <w:spacing w:after="0" w:line="14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You may also cast your vote in person at ICON EGM. Even if you plan to attend the ICON EGM, ICON recommends that you vote your shares in advance as described above so that your vote will be counted if you later decide not to or become unable to attend the ICON EGM. </w:t>
      </w: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ICON EGM. Shareholders are referred to the section below entitled “Attending the ICON EGM” which sets out further detail on the situation in Ireland and restrictions around in person attendance at the ICON offices. ICON therefore strongly encourages voting via mail, telephone and Internet over in person attendance at the ICON EGM.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To be effective for ICON voting, the proxy card duly completed and executed, together with any authority under which it is executed, or a copy thereof certified, must be received at the registered office of ICON, so as to be received no later than 11:59 p.m. Eastern Time on Monday, June 14, 2021 or if the ICON EGM is adjourned, on the day that falls before the day appointed for the adjourned meeting.</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Alternatively, provided it is received by 11:59 p.m., Eastern Time, on Sunday, June 13, 2021, or if the ICON EGM is adjourned, by 11:59 p.m., Eastern Time, on the day that falls 48 hours before the time appointed for the adjourned meeting, the appointment of a proxy may be submitted electronically, subject to the applicable terms and conditions, via the Internet or by telephone.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of Shares Held in “Street Name”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your shares are held in “street name” by a bank, broker or other nominee, you should follow the instructions you receive from your bank, broker or other nominee on how to vote your shares. Registered shareholders who attend the ICON EGM may vote their shares personally even if they previously have voted their shares.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Any shareholder giving a proxy has the right to revoke it before the proxy is voted at the ICON EGM by taking any of the following actions: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delivering written notice to the company secretary of ICON that is received prior to the commencement of the ICON EGM stating that you have revoked your proxy to the company secretary of ICON at the following address: ICON plc, South County Business Park, Leopardstown, Dublin 18, Ireland, Attention: Company Secretary;</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signing and returning by mail a proxy card with a later date so that it is received by ICON prior to the commencement of the ICON EGM;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attending the ICON EGM and voting in person.</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Execution or revocation of a proxy will not in any way affect a shareholder’s right to attend the ICON EGM and vote in person.</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Unless revoked, all proxies representing shares entitled to vote that are delivered pursuant to this solicitation will be voted at the ICON EGM and, where a choice has been specified on the proxy card, will be voted in accordance with such specification. If an ICON shareholder makes no specification on his, her or its proxy card as to how such ICON shareholder should want their ICON ordinary shares voted, such proxy will be voted as recommended by the ICON board of directors as stated in this joint proxy statement/prospectus, specifically “</w:t>
      </w:r>
      <w:r>
        <w:rPr>
          <w:rFonts w:ascii="Arial" w:cs="Arial" w:eastAsia="Arial" w:hAnsi="Arial"/>
          <w:sz w:val="17"/>
          <w:szCs w:val="17"/>
          <w:b w:val="1"/>
          <w:bCs w:val="1"/>
          <w:color w:val="auto"/>
        </w:rPr>
        <w:t>FOR</w:t>
      </w:r>
      <w:r>
        <w:rPr>
          <w:rFonts w:ascii="Arial" w:cs="Arial" w:eastAsia="Arial" w:hAnsi="Arial"/>
          <w:sz w:val="17"/>
          <w:szCs w:val="17"/>
          <w:color w:val="auto"/>
        </w:rPr>
        <w:t>” the ICON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ICON adjournment proposal.</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ICON is soliciting proxies to provide an opportunity to all ICON shareholders to vote on agenda items, whether or not the shareholders are able to attend the ICON EGM or an adjournment or postponement thereof. ICON will bear the entire cost of soliciting proxies from its stockholders. In addition to the solicitation of proxies by mail, ICON will ask banks, brokers and other custodians, nominees and fiduciaries to forward the proxy solicitation materials to the beneficial owners of ICON ordinary shares held of record by such nominee holders. ICON may be required to reimburse these nominee holders for their customary clerical and mailing expenses incurred in forwarding the proxy solicitation materials to the beneficial owners.</w:t>
      </w:r>
    </w:p>
    <w:p>
      <w:pPr>
        <w:spacing w:after="0" w:line="6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ICON has retained Georgeson LLC to assist in the solicitation process. ICON will pay Georgeson a fee of approximately $20,000, plus costs and expenses. ICON also has agreed to indemnify Georgeson against various liabilities and expenses that relate to or arise out of its solicitation of proxies (subject to certain exceptions). In addition to solicitation by mail, ICON’s directors, officers and other employees may solicit proxies in person, by telephone, electronically, by mail or other means. These persons will not be specifically compensated for doing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ICON EGM</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are entitled to attend the ICON EGM only if you are a shareholder of record of ICON at the close of business on April 26, 2021 (the record date for the ICON EGM) or hold a proxy for such a shareholder. Shares held in “street name” may be voted in person by you only if you obtain a signed legal proxy from your bank, broker or other nominee giving you the right to vote the shares at the ICON EGM.</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Precautions Due to COVID-19 Concerns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latest available public health guidance, it is expected the ICON EGM will proceed under very constrained circumstances given current restrictions on public gatherings in Ireland. Shareholders are strongly encouraged not to attend the meeting in person and instead to vote their shares by proxy as the preferred method of fully and safely exercising their rights. Personal attendance at the AGM may present a health risk to shareholders and others and entry may be refused. ICON advises that shareholders who are experiencing any COVID-19 symptoms or anyone who has been in contact with any person experiencing any COVID-19 symptoms should not attend the ICON EGM in person.</w:t>
      </w:r>
    </w:p>
    <w:p>
      <w:pPr>
        <w:spacing w:after="0" w:line="8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ICON may take additional procedures or limitations applicable to meeting attendees, including restrictions on seating arrangements, health screening requirements and other reasonable or required measures in order to enter the building.</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the event that a change of venue becomes necessary due to public health recommendations regarding containment of COVID-19, which may include the closure of or restrictions on access to the meeting venue, ICON will promptly communicate this to shareholders by an announcement in a press release, on the investor relations page of https://investor.iconplc.com/ and a filing with the U.S. Securities and Exchange Commission. ICON advises shareholders to monitor the page regularly, as circumstances may change on short notice. We recommend that shareholders keep up-to-date with the latest public health guidance regarding travel, self-isolation and health and safety precautions.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the ICON EGM</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preliminary voting results will be announced at the ICON EGM. In addition, within four (4) business days following the ICON EGM, ICON intends to file the final voting results with the SEC on a Form 6-K. If the final voting results have not been certified within that four-business-day period, ICON will report the preliminary voting results on a Form 6-K at that time and will file an amendment to the Form 6-K to report the final voting results within four (4) days of the date that the final results are certified.</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 quorum is present at the ICON EGM but there are not sufficient votes at the time of the ICON EGM to approve the ICON share issuance proposal, then ICON shareholders may be asked to vote on the ICON adjournment proposal.</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adjournment is for more than fourteen (14) days, ICON will give at least seven (7) days clear notice of the adjourned meeting to each ICON shareholder of record entitled to vote at the adjourned meeting as of the record date for determining the stockholders entitled to notice of the ICON EGM.</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At any subsequent reconvening of the ICON EGM at which a quorum is present, any business may be transacted that might have been transacted at the original meeting and all proxies will be voted in the same manner as they would have been voted at the original convening of the ICON EGM, except for any proxies that have been effectively revoked or withdrawn prior to the time the proxy is voted at the reconvened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ICON EGM, please contact Georgeson LLC, the proxy solicitation agent for ICON: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Georgeson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1290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10104</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1-866-295-4321 (toll-free within the United States)</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1-781-575-2137 (outside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ICON@georgeson.com</w:t>
      </w:r>
    </w:p>
    <w:p>
      <w:pPr>
        <w:spacing w:after="0" w:line="99"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 xml:space="preserve">ICON SHAREHOLDERS SHOULD CAREFULLY READ THIS JOINT PROXY STATEMENT/PROSPECTUS IN ITS ENTIRETY FOR MORE DETAILED INFORMATION CONCERNING THE MERGER AGREEMENT AND THE MERGER. IN PARTICULAR, ICON SHAREHOLDERS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PROPOSAL 1: APPROVAL OF SHARE ISSUANCE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This joint proxy statement/prospectus is being furnished to you as a shareholder of ICON as part of the solicitation of proxies by the ICON board of directors for use at the ICON EGM to consider and vote upon a proposal to approve the issuance of ICON ordinary shares to PRA stockholders pursuant to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Under Irish law, the directors of a company may issue new shares without shareholder approval once authorized to do so by its constitution or by an ordinary resolution adopted by the shareholders at a general meeting. ICON has a pre-existing shareholder approval, from its last annual general meeting, to issue shares up to an amount equal to approximately 20% of its issued and outstanding share capital. It is currently estimated that ICON will issue or reserve for issuance approximately 28,831,766 ICON ordinary shares to PRA stockholders pursuant to the merger agreement, which will exceed the existing 20% approval limit. Accordingly ICON shareholder approval is required prior to the issuance of ICON ordinary shares to PRA stockholders pursuant to the merger agreement.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the share issuance is a condition to the completion of the merger.</w:t>
      </w:r>
    </w:p>
    <w:p>
      <w:pPr>
        <w:spacing w:after="0" w:line="11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ICON board of directors unanimously recommends that ICON shareholders approve the following resolution as an ordinary resolution:</w:t>
      </w:r>
    </w:p>
    <w:p>
      <w:pPr>
        <w:spacing w:after="0" w:line="5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subject to applicable rules and listing standards of Nasdaq, the Directors of ICON be and they are hereby generally and unconditionally authorized pursuant to section 1021 of the Companies Act 2014 to exercise all the powers of ICON to allot relevant securities (within the meaning of section 1021 of the Companies Act 2014) as contemplated by the Agreement and Plan of Merger, dated as of February 24, 2021 (as it may be amended from time to time), which is referred to as the merger agreement, by and among ICON, ICON US Holdings Inc., Indigo Merger Sub, Inc. and PRA Health Sciences, Inc., up to an aggregate nominal amount of ICON ordinary shares necessary for purposes of satisfying the aggregate issuance of ICON ordinary shares in connection with and pursuant to the merger agreement, provided that such authority shall (a) expire on December 31, 2022 or such later date as may be determined by the ICON board of directors from time to time (provided that under the Companies Act, such later date cannot be more than five (5) years after the date on which this resolution is passed), and (b) be without prejudice and in addition to the authority under the said Section 1021 previously granted to the ICON board of directors pursuant to an ordinary resolution passed at the annual general meeting of ICON held on July 21, 2020.”</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ICON share issuance proposal is being proposed as an ordinary resolution and therefore requires the affirmative vote of a majority of votes cast, in person or by proxy, on the proposal. A shareholder’s abstention and a broker non-vote or other failure to vote will have no effect on the proposal.</w:t>
      </w:r>
    </w:p>
    <w:p>
      <w:pPr>
        <w:spacing w:after="0" w:line="112"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AN ICON SHAREHOLDER, THE ICON BOARD OF DIRECTORS UNANIMOUSLY RECOMMENDS THAT YOU VOTE “FOR” THE ICON SHARE ISSUANCE PROPOSAL (ICON PROPOSAL 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PROPOSAL 2: ADJOURNMENT OF THE ICON EGM</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ICON EGM may be adjourned to another time and place if necessary to permit solicitation of additional proxies if there are not sufficient votes to approve the ICON share issuance proposal or to ensure that any supplement or amendment to this joint proxy statement/prospectus is timely provided to the ICON shareholders.</w:t>
      </w:r>
    </w:p>
    <w:p>
      <w:pPr>
        <w:spacing w:after="0" w:line="4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ICON is asking its shareholders to authorize the holder of any proxy solicited by the ICON board of directors to vote in favor of any such adjournment to the ICON EGM, if such an adjournment is required or deemed appropriate.</w:t>
      </w:r>
    </w:p>
    <w:p>
      <w:pPr>
        <w:spacing w:after="0" w:line="12"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ICON board of directors unanimously recommends that ICON shareholders approve the following resolution as an ordinary resolution:</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“That the Chairperson of the meeting be and is hereby authorized to adjourn the meeting to another time and place if, in the discretion of the Chairperson, it is necessary or appropriate to, among other things, solicit additional proxies if there are insufficient votes received by way of proxy, at the time of the meeting to approve the ICON share issuance proposal.”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ICON adjournment proposal is being proposed as an ordinary resolution and therefore requires the affirmative vote of a majority of votes cast, in person or by proxy, on the proposal. A shareholder’s abstention and a broker non-vote or other failure to vote will have no effect on the proposal.</w:t>
      </w:r>
    </w:p>
    <w:p>
      <w:pPr>
        <w:spacing w:after="0" w:line="126"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AN ICON SHAREHOLDER, THE ICON BOARD OF DIRECTORS UNANIMOUSLY RECOMMENDS THAT YOU VOTE “FOR” THE ICON ADJOURNMENT PROPOSAL (ICON PROPOSAL 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PRA STOCKHOLDER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joint proxy statement/prospectus is being mailed on or about [•], 2021, to holders of record of PRA common stock as of the close of business on April 26, 2021, and constitutes notice of the PRA stockholder meeting in conformity with the requirements of the DGCL.</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This joint proxy statement/prospectus is being provided to PRA stockholders as part of a solicitation of proxies by the PRA board of directors for use at the PRA stockholder meeting and at any adjournments or postponements of the PRA stockholder meeting. PRA stockholders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PRA Stockholder Meeting</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live, audio-only virtual PRA stockholder meeting is scheduled to be held at 10:30 a.m., Eastern Time, on June 15, 2021, at www.virtualshareholdermeeting.com/PRAH2021SM, unless postponed to a later date. The PRA stockholder meeting will be held online only and you will not be able to attend in person. Online check-in will begin at 10:15 a.m. Eastern Time and you should allow ample time for the check-in procedures. You will be able to vote your shares electronically by Internet and submit questions online during the PRA stockholder meeting by logging in to the website listed above using the 16-digit control number included in your proxy card.</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PRA Stockholder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purposes of the PRA stockholder meeting are as follows, each as further described in this joint proxy statement/prospectus:</w:t>
      </w:r>
    </w:p>
    <w:p>
      <w:pPr>
        <w:spacing w:after="0" w:line="62" w:lineRule="exact"/>
        <w:rPr>
          <w:sz w:val="20"/>
          <w:szCs w:val="20"/>
          <w:color w:val="auto"/>
        </w:rPr>
      </w:pPr>
    </w:p>
    <w:p>
      <w:pPr>
        <w:ind w:left="1000" w:right="31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PRA Proposal 1: Adoption of the Merger Agreement</w:t>
      </w:r>
      <w:r>
        <w:rPr>
          <w:rFonts w:ascii="Arial" w:cs="Arial" w:eastAsia="Arial" w:hAnsi="Arial"/>
          <w:sz w:val="18"/>
          <w:szCs w:val="18"/>
          <w:color w:val="auto"/>
        </w:rPr>
        <w:t>. To consider and vote on the PRA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PRA Proposal 2: Approval, on an Advisory (Non-Binding) Basis, of Certain Compensatory Arrangements with PRA Named Executive Officers</w:t>
      </w:r>
      <w:r>
        <w:rPr>
          <w:rFonts w:ascii="Arial" w:cs="Arial" w:eastAsia="Arial" w:hAnsi="Arial"/>
          <w:sz w:val="18"/>
          <w:szCs w:val="18"/>
          <w:color w:val="auto"/>
        </w:rPr>
        <w:t>. To consider and vote on the PRA advisory compensation proposal;</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PRA Proposal 3: Adjournments of the PRA Stockholder Meeting</w:t>
      </w:r>
      <w:r>
        <w:rPr>
          <w:rFonts w:ascii="Arial" w:cs="Arial" w:eastAsia="Arial" w:hAnsi="Arial"/>
          <w:sz w:val="18"/>
          <w:szCs w:val="18"/>
          <w:color w:val="auto"/>
        </w:rPr>
        <w:t>. To consider and vote on the PRA</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PRA Board of Directors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PRA board of directors unanimously recommends that PRA stockholders vote:</w:t>
      </w:r>
    </w:p>
    <w:p>
      <w:pPr>
        <w:spacing w:after="0" w:line="113" w:lineRule="exact"/>
        <w:rPr>
          <w:sz w:val="20"/>
          <w:szCs w:val="20"/>
          <w:color w:val="auto"/>
        </w:rPr>
      </w:pPr>
    </w:p>
    <w:p>
      <w:pPr>
        <w:ind w:left="1000" w:hanging="348"/>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non-binding advisory compensation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3: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After careful consideration, PRA’s board of directors unanimously (i) determined that the merger agreement, the merger and the other transactions contemplated by the merger agreement are fair to, and in the best interests of, PRA and its stockholders and (ii) approved and declared advisable the merger agreement, the merger and the other transactions contemplated by the merger agreement.</w:t>
      </w:r>
    </w:p>
    <w:p>
      <w:pPr>
        <w:spacing w:after="0" w:line="75" w:lineRule="exact"/>
        <w:rPr>
          <w:sz w:val="20"/>
          <w:szCs w:val="20"/>
          <w:color w:val="auto"/>
        </w:rPr>
      </w:pPr>
    </w:p>
    <w:p>
      <w:pPr>
        <w:jc w:val="both"/>
        <w:ind w:left="300" w:right="299" w:firstLine="3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See also the section entitled “</w:t>
      </w:r>
      <w:r>
        <w:rPr>
          <w:rFonts w:ascii="Arial" w:cs="Arial" w:eastAsia="Arial" w:hAnsi="Arial"/>
          <w:sz w:val="18"/>
          <w:szCs w:val="18"/>
          <w:b w:val="1"/>
          <w:bCs w:val="1"/>
          <w:color w:val="auto"/>
        </w:rPr>
        <w:t>The Merger—Recommendation of the PRA Board of Directors; PRA’s</w:t>
      </w:r>
      <w:r>
        <w:rPr>
          <w:rFonts w:ascii="Arial" w:cs="Arial" w:eastAsia="Arial" w:hAnsi="Arial"/>
          <w:sz w:val="18"/>
          <w:szCs w:val="18"/>
          <w:color w:val="auto"/>
        </w:rPr>
        <w:t xml:space="preserve"> </w:t>
      </w:r>
      <w:r>
        <w:rPr>
          <w:rFonts w:ascii="Arial" w:cs="Arial" w:eastAsia="Arial" w:hAnsi="Arial"/>
          <w:sz w:val="18"/>
          <w:szCs w:val="18"/>
          <w:b w:val="1"/>
          <w:bCs w:val="1"/>
          <w:color w:val="auto"/>
        </w:rPr>
        <w:t>Reasons for the Merger</w:t>
      </w:r>
      <w:r>
        <w:rPr>
          <w:rFonts w:ascii="Arial" w:cs="Arial" w:eastAsia="Arial" w:hAnsi="Arial"/>
          <w:sz w:val="18"/>
          <w:szCs w:val="18"/>
          <w:color w:val="auto"/>
        </w:rPr>
        <w:t>” beginning on page [</w:t>
      </w:r>
      <w:hyperlink w:anchor="page90">
        <w:r>
          <w:rPr>
            <w:rFonts w:ascii="Arial" w:cs="Arial" w:eastAsia="Arial" w:hAnsi="Arial"/>
            <w:sz w:val="18"/>
            <w:szCs w:val="18"/>
            <w:u w:val="single" w:color="auto"/>
            <w:color w:val="0000EE"/>
          </w:rPr>
          <w:t>73</w:t>
        </w:r>
      </w:hyperlink>
      <w:r>
        <w:rPr>
          <w:rFonts w:ascii="Arial" w:cs="Arial" w:eastAsia="Arial" w:hAnsi="Arial"/>
          <w:sz w:val="18"/>
          <w:szCs w:val="18"/>
          <w:color w:val="auto"/>
        </w:rPr>
        <w: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for the PRA Stockholder Meeting and Voting Rights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record date to determine who is entitled to receive notice of and to vote at the PRA stockholder meeting or any adjournments or postponements thereof is April 26, 2021. As of the close of business on the record date, there were 64,795,400 shares of PRA common stock outstanding and entitled to vote at the PRA stockholder meeting. Each PRA stockholder is entitled to one vote for any matter properly brought before the PRA stockholder meeting for each share of PRA common stock such holder owned at the close of business on the record date. Only PRA stockholders of record at the close of business on the record date are entitled to receive notice of and to vote at the PRA stockholder meeting and any and all adjournments or postponements thereof. In addition, the stockholder list</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color w:val="auto"/>
        </w:rPr>
        <w:t>will be available for inspection during the PRA stockholder meeting at www.virtualshareholdermeeting.com/PRAH2021SM.</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4" w:name="page75"/>
    <w:bookmarkEnd w:id="74"/>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jc w:val="both"/>
        <w:ind w:left="1300" w:right="1300" w:firstLine="360"/>
        <w:spacing w:after="0" w:line="289" w:lineRule="auto"/>
        <w:rPr>
          <w:sz w:val="20"/>
          <w:szCs w:val="20"/>
          <w:color w:val="auto"/>
        </w:rPr>
      </w:pPr>
      <w:r>
        <w:rPr>
          <w:rFonts w:ascii="Arial" w:cs="Arial" w:eastAsia="Arial" w:hAnsi="Arial"/>
          <w:sz w:val="16"/>
          <w:szCs w:val="16"/>
          <w:color w:val="auto"/>
        </w:rPr>
        <w:t>A quorum of stockholders is necessary to conduct the PRA stockholder meeting. A quorum exists if the holders of at least a majority of the issued and outstanding shares of PRA common stock entitled to vote on such subject matter are represented in person or by proxy at such meeting. PRA stockholders who virtually attend the PRA stockholder meeting via live audio-only webcast at www.virtualshareholdermeeting.com/PRAH2021SM will be considered present “in person” for purposes of establishing a quorum and for all other purposes. Shares of PRA common stock represented at the PRA stockholder meeting and entitled to vote, but not voted, including shares for which a stockholder directs an “abstention” from voting and broker non-votes will be counted for purposes of determining a quorum. If a quorum is not present, the PRA stockholder meeting will be postponed until the holders of the number of shares of PRA common stock required to constitute a quorum attend.</w:t>
      </w:r>
    </w:p>
    <w:p>
      <w:pPr>
        <w:spacing w:after="0" w:line="58" w:lineRule="exact"/>
        <w:rPr>
          <w:sz w:val="20"/>
          <w:szCs w:val="20"/>
          <w:color w:val="auto"/>
        </w:rPr>
      </w:pPr>
    </w:p>
    <w:p>
      <w:pPr>
        <w:jc w:val="both"/>
        <w:ind w:left="1300" w:right="1300" w:firstLine="360"/>
        <w:spacing w:after="0" w:line="285" w:lineRule="auto"/>
        <w:rPr>
          <w:sz w:val="20"/>
          <w:szCs w:val="20"/>
          <w:color w:val="auto"/>
        </w:rPr>
      </w:pPr>
      <w:r>
        <w:rPr>
          <w:rFonts w:ascii="Arial" w:cs="Arial" w:eastAsia="Arial" w:hAnsi="Arial"/>
          <w:sz w:val="16"/>
          <w:szCs w:val="16"/>
          <w:color w:val="auto"/>
        </w:rPr>
        <w:t>Under stock exchange rules, 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that are “non-routine.” Generally, a broker non-vote occurs on an item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such instructions. Under stock exchange rules, “non-routine” matters include the PRA merger agreement proposal (PRA Proposal 1), the PRA non-binding advisory compensation proposal (PRA Proposal 2) and the PRA adjournment proposal (PRA Proposal 3). Because none of the proposals to be voted on at the PRA stockholder meeting are routine matters for which brokers may have discretionary authority to vote, PRA does not expect any broker non-votes at the PRA stockholder meeting. As a result, if you hold your shares of PRA common stock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68" w:lineRule="exact"/>
        <w:rPr>
          <w:sz w:val="20"/>
          <w:szCs w:val="20"/>
          <w:color w:val="auto"/>
        </w:rPr>
      </w:pPr>
    </w:p>
    <w:p>
      <w:pPr>
        <w:jc w:val="both"/>
        <w:ind w:left="1300" w:right="1300" w:firstLine="360"/>
        <w:spacing w:after="0" w:line="255" w:lineRule="auto"/>
        <w:rPr>
          <w:sz w:val="20"/>
          <w:szCs w:val="20"/>
          <w:color w:val="auto"/>
        </w:rPr>
      </w:pPr>
      <w:r>
        <w:rPr>
          <w:rFonts w:ascii="Arial" w:cs="Arial" w:eastAsia="Arial" w:hAnsi="Arial"/>
          <w:sz w:val="18"/>
          <w:szCs w:val="18"/>
          <w:color w:val="auto"/>
        </w:rPr>
        <w:t>If you submit a properly executed proxy card, even if you abstain from voting or vote against the approval of the share issuance or the adoption of the charter amendment, your shares of PRA common stock will be counted for purposes of calculating whether a quorum is present at the PRA stockholder meeting. Executed but unvoted proxies will be voted in accordance with the recommendations of the PRA board of directors. If additional votes must be solicited to approve the share issuance or adopt the charter amendment, it is expected that the meeting will be adjourned to solicit additional proxies.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Required Votes; Vote of PRA’s Directors and Executive Officers</w:t>
      </w:r>
    </w:p>
    <w:p>
      <w:pPr>
        <w:spacing w:after="0" w:line="121"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Except for the PRA adjournment proposal, the vote required to approve all of the proposals listed herein assumes the presence of a quorum.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3340" w:type="dxa"/>
            <w:vAlign w:val="bottom"/>
          </w:tcPr>
          <w:p>
            <w:pPr>
              <w:spacing w:after="0"/>
              <w:rPr>
                <w:sz w:val="16"/>
                <w:szCs w:val="16"/>
                <w:color w:val="auto"/>
              </w:rPr>
            </w:pPr>
          </w:p>
        </w:tc>
        <w:tc>
          <w:tcPr>
            <w:tcW w:w="4460" w:type="dxa"/>
            <w:vAlign w:val="bottom"/>
            <w:gridSpan w:val="2"/>
          </w:tcPr>
          <w:p>
            <w:pPr>
              <w:ind w:left="1160"/>
              <w:spacing w:after="0"/>
              <w:rPr>
                <w:sz w:val="20"/>
                <w:szCs w:val="20"/>
                <w:color w:val="auto"/>
              </w:rPr>
            </w:pPr>
            <w:r>
              <w:rPr>
                <w:rFonts w:ascii="Arial" w:cs="Arial" w:eastAsia="Arial" w:hAnsi="Arial"/>
                <w:sz w:val="14"/>
                <w:szCs w:val="14"/>
                <w:b w:val="1"/>
                <w:bCs w:val="1"/>
                <w:color w:val="auto"/>
              </w:rPr>
              <w:t>Votes Necessary</w:t>
            </w:r>
          </w:p>
        </w:tc>
      </w:tr>
      <w:tr>
        <w:trPr>
          <w:trHeight w:val="39"/>
        </w:trPr>
        <w:tc>
          <w:tcPr>
            <w:tcW w:w="13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49"/>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PRA Proposal 1</w:t>
            </w:r>
          </w:p>
        </w:tc>
        <w:tc>
          <w:tcPr>
            <w:tcW w:w="3340" w:type="dxa"/>
            <w:vAlign w:val="bottom"/>
          </w:tcPr>
          <w:p>
            <w:pPr>
              <w:ind w:left="780"/>
              <w:spacing w:after="0"/>
              <w:rPr>
                <w:sz w:val="20"/>
                <w:szCs w:val="20"/>
                <w:color w:val="auto"/>
              </w:rPr>
            </w:pPr>
            <w:r>
              <w:rPr>
                <w:rFonts w:ascii="Arial" w:cs="Arial" w:eastAsia="Arial" w:hAnsi="Arial"/>
                <w:sz w:val="18"/>
                <w:szCs w:val="18"/>
                <w:color w:val="auto"/>
                <w:w w:val="94"/>
              </w:rPr>
              <w:t>PRA Merger Agreement Proposal</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Approval requires the affirmative vote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majority of the outstanding shares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PRA common stock entitled to vote</w:t>
            </w:r>
          </w:p>
        </w:tc>
      </w:tr>
      <w:tr>
        <w:trPr>
          <w:trHeight w:val="230"/>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thereon.</w:t>
            </w:r>
          </w:p>
        </w:tc>
      </w:tr>
      <w:tr>
        <w:trPr>
          <w:trHeight w:val="580"/>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failure to vote, a broker non-vote or an</w:t>
            </w:r>
          </w:p>
        </w:tc>
      </w:tr>
      <w:tr>
        <w:trPr>
          <w:trHeight w:val="212"/>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abstention will have the same effect as a</w:t>
            </w:r>
          </w:p>
        </w:tc>
      </w:tr>
      <w:tr>
        <w:trPr>
          <w:trHeight w:val="234"/>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tc>
      </w:tr>
      <w:tr>
        <w:trPr>
          <w:trHeight w:val="580"/>
        </w:trPr>
        <w:tc>
          <w:tcPr>
            <w:tcW w:w="130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PRA Proposal 2</w:t>
            </w:r>
          </w:p>
        </w:tc>
        <w:tc>
          <w:tcPr>
            <w:tcW w:w="3340" w:type="dxa"/>
            <w:vAlign w:val="bottom"/>
          </w:tcPr>
          <w:p>
            <w:pPr>
              <w:ind w:left="780"/>
              <w:spacing w:after="0"/>
              <w:rPr>
                <w:sz w:val="20"/>
                <w:szCs w:val="20"/>
                <w:color w:val="auto"/>
              </w:rPr>
            </w:pPr>
            <w:r>
              <w:rPr>
                <w:rFonts w:ascii="Arial" w:cs="Arial" w:eastAsia="Arial" w:hAnsi="Arial"/>
                <w:sz w:val="18"/>
                <w:szCs w:val="18"/>
                <w:color w:val="auto"/>
              </w:rPr>
              <w:t>PRA Advisory Compensation</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Approval requires the affirmative vote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ind w:left="780"/>
              <w:spacing w:after="0"/>
              <w:rPr>
                <w:sz w:val="20"/>
                <w:szCs w:val="20"/>
                <w:color w:val="auto"/>
              </w:rPr>
            </w:pPr>
            <w:r>
              <w:rPr>
                <w:rFonts w:ascii="Arial" w:cs="Arial" w:eastAsia="Arial" w:hAnsi="Arial"/>
                <w:sz w:val="18"/>
                <w:szCs w:val="18"/>
                <w:color w:val="auto"/>
              </w:rPr>
              <w:t>Proposal</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majority in voting power of the shares</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of PRA common stock so represented at</w:t>
            </w:r>
          </w:p>
        </w:tc>
      </w:tr>
      <w:tr>
        <w:trPr>
          <w:trHeight w:val="230"/>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the PRA stockholder meeting.</w:t>
            </w:r>
          </w:p>
        </w:tc>
      </w:tr>
      <w:tr>
        <w:trPr>
          <w:trHeight w:val="783"/>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58</w:t>
            </w:r>
          </w:p>
        </w:tc>
        <w:tc>
          <w:tcPr>
            <w:tcW w:w="3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75" w:name="page76"/>
    <w:bookmarkEnd w:id="7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400"/>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940" w:type="dxa"/>
            <w:vAlign w:val="bottom"/>
          </w:tcPr>
          <w:p>
            <w:pPr>
              <w:spacing w:after="0"/>
              <w:rPr>
                <w:sz w:val="24"/>
                <w:szCs w:val="24"/>
                <w:color w:val="auto"/>
              </w:rPr>
            </w:pPr>
          </w:p>
        </w:tc>
        <w:tc>
          <w:tcPr>
            <w:tcW w:w="3360" w:type="dxa"/>
            <w:vAlign w:val="bottom"/>
          </w:tcPr>
          <w:p>
            <w:pPr>
              <w:ind w:left="1360"/>
              <w:spacing w:after="0"/>
              <w:rPr>
                <w:sz w:val="20"/>
                <w:szCs w:val="20"/>
                <w:color w:val="auto"/>
              </w:rPr>
            </w:pPr>
            <w:r>
              <w:rPr>
                <w:rFonts w:ascii="Arial" w:cs="Arial" w:eastAsia="Arial" w:hAnsi="Arial"/>
                <w:sz w:val="14"/>
                <w:szCs w:val="14"/>
                <w:b w:val="1"/>
                <w:bCs w:val="1"/>
                <w:color w:val="auto"/>
              </w:rPr>
              <w:t>Votes Necessary</w:t>
            </w:r>
          </w:p>
        </w:tc>
      </w:tr>
      <w:tr>
        <w:trPr>
          <w:trHeight w:val="39"/>
        </w:trPr>
        <w:tc>
          <w:tcPr>
            <w:tcW w:w="1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45"/>
        </w:trPr>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6"/>
              </w:rPr>
              <w:t>An abstention will have the same effect</w:t>
            </w:r>
          </w:p>
        </w:tc>
      </w:tr>
      <w:tr>
        <w:trPr>
          <w:trHeight w:val="220"/>
        </w:trPr>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PRA</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7"/>
              </w:rPr>
              <w:t>compensation proposal, while a broker</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2"/>
              </w:rPr>
              <w:t>non-vote or other failure to vote will have</w:t>
            </w:r>
          </w:p>
        </w:tc>
      </w:tr>
      <w:tr>
        <w:trPr>
          <w:trHeight w:val="230"/>
        </w:trPr>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0"/>
              </w:rPr>
              <w:t>no effect on the outcome of this proposal.</w:t>
            </w:r>
          </w:p>
        </w:tc>
      </w:tr>
      <w:tr>
        <w:trPr>
          <w:trHeight w:val="580"/>
        </w:trPr>
        <w:tc>
          <w:tcPr>
            <w:tcW w:w="2120" w:type="dxa"/>
            <w:vAlign w:val="bottom"/>
            <w:gridSpan w:val="2"/>
          </w:tcPr>
          <w:p>
            <w:pPr>
              <w:spacing w:after="0"/>
              <w:rPr>
                <w:sz w:val="20"/>
                <w:szCs w:val="20"/>
                <w:color w:val="auto"/>
              </w:rPr>
            </w:pPr>
            <w:r>
              <w:rPr>
                <w:rFonts w:ascii="Arial" w:cs="Arial" w:eastAsia="Arial" w:hAnsi="Arial"/>
                <w:sz w:val="18"/>
                <w:szCs w:val="18"/>
                <w:color w:val="auto"/>
              </w:rPr>
              <w:t>PRA Proposal 3</w:t>
            </w:r>
          </w:p>
        </w:tc>
        <w:tc>
          <w:tcPr>
            <w:tcW w:w="2940" w:type="dxa"/>
            <w:vAlign w:val="bottom"/>
          </w:tcPr>
          <w:p>
            <w:pPr>
              <w:ind w:left="580"/>
              <w:spacing w:after="0"/>
              <w:rPr>
                <w:sz w:val="20"/>
                <w:szCs w:val="20"/>
                <w:color w:val="auto"/>
              </w:rPr>
            </w:pPr>
            <w:r>
              <w:rPr>
                <w:rFonts w:ascii="Arial" w:cs="Arial" w:eastAsia="Arial" w:hAnsi="Arial"/>
                <w:sz w:val="18"/>
                <w:szCs w:val="18"/>
                <w:color w:val="auto"/>
              </w:rPr>
              <w:t>PRA Adjournment Proposal</w:t>
            </w:r>
          </w:p>
        </w:tc>
        <w:tc>
          <w:tcPr>
            <w:tcW w:w="3360" w:type="dxa"/>
            <w:vAlign w:val="bottom"/>
          </w:tcPr>
          <w:p>
            <w:pPr>
              <w:ind w:left="340"/>
              <w:spacing w:after="0"/>
              <w:rPr>
                <w:sz w:val="20"/>
                <w:szCs w:val="20"/>
                <w:color w:val="auto"/>
              </w:rPr>
            </w:pPr>
            <w:r>
              <w:rPr>
                <w:rFonts w:ascii="Arial" w:cs="Arial" w:eastAsia="Arial" w:hAnsi="Arial"/>
                <w:sz w:val="18"/>
                <w:szCs w:val="18"/>
                <w:color w:val="auto"/>
                <w:w w:val="94"/>
              </w:rPr>
              <w:t>Approval requires the affirmative vote of</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5"/>
              </w:rPr>
              <w:t>a majority in voting power of the shares</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2"/>
              </w:rPr>
              <w:t>of PRA common stock so represented at</w:t>
            </w:r>
          </w:p>
        </w:tc>
      </w:tr>
      <w:tr>
        <w:trPr>
          <w:trHeight w:val="230"/>
        </w:trPr>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the PRA stockholder meeting.</w:t>
            </w:r>
          </w:p>
        </w:tc>
      </w:tr>
    </w:tbl>
    <w:p>
      <w:pPr>
        <w:spacing w:after="0" w:line="36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An abstention will have the same effect</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PRA</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adjournment proposal, while a broker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non-vote or other failure to vote will have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no effect on the outcome of this proposal.</w:t>
      </w:r>
    </w:p>
    <w:p>
      <w:pPr>
        <w:spacing w:after="0" w:line="180" w:lineRule="exact"/>
        <w:rPr>
          <w:sz w:val="20"/>
          <w:szCs w:val="20"/>
          <w:color w:val="auto"/>
        </w:rPr>
      </w:pPr>
    </w:p>
    <w:p>
      <w:pPr>
        <w:jc w:val="both"/>
        <w:ind w:left="300" w:right="299" w:firstLine="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of the record date, PRA directors and executive officers, and their affiliates, as a group, owned and were entitled to vote 981,275 shares of PRA common stock, or approximately 1.5% of the total outstanding shares of PRA common stock. PRA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 “</w:t>
      </w:r>
      <w:r>
        <w:rPr>
          <w:rFonts w:ascii="Arial" w:cs="Arial" w:eastAsia="Arial" w:hAnsi="Arial"/>
          <w:sz w:val="18"/>
          <w:szCs w:val="18"/>
          <w:b w:val="1"/>
          <w:bCs w:val="1"/>
          <w:color w:val="auto"/>
        </w:rPr>
        <w:t>FOR</w:t>
      </w:r>
      <w:r>
        <w:rPr>
          <w:rFonts w:ascii="Arial" w:cs="Arial" w:eastAsia="Arial" w:hAnsi="Arial"/>
          <w:sz w:val="18"/>
          <w:szCs w:val="18"/>
          <w:color w:val="auto"/>
        </w:rPr>
        <w:t>” the PRA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 See also the section entitled “</w:t>
      </w:r>
      <w:r>
        <w:rPr>
          <w:rFonts w:ascii="Arial" w:cs="Arial" w:eastAsia="Arial" w:hAnsi="Arial"/>
          <w:sz w:val="18"/>
          <w:szCs w:val="18"/>
          <w:b w:val="1"/>
          <w:bCs w:val="1"/>
          <w:color w:val="auto"/>
        </w:rPr>
        <w:t>Interests of PRA’s Directors and Executive Officers in 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beginning on page [</w:t>
      </w:r>
      <w:hyperlink w:anchor="page184">
        <w:r>
          <w:rPr>
            <w:rFonts w:ascii="Arial" w:cs="Arial" w:eastAsia="Arial" w:hAnsi="Arial"/>
            <w:sz w:val="18"/>
            <w:szCs w:val="18"/>
            <w:u w:val="single" w:color="auto"/>
            <w:color w:val="0000EE"/>
          </w:rPr>
          <w:t>167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PRA’s Amendment to Annual Report on Form 10-K/A for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2020 filed with the SEC on March 30, 2021, which is incorporated into this joint proxy statement/prospectus by reference.</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Voting</w:t>
      </w:r>
    </w:p>
    <w:p>
      <w:pPr>
        <w:spacing w:after="0" w:line="67" w:lineRule="exact"/>
        <w:rPr>
          <w:sz w:val="20"/>
          <w:szCs w:val="20"/>
          <w:color w:val="auto"/>
        </w:rPr>
      </w:pPr>
    </w:p>
    <w:p>
      <w:pPr>
        <w:jc w:val="both"/>
        <w:ind w:left="1000" w:right="319" w:hanging="348"/>
        <w:spacing w:after="0" w:line="286" w:lineRule="auto"/>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By Internet: </w:t>
      </w:r>
      <w:r>
        <w:rPr>
          <w:rFonts w:ascii="Arial" w:cs="Arial" w:eastAsia="Arial" w:hAnsi="Arial"/>
          <w:sz w:val="17"/>
          <w:szCs w:val="17"/>
          <w:color w:val="auto"/>
        </w:rPr>
        <w:t>If you are a stockholder of record, you can vote at www.proxyvote.com, twenty-four (24)</w:t>
      </w:r>
      <w:r>
        <w:rPr>
          <w:rFonts w:ascii="Arial" w:cs="Arial" w:eastAsia="Arial" w:hAnsi="Arial"/>
          <w:sz w:val="17"/>
          <w:szCs w:val="17"/>
          <w:i w:val="1"/>
          <w:iCs w:val="1"/>
          <w:color w:val="auto"/>
        </w:rPr>
        <w:t xml:space="preserve"> </w:t>
      </w:r>
      <w:r>
        <w:rPr>
          <w:rFonts w:ascii="Arial" w:cs="Arial" w:eastAsia="Arial" w:hAnsi="Arial"/>
          <w:sz w:val="17"/>
          <w:szCs w:val="17"/>
          <w:color w:val="auto"/>
        </w:rPr>
        <w:t>hours a day, seven (7) days a week. You will need the 16-digit control number included on your proxy card or your paper voting instruction form (if you received a paper copy of the proxy materials).</w:t>
      </w:r>
    </w:p>
    <w:p>
      <w:pPr>
        <w:spacing w:after="0" w:line="3"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If you are a stockholder of record, you can vote using a touch-tone telephone by calling 1-800-690-6903, twenty-four (24) hours a day, seven (7) days a week. You will need the 16-digit control number included on your proxy card or your paper voting instruction form (if you received a paper copy of the proxy materials).</w:t>
      </w:r>
    </w:p>
    <w:p>
      <w:pPr>
        <w:spacing w:after="0" w:line="2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have received a paper copy of the proxy materials by mail, you may complete, sign,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return by mail the paper proxy card or voting instruction form sent to you in the envelope provided to you with your proxy materials or voting instruction form.</w:t>
      </w:r>
    </w:p>
    <w:p>
      <w:pPr>
        <w:spacing w:after="0" w:line="21"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Voting Virtually at the PRA Stockholder Meeting</w:t>
      </w:r>
      <w:r>
        <w:rPr>
          <w:rFonts w:ascii="Arial" w:cs="Arial" w:eastAsia="Arial" w:hAnsi="Arial"/>
          <w:sz w:val="18"/>
          <w:szCs w:val="18"/>
          <w:color w:val="auto"/>
        </w:rPr>
        <w:t>: All stockholders of record my vote at the virtual PRA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meeting. If you hold your shares through a bank, broker or other nominee in “street name” (instead of as a registered holder), you must obtain a legal proxy from your bank, broker or other nominee and show proof of the legal proxy in accordance with the instructions provided by your bank, broker, or other nominee. For more information on attending the virtual PRA stockholder meeting, see the section entitled “</w:t>
      </w:r>
      <w:r>
        <w:rPr>
          <w:rFonts w:ascii="Arial" w:cs="Arial" w:eastAsia="Arial" w:hAnsi="Arial"/>
          <w:sz w:val="18"/>
          <w:szCs w:val="18"/>
          <w:b w:val="1"/>
          <w:bCs w:val="1"/>
          <w:color w:val="auto"/>
        </w:rPr>
        <w:t>The PRA Stockholder Meeting—Attending the PRA Stockholder Meeting</w:t>
      </w:r>
      <w:r>
        <w:rPr>
          <w:rFonts w:ascii="Arial" w:cs="Arial" w:eastAsia="Arial" w:hAnsi="Arial"/>
          <w:sz w:val="18"/>
          <w:szCs w:val="18"/>
          <w:color w:val="auto"/>
        </w:rPr>
        <w:t>” beginning on page [</w:t>
      </w:r>
      <w:hyperlink w:anchor="page78">
        <w:r>
          <w:rPr>
            <w:rFonts w:ascii="Arial" w:cs="Arial" w:eastAsia="Arial" w:hAnsi="Arial"/>
            <w:sz w:val="18"/>
            <w:szCs w:val="18"/>
            <w:u w:val="single" w:color="auto"/>
            <w:color w:val="0000EE"/>
          </w:rPr>
          <w:t>61</w:t>
        </w:r>
      </w:hyperlink>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Through your Bank, Broker or Other Nominee: </w:t>
      </w:r>
      <w:r>
        <w:rPr>
          <w:rFonts w:ascii="Arial" w:cs="Arial" w:eastAsia="Arial" w:hAnsi="Arial"/>
          <w:sz w:val="18"/>
          <w:szCs w:val="18"/>
          <w:color w:val="auto"/>
        </w:rPr>
        <w:t>If you hold your shares through a bank,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in “street name” instead of as a registered holder, you may vote by submitting your voting instructions to your bank, broker or other nominee. Please refer to the information from your bank, broker or other nominee on how to submit voting instructions. If you do not provide voting instructions to your bank, broker or other nominee, your shares of PRA common stock will not be voted on any proposal as your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bank, broker or other nominee does not have discretionary authority to vote on any of the proposals to be voted on at the PRA stockholder meeting; see the section entitled “</w:t>
      </w:r>
      <w:r>
        <w:rPr>
          <w:rFonts w:ascii="Arial" w:cs="Arial" w:eastAsia="Arial" w:hAnsi="Arial"/>
          <w:sz w:val="17"/>
          <w:szCs w:val="17"/>
          <w:b w:val="1"/>
          <w:bCs w:val="1"/>
          <w:color w:val="auto"/>
        </w:rPr>
        <w:t>The PRA Stockholder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Quorum; Abstentions and Broker Non-Votes</w:t>
      </w:r>
      <w:r>
        <w:rPr>
          <w:rFonts w:ascii="Arial" w:cs="Arial" w:eastAsia="Arial" w:hAnsi="Arial"/>
          <w:sz w:val="17"/>
          <w:szCs w:val="17"/>
          <w:color w:val="auto"/>
        </w:rPr>
        <w:t>” beginning on page [</w:t>
      </w:r>
      <w:hyperlink w:anchor="page75">
        <w:r>
          <w:rPr>
            <w:rFonts w:ascii="Arial" w:cs="Arial" w:eastAsia="Arial" w:hAnsi="Arial"/>
            <w:sz w:val="17"/>
            <w:szCs w:val="17"/>
            <w:u w:val="single" w:color="auto"/>
            <w:color w:val="0000EE"/>
          </w:rPr>
          <w:t>58</w:t>
        </w:r>
      </w:hyperlink>
      <w:r>
        <w:rPr>
          <w:rFonts w:ascii="Arial" w:cs="Arial" w:eastAsia="Arial" w:hAnsi="Arial"/>
          <w:sz w:val="17"/>
          <w:szCs w:val="17"/>
          <w:color w:val="auto"/>
        </w:rPr>
        <w:t>].</w:t>
      </w:r>
    </w:p>
    <w:p>
      <w:pPr>
        <w:spacing w:after="0" w:line="5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are a stockholder of record, proxies submitted over the Internet, by telephone or by mail as described above must be received by 11:59 p.m., Eastern Time, on June 14, 2021.</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Notwithstanding the above, if you hold your shares in “street name” and you submit voting instructions to your bank, broker or other nominee, your instructions must be received by the bank, broker or other nominee prior to the deadline set forth in the information from your bank, broker or other nominee on how to submit voting instructions.</w:t>
      </w:r>
    </w:p>
    <w:p>
      <w:pPr>
        <w:spacing w:after="0" w:line="4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you deliver a proxy pursuant to this joint proxy statement/prospectus, but do not specify a choice with respect to any proposal set forth in this joint proxy statement/prospectus, your underlying shares of PRA common stock will be voted on such uninstructed proposal in accordance with the recommendation of the PRA board of directors. At the date hereof, PRA’s management has no knowledge of any business that will be presented for consideration at the PRA stockholder meeting and which would be required to be set forth in this joint proxy statement/prospectus or the related PRA proxy card other than the matters set forth in PRA’s Notice of Special Meeting of Stockholders. If any other matter is properly presented at the PRA stockholder meeting for consideration, it is intended that the persons named in the enclosed form of proxy and acting thereunder will vote in accordance with their best judgment on such matter.</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Any stockholder giving a proxy has the right to revoke it before the proxy is voted at the PRA stockholder meeting by any of the following actions:</w:t>
      </w:r>
    </w:p>
    <w:p>
      <w:pPr>
        <w:spacing w:after="0" w:line="62" w:lineRule="exact"/>
        <w:rPr>
          <w:sz w:val="20"/>
          <w:szCs w:val="20"/>
          <w:color w:val="auto"/>
        </w:rPr>
      </w:pPr>
    </w:p>
    <w:p>
      <w:pPr>
        <w:ind w:left="1000" w:right="319" w:hanging="348"/>
        <w:spacing w:after="0" w:line="308" w:lineRule="auto"/>
        <w:tabs>
          <w:tab w:leader="none" w:pos="10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by sending a signed written notice that you revoke your proxy to PRA’s secretary, bearing a later date than your original proxy and mailing it so that it is received prior to the PRA stockholder meeting;</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subsequently submitting a new proxy (including by submitting a proxy via the Internet or telephone) at a later date than your original proxy so that the new proxy is received prior to deadline specified on the accompanying proxy card; or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attending the PRA stockholder meeting virtually via live audio-only webcast at www.virtualshareholdermeeting.com/PRAH2021SM and voting by Internet.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Execution or revocation of a proxy will not in any way affect the stockholder’s right to attend and vote at the virtual stockholder meeting.</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PRA Health Sciences,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North Carolina 27612</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revoked, all proxies representing shares entitled to vote that are delivered pursuant to this solicitation will be voted at the PRA stockholder meeting and, where a choice has been specified on the proxy card, will be voted in accordance with such specification. If a PRA stockholder makes no specification on his, her or its proxy card as to how such PRA stockholder should want his, her or its shares of PRA common stock voted, such proxy will be voted as recommended by the PRA board of directors as stated in this joint proxy statement/prospectus, specifically “</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 “</w:t>
      </w:r>
      <w:r>
        <w:rPr>
          <w:rFonts w:ascii="Arial" w:cs="Arial" w:eastAsia="Arial" w:hAnsi="Arial"/>
          <w:sz w:val="18"/>
          <w:szCs w:val="18"/>
          <w:b w:val="1"/>
          <w:bCs w:val="1"/>
          <w:color w:val="auto"/>
        </w:rPr>
        <w:t>FOR</w:t>
      </w:r>
      <w:r>
        <w:rPr>
          <w:rFonts w:ascii="Arial" w:cs="Arial" w:eastAsia="Arial" w:hAnsi="Arial"/>
          <w:sz w:val="18"/>
          <w:szCs w:val="18"/>
          <w:color w:val="auto"/>
        </w:rPr>
        <w:t>” the PRA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PRA is soliciting proxies to provide an opportunity to all PRA stockholders to vote on agenda items, whether or not the stockholders are able to attend the PRA stockholder meeting or an adjournment or postponement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PRA will bear the entire cost of soliciting proxies from its stockholders. In addition to the solicitation of proxies by mail, PRA will request that banks, brokers and other nominee record holders send proxies and proxy material to the beneficial owners of PRA common stock and secure their voting instructions, if necessary. PRA may be required to reimburse those banks, brokers and other nominees on request for their reasonable expenses in taking those actions.</w:t>
      </w:r>
    </w:p>
    <w:p>
      <w:pPr>
        <w:spacing w:after="0" w:line="4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PRA has also made arrangements with MacKenzie to assist in soliciting proxies and in communicating with PRA stockholders and estimates that it will pay them a fee of approximately $50,000 plus reimbursement for certain fees and expenses. PRA also has agreed to indemnify MacKenzie against various liabilities and expenses that relate to or arise out of its solicitation of proxies (subject to certain exceptions). Proxies may be solicited on behalf of PRA in person, by mail, by telephone, by facsimile, by messenger, via the Internet or by other means of communication, including electronic communication, or by PRA directors, officers and other employees in person, by mail, by telephone, by facsimile, via the Internet or by other means of communication, including electronic communication. Directors, officers and employees of PRA will not be specially compensated for their services or solicitation in this regard.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PRA Stockholder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PRA stockholder meeting will be held entirely online due to the public health concerns regarding the coronavirus (COVID-19) outbreak. You will not be able to attend the PRA stockholder meeting in person. The meeting will be held virtually on June 15, 2021 at 10:30 a.m. Eastern Time via live audio-only webcast at www.virtualshareholdermeeting.com/PRAH2021SM. To attend the meeting as a stockholder, you will need the 16-digit control number included in your proxy card. Online check-in will begin at 10:15 a.m. Eastern Time and you should allow ample time for the check-in procedures. If you do not have your 16-digit control number, you will be able to access and listen to the PRA stockholder meeting but you will not be able to vote your shares or submit questions during the PRA stockholder meeting.</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virtual meeting has been designed to provide the same rights to participate as the stockholder would have at an in-person meeting. Information on how to vote by Internet before and during the PRA stockholder meeting is discussed above.</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you plan to virtually attend the PRA stockholder meeting and vote, PRA still encourages you to vote in advance by the Internet, telephone or (if you received a paper copy of the proxy materials) by mail so that your vote will be counted even if you later decide not to attend the PRA stockholder meeting. Voting your proxy by the Internet, telephone or mail will not limit your right to vote at the PRA stockholder meeting if you later decide to virtually attend. If you own your shares of PRA common stock in “street name” and wish to vote at the PRA stockholder meeting, you must obtain a signed legal proxy from your bank, broker or other nominee giving you the right to vote the shares.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Ask Questions at the PRA Stockholder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virtual PRA stockholder meeting allows PRA stockholders to submit questions during the PRA stockholder meeting in the question box provided at www.virtualshareholdermeeting.com/PRAH2021SM. PRA will respond to as many inquiries at the PRA stockholder meeting as time allows.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to Do if You Have Technical Difficulties or Trouble Accessing the Virtual Meeting Website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meeting website log-in page at www.virtualshareholdermeeting.com/PRAH2021SM.</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to Do if You Cannot Virtually Attend the PRA Stockholder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You may vote your shares before the PRA stockholder meeting by Internet, by proxy or by telephone pursuant to the instructions contained in your proxy card. You do not need to access the PRA stockholder meeting webcast to vote if you submitted your vote via proxy, by Internet or by telephone in advance of the PRA stockholder meeting.</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(2) or more stockholders sharing the same address by delivering a single proxy statement or a single notice addressed to those stockholders. This process, which is commonly referred to as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joint proxy statement/prospectus by writing to: Corporate Secretary, PRA Health Sciences, Inc., 130 ParkLake Avenue, Suite 400, Raleigh, North Carolina 27612 or by calling 1-919-786-8200.</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Tabulation of Votes; Results of the PRA Stockholder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Representatives of Broadridge Financial Solutions, Inc. will tabulate the votes and will act as independent inspector of election at the PRA stockholder meeting.</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Preliminary voting results will be announced at the PRA stockholder meeting. In addition, PRA intends to file the final voting results with the SEC on a Current Report on Form 8-K within four (4) business days after the PRA stockholder meeting.</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chairperson of the meeting or a majority in voting power of the shares represented at the meeting may adjourn the meeting if no quorum is present.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 quorum is present at the PRA stockholder meeting but there are not sufficient votes at the time of the PRA stockholder meeting to approve the PRA merger agreement proposal, then PRA stockholders may be asked to vote on the PRA adjournment proposal.</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the adjournment is for more than 30 days, PRA will give notice of the adjourned meeting to each PRA stockholder of record entitled to vote at the PRA stockholder meeting. If, after the adjournment, a new record date for determination of stockholders entitled to vote is fixed for the adjourned PRA stockholder meeting, the PRA board of directors will fix as the record date for determining PRA stockholders entitled to notice of such adjourned PRA stockholder meeting the same or an earlier date as that fixed for determination of PRA stockholders entitled to vote at the adjourned PRA stockholder meeting, and will give notice of the adjourned PRA stockholder meeting to each PRA stockholder of record entitled to vote at such adjourned meeting PRA stockholder meeting as of the record date so fixed for notice of such adjourned PRA stockholder meeting.</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any subsequent reconvening of the PRA stockholder meeting at which a quorum is present, any business may be transacted that might have been transacted at the original meeting and all proxies will be voted in the same manner as they would have been voted at the original convening of the PRA stockholder meeting, except for any proxies that have been effectively revoked or withdrawn prior to the time the proxy is voted at the reconvened meeting.</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PRA stockholder meeting, please contact MacKenzie Partners, Inc., the proxy solicitation agent for PRA:</w:t>
      </w:r>
    </w:p>
    <w:p>
      <w:pPr>
        <w:spacing w:after="0" w:line="8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1407 Broadway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New York, NY 10018</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Toll-Free: (800) 322-2885</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Call Collect: (212) 929-5500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STOCKHOLDERS SHOULD CAREFULLY READ THIS JOINT PROXY</w:t>
      </w:r>
    </w:p>
    <w:p>
      <w:pPr>
        <w:spacing w:after="0" w:line="27" w:lineRule="exact"/>
        <w:rPr>
          <w:sz w:val="20"/>
          <w:szCs w:val="20"/>
          <w:color w:val="auto"/>
        </w:rPr>
      </w:pPr>
    </w:p>
    <w:p>
      <w:pPr>
        <w:jc w:val="center"/>
        <w:ind w:left="300" w:right="319"/>
        <w:spacing w:after="0" w:line="253" w:lineRule="auto"/>
        <w:rPr>
          <w:sz w:val="20"/>
          <w:szCs w:val="20"/>
          <w:color w:val="auto"/>
        </w:rPr>
      </w:pPr>
      <w:r>
        <w:rPr>
          <w:rFonts w:ascii="Arial" w:cs="Arial" w:eastAsia="Arial" w:hAnsi="Arial"/>
          <w:sz w:val="18"/>
          <w:szCs w:val="18"/>
          <w:b w:val="1"/>
          <w:bCs w:val="1"/>
          <w:color w:val="auto"/>
        </w:rPr>
        <w:t xml:space="preserve">STATEMENT/PROSPECTUS IN ITS ENTIRETY FOR MORE DETAILED INFORMATION CONCERNING THE MERGER AGREEMENT AND THE MERGER. IN PARTICULAR, PRA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PROPOSAL 1: ADOPTION OF THE MERGER AGREEMENT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This joint proxy statement/prospectus is being furnished to you as a stockholder of PRA as part of the solicitation of proxies by the PRA board of directors for use at the PRA stockholder meeting to consider and vote upon a proposal to adopt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PRA board of directors, after due and careful discussion and consideration, unanimously approved and declared advisable the merger agreement, the merger and the other transactions contemplated by the merger agreement and determined that the merger agreement, the merger and the other transactions contemplated by the merger agreement are fair to and in the best interests of PRA and its stockholders.</w:t>
      </w:r>
    </w:p>
    <w:p>
      <w:pPr>
        <w:spacing w:after="0" w:line="63" w:lineRule="exact"/>
        <w:rPr>
          <w:sz w:val="20"/>
          <w:szCs w:val="20"/>
          <w:color w:val="auto"/>
        </w:rPr>
      </w:pPr>
    </w:p>
    <w:p>
      <w:pPr>
        <w:jc w:val="both"/>
        <w:ind w:left="300" w:right="319" w:firstLine="36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The PRA board of directors accordingly unanimously recommends that PRA stockholders adopt the merger agreement, as disclosed in this joint proxy statement/prospectus and particularly the related narrative disclosures in the sections of this joint proxy statement/prospectus entitled “</w:t>
      </w:r>
      <w:r>
        <w:rPr>
          <w:rFonts w:ascii="Arial" w:cs="Arial" w:eastAsia="Arial" w:hAnsi="Arial"/>
          <w:sz w:val="16"/>
          <w:szCs w:val="16"/>
          <w:b w:val="1"/>
          <w:bCs w:val="1"/>
          <w:color w:val="auto"/>
        </w:rPr>
        <w:t>The Merger</w:t>
      </w:r>
      <w:r>
        <w:rPr>
          <w:rFonts w:ascii="Arial" w:cs="Arial" w:eastAsia="Arial" w:hAnsi="Arial"/>
          <w:sz w:val="16"/>
          <w:szCs w:val="16"/>
          <w:color w:val="auto"/>
        </w:rPr>
        <w:t>” beginning on page [</w:t>
      </w:r>
      <w:hyperlink w:anchor="page83">
        <w:r>
          <w:rPr>
            <w:rFonts w:ascii="Arial" w:cs="Arial" w:eastAsia="Arial" w:hAnsi="Arial"/>
            <w:sz w:val="16"/>
            <w:szCs w:val="16"/>
            <w:u w:val="single" w:color="auto"/>
            <w:color w:val="0000EE"/>
          </w:rPr>
          <w:t>66</w:t>
        </w:r>
      </w:hyperlink>
      <w:r>
        <w:rPr>
          <w:rFonts w:ascii="Arial" w:cs="Arial" w:eastAsia="Arial" w:hAnsi="Arial"/>
          <w:sz w:val="16"/>
          <w:szCs w:val="16"/>
          <w:color w:val="auto"/>
        </w:rPr>
        <w:t>] and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Merger Agreement</w:t>
      </w:r>
      <w:r>
        <w:rPr>
          <w:rFonts w:ascii="Arial" w:cs="Arial" w:eastAsia="Arial" w:hAnsi="Arial"/>
          <w:sz w:val="16"/>
          <w:szCs w:val="16"/>
          <w:color w:val="auto"/>
        </w:rPr>
        <w:t>” beginning on page [</w:t>
      </w:r>
      <w:hyperlink w:anchor="page133">
        <w:r>
          <w:rPr>
            <w:rFonts w:ascii="Arial" w:cs="Arial" w:eastAsia="Arial" w:hAnsi="Arial"/>
            <w:sz w:val="16"/>
            <w:szCs w:val="16"/>
            <w:u w:val="single" w:color="auto"/>
            <w:color w:val="0000EE"/>
          </w:rPr>
          <w:t>116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as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Annex A</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joint proxy statement/prospectus.</w:t>
      </w:r>
    </w:p>
    <w:p>
      <w:pPr>
        <w:spacing w:after="0" w:line="4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merger between Merger Sub and PRA cannot be completed without the affirmative vote of a majority of the outstanding shares of PRA common stock entitled to vote thereon. A failure to vote, a broker non-vote or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to adopt the merger agreement.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ARE A PRA STOCKHOLDER, THE PRA BOARD OF DIRECTORS UNANIMOUSLY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RECOMMENDS THAT YOU VOTE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PRA MERGER AGREEMENT PROPOSAL (PRA PROPOSAL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PRA PROPOSAL 2: ADVISORY (NON-BINDING) VOTE ON MERGER-RELATED COMPENSATION FOR NAMED EXECUTIVE OFFICERS</w:t>
      </w:r>
    </w:p>
    <w:p>
      <w:pPr>
        <w:spacing w:after="0" w:line="58" w:lineRule="exact"/>
        <w:rPr>
          <w:sz w:val="20"/>
          <w:szCs w:val="20"/>
          <w:color w:val="auto"/>
        </w:rPr>
      </w:pPr>
    </w:p>
    <w:p>
      <w:pPr>
        <w:jc w:val="both"/>
        <w:ind w:left="300" w:right="299" w:firstLine="360"/>
        <w:spacing w:after="0" w:line="257" w:lineRule="auto"/>
        <w:rPr>
          <w:rFonts w:ascii="Arial" w:cs="Arial" w:eastAsia="Arial" w:hAnsi="Arial"/>
          <w:sz w:val="18"/>
          <w:szCs w:val="18"/>
          <w:color w:val="auto"/>
        </w:rPr>
      </w:pPr>
      <w:r>
        <w:rPr>
          <w:rFonts w:ascii="Arial" w:cs="Arial" w:eastAsia="Arial" w:hAnsi="Arial"/>
          <w:sz w:val="18"/>
          <w:szCs w:val="18"/>
          <w:color w:val="auto"/>
        </w:rPr>
        <w:t>Pursuant to Section 14A of the Exchange Act and the applicable SEC rules issued thereunder, PRA is seeking a non-binding, advisory stockholder approval of the compensation of PRA’s named executive officers that is based on or otherwise relates to the merger as disclosed in the section entitled “</w:t>
      </w:r>
      <w:r>
        <w:rPr>
          <w:rFonts w:ascii="Arial" w:cs="Arial" w:eastAsia="Arial" w:hAnsi="Arial"/>
          <w:sz w:val="18"/>
          <w:szCs w:val="18"/>
          <w:b w:val="1"/>
          <w:bCs w:val="1"/>
          <w:color w:val="auto"/>
        </w:rPr>
        <w:t>Interests of PRA’s Directors and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Officers in the Merger—Merger-Related Compensation—Golden Parachute Compensation</w:t>
      </w:r>
      <w:r>
        <w:rPr>
          <w:rFonts w:ascii="Arial" w:cs="Arial" w:eastAsia="Arial" w:hAnsi="Arial"/>
          <w:sz w:val="18"/>
          <w:szCs w:val="18"/>
          <w:color w:val="auto"/>
        </w:rPr>
        <w:t>”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w:t>
      </w:r>
      <w:hyperlink w:anchor="page187">
        <w:r>
          <w:rPr>
            <w:rFonts w:ascii="Arial" w:cs="Arial" w:eastAsia="Arial" w:hAnsi="Arial"/>
            <w:sz w:val="18"/>
            <w:szCs w:val="18"/>
            <w:u w:val="single" w:color="auto"/>
            <w:color w:val="0000EE"/>
          </w:rPr>
          <w:t>170</w:t>
        </w:r>
      </w:hyperlink>
      <w:r>
        <w:rPr>
          <w:rFonts w:ascii="Arial" w:cs="Arial" w:eastAsia="Arial" w:hAnsi="Arial"/>
          <w:sz w:val="18"/>
          <w:szCs w:val="18"/>
          <w:color w:val="auto"/>
        </w:rPr>
        <w:t>].</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Approval of the advisory compensation proposal is not a condition to completion of the merger and is a vote separate and apart from the vote to adopt the merger agreement. Accordingly, if you are a PRA stockholder, you may vote to approve the PRA merger agreement proposal, and vote not to approve the PRA compensation proposal, and vice versa. If the merger is completed, the merger-related compensation may be paid to PRA’s named executive officers to the extent payable in accordance with the terms of the compensation agreements and arrangements even if PRA stockholders fail to approve the advisory vote regarding merger-related compensation. However, PRA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Accordingly, PRA is asking PRA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following resolution, on a non-binding, advisory basis:</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“RESOLVED, that the compensation that will or may be paid or become payable to PRA’s named executive officers that is based on or otherwise relates to the merger, and the agreements or understandings pursuant to which such compensation will or may be paid or become payable, in each case as disclosed pursuant to Item 402(t) of Regulation S-K in “</w:t>
      </w:r>
      <w:r>
        <w:rPr>
          <w:rFonts w:ascii="Arial" w:cs="Arial" w:eastAsia="Arial" w:hAnsi="Arial"/>
          <w:sz w:val="17"/>
          <w:szCs w:val="17"/>
          <w:b w:val="1"/>
          <w:bCs w:val="1"/>
          <w:color w:val="auto"/>
        </w:rPr>
        <w:t>Interests of PRA’s Directors and Executive Officers in the Merger—Merger-Related</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Compensation—Golden Parachute Compensation</w:t>
      </w:r>
      <w:r>
        <w:rPr>
          <w:rFonts w:ascii="Arial" w:cs="Arial" w:eastAsia="Arial" w:hAnsi="Arial"/>
          <w:sz w:val="17"/>
          <w:szCs w:val="17"/>
          <w:color w:val="auto"/>
        </w:rPr>
        <w:t>” is hereby APPROVED.”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Approval of the PRA compensation proposal requires the affirmative vote of a majority in voting power of the shares of PRA common stock represented at the PRA stockholder meeting. A stockholder’s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PRA compensation proposal, while a broker non-vote or other failure to vote (including a failure to instruct your bank, broker or other nominee to vote) will have no effect on the outcome of the proposal.</w:t>
      </w:r>
    </w:p>
    <w:p>
      <w:pPr>
        <w:spacing w:after="0" w:line="130" w:lineRule="exact"/>
        <w:rPr>
          <w:sz w:val="20"/>
          <w:szCs w:val="20"/>
          <w:color w:val="auto"/>
        </w:rPr>
      </w:pPr>
    </w:p>
    <w:p>
      <w:pPr>
        <w:ind w:left="300" w:right="699" w:firstLine="1151"/>
        <w:spacing w:after="0" w:line="261" w:lineRule="auto"/>
        <w:rPr>
          <w:sz w:val="20"/>
          <w:szCs w:val="20"/>
          <w:color w:val="auto"/>
        </w:rPr>
      </w:pPr>
      <w:r>
        <w:rPr>
          <w:rFonts w:ascii="Arial" w:cs="Arial" w:eastAsia="Arial" w:hAnsi="Arial"/>
          <w:sz w:val="18"/>
          <w:szCs w:val="18"/>
          <w:b w:val="1"/>
          <w:bCs w:val="1"/>
          <w:color w:val="auto"/>
        </w:rPr>
        <w:t>IF YOU ARE A PRA STOCKHOLDER, THE PRA BOARD OF DIRECTORS UNANIMOUSLY RECOMMENDS THAT YOU VOTE “FOR” THE PRA NON-BINDING ADVISORY</w:t>
      </w:r>
    </w:p>
    <w:p>
      <w:pPr>
        <w:jc w:val="center"/>
        <w:ind w:right="39"/>
        <w:spacing w:after="0"/>
        <w:rPr>
          <w:sz w:val="20"/>
          <w:szCs w:val="20"/>
          <w:color w:val="auto"/>
        </w:rPr>
      </w:pPr>
      <w:r>
        <w:rPr>
          <w:rFonts w:ascii="Arial" w:cs="Arial" w:eastAsia="Arial" w:hAnsi="Arial"/>
          <w:sz w:val="18"/>
          <w:szCs w:val="18"/>
          <w:b w:val="1"/>
          <w:bCs w:val="1"/>
          <w:color w:val="auto"/>
        </w:rPr>
        <w:t>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(PRA PROPOSAL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PROPOSAL 3: ADJOURNMENT OF THE PRA STOCKHOLDER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PRA stockholder meeting may be adjourned to another time and place if necessary to permit solicitation of additional proxies if there are not sufficient votes to approve the PRA merger agreement proposal or to ensure that any supplement or amendment to this joint proxy statement/prospectus is timely provided to the PRA stockholders.</w:t>
      </w:r>
    </w:p>
    <w:p>
      <w:pPr>
        <w:spacing w:after="0" w:line="4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is asking its stockholders to authorize the holder of any proxy solicited by the PRA board of directors to vote in favor of any adjournment of the PRA stockholder meeting to solicit additional proxies if there are not sufficient votes to approve the PRA merger agreement proposal or to ensure that any supplement or amendment to this joint proxy statement/prospectus is timely provided to PRA stockholders.</w:t>
      </w:r>
    </w:p>
    <w:p>
      <w:pPr>
        <w:spacing w:after="0" w:line="6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PRA board of directors unanimously recommends that PRA stockholders approve the proposal to adjourn the PRA stockholder meeting, if necessary.</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Whether or not there is a quorum, approval of the PRA adjournment proposal requires the affirmative vote of a majority in voting power of the shares of PRA common stock represented at the PRA stockholder meeting. A stockholder’s abstention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PRA adjournment proposal, while a broker non-vote or other failure to vote (including a failure to instruct your bank, broker or other nominee to vote) will have no effect on the outcome of the proposal.</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Under the PRA bylaws, the chairperson of the PRA stockholder meeting may adjourn the PRA stockholder meeting if no quorum is present.</w:t>
      </w:r>
    </w:p>
    <w:p>
      <w:pPr>
        <w:spacing w:after="0" w:line="112"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 PRA STOCKHOLDER, THE PRA BOARD OF DIRECTORS UNANIMOUSLY RECOMMENDS THAT YOU VOTE “FOR” THE PRA ADJOURNMENT PROPOSAL (PRA PROPOSAL 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300" w:right="299" w:firstLine="36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The following is a description of the material aspects of the merger. While ICON and PRA believe that the following description covers the material terms of the merger, the description may not contain all of the information that is important to you. You are encouraged to read carefully this entire joint proxy statement/prospectus, including the text of the merger agreement attached to this joint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for a more complete understanding of the merger. In addition, important business and financial information about each of ICON and PRA is included in or incorporated by reference into this joint proxy statement/prospectus. See “</w:t>
      </w:r>
      <w:r>
        <w:rPr>
          <w:rFonts w:ascii="Arial" w:cs="Arial" w:eastAsia="Arial" w:hAnsi="Arial"/>
          <w:sz w:val="17"/>
          <w:szCs w:val="17"/>
          <w:b w:val="1"/>
          <w:bCs w:val="1"/>
          <w:i w:val="1"/>
          <w:iCs w:val="1"/>
          <w:color w:val="auto"/>
        </w:rPr>
        <w:t>Where You Can</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Find More Information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beginning on page [</w:t>
      </w:r>
      <w:hyperlink w:anchor="page235">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ICON and PRA have entered into the merger agreement, which provides for the merger of Merger Sub, a Delaware corporation and a wholly owned subsidiary of ICON and US HoldCo, with and into PRA. As a result of the merger, the separate existence of Merger Sub will cease, PRA will continue as the surviving corporation and PRA will be a wholly owned subsidiary US HoldCo and ICON.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30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the parties or any holder of any capital stock of PRA, each share of PRA common stock issued and outstanding immediately prior to the effective time (other than excluded shares, which refers to shares of PRA common stock owned, prior to the effective time, by ICON, US HoldCo, Merger Sub or any other direct or indirect wholly owned subsidiary of ICON or any direct or indirect wholly owned subsidiary of PRA, or held in PRA’s treasury, and dissenting shares (as defined in the section entitled “</w:t>
      </w:r>
      <w:r>
        <w:rPr>
          <w:rFonts w:ascii="Arial" w:cs="Arial" w:eastAsia="Arial" w:hAnsi="Arial"/>
          <w:sz w:val="18"/>
          <w:szCs w:val="18"/>
          <w:b w:val="1"/>
          <w:bCs w:val="1"/>
          <w:color w:val="auto"/>
        </w:rPr>
        <w:t>The Merger Agreement—Dissenting Shares</w:t>
      </w:r>
      <w:r>
        <w:rPr>
          <w:rFonts w:ascii="Arial" w:cs="Arial" w:eastAsia="Arial" w:hAnsi="Arial"/>
          <w:sz w:val="18"/>
          <w:szCs w:val="18"/>
          <w:color w:val="auto"/>
        </w:rPr>
        <w:t>” beginning on page [</w:t>
      </w:r>
      <w:hyperlink w:anchor="page136">
        <w:r>
          <w:rPr>
            <w:rFonts w:ascii="Arial" w:cs="Arial" w:eastAsia="Arial" w:hAnsi="Arial"/>
            <w:sz w:val="18"/>
            <w:szCs w:val="18"/>
            <w:u w:val="single" w:color="auto"/>
            <w:color w:val="0000EE"/>
          </w:rPr>
          <w:t>119</w:t>
        </w:r>
      </w:hyperlink>
      <w:r>
        <w:rPr>
          <w:rFonts w:ascii="Arial" w:cs="Arial" w:eastAsia="Arial" w:hAnsi="Arial"/>
          <w:sz w:val="18"/>
          <w:szCs w:val="18"/>
          <w:color w:val="auto"/>
        </w:rPr>
        <w:t>])) will be converted automatically into the right to receive (i) 0.4125 of one ICON ordinary share and (ii) $80.00 in cash, without interest.</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No fractional ICON ordinary shares will be issued upon the conversion of shares of PRA common stock pursuant to the merger agreement. Each holder of shares of PRA common stock who would otherwise have been entitled to receive fractional ICON ordinary shares pursuant to the merger agreement (after taking into account all shares of PRA common stock exchanged by such holder) will be entitled to receive a cash payment, without interest, in lieu of any such fractional share, equal to the product of (i) such fractional amount and (ii) an amount equal to the last reported sale price per share of ICON ordinary shares on Nasdaq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 authoritative source mutually agreed in good faith by ICON and PRA) on the last complete trading day immediately prior to the date of the effective time.</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either ICON ordinary shares or PRA common stock changes. The market price of ICON ordinary shares has fluctuated since the date of the announcement of the merger agreement and will continue to fluctuate from the date of this joint proxy statement/prospectus to the date of the stockholder meetings and the date the merger is completed and thereafter. The market price of ICON ordinary shares, when received by PRA stockholders after the merger is completed, could be greater than, less than or the same as the market price of ICON ordinary shares on the date of this joint proxy statement/prospectus or at the time of the stockholder meetings. Accordingly, you should obtain current stock price quotations for ICON ordinary shares and PRA common stock before deciding how to vote with respect to the proposals described in this joint proxy statement/prospectus. The common stock of ICON is traded on Nasdaq under the symbol “ICLR” and the common stock of PRA is traded on Nasdaq under the symbol “PRAH.”</w:t>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all excluded shares other than subsidiary-held shares will be cancelled and will cease to exist, and no payment will be made in respect of such shares.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terms of the merger agreement are the result of arm’s-length negotiations between PRA and ICON. The following is a summary of the material events leading up to the entry into the merger agreement and the key meetings, negotiations, discussions and actions between PRA and ICON and their respective advisors that preceded the public announcement of the merger.</w:t>
      </w:r>
    </w:p>
    <w:p>
      <w:pPr>
        <w:spacing w:after="0" w:line="7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PRA board of directors and PRA management periodically review the strategic direction of PRA and evaluate potential opportunities to enhance stockholder value, including through potential business combination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transactions. As part of these reviews, the PRA board of directors has received periodic updates from management and its advisors regarding the clinical research organization (“CRO”) industry, including the continuing consolidation in the CRO industry, PRA’s positioning relative to its peers, capital allocation strategies, and strategic alternatives.</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From time to time in the ordinary course of business, senior executives of PRA, including Colin Shannon, the President and Chief Executive Officer of PRA, have had informal and preliminary conversations about potential strategic combinations in the CRO industry with senior executives of other companies in the CRO industry (including at industry conferences and meetings of industry executives). PRA senior management updates the PRA board of directors regarding these interactions during regularly scheduled and special meetings of the PRA board of directors.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January 29, 2020, Mr. Shannon and Dr. Cutler had a telephone conversation. During the conversation, they discussed the state of the CRO industry, including the continuing consolidation in the CRO industry. No details were discussed with respect to a potential business combination.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24, 2020, Mr. Shannon and Dr. Cutler had a telephone conversation to discuss the state of the CRO industry. No details were discussed with respect to a potential business combination, but Mr. Shannon and Dr. Cutler agreed to speak again regarding a potential business combination and agreed that the two companies should enter into a mutual confidentiality agreement that would enable them to continue their discussions. Following the conversation, Mr. Shannon informed members of each of the PRA board of directors and senior management team regarding what was discussed, including that PRA and ICON would enter into a mutual confidentiality agreement on mutually satisfactory terms.</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February 28, 2020, in anticipation of the next meeting between Mr. Shannon and Dr. Cutler, PRA and ICON entered into a mutual confidentiality agreement. The confidentiality agreement did not contain a standstill provision limiting ICON’s ability to acquire any of PRA’s securities, to participate in any proxy solicitation for PRA stockholder votes or to take similar actions.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Shannon and Dr. Cutler agreed to meet on March 17, 2020 to continue discussing a potential business combination, but the meeting was canceled due to the onset of the COVID-19 pandemic.</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Between mid-March and October, 2020 the companies did not engage in substantive discussions regarding a potential transaction.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October 1, 2020, the meeting between Mr. Shannon and Dr. Cutler, which had been rescheduled from its earlier date, took place. During the meeting, Mr. Shannon and Dr. Cutler discussed the state of the CRO industry and the possibility of a combination of the two companies. Mr. Shannon and Dr. Cutler did not make any specific proposals during the meeting.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October 9, 2020, during a telephone conversation with Mr. Shannon, Dr. Cutler informed Mr. Shannon that he would review the opportunity to pursue a potential business combination with the ICON board of directors during its regularly scheduled meeting the week of October 20 and, if he received support from the ICON board of directors, would respond to Mr. Shannon the week of October 26 to begin coordinating the sharing of high level information that would allow ICON to validate the rationale for a potential business combination and formulate a more specific proposal.</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Mr. Shannon subsequently informed members of each of the PRA board of directors and senior management team of the foregoing conversation.</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October 15, 2020, following preliminary discussions unrelated to the potential transaction with ICON, PRA entered into a non-binding letter of intent with Company A, which set forth preliminary terms of a transaction pursuant to which Company A would acquire a PRA business unit. Following the execution of the letter of intent, Company A conducted more extensive due diligence regarding the business unit. However, no definitive agreements were executed with Company A regarding this potential transaction.</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October 26, 2020, Dr. Cutler informed Mr. Shannon during a telephone conversation that the ICON board of directors had approved moving forward with an information gathering session and that Dr. Cutler would brief the ICON board of directors at their annual December strategy session and make a recommendation on whether to move forward with a potential transaction with PRA. Mr. Shannon and Dr. Cutler agreed to hold a high level meeting to share information on their respective businesses before December.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November 17, 2020, at a regularly scheduled meeting of the PRA board of directors, Mr. Shannon updated the PRA board of directors on the status of discussions with each of Dr. Cutler and with Company A. The PRA board of directors determined that it was supportive of further discussions with ICON for a number of reasons, including the trend towards consolidation in the CRO industry, the benefits of bringing together PRA’s geographic and biotechnology focus with ICON’s geographic and pharmaceutical focus and the suite of capabilities that the combined company could provide to clients, and authorized PRA senior management to have such discussions and exchange confidential information with ICON in furtherance of a potential business combination transaction, but instructed PRA senior management not to discuss any matters pertaining to post-closing employment or compensation, or provide any compensation information to ICON.</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November 20, 2020, members of each of the senior management teams of ICON and PRA met by video conference. At the meeting, PRA management presented an overview of PRA’s business, and ICON management presented an overview of ICON’s business.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December 10, 2020, following a meeting of the ICON board of directors, Dr. Cutler informed Mr. Shannon by telephone that the ICON board of directors was enthusiastic about a potential business combination with PRA and proposed executing a non-binding letter of intent by mid-January, with the goal of conducting due diligence in January and February, 2021, signing a definitive merger agreement by February 23 or 24 and closing the proposed transaction at the end of the second quarter of 2021. Dr. Cutler noted that any ICON proposal would be conditioned on PRA agreeing to grant ICON exclusivity.</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Mr. Shannon subsequently informed members of each of the PRA board of directors and senior management team of the foregoing conversation.</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January 7, 2021, ICON delivered to PRA a written non-binding indication of interest in a transaction in which (i) each share of PRA common stock would be exchanged for $150, comprised of $75 in cash and a number of ICON ordinary shares representing a value of $75 based on a fixed exchange ratio determined by the 20-trading day VWAP of ICON ordinary shares ending the day prior to signing and (ii) Mr. Shannon would join the combined company board of directors. This indication of interest is referred to as the ICON January 7, 2021 proposal. The ICON January 7, 2021 proposal was conditioned on PRA entering into an exclusivity agreement, a draft of which was delivered simultaneously with the ICON January 7, 2021 proposal, and contemplated a target announcement date of February 24, 2021. The draft exclusivity agreement provided for exclusivity through February 28, 2021.</w:t>
      </w:r>
    </w:p>
    <w:p>
      <w:pPr>
        <w:spacing w:after="0" w:line="57" w:lineRule="exact"/>
        <w:rPr>
          <w:sz w:val="20"/>
          <w:szCs w:val="20"/>
          <w:color w:val="auto"/>
        </w:rPr>
      </w:pPr>
    </w:p>
    <w:p>
      <w:pPr>
        <w:jc w:val="both"/>
        <w:ind w:left="300" w:right="299" w:firstLine="360"/>
        <w:spacing w:after="0" w:line="268" w:lineRule="auto"/>
        <w:rPr>
          <w:rFonts w:ascii="Arial" w:cs="Arial" w:eastAsia="Arial" w:hAnsi="Arial"/>
          <w:sz w:val="17"/>
          <w:szCs w:val="17"/>
          <w:color w:val="auto"/>
        </w:rPr>
      </w:pPr>
      <w:r>
        <w:rPr>
          <w:rFonts w:ascii="Arial" w:cs="Arial" w:eastAsia="Arial" w:hAnsi="Arial"/>
          <w:sz w:val="17"/>
          <w:szCs w:val="17"/>
          <w:color w:val="auto"/>
        </w:rPr>
        <w:t>On January 19, 2021, the PRA board of directors held a special meeting. Members of PRA’s senior management team and representatives of each of BofA Securities, UBS and PRA’s outside legal counsel also attended the meeting. Members of PRA’s senior management team updated the PRA board of directors on the status of discussions with Company A, noting that very little progress had been made due to fundamental differences with respect to key commercial and other material terms. Representatives of PRA’s outside legal counsel then reviewed with the PRA board of directors its fiduciary duties under applicable law with respect to its consideration and exploration of a potential transaction with ICON, and certain material relationships of BofA Securities and UBS with PRA and ICON. Members of PRA’s senior management reviewed with the PRA board of directors a forecast of PRA’s future performance, which PRA management proposed to be used by BofA Securities and UBS for purposes of their respective financial analyses and opinions and to be shared with ICON if discussions with ICON progressed. The PRA board of directors approved the financial forecast for such uses. For more information regarding such financial forecast, see the section entitled “</w:t>
      </w:r>
      <w:r>
        <w:rPr>
          <w:rFonts w:ascii="Arial" w:cs="Arial" w:eastAsia="Arial" w:hAnsi="Arial"/>
          <w:sz w:val="17"/>
          <w:szCs w:val="17"/>
          <w:b w:val="1"/>
          <w:bCs w:val="1"/>
          <w:color w:val="auto"/>
        </w:rPr>
        <w:t>The Merger—PRA 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 Representatives of each of BofA Securities and UBS then joined the meeting and reviewed with the PRA board of directors the terms of the ICON January 7, 2021 proposal. The investment banks were engaged as financial advisors to PRA on January 20, 2021.</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January 21, 2021, Company A informed PRA that it was terminating discussions regarding a potential transaction.</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Also on January 21, the PRA board of directors held a special meeting. Members of PRA’s senior management team and representatives of each of BofA Securities, UBS and PRA’s outside legal counsel also attended the meeting. Members of PRA’s senior management team updated the PRA board of directors on Company A’s termination of discussions regarding a potential transaction over fundamental differences regarding core commercial and other material terms. The representatives of each of BofA Securities and UBS then reviewed with the board their preliminary perspectives with respect to the ICON January 7, 2021 proposal. Further, the BofA Securities and UBS representatives reviewed with the PRA board of directors certain potential alternative strategic opportunities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consider, including potential alternative business combination partners, and the PRA board of directors considered, following such review, the strategic rationale for business combinations with such partners and the strategic rationale for a business combination with ICON, including that a business combination with ICON would bring together two highly complementary businesses, that the combined company would be a top pure-play CRO and be well positioned in the event of future consolidation in the CRO industry, that the combined company could provide a comprehensive suite of services to support clients’ global drug development efforts and that the combination would bring together two highly regarded CROs that would be combining from positions of strength. The PRA board of directors also considered the risks associated with initiating a market check and the PRA board of directors’ view that a business combination with ICON was a unique strategic opportunity that could not be replicated through a transaction with another party and that ICON was best positioned to deliver a proposal offering the highest potential value to PRA stockholders. Further, the PRA board of directors discussed its view that consolidation in the industry was likely to happen, and that based on their understanding of the CRO industry, other participants in the industry either could not offer the price ICON would be able to offer because of financial constraints, did not have the right mix of business in their view to be as successful going forward or did not have stock to offer as consideration that was as attractive as the ICON ordinary shares through which PRA stockholders could participate in the growth of the combined company. The PRA board of directors authorized BofA Securities and UBS to reach out to ICON’s financial advisor, Centerview, and to indicate that the PRA board of directors understood the strategic rationale in a combination of PRA and ICON, however, the terms in the ICON January 7, 2021 proposal were insufficient and that in order for the PRA board of directors to consider moving forward on the timeline ICON proposed and potentially grant exclusivity, ICON would need to materially improve its proposal to address both the fundamental value of PRA’s business and to induce the PRA board of directors to move forward on a pre-emptive basis.</w:t>
      </w:r>
    </w:p>
    <w:p>
      <w:pPr>
        <w:spacing w:after="0" w:line="7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On January 22, 2021, as directed by the PRA board of directors, representatives of each of BofA Securities and UBS held a telephone conversation with representatives of Centerview during which they provided feedback on the ICON January 7, 2021 proposal consistent with the PRA board of directors’ authorization.</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January 23, 2021, during a telephone conversation among representatives of each of BofA Securities and UBS, representatives of Centerview indicated that ICON had revised its proposal to $160 per share of PRA common stock, comprised of $80 in cash and a number of ICON ordinary shares representing a value of $80 based on a fixed exchange ratio determined by the 20-trading day VWAP of ICON ordinary shares ending the day prior to signing. The Centerview representatives reiterated that ICON envisioned Mr. Shannon joining the combined company board of directors. This proposal is referred to as the ICON January 23, 2021 proposal. The Centerview representatives further indicated that the ICON January 23, 2021 proposal and ICON’s willingness to proceed was conditioned on PRA agreeing to the proposed exclusivity agreement.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That afternoon, the PRA board of directors held a special meeting. A representative of PRA’s outside legal counsel was present. The PRA board of directors discussed the ICON January 23, 2021 proposal and authorized BofA Securities and UBS to convey to Centerview that further price improvement would be necessary and to deliver to Centerview PRA’s fourth quarter 2020 financial results and financial forecast so that ICON could better understand the fundamental value of PRA.</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That evening, as directed by the PRA board of directors, representatives of each of BofA Securities and UBS held a telephone conversation with representatives of Centerview during which they provided feedback on the ICON January 23, 2021 proposal consistent with the PRA board of directors’ authorization. Following the conversation, representatives of BofA Securities and UBS sent Centerview PRA’s fourth quarter 2020 financial results and financial forecast.</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January 27, 2021, Dr. Cutler called Mr. Shannon regarding the ICON January 23, 2021 proposal and the strategic rationale and timing for a proposed transaction, including the consolidation in the CRO industry. No specific revisions to the ICON January 23, 2021 proposal were discussed, but Mr. Shannon noted that any revised proposal would need to both address the fundamental value of PRA and be sufficient to induce the PRA board of directors to move forward on a pre-emptive basis. Mr. Shannon also noted that the PRA board of directors believed that more than one seat on the combined company board of directors should be filled by a current PRA director. Dr. Cutler said he would discuss with the ICON board of directors, and that Mr. Shannon continuing as a director on the combined company board of directors was a prerequisite for ICON pursuing the proposed transaction.</w:t>
      </w:r>
    </w:p>
    <w:p>
      <w:pPr>
        <w:spacing w:after="0" w:line="5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Later on January 27, 2021, representatives of each of BofA Securities and UBS held a telephone conversation with representatives of Centerview. During the conversation, representatives of Centerview verbally communicated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 revised proposal of $162.50 per share of PRA common stock, comprised of $80 in cash and a number of ICON ordinary shares representing a value of $82.50 based on a fixed exchange ratio determined by the 20-trading day VWAP of ICON ordinary shares ending the day prior to signing. The Centerview representatives reiterated that ICON envisioned Mr. Shannon joining the combined company board of directors. This proposal is referred to as the ICON January 27, 2021 proposal. The Centerview representatives further indicated that the ICON January 27, 2021 proposal and ICON’s willingness to proceed was conditioned on PRA agreeing to the proposed exclusivity agreement.</w:t>
      </w:r>
    </w:p>
    <w:p>
      <w:pPr>
        <w:spacing w:after="0" w:line="8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In the afternoon of January 27, 2021, the PRA board of directors held a special meeting. Representatives of PRA’s outside legal counsel were present. The PRA board of directors discussed the ICON January 27, 2021 proposal, the fact that ICON had consistently reiterated that any proposal was conditioned on exclusivity, their belief that ICON would not be willing to offer more than $165 per share, the low likelihood that other strategic or private buyers would be able to pay a greater price than ICON was currently offering and that the PRA board of directors believed ICON to be a strong counterparty and placed a high value on ICON ordinary shares and the potential upside that PRA stockholders could realize through their ability to retain ownership in the combined company. A representative from PRA’s outside legal counsel then reviewed with the PRA board of directors the proposed terms of the exclusivity agreement and its fiduciary duties under applicable law with respect to entering into such agreement. The PRA board of directors discussed the strategic rationale of the proposed transaction and the financial analyses and considerations with respect to the potential transaction that representatives of each of BofA Securities and UBS had presented at various meetings, including the CRO industry and PRA’s and ICON’s relative positioning in the industry, that the combined company would be able to offer clients more robust offerings across more geographic areas, the advantages of a combination with ICON as opposed to alternative transactions and the financial prospects of PRA in light of the long range projections. The PRA board of directors also discussed the drawbacks of entering into the exclusivity agreement, including that during the exclusivity period PRA would not be able to conduct a market check or enter into alternative transactions with other potential counterparties. In light of the foregoing, the PRA board of directors determined that it was in the best interests of PRA and its stockholders to enter into the proposed exclusivity agreement in order to continue discussions and negotiations with ICON regarding a potential transaction and to authorize BofA Securities and UBS to inform Centerview that the PRA board of directors would be willing to move forward towards a transaction with ICON, and to grant exclusivity through February 24, 2021, at an offer price per share of $165, comprised of $80 in cash and the remainder in ICON ordinary shares.</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That evening, as directed by the PRA board of directors, representatives of each of BofA Securities and UBS held a telephone conversation with representatives of Centerview during which they provided feedback on the ICON January 27, 2021 proposal consistent with the PRA board of directors’ authorization.</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January 28, 2021, representatives of each of BofA Securities and UBS held a telephone conversation with representatives of Centerview. During the conversation, representatives of Centerview verbally communicated a revised proposal of $165 per share of PRA common stock, comprised of $80 in cash and a number of ICON ordinary shares representing a value of $85.00 based on a fixed exchange ratio determined by the 20-trading day VWAP of ICON ordinary shares ending the day prior to signing. This proposal is referred to as the ICON January 28, 2021 proposal. The Centerview representatives reiterated that ICON envisioned Mr. Shannon joining the combined company board of directors, and that the ICON January 28, 2021 proposal and ICON’s willingness to proceed was conditioned on PRA agreeing to the proposed exclusivity agreement.</w:t>
      </w:r>
    </w:p>
    <w:p>
      <w:pPr>
        <w:spacing w:after="0" w:line="7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Later on January 28, 2021, Mr. Shannon and Dr. Cutler had a telephone conversation to discuss the ICON January 28, 2021 proposal. During the conversation, Mr. Shannon confirmed that the PRA board of directors was willing to move forward towards a transaction with ICON on the basis of the January 28, 2021 proposal.</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January 29, 2021, a representative of PRA’s outside legal counsel provided comments to ICON’s outside legal counsel with respect to the draft exclusivity agreement.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Also on January 29, 2021, representatives of PRA’s outside legal counsel and members of PRA’s Compensation Committee discussed the treatment of equity awards and other retention and severance matters in connection with the potential transaction.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January 30, 2021, a representative of ICON’s outside legal counsel sent a revised draft of the exclusivity agreement to PRA’s outside legal counsel and, the following morning, on February 1, 2021, PRA and ICON entered into the exclusivity agreement. The exclusivity agreement provided for exclusive negotiations between PRA and ICON with respect to a strategic transaction until February 24,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During the period beginning January 30, 2021 through the date of the execution of the merger agreement, representatives of each of PRA and ICON and their respective advisors conducted extensive due diligence with respect to each other’s businesses, financial, commercial, technology, legal and other matters and held discussions concerning their respective businesses, prospects, key standalone and pro forma opportunities and risks and potential synergies that could result from a potential combination. As part of the due diligence process, PRA and ICON made available to each other and their respective advisors an electronic data room containing certain business, financial, commercial, technology, legal and other information of such party. To facilitate each party’s due diligence review, on February 2, 2021, PRA and ICON entered into a Clean Team Confidentiality Agreement as a supplement to the mutual confidentiality agreement entered into on February 28, 2020, which allowed the advisors of each of PRA and ICON and certain PRA and ICON employees to obtain access to additional information. Additionally, during this same period, ICON, PRA and their respective advisors engaged numerous mutual due diligence video and telephonic conferences.</w:t>
      </w:r>
    </w:p>
    <w:p>
      <w:pPr>
        <w:spacing w:after="0" w:line="7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4, 2021, at a regularly scheduled meeting of the PRA board of directors, members of PRA management updated the PRA board of directors on discussions with ICON, accounting due diligence of ICON as well as on proposed key terms of the merger agreement and the ongoing antitrust analysis of the proposed transaction. Following such discussion, the PRA board of directors authorized PRA’s senior management team to continue discussions and negotiations with ICON in accordance with the parameters discussed.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5, 2021, the PRA Compensation Committee held a special meeting. Representatives of PRA’s outside legal counsel were present. The PRA Compensation Committee discussed the treatment of equity awards and other retention and severance matters in connection with the potential transaction. The PRA Compensation Committee authorized PRA’s outside legal counsel to discuss and negotiate such matters with ICON in accordance with the parameters discussed.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7, 2021, a representative of PRA’s outside legal counsel delivered to ICON’s outside legal counsel the PRA Compensation Committee’s desired treatment of PRA’s equity compensation awards and other retention and severance matters in connection with the potential transaction.</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8, 2021, members of the senior management teams of each of ICON and PRA had a due diligence meeting by video conference. At the meeting, members of PRA management presented an overview of PRA’s business and members of ICON management asked questions of PRA management. Members of the senior management teams of ICON and PRA also discussed, among other things, potential achievable revenue synergies from combining their businesses.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10, 2021, members of the senior management teams of each of ICON and PRA had a due diligence meeting by video conference. At the meeting, members of ICON management presented an overview of ICON’s business and members of PRA management asked questions of ICON management. Representatives of the senior management teams of ICON and PRA also discussed, among other things, potential revenue synergies that might be realized by combining their businesses.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That evening, a representative of ICON’s outside legal counsel delivered to PRA’s outside legal counsel an initial draft merger agreement. Among other things, the draft included provisions (i) providing for Mr. Shannon to join the combined company board of directors, (ii) requiring each of PRA and ICON not to solicit alternative transactions, except that the PRA and ICON boards of directors could change their respective recommendations to support the merger or the share issuance, as applicable, to its stockholders if they determine a proposal from a third party to be a superior proposal, (iii) capping the amount of divestitures that either ICON or PRA would be required to make in order to obtain regulatory approvals at assets representing $50 million of revenue in 2020 and</w:t>
      </w:r>
    </w:p>
    <w:p>
      <w:pPr>
        <w:spacing w:after="0" w:line="2" w:lineRule="exact"/>
        <w:rPr>
          <w:sz w:val="20"/>
          <w:szCs w:val="20"/>
          <w:color w:val="auto"/>
        </w:rPr>
      </w:pPr>
    </w:p>
    <w:p>
      <w:pPr>
        <w:jc w:val="both"/>
        <w:ind w:left="300" w:right="299" w:hanging="8"/>
        <w:spacing w:after="0" w:line="268" w:lineRule="auto"/>
        <w:tabs>
          <w:tab w:leader="none" w:pos="609" w:val="left"/>
        </w:tabs>
        <w:numPr>
          <w:ilvl w:val="0"/>
          <w:numId w:val="99"/>
        </w:numPr>
        <w:rPr>
          <w:rFonts w:ascii="Arial" w:cs="Arial" w:eastAsia="Arial" w:hAnsi="Arial"/>
          <w:sz w:val="17"/>
          <w:szCs w:val="17"/>
          <w:color w:val="auto"/>
        </w:rPr>
      </w:pPr>
      <w:r>
        <w:rPr>
          <w:rFonts w:ascii="Arial" w:cs="Arial" w:eastAsia="Arial" w:hAnsi="Arial"/>
          <w:sz w:val="17"/>
          <w:szCs w:val="17"/>
          <w:color w:val="auto"/>
        </w:rPr>
        <w:t>granting ICON the right to terminate the merger agreement in the event of certain adverse tax law changes or to enter into an alternative transaction (in each case, without paying a termination fee). The draft merger agreement included proposed termination fees of 4% of the transaction value for both ICON and PRA. From this point until the merger agreement was finalized, the parties negotiated the terms of the merger agreement, including with respect to the points described in this paragraph, consistent with the authorizations and parameters provided by the PRA and ICON boards of directors. For additional information regarding the final terms of the merger agreement, see the section entitled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 beginning on page [</w:t>
      </w:r>
      <w:hyperlink w:anchor="page133">
        <w:r>
          <w:rPr>
            <w:rFonts w:ascii="Arial" w:cs="Arial" w:eastAsia="Arial" w:hAnsi="Arial"/>
            <w:sz w:val="17"/>
            <w:szCs w:val="17"/>
            <w:u w:val="single" w:color="auto"/>
            <w:color w:val="0000EE"/>
          </w:rPr>
          <w:t>116</w:t>
        </w:r>
      </w:hyperlink>
      <w:r>
        <w:rPr>
          <w:rFonts w:ascii="Arial" w:cs="Arial" w:eastAsia="Arial" w:hAnsi="Arial"/>
          <w:sz w:val="17"/>
          <w:szCs w:val="17"/>
          <w:color w:val="auto"/>
        </w:rPr>
        <w:t xml:space="preserve">] and the copy of the merger agreement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joint proxy statement/prospectus.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From February 11, 2021 through February 18, 2021, members of the senior management teams of each of ICON and PRA held further due diligence meetings by teleconference and video conference, covering areas of the respective businesses as well as synergies analysis with respect to the proposed combination.</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On February 12, 2021, representatives of each of ICON’s outside legal counsel and PRA’s outside legal counsel discussed the terms of the merger agreement and the areas of focus for their respective clients.</w:t>
      </w:r>
    </w:p>
    <w:p>
      <w:pPr>
        <w:spacing w:after="0" w:line="38"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On February 17, 2021, a representative of PRA’s outside legal counsel delivered to ICON’s outside legal counsel a revised draft of the merger agreement. Among other revisions, the revised draft merger agreement</w:t>
      </w:r>
    </w:p>
    <w:p>
      <w:pPr>
        <w:jc w:val="both"/>
        <w:ind w:left="300" w:right="299" w:hanging="8"/>
        <w:spacing w:after="0" w:line="287" w:lineRule="auto"/>
        <w:tabs>
          <w:tab w:leader="none" w:pos="5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removed ICON’s ability to change its recommendation or terminate the merger agreement in the event of a superior proposal while granting PRA such a termination right, (ii) provided that the boards of directors of both ICON and PRA have the ability to change their respective recommendations upon the occurrence of certain intervening events, (iii) increased the cap on required divestitures to obtain antitrust approval to those that would have a material adverse effect on the combined company, (iv) removed ICON’s ability to terminate the merger agreement in the event of an adverse tax law change or to enter into an alternative transaction, (v) made revisions to the termination fee triggers and amounts and (vi) left open the contemplated number of seats on the combined company board of directors to be held by current PRA directors and who would hold such seat(s).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On February 18, 2021, Mr. Shannon and Dr. Cutler had a telephone conversation during which they discussed next steps related to the proposed transaction and agreed to instruct PRA and ICON’s respective internal legal teams and outside advisors to continue mutual diligence and to finalize and negotiate definitive agreements expeditiously. They tentatively agreed to work towards an announcement date of February 24, 2021. Also on February 18, 2021, representatives of ICON’s outside legal counsel outlined for PRA’s outside legal counsel the key issues and areas of focus raised by the February 17 draft of the merger agreement from their perspective. Following that discussion, representatives of PRA’s outside legal counsel had a call with members of PRA senior management during which they discussed the issues raised by ICON’s outside legal counsel. Thereafter, representatives of PRA’s outside legal counsel conveyed PRA’s initial feedback on such items to ICON’s outside legal counsel.</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February 19, 2021, the PRA board of directors held a special meeting. Members of PRA’s senior management team and representatives of PRA’s outside legal counsel also attended the meeting. A member of the PRA senior management team discussed quality of earnings due diligence on ICON performed by PRA’s outside accountants as well as ICON’s projections, the impact of COVID-19 on ICON’s business and analyst consensus on ICON’s prospects. Mr. Shannon and the member of PRA management then presented an overview of the CRO landscape, a breakdown of the strategic rationale and a review of precedent transactions. A representative from PRA’s outside legal counsel provided an update on the ongoing antitrust analysis of the proposed transaction. Another representative of PRA’s outside legal counsel then described updates to the merger agreement, including proposed responses to ICON’s initial feedback, and outlined fiduciary duty considerations relating to the PRA board of directors’ evaluation of the proposed transaction. The PRA board of directors concurred with the proposals presented by the representatives of its outside legal counsel. During an executive session, the PRA board of directors discussed the Compensation Committee’s desired treatment of equity compensation awards and other retention and severance matters in connection with the proposed transaction. Later on February 19, 2021, representatives of each of ICON’s outside legal counsel and PRA’s outside legal counsel discussed the terms of the merger agreement and representatives of PRA’s outside legal counsel conveyed the PRA board of directors’ views on the issues raised the previous day.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19, 20 and 21, 2021, representatives of PRA’s outside legal counsel and members of PRA’s Compensation Committee discussed the status of negotiations with representatives of ICON’s outside legal counsel regarding treatment of equity awards and other retention and severance matters in connection with the potential transaction. On those days, representatives of PRA’s outside legal counsel had a number of discussions with representatives of ICON’s outside legal counsel regarding the PRA Compensation Committee’s desired treatment of PRA’s equity compensation awards and other retention and severance matters in connection with the potential transaction.</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22, 2021, a representative of ICON’s outside legal counsel delivered to PRA’s outside legal counsel a revised draft of the merger agreement. Among other revisions, the revised draft merger agreement reinserted provisions providing for Mr. Shannon to join the combined company board of directors as the sole additional member and revisions to the termination fee triggers and amounts. Later that day, following discussions with members of PRA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management and representatives of ICON’s outside legal counsel, a representative of PRA’s outside legal counsel delivered to ICON’s outside legal counsel a revised draft of the merger agreement. Among other revisions, the revised merger agreement provided for Mr. Shannon as well as one other PRA representative to join the combined company board of directors.</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same day, the PRA board of directors held a special meeting. Members of PRA’s senior management team and representatives of each of BofA Securities, UBS and PRA’s outside legal counsel also attended the meeting. A representative of PRA’s outside legal counsel outlined fiduciary duty considerations relating to the PRA board of directors’ evaluation of the proposed transaction and summarized the changes made by ICON to the merger agreement. Representatives of each of BofA Securities and UBS reviewed certain financial aspects of the proposed transaction, including that ICON proposed to determine the fixed exchange ratio using a 19-trading day VWAP of ICON ordinary shares ending two trading days prior to signing. Representatives of each of BofA Securities and UBS then reviewed with the PRA board of directors their respective preliminary financial analyses of the proposed merger consideration based on PRA’s and ICON’s respective financial forecasts, synergy estimates and current market data, all of which had been previously reviewed and approved by the PRA board of directors for use by each of BofA and UBS Securities in connection with their respective financial analyses.</w:t>
      </w:r>
    </w:p>
    <w:p>
      <w:pPr>
        <w:spacing w:after="0" w:line="6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PRA board of directors then discussed ICON’s proposal in light of the new draft of the merger agreement and the financial analyses of the financial advisors and provided parameters within which they authorized PRA’s outside legal counsel to negotiate the remaining open terms of the merger agreement.</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From that meeting until the early morning of February 24, 2021, representatives of each of ICON’s outside legal counsel and PRA’s outside legal counsel discussed the open terms of the merger agreement and resolved the remaining open legal points, as authorized by their respective clients.</w:t>
      </w:r>
    </w:p>
    <w:p>
      <w:pPr>
        <w:spacing w:after="0" w:line="76" w:lineRule="exact"/>
        <w:rPr>
          <w:sz w:val="20"/>
          <w:szCs w:val="20"/>
          <w:color w:val="auto"/>
        </w:rPr>
      </w:pPr>
    </w:p>
    <w:p>
      <w:pPr>
        <w:jc w:val="both"/>
        <w:ind w:left="300" w:right="299" w:firstLine="360"/>
        <w:spacing w:after="0" w:line="282" w:lineRule="auto"/>
        <w:rPr>
          <w:rFonts w:ascii="Arial" w:cs="Arial" w:eastAsia="Arial" w:hAnsi="Arial"/>
          <w:sz w:val="16"/>
          <w:szCs w:val="16"/>
          <w:color w:val="auto"/>
        </w:rPr>
      </w:pPr>
      <w:r>
        <w:rPr>
          <w:rFonts w:ascii="Arial" w:cs="Arial" w:eastAsia="Arial" w:hAnsi="Arial"/>
          <w:sz w:val="16"/>
          <w:szCs w:val="16"/>
          <w:color w:val="auto"/>
        </w:rPr>
        <w:t>Before the opening of trading on February 24, 2021, the PRA board of directors held a special meeting. Members of PRA’s senior management team and representatives of each of BofA Securities, UBS and PRA’s outside legal counsel attended the meeting. A representative of PRA’s outside legal counsel summarized the final terms of the merger agreement. Representatives of BofA Securities presented to the PRA board of directors BofA Securities financial analyses of the merger consideration. Following the conclusion of this presentation and upon the request of the PRA board of directors, BofA Securities rendered its oral opinion, which was subsequently confirmed by delivery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 as more fully described below under the section entitled “</w:t>
      </w:r>
      <w:r>
        <w:rPr>
          <w:rFonts w:ascii="Arial" w:cs="Arial" w:eastAsia="Arial" w:hAnsi="Arial"/>
          <w:sz w:val="16"/>
          <w:szCs w:val="16"/>
          <w:b w:val="1"/>
          <w:bCs w:val="1"/>
          <w:color w:val="auto"/>
        </w:rPr>
        <w:t>—Opinions of PRA’s Financial Advisors—</w:t>
      </w:r>
      <w:r>
        <w:rPr>
          <w:rFonts w:ascii="Arial" w:cs="Arial" w:eastAsia="Arial" w:hAnsi="Arial"/>
          <w:sz w:val="16"/>
          <w:szCs w:val="16"/>
          <w:color w:val="auto"/>
        </w:rPr>
        <w:t xml:space="preserve"> </w:t>
      </w:r>
      <w:r>
        <w:rPr>
          <w:rFonts w:ascii="Arial" w:cs="Arial" w:eastAsia="Arial" w:hAnsi="Arial"/>
          <w:sz w:val="16"/>
          <w:szCs w:val="16"/>
          <w:b w:val="1"/>
          <w:bCs w:val="1"/>
          <w:color w:val="auto"/>
        </w:rPr>
        <w:t>BofA Securities, Inc.</w:t>
      </w:r>
      <w:r>
        <w:rPr>
          <w:rFonts w:ascii="Arial" w:cs="Arial" w:eastAsia="Arial" w:hAnsi="Arial"/>
          <w:sz w:val="16"/>
          <w:szCs w:val="16"/>
          <w:color w:val="auto"/>
        </w:rPr>
        <w:t>” beginning on page [</w:t>
      </w:r>
      <w:hyperlink w:anchor="page33">
        <w:r>
          <w:rPr>
            <w:rFonts w:ascii="Arial" w:cs="Arial" w:eastAsia="Arial" w:hAnsi="Arial"/>
            <w:sz w:val="16"/>
            <w:szCs w:val="16"/>
            <w:u w:val="single" w:color="auto"/>
            <w:color w:val="0000EE"/>
          </w:rPr>
          <w:t>16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UBS then reviewed orally with the PRA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UBS’ financial analyses of the merger consideration. Following the conclusion of this presentation and upon the request of the PRA board of directors, UBS rendered its oral opinion, subsequently confirmed by delivery of a written opinion dated February 24, 2021,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 as described in the section entitled “</w:t>
      </w:r>
      <w:r>
        <w:rPr>
          <w:rFonts w:ascii="Arial" w:cs="Arial" w:eastAsia="Arial" w:hAnsi="Arial"/>
          <w:sz w:val="16"/>
          <w:szCs w:val="16"/>
          <w:b w:val="1"/>
          <w:bCs w:val="1"/>
          <w:color w:val="auto"/>
        </w:rPr>
        <w:t>—Opinions of PRA’s Financial Advisors—UBS Securities LLC</w:t>
      </w:r>
      <w:r>
        <w:rPr>
          <w:rFonts w:ascii="Arial" w:cs="Arial" w:eastAsia="Arial" w:hAnsi="Arial"/>
          <w:sz w:val="16"/>
          <w:szCs w:val="16"/>
          <w:color w:val="auto"/>
        </w:rPr>
        <w:t>” beginning on page [</w:t>
      </w:r>
      <w:hyperlink w:anchor="page34">
        <w:r>
          <w:rPr>
            <w:rFonts w:ascii="Arial" w:cs="Arial" w:eastAsia="Arial" w:hAnsi="Arial"/>
            <w:sz w:val="16"/>
            <w:szCs w:val="16"/>
            <w:u w:val="single" w:color="auto"/>
            <w:color w:val="0000EE"/>
          </w:rPr>
          <w:t>17</w:t>
        </w:r>
      </w:hyperlink>
      <w:r>
        <w:rPr>
          <w:rFonts w:ascii="Arial" w:cs="Arial" w:eastAsia="Arial" w:hAnsi="Arial"/>
          <w:sz w:val="16"/>
          <w:szCs w:val="16"/>
          <w:color w:val="auto"/>
        </w:rPr>
        <w:t>]. Following discussion, and after carefully considering the proposed terms of the transaction, and taking into consideration the matters discussed during that meeting and at prior meetings and the factors described below under “Recommendation of the PRA Board of Directors and Reasons for the Merger”, on a motion duly made and seconded, the PRA board of directors unanimously: (i) declared the merger agreement and the transactions contemplated thereby, including the merger, fair to, and in the best interests of PRA and the PRA stockholders,</w:t>
      </w:r>
    </w:p>
    <w:p>
      <w:pPr>
        <w:spacing w:after="0" w:line="10" w:lineRule="exact"/>
        <w:rPr>
          <w:sz w:val="20"/>
          <w:szCs w:val="20"/>
          <w:color w:val="auto"/>
        </w:rPr>
      </w:pPr>
    </w:p>
    <w:p>
      <w:pPr>
        <w:jc w:val="both"/>
        <w:ind w:left="300" w:right="299" w:hanging="8"/>
        <w:spacing w:after="0" w:line="253" w:lineRule="auto"/>
        <w:tabs>
          <w:tab w:leader="none" w:pos="5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approved and declared advisable the merger agreement and the transactions contemplated thereby, including the merger, (iii) directed that the merger agreement be submitted to the PRA stockholders for adoption at a meeting of such stockholders and (iv) recommended that the PRA stockholders vote in favor of the adoption of the merger agreement.</w:t>
      </w:r>
    </w:p>
    <w:p>
      <w:pPr>
        <w:spacing w:after="0" w:line="8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the morning of February 24, 2021, PRA and ICON executed the merger agreement, the execution of which was announced in a press release issued by ICON soon thereafter.</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PRA Board of Directors and Reasons for the Merger</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By unanimous vote, the PRA board of directors, at a meeting held on February 24, 2021, (a) determined that the merger agreement and the transactions contemplated thereby, including the merger, are fair to, and in the best interests of, PRA and the PRA stockholders, (b) approved and declared advisable the merger agreement and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 xml:space="preserve">transactions contemplated thereby, including the merger, and (c) resolved to recommend that the PRA stockholders approve and adopt the merger agreement and the transactions contemplated thereby, including the merger. </w:t>
      </w:r>
      <w:r>
        <w:rPr>
          <w:rFonts w:ascii="Arial" w:cs="Arial" w:eastAsia="Arial" w:hAnsi="Arial"/>
          <w:sz w:val="18"/>
          <w:szCs w:val="18"/>
          <w:b w:val="1"/>
          <w:bCs w:val="1"/>
          <w:color w:val="auto"/>
        </w:rPr>
        <w:t>The PRA</w:t>
      </w:r>
      <w:r>
        <w:rPr>
          <w:rFonts w:ascii="Arial" w:cs="Arial" w:eastAsia="Arial" w:hAnsi="Arial"/>
          <w:sz w:val="18"/>
          <w:szCs w:val="18"/>
          <w:color w:val="auto"/>
        </w:rPr>
        <w:t xml:space="preserve"> </w:t>
      </w:r>
      <w:r>
        <w:rPr>
          <w:rFonts w:ascii="Arial" w:cs="Arial" w:eastAsia="Arial" w:hAnsi="Arial"/>
          <w:sz w:val="18"/>
          <w:szCs w:val="18"/>
          <w:b w:val="1"/>
          <w:bCs w:val="1"/>
          <w:color w:val="auto"/>
        </w:rPr>
        <w:t>board of directors unanimously recommends that PRA stockholders vote “FOR” the merger proposal and “FOR” the non-binding compensation advisory proposal.</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the course of reaching its determination and recommendation, the PRA board of directors met several times to consider a potential transaction with ICON, including in executive session, and consulted with PRA’s senior management, outside legal counsel and financial advisors. In recommending that PRA stockholders vote their shares of PRA common stock in favor of adoption of the merger agreement, the PRA board of directors also considered a number of factors, including the following factors (not necessarily in order of relative importance) which the PRA board of directors viewed as being generally positive or favorable in coming to its determination and recommendation:</w:t>
      </w:r>
    </w:p>
    <w:p>
      <w:pPr>
        <w:spacing w:after="0" w:line="87" w:lineRule="exact"/>
        <w:rPr>
          <w:sz w:val="20"/>
          <w:szCs w:val="20"/>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Value and nature of the consideration to be received in the merger by PRA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60" w:right="319" w:hanging="348"/>
        <w:spacing w:after="0" w:line="243" w:lineRule="auto"/>
        <w:tabs>
          <w:tab w:leader="none" w:pos="1360" w:val="left"/>
        </w:tabs>
        <w:numPr>
          <w:ilvl w:val="1"/>
          <w:numId w:val="102"/>
        </w:numPr>
        <w:rPr>
          <w:rFonts w:ascii="Arial" w:cs="Arial" w:eastAsia="Arial" w:hAnsi="Arial"/>
          <w:sz w:val="22"/>
          <w:szCs w:val="22"/>
          <w:color w:val="auto"/>
          <w:vertAlign w:val="superscript"/>
        </w:rPr>
      </w:pPr>
      <w:r>
        <w:rPr>
          <w:rFonts w:ascii="Arial" w:cs="Arial" w:eastAsia="Arial" w:hAnsi="Arial"/>
          <w:sz w:val="18"/>
          <w:szCs w:val="18"/>
          <w:i w:val="1"/>
          <w:iCs w:val="1"/>
          <w:color w:val="auto"/>
        </w:rPr>
        <w:t>Premium</w:t>
      </w:r>
      <w:r>
        <w:rPr>
          <w:rFonts w:ascii="Arial" w:cs="Arial" w:eastAsia="Arial" w:hAnsi="Arial"/>
          <w:sz w:val="18"/>
          <w:szCs w:val="18"/>
          <w:color w:val="auto"/>
        </w:rPr>
        <w:t>. The per share merger consideration consisting of $80.00 in cash and 0.4125 ICON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representing an implied premium of approximately 30% to PRA’s closing stock price of $127.73 per share on February 23, 2021 (the last trading day prior to the PRA board of directors’ approval of the merger agreement) based on the $208.62 closing price of ICON ordinary shares on February 23, 2021;</w:t>
      </w:r>
    </w:p>
    <w:p>
      <w:pPr>
        <w:spacing w:after="0" w:line="93" w:lineRule="exact"/>
        <w:rPr>
          <w:rFonts w:ascii="Arial" w:cs="Arial" w:eastAsia="Arial" w:hAnsi="Arial"/>
          <w:sz w:val="22"/>
          <w:szCs w:val="22"/>
          <w:color w:val="auto"/>
          <w:vertAlign w:val="superscript"/>
        </w:rPr>
      </w:pPr>
    </w:p>
    <w:p>
      <w:pPr>
        <w:jc w:val="both"/>
        <w:ind w:left="1360" w:right="319" w:hanging="348"/>
        <w:spacing w:after="0" w:line="244" w:lineRule="auto"/>
        <w:tabs>
          <w:tab w:leader="none" w:pos="1360" w:val="left"/>
        </w:tabs>
        <w:numPr>
          <w:ilvl w:val="1"/>
          <w:numId w:val="102"/>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Cash and Equity Consideration. </w:t>
      </w:r>
      <w:r>
        <w:rPr>
          <w:rFonts w:ascii="Arial" w:cs="Arial" w:eastAsia="Arial" w:hAnsi="Arial"/>
          <w:sz w:val="18"/>
          <w:szCs w:val="18"/>
          <w:color w:val="auto"/>
        </w:rPr>
        <w:t>The fact that the PRA stockholders will receive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consideration in the form of cash, which provides certainty of value, and a portion of the merger consideration in the form of ICON ordinary shares, which is expected to give PRA stockholders the opportunity to participate in the growth prospects of the combined business or, given the liquid market for ICON ordinary shares, the opportunity to sell ICON ordinary shares following consummation of the merger at their discretion;</w:t>
      </w:r>
    </w:p>
    <w:p>
      <w:pPr>
        <w:spacing w:after="0" w:line="94" w:lineRule="exact"/>
        <w:rPr>
          <w:rFonts w:ascii="Arial" w:cs="Arial" w:eastAsia="Arial" w:hAnsi="Arial"/>
          <w:sz w:val="22"/>
          <w:szCs w:val="22"/>
          <w:color w:val="auto"/>
          <w:vertAlign w:val="superscript"/>
        </w:rPr>
      </w:pPr>
    </w:p>
    <w:p>
      <w:pPr>
        <w:jc w:val="both"/>
        <w:ind w:left="1360" w:right="319" w:hanging="348"/>
        <w:spacing w:after="0" w:line="259" w:lineRule="auto"/>
        <w:tabs>
          <w:tab w:leader="none" w:pos="1360" w:val="left"/>
        </w:tabs>
        <w:numPr>
          <w:ilvl w:val="1"/>
          <w:numId w:val="102"/>
        </w:numPr>
        <w:rPr>
          <w:rFonts w:ascii="Arial" w:cs="Arial" w:eastAsia="Arial" w:hAnsi="Arial"/>
          <w:sz w:val="21"/>
          <w:szCs w:val="21"/>
          <w:color w:val="auto"/>
          <w:vertAlign w:val="superscript"/>
        </w:rPr>
      </w:pPr>
      <w:r>
        <w:rPr>
          <w:rFonts w:ascii="Arial" w:cs="Arial" w:eastAsia="Arial" w:hAnsi="Arial"/>
          <w:sz w:val="17"/>
          <w:szCs w:val="17"/>
          <w:i w:val="1"/>
          <w:iCs w:val="1"/>
          <w:color w:val="auto"/>
        </w:rPr>
        <w:t>Value of ICON Ordinary Shares</w:t>
      </w:r>
      <w:r>
        <w:rPr>
          <w:rFonts w:ascii="Arial" w:cs="Arial" w:eastAsia="Arial" w:hAnsi="Arial"/>
          <w:sz w:val="17"/>
          <w:szCs w:val="17"/>
          <w:color w:val="auto"/>
        </w:rPr>
        <w:t>. The PRA board of directors’ belief that the ICON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will be delivered to PRA stockholders as merger consideration are a highly attractive currency that will benefit in the near and long-term from the merger’s significant anticipated synergies, operational efficiencies and potential for growth described in more detail below.</w:t>
      </w:r>
    </w:p>
    <w:p>
      <w:pPr>
        <w:spacing w:after="0" w:line="78" w:lineRule="exact"/>
        <w:rPr>
          <w:rFonts w:ascii="Arial" w:cs="Arial" w:eastAsia="Arial" w:hAnsi="Arial"/>
          <w:sz w:val="21"/>
          <w:szCs w:val="21"/>
          <w:color w:val="auto"/>
          <w:vertAlign w:val="superscript"/>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Benefits of a combined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60" w:right="319" w:hanging="348"/>
        <w:spacing w:after="0" w:line="262" w:lineRule="auto"/>
        <w:tabs>
          <w:tab w:leader="none" w:pos="1360" w:val="left"/>
        </w:tabs>
        <w:numPr>
          <w:ilvl w:val="1"/>
          <w:numId w:val="102"/>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Scale. </w:t>
      </w:r>
      <w:r>
        <w:rPr>
          <w:rFonts w:ascii="Arial" w:cs="Arial" w:eastAsia="Arial" w:hAnsi="Arial"/>
          <w:sz w:val="17"/>
          <w:szCs w:val="17"/>
          <w:color w:val="auto"/>
        </w:rPr>
        <w:t>The PRA board of directors’ expectation that the combined company following the merger will</w:t>
      </w:r>
      <w:r>
        <w:rPr>
          <w:rFonts w:ascii="Arial" w:cs="Arial" w:eastAsia="Arial" w:hAnsi="Arial"/>
          <w:sz w:val="17"/>
          <w:szCs w:val="17"/>
          <w:i w:val="1"/>
          <w:iCs w:val="1"/>
          <w:color w:val="auto"/>
        </w:rPr>
        <w:t xml:space="preserve"> </w:t>
      </w:r>
      <w:r>
        <w:rPr>
          <w:rFonts w:ascii="Arial" w:cs="Arial" w:eastAsia="Arial" w:hAnsi="Arial"/>
          <w:sz w:val="17"/>
          <w:szCs w:val="17"/>
          <w:color w:val="auto"/>
        </w:rPr>
        <w:t>emerge as a global leader across core clinical CRO services and the expectation that this enhanced scale will make the combined business better equipped to meet current and anticipated customer needs given the combined business’ anticipated broader service and geographic offerings, deeper therapeutic expertise, expansive healthcare technology innovation, and functional talent capabilities. The PRA board of directors’ expectation that the combined company will have formal strategic partnerships with a majority of the world’s top biopharmaceutical companies, providing a platform for continued growth and innovation.</w:t>
      </w:r>
    </w:p>
    <w:p>
      <w:pPr>
        <w:spacing w:after="0" w:line="78" w:lineRule="exact"/>
        <w:rPr>
          <w:rFonts w:ascii="Arial" w:cs="Arial" w:eastAsia="Arial" w:hAnsi="Arial"/>
          <w:sz w:val="21"/>
          <w:szCs w:val="21"/>
          <w:color w:val="auto"/>
          <w:vertAlign w:val="superscript"/>
        </w:rPr>
      </w:pPr>
    </w:p>
    <w:p>
      <w:pPr>
        <w:jc w:val="both"/>
        <w:ind w:left="1360" w:right="319" w:hanging="348"/>
        <w:spacing w:after="0" w:line="283" w:lineRule="auto"/>
        <w:tabs>
          <w:tab w:leader="none" w:pos="1360" w:val="left"/>
        </w:tabs>
        <w:numPr>
          <w:ilvl w:val="1"/>
          <w:numId w:val="102"/>
        </w:numPr>
        <w:rPr>
          <w:rFonts w:ascii="Arial" w:cs="Arial" w:eastAsia="Arial" w:hAnsi="Arial"/>
          <w:sz w:val="19"/>
          <w:szCs w:val="19"/>
          <w:color w:val="auto"/>
          <w:vertAlign w:val="superscript"/>
        </w:rPr>
      </w:pPr>
      <w:r>
        <w:rPr>
          <w:rFonts w:ascii="Arial" w:cs="Arial" w:eastAsia="Arial" w:hAnsi="Arial"/>
          <w:sz w:val="16"/>
          <w:szCs w:val="16"/>
          <w:i w:val="1"/>
          <w:iCs w:val="1"/>
          <w:color w:val="auto"/>
        </w:rPr>
        <w:t xml:space="preserve">Complementary Businesses and Geographic Scope. </w:t>
      </w:r>
      <w:r>
        <w:rPr>
          <w:rFonts w:ascii="Arial" w:cs="Arial" w:eastAsia="Arial" w:hAnsi="Arial"/>
          <w:sz w:val="16"/>
          <w:szCs w:val="16"/>
          <w:color w:val="auto"/>
        </w:rPr>
        <w:t>The PRA board of directors’ expectation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business will, by bringing together PRA’s geographic and biotechnology focus and ICON’s geographic and pharmaceutical focus, be able to provide a more diversified and complete suite of capabilities and product offerings for its clients. The PRA board of directors also considered that the combined business will be better positioned to serve customers in the increasingly global clinical trial landscape and will be positioned to serve the fast-growing Asian market.</w:t>
      </w:r>
    </w:p>
    <w:p>
      <w:pPr>
        <w:spacing w:after="0" w:line="61" w:lineRule="exact"/>
        <w:rPr>
          <w:rFonts w:ascii="Arial" w:cs="Arial" w:eastAsia="Arial" w:hAnsi="Arial"/>
          <w:sz w:val="19"/>
          <w:szCs w:val="19"/>
          <w:color w:val="auto"/>
          <w:vertAlign w:val="superscript"/>
        </w:rPr>
      </w:pPr>
    </w:p>
    <w:p>
      <w:pPr>
        <w:jc w:val="both"/>
        <w:ind w:left="1360" w:right="319" w:hanging="348"/>
        <w:spacing w:after="0" w:line="246" w:lineRule="auto"/>
        <w:tabs>
          <w:tab w:leader="none" w:pos="1360" w:val="left"/>
        </w:tabs>
        <w:numPr>
          <w:ilvl w:val="1"/>
          <w:numId w:val="102"/>
        </w:numPr>
        <w:rPr>
          <w:rFonts w:ascii="Arial" w:cs="Arial" w:eastAsia="Arial" w:hAnsi="Arial"/>
          <w:sz w:val="22"/>
          <w:szCs w:val="22"/>
          <w:color w:val="auto"/>
          <w:vertAlign w:val="superscript"/>
        </w:rPr>
      </w:pPr>
      <w:r>
        <w:rPr>
          <w:rFonts w:ascii="Arial" w:cs="Arial" w:eastAsia="Arial" w:hAnsi="Arial"/>
          <w:sz w:val="18"/>
          <w:szCs w:val="18"/>
          <w:i w:val="1"/>
          <w:iCs w:val="1"/>
          <w:color w:val="auto"/>
        </w:rPr>
        <w:t>Superior Product Offerings</w:t>
      </w:r>
      <w:r>
        <w:rPr>
          <w:rFonts w:ascii="Arial" w:cs="Arial" w:eastAsia="Arial" w:hAnsi="Arial"/>
          <w:sz w:val="18"/>
          <w:szCs w:val="18"/>
          <w:color w:val="auto"/>
        </w:rPr>
        <w:t>. The PRA board of directors’ expectation that the combined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able to offer clients a comprehensive set of services relating to their drug development efforts, including capabilities that will help support customers engaged in Phase I trials all the way through drug commercialization. The PRA board of directors’ expectation that the combining of PRA’s mobile health, commercial connected health platforms, real world data and information solutions with ICON’s global site network, home health services and wearables expertise, will deliver differentiated de-centralized and hybrid trial solutions to meet growing customer needs. The PRA board of directors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left="20" w:right="299"/>
        <w:spacing w:after="0" w:line="286" w:lineRule="auto"/>
        <w:rPr>
          <w:sz w:val="20"/>
          <w:szCs w:val="20"/>
          <w:color w:val="auto"/>
        </w:rPr>
      </w:pPr>
      <w:r>
        <w:rPr>
          <w:rFonts w:ascii="Arial" w:cs="Arial" w:eastAsia="Arial" w:hAnsi="Arial"/>
          <w:sz w:val="17"/>
          <w:szCs w:val="17"/>
          <w:color w:val="auto"/>
        </w:rPr>
        <w:t>considered that the combined company is expected to be a top pure-play CRO and that it will be well positioned in a time of likely consolidation in the CRO industry to offer a comprehensive suite of services and capabilities to support its clients’ global drug-development efforts.</w:t>
      </w:r>
    </w:p>
    <w:p>
      <w:pPr>
        <w:spacing w:after="0" w:line="57"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Timing</w:t>
      </w:r>
      <w:r>
        <w:rPr>
          <w:rFonts w:ascii="Arial" w:cs="Arial" w:eastAsia="Arial" w:hAnsi="Arial"/>
          <w:sz w:val="18"/>
          <w:szCs w:val="18"/>
          <w:color w:val="auto"/>
        </w:rPr>
        <w:t>. The PRA board of directors’ expectation that PRA is taking advantage of current strong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demand in the healthcare intelligence and clinical CRO industries by proactively consolidating its current position with that of ICON and bringing together two companies with histories of robust growth and performance.</w:t>
      </w:r>
    </w:p>
    <w:p>
      <w:pPr>
        <w:spacing w:after="0" w:line="79"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Continuing Influence</w:t>
      </w:r>
      <w:r>
        <w:rPr>
          <w:rFonts w:ascii="Arial" w:cs="Arial" w:eastAsia="Arial" w:hAnsi="Arial"/>
          <w:sz w:val="18"/>
          <w:szCs w:val="18"/>
          <w:color w:val="auto"/>
        </w:rPr>
        <w:t>. The PRA board of directors' expectation that PRA stockholders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influence on the execution of the strategy and business plan of the combined company through the appointment of Colin Shannon and another member of the PRA board of directors to the combined company board of directors.</w:t>
      </w:r>
    </w:p>
    <w:p>
      <w:pPr>
        <w:spacing w:after="0" w:line="79"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i w:val="1"/>
          <w:iCs w:val="1"/>
          <w:color w:val="auto"/>
        </w:rPr>
        <w:t>Synergies</w:t>
      </w:r>
      <w:r>
        <w:rPr>
          <w:rFonts w:ascii="Arial" w:cs="Arial" w:eastAsia="Arial" w:hAnsi="Arial"/>
          <w:sz w:val="18"/>
          <w:szCs w:val="18"/>
          <w:color w:val="auto"/>
        </w:rPr>
        <w:t>. The PRA board of directors’ expectation that the merger will result in PRA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being able to participate in the benefits derivable from an estimated $150 million in cost savings by 2025.</w:t>
      </w:r>
    </w:p>
    <w:p>
      <w:pPr>
        <w:spacing w:after="0" w:line="76"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i w:val="1"/>
          <w:iCs w:val="1"/>
          <w:color w:val="auto"/>
        </w:rPr>
        <w:t>Positive Effect on Pro Forma Earnings Per Share</w:t>
      </w:r>
      <w:r>
        <w:rPr>
          <w:rFonts w:ascii="Arial" w:cs="Arial" w:eastAsia="Arial" w:hAnsi="Arial"/>
          <w:sz w:val="18"/>
          <w:szCs w:val="18"/>
          <w:color w:val="auto"/>
        </w:rPr>
        <w:t>. The PRA board of directors’ expectation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will be accretive to ICON’s adjusted earnings per share.</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299" w:hanging="348"/>
        <w:spacing w:after="0" w:line="301"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Superior alternative to other transactions potentially available to PRA. </w:t>
      </w:r>
      <w:r>
        <w:rPr>
          <w:rFonts w:ascii="Arial" w:cs="Arial" w:eastAsia="Arial" w:hAnsi="Arial"/>
          <w:sz w:val="16"/>
          <w:szCs w:val="16"/>
          <w:color w:val="auto"/>
        </w:rPr>
        <w:t>Following consultation with PRA’s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financial advisors, the PRA board of directors believed it was unlikely that an alternative strategic counterparty would be willing to engage in a transaction that would provide PRA stockholders with greater value in the form of the cash and stock consideration received in connection with the merger.</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Superior alternative to continuation of standalone PRA. </w:t>
      </w:r>
      <w:r>
        <w:rPr>
          <w:rFonts w:ascii="Arial" w:cs="Arial" w:eastAsia="Arial" w:hAnsi="Arial"/>
          <w:sz w:val="17"/>
          <w:szCs w:val="17"/>
          <w:color w:val="auto"/>
        </w:rPr>
        <w:t>The PRA board of directors considered PRA’s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prospects and other strategic opportunities and the risks of remaining as a standalone public company, including the risk of PRA’s relative lack of scale compared to the combined company and the trend toward consolidation in the CRO industry. The PRA board considered that, in light of this likely trend toward consolidation in the CRO industry, the combined company would be well positioned as a top pure-play CRO capable of offering its clients more robust capabilities and services across more geographic areas than the standalone business of PRA. Based on these considerations, the PRA board of directors believed the value offered to PRA stockholders pursuant to the merger would be more favorable to PRA stockholders than the potential value that might reasonably be expected to result from remaining an independent public company.</w:t>
      </w:r>
    </w:p>
    <w:p>
      <w:pPr>
        <w:spacing w:after="0" w:line="77"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Receipt of fairness opinions and presentations from BofA Securities and UBS. </w:t>
      </w:r>
      <w:r>
        <w:rPr>
          <w:rFonts w:ascii="Arial" w:cs="Arial" w:eastAsia="Arial" w:hAnsi="Arial"/>
          <w:sz w:val="16"/>
          <w:szCs w:val="16"/>
          <w:color w:val="auto"/>
        </w:rPr>
        <w:t>The PRA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considered the separate financial analyses of the merger consideration presented by representatives of each of BofA Securities and UBS, as well as the oral opinions of each of BofA Securities and UBS rendered to the PRA board of directors on February 24, 2021, which opinions were each subsequently confirmed by delivery of written opinions dated February 24, 2021, to the effect that, as of such date, and subject to various assumptions, matters considered and limitations described in their respective written opinions, the merger consideration to be received by PRA stockholders in the merger was fair, from a financial point of view, to such holders, as more fully described below under the headings </w:t>
      </w:r>
      <w:r>
        <w:rPr>
          <w:rFonts w:ascii="Arial" w:cs="Arial" w:eastAsia="Arial" w:hAnsi="Arial"/>
          <w:sz w:val="16"/>
          <w:szCs w:val="16"/>
          <w:i w:val="1"/>
          <w:iCs w:val="1"/>
          <w:color w:val="auto"/>
        </w:rPr>
        <w:t>“</w:t>
      </w:r>
      <w:r>
        <w:rPr>
          <w:rFonts w:ascii="Arial" w:cs="Arial" w:eastAsia="Arial" w:hAnsi="Arial"/>
          <w:sz w:val="16"/>
          <w:szCs w:val="16"/>
          <w:b w:val="1"/>
          <w:bCs w:val="1"/>
          <w:color w:val="auto"/>
        </w:rPr>
        <w:t>—Opinions of PRA’s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Advisors—Opinion of BofA Securities, Inc.</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color w:val="auto"/>
        </w:rPr>
        <w:t>—Opinions of PRA’s Financial Advisors— Opinion of UBS Securities LLC</w:t>
      </w:r>
      <w:r>
        <w:rPr>
          <w:rFonts w:ascii="Arial" w:cs="Arial" w:eastAsia="Arial" w:hAnsi="Arial"/>
          <w:sz w:val="16"/>
          <w:szCs w:val="16"/>
          <w:i w:val="1"/>
          <w:iCs w:val="1"/>
          <w:color w:val="auto"/>
        </w:rPr>
        <w:t>”</w:t>
      </w:r>
      <w:r>
        <w:rPr>
          <w:rFonts w:ascii="Arial" w:cs="Arial" w:eastAsia="Arial" w:hAnsi="Arial"/>
          <w:sz w:val="16"/>
          <w:szCs w:val="16"/>
          <w:color w:val="auto"/>
        </w:rPr>
        <w:t>, respectively.</w:t>
      </w:r>
    </w:p>
    <w:p>
      <w:pPr>
        <w:spacing w:after="0" w:line="60" w:lineRule="exact"/>
        <w:rPr>
          <w:rFonts w:ascii="Arial" w:cs="Arial" w:eastAsia="Arial" w:hAnsi="Arial"/>
          <w:sz w:val="16"/>
          <w:szCs w:val="16"/>
          <w:color w:val="auto"/>
        </w:rPr>
      </w:pPr>
    </w:p>
    <w:p>
      <w:pPr>
        <w:jc w:val="both"/>
        <w:ind w:left="1000" w:right="299" w:hanging="348"/>
        <w:spacing w:after="0" w:line="273"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Opportunity to receive alternative acquisition proposals. </w:t>
      </w:r>
      <w:r>
        <w:rPr>
          <w:rFonts w:ascii="Arial" w:cs="Arial" w:eastAsia="Arial" w:hAnsi="Arial"/>
          <w:sz w:val="17"/>
          <w:szCs w:val="17"/>
          <w:color w:val="auto"/>
        </w:rPr>
        <w:t>The PRA board of directors considered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merger agreement related to the PRA board of directors’ ability to respond to unsolicited acquisition proposals and determined that third parties would be unlikely to be deterred from making a competing proposal by the provisions of the merger agreement, including because the PRA board of directors may, under certain circumstances, furnish information or enter into discussions in connection with a competing proposal. In this regard, the PRA board of directors considered that:</w:t>
      </w:r>
    </w:p>
    <w:p>
      <w:pPr>
        <w:spacing w:after="0" w:line="69" w:lineRule="exact"/>
        <w:rPr>
          <w:rFonts w:ascii="Arial" w:cs="Arial" w:eastAsia="Arial" w:hAnsi="Arial"/>
          <w:sz w:val="17"/>
          <w:szCs w:val="17"/>
          <w:color w:val="auto"/>
        </w:rPr>
      </w:pPr>
    </w:p>
    <w:p>
      <w:pPr>
        <w:jc w:val="both"/>
        <w:ind w:left="1360" w:right="319" w:hanging="348"/>
        <w:spacing w:after="0" w:line="285" w:lineRule="auto"/>
        <w:tabs>
          <w:tab w:leader="none" w:pos="1360" w:val="left"/>
        </w:tabs>
        <w:numPr>
          <w:ilvl w:val="1"/>
          <w:numId w:val="103"/>
        </w:numPr>
        <w:rPr>
          <w:rFonts w:ascii="Arial" w:cs="Arial" w:eastAsia="Arial" w:hAnsi="Arial"/>
          <w:sz w:val="19"/>
          <w:szCs w:val="19"/>
          <w:color w:val="auto"/>
          <w:vertAlign w:val="superscript"/>
        </w:rPr>
      </w:pPr>
      <w:r>
        <w:rPr>
          <w:rFonts w:ascii="Arial" w:cs="Arial" w:eastAsia="Arial" w:hAnsi="Arial"/>
          <w:sz w:val="16"/>
          <w:szCs w:val="16"/>
          <w:color w:val="auto"/>
        </w:rPr>
        <w:t>subject to its compliance with the merger agreement, the PRA board of directors can change its recommendation to PRA stockholders with respect to the adoption of the merger agreement prior to the adoption of the merger agreement by the vote of PRA stockholders if the PRA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63" w:lineRule="auto"/>
        <w:rPr>
          <w:sz w:val="20"/>
          <w:szCs w:val="20"/>
          <w:color w:val="auto"/>
        </w:rPr>
      </w:pPr>
      <w:r>
        <w:rPr>
          <w:rFonts w:ascii="Arial" w:cs="Arial" w:eastAsia="Arial" w:hAnsi="Arial"/>
          <w:sz w:val="18"/>
          <w:szCs w:val="18"/>
          <w:color w:val="auto"/>
        </w:rPr>
        <w:t>determines in good faith (after consultation with its financial advisors and outside legal advisors) that, with respect to a superior proposal or an intervening event, the failure to take such action would be inconsistent with the PRA board of directors’ fiduciary duties; and</w:t>
      </w:r>
    </w:p>
    <w:p>
      <w:pPr>
        <w:spacing w:after="0" w:line="76" w:lineRule="exact"/>
        <w:rPr>
          <w:sz w:val="20"/>
          <w:szCs w:val="20"/>
          <w:color w:val="auto"/>
        </w:rPr>
      </w:pPr>
    </w:p>
    <w:p>
      <w:pPr>
        <w:jc w:val="both"/>
        <w:ind w:left="1360" w:right="319" w:hanging="348"/>
        <w:spacing w:after="0" w:line="263" w:lineRule="auto"/>
        <w:tabs>
          <w:tab w:leader="none" w:pos="1360" w:val="left"/>
        </w:tabs>
        <w:numPr>
          <w:ilvl w:val="1"/>
          <w:numId w:val="104"/>
        </w:numPr>
        <w:rPr>
          <w:rFonts w:ascii="Arial" w:cs="Arial" w:eastAsia="Arial" w:hAnsi="Arial"/>
          <w:sz w:val="21"/>
          <w:szCs w:val="21"/>
          <w:color w:val="auto"/>
          <w:vertAlign w:val="superscript"/>
        </w:rPr>
      </w:pPr>
      <w:r>
        <w:rPr>
          <w:rFonts w:ascii="Arial" w:cs="Arial" w:eastAsia="Arial" w:hAnsi="Arial"/>
          <w:sz w:val="17"/>
          <w:szCs w:val="17"/>
          <w:color w:val="auto"/>
        </w:rPr>
        <w:t>although the merger agreement contains (a) a termination fee of $277 million, representing approximately 2.5% of PRA’s equity value at signing, that PRA would be required to pay to ICON in certain circumstances, including if ICON terminates the merger agreement in connection with a change in the PRA board of directors’ recommendation to stockholders with respect to adoption of the merger agreement and (b) expense reimbursement of $100 million, representing approximately 0.9% of PRA’s equity value at signing, to ICON if the merger agreement is terminated because of a failure of PRA’s stockholders to approve and adopt the merger agreement, the PRA board of directors believed that this fee and the expense reimbursement are reasonable in light of the circumstances and the overall terms of the merger agreement, consistent with fees and provisions in comparable transactions and not preclusive of other offers.</w:t>
      </w:r>
    </w:p>
    <w:p>
      <w:pPr>
        <w:spacing w:after="0" w:line="75" w:lineRule="exact"/>
        <w:rPr>
          <w:rFonts w:ascii="Arial" w:cs="Arial" w:eastAsia="Arial" w:hAnsi="Arial"/>
          <w:sz w:val="21"/>
          <w:szCs w:val="21"/>
          <w:color w:val="auto"/>
          <w:vertAlign w:val="superscript"/>
        </w:rPr>
      </w:pPr>
    </w:p>
    <w:p>
      <w:pPr>
        <w:jc w:val="both"/>
        <w:ind w:left="1000" w:right="319" w:hanging="348"/>
        <w:spacing w:after="0" w:line="271"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Likelihood of completion and terms of the merger agreement. </w:t>
      </w:r>
      <w:r>
        <w:rPr>
          <w:rFonts w:ascii="Arial" w:cs="Arial" w:eastAsia="Arial" w:hAnsi="Arial"/>
          <w:sz w:val="17"/>
          <w:szCs w:val="17"/>
          <w:color w:val="auto"/>
        </w:rPr>
        <w:t>The PRA board of directors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likelihood of completion of the merger to be significant, in light of, among other things, the belief that, in consultation with PRA’s legal advisors, the terms of the merger agreement, taken as a whole, including the parties’ representations, warranties, covenants (including the restrictions on ICON’s ability to solicit competing proposals, make other acquisitions and issue additional ICON ordinary shares and both parties’ obligations to use reasonable best efforts to obtain regulatory clearances and the parties’ expectations that such clearances will be obtained) and conditions to closing, and the circumstances under which the merger agreement may be terminated, are reasonable.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PRA board of directors also considered a number of uncertainties, risks and factors it deemed generally negative or unfavorable in making its determination, approval and related recommendation, including the following (not necessarily in order of relative importance):</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Transacting during a global pandemic. </w:t>
      </w:r>
      <w:r>
        <w:rPr>
          <w:rFonts w:ascii="Arial" w:cs="Arial" w:eastAsia="Arial" w:hAnsi="Arial"/>
          <w:sz w:val="18"/>
          <w:szCs w:val="18"/>
          <w:color w:val="auto"/>
        </w:rPr>
        <w:t>The PRA board of directors considered that the merger with ICON</w:t>
      </w:r>
      <w:r>
        <w:rPr>
          <w:rFonts w:ascii="Arial" w:cs="Arial" w:eastAsia="Arial" w:hAnsi="Arial"/>
          <w:sz w:val="18"/>
          <w:szCs w:val="18"/>
          <w:i w:val="1"/>
          <w:iCs w:val="1"/>
          <w:color w:val="auto"/>
        </w:rPr>
        <w:t xml:space="preserve"> </w:t>
      </w:r>
      <w:r>
        <w:rPr>
          <w:rFonts w:ascii="Arial" w:cs="Arial" w:eastAsia="Arial" w:hAnsi="Arial"/>
          <w:sz w:val="18"/>
          <w:szCs w:val="18"/>
          <w:color w:val="auto"/>
        </w:rPr>
        <w:t>will occur at a time where businesses, including the businesses of ICON and PRA, are facing uncertainty due to the global COVID-19 pandemic and the potential impact that such pandemic may have on PRA, ICON and their respective customers and suppliers.</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Scale. </w:t>
      </w:r>
      <w:r>
        <w:rPr>
          <w:rFonts w:ascii="Arial" w:cs="Arial" w:eastAsia="Arial" w:hAnsi="Arial"/>
          <w:sz w:val="18"/>
          <w:szCs w:val="18"/>
          <w:color w:val="auto"/>
        </w:rPr>
        <w:t>The PRA board of directors considered the potential that the risks outlined above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lack of scale, but also considered that the combined company’s increased scale might hinder its ability to react swiftly to changing market dynamics.</w:t>
      </w:r>
    </w:p>
    <w:p>
      <w:pPr>
        <w:spacing w:after="0" w:line="75"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Continuing influence. </w:t>
      </w:r>
      <w:r>
        <w:rPr>
          <w:rFonts w:ascii="Arial" w:cs="Arial" w:eastAsia="Arial" w:hAnsi="Arial"/>
          <w:sz w:val="18"/>
          <w:szCs w:val="18"/>
          <w:color w:val="auto"/>
        </w:rPr>
        <w:t>The PRA board of directors considered the potential that Mr. Shannon and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PRA board of directors who will join the combined company board of directors will not have sufficient influence at the combined company to create value or that the methods they used to achieve success at PRA will not be scalable and cannot successfully be applied to create value for the combined company’s larger portfolio.</w:t>
      </w:r>
    </w:p>
    <w:p>
      <w:pPr>
        <w:spacing w:after="0" w:line="79"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Possible failure to achieve synergies. </w:t>
      </w:r>
      <w:r>
        <w:rPr>
          <w:rFonts w:ascii="Arial" w:cs="Arial" w:eastAsia="Arial" w:hAnsi="Arial"/>
          <w:sz w:val="17"/>
          <w:szCs w:val="17"/>
          <w:color w:val="auto"/>
        </w:rPr>
        <w:t>The PRA board of directors considered the potential challenges and</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difficulties in integrating the operations of PRA and ICON and the risk that anticipated cost savings and operational efficiencies between the two companies, or other anticipated benefits of the merger, might not be realized or might take longer to realize than expected.</w:t>
      </w:r>
    </w:p>
    <w:p>
      <w:pPr>
        <w:spacing w:after="0" w:line="63"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Fixed exchange ratio. </w:t>
      </w:r>
      <w:r>
        <w:rPr>
          <w:rFonts w:ascii="Arial" w:cs="Arial" w:eastAsia="Arial" w:hAnsi="Arial"/>
          <w:sz w:val="18"/>
          <w:szCs w:val="18"/>
          <w:color w:val="auto"/>
        </w:rPr>
        <w:t>The PRA board of directors considered that, because the stock portion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is based on a fixed exchange ratio rather than a fixed value, PRA stockholders bear the risk of a decrease in the trading price of ICON ordinary shares during the pendency of the merger and the fact that the merger agreement does not provide PRA stockholders with a collar or a value-based termination right.</w:t>
      </w:r>
    </w:p>
    <w:p>
      <w:pPr>
        <w:spacing w:after="0" w:line="79"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Risks associated with the pendency of the merger. </w:t>
      </w:r>
      <w:r>
        <w:rPr>
          <w:rFonts w:ascii="Arial" w:cs="Arial" w:eastAsia="Arial" w:hAnsi="Arial"/>
          <w:sz w:val="18"/>
          <w:szCs w:val="18"/>
          <w:color w:val="auto"/>
        </w:rPr>
        <w:t>The PRA board of directors considered the risks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 relating to the announcement and pendency of the merger (including the likelihood of litigation or other opposition brought by or on behalf of PRA stockholders or ICON shareholders challenging the merger and the other transactions contemplated by the merger agreement) and the risks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costs to PRA if the completion of the merger is not accomplished in a timely manner or if the merger does not close at all, including potential employee attrition, the impact on PRA’s relationships with third parties and the effect termination of the merger agreement may have on the trading price of PRA common stock and PRA’s operating results.</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Interim operating covenants. </w:t>
      </w:r>
      <w:r>
        <w:rPr>
          <w:rFonts w:ascii="Arial" w:cs="Arial" w:eastAsia="Arial" w:hAnsi="Arial"/>
          <w:sz w:val="18"/>
          <w:szCs w:val="18"/>
          <w:color w:val="auto"/>
        </w:rPr>
        <w:t>The PRA board of directors considered the restrictions on the conduct of</w:t>
      </w:r>
      <w:r>
        <w:rPr>
          <w:rFonts w:ascii="Arial" w:cs="Arial" w:eastAsia="Arial" w:hAnsi="Arial"/>
          <w:sz w:val="18"/>
          <w:szCs w:val="18"/>
          <w:i w:val="1"/>
          <w:iCs w:val="1"/>
          <w:color w:val="auto"/>
        </w:rPr>
        <w:t xml:space="preserve"> </w:t>
      </w:r>
      <w:r>
        <w:rPr>
          <w:rFonts w:ascii="Arial" w:cs="Arial" w:eastAsia="Arial" w:hAnsi="Arial"/>
          <w:sz w:val="18"/>
          <w:szCs w:val="18"/>
          <w:color w:val="auto"/>
        </w:rPr>
        <w:t>PRA’s and its subsidiaries’ businesses during the period between the execution of the merger agreement and the completion of the merger as set forth in the merger agreement.</w:t>
      </w:r>
    </w:p>
    <w:p>
      <w:pPr>
        <w:spacing w:after="0" w:line="75"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ICON change of recommendation; ICON shareholder vote. </w:t>
      </w:r>
      <w:r>
        <w:rPr>
          <w:rFonts w:ascii="Arial" w:cs="Arial" w:eastAsia="Arial" w:hAnsi="Arial"/>
          <w:sz w:val="17"/>
          <w:szCs w:val="17"/>
          <w:color w:val="auto"/>
        </w:rPr>
        <w:t>The PRA board of directors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 of the ICON board of directors to change its recommendation to ICON shareholders upon the occurrence of an intervening event, subject to certain conditions. The PRA board of directors also considered that, even if the merger agreement is approved by PRA stockholders, ICON’s shareholders may not approve the ICON share issuance proposal, which is a condition of the merger.</w:t>
      </w:r>
    </w:p>
    <w:p>
      <w:pPr>
        <w:spacing w:after="0" w:line="68" w:lineRule="exact"/>
        <w:rPr>
          <w:rFonts w:ascii="Arial" w:cs="Arial" w:eastAsia="Arial" w:hAnsi="Arial"/>
          <w:sz w:val="17"/>
          <w:szCs w:val="17"/>
          <w:color w:val="auto"/>
        </w:rPr>
      </w:pPr>
    </w:p>
    <w:p>
      <w:pPr>
        <w:jc w:val="both"/>
        <w:ind w:left="1000" w:right="319" w:hanging="348"/>
        <w:spacing w:after="0" w:line="271"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Competing proposals; termination fees; expense reimbursement. </w:t>
      </w:r>
      <w:r>
        <w:rPr>
          <w:rFonts w:ascii="Arial" w:cs="Arial" w:eastAsia="Arial" w:hAnsi="Arial"/>
          <w:sz w:val="17"/>
          <w:szCs w:val="17"/>
          <w:color w:val="auto"/>
        </w:rPr>
        <w:t>The PRA board of directors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the possibility that a third party may be willing to enter into a strategic combination with PRA on terms more favorable than the merger. In connection therewith, the PRA board of directors considered the terms of the merger agreement relating to no shop covenants and termination fees, and the potential that such provisions might deter alternative bidders that might have been willing to submit a superior proposal to PRA. The PRA board of directors also considered that, under specified circumstances, PRA may be required to pay a termination fee or expenses in the event the merger agreement is terminated and the effect this could have on PRA, including:</w:t>
      </w:r>
    </w:p>
    <w:p>
      <w:pPr>
        <w:spacing w:after="0" w:line="70" w:lineRule="exact"/>
        <w:rPr>
          <w:rFonts w:ascii="Arial" w:cs="Arial" w:eastAsia="Arial" w:hAnsi="Arial"/>
          <w:sz w:val="17"/>
          <w:szCs w:val="17"/>
          <w:color w:val="auto"/>
        </w:rPr>
      </w:pPr>
    </w:p>
    <w:p>
      <w:pPr>
        <w:jc w:val="both"/>
        <w:ind w:left="1360" w:right="319" w:hanging="348"/>
        <w:spacing w:after="0" w:line="241" w:lineRule="auto"/>
        <w:tabs>
          <w:tab w:leader="none" w:pos="1360" w:val="left"/>
        </w:tabs>
        <w:numPr>
          <w:ilvl w:val="1"/>
          <w:numId w:val="106"/>
        </w:numPr>
        <w:rPr>
          <w:rFonts w:ascii="Arial" w:cs="Arial" w:eastAsia="Arial" w:hAnsi="Arial"/>
          <w:sz w:val="22"/>
          <w:szCs w:val="22"/>
          <w:color w:val="auto"/>
          <w:vertAlign w:val="superscript"/>
        </w:rPr>
      </w:pPr>
      <w:r>
        <w:rPr>
          <w:rFonts w:ascii="Arial" w:cs="Arial" w:eastAsia="Arial" w:hAnsi="Arial"/>
          <w:sz w:val="18"/>
          <w:szCs w:val="18"/>
          <w:color w:val="auto"/>
        </w:rPr>
        <w:t>the possibility that the termination fee could discourage other potential parties from making a competing offer; although the PRA board of directors believed that the termination fee amount and the potential expense reimbursement are reasonable and will not unduly deter any other party that might be interested in making a competing proposal;</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if the merger is not consummated, PRA will pay its own expenses incident to preparing for and entering into and carrying out its obligations under the merger agreement and the transactions contemplated thereby; and</w:t>
      </w:r>
    </w:p>
    <w:p>
      <w:pPr>
        <w:spacing w:after="0" w:line="76"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requirement that if the merger agreement is terminated as a result of the failure to obtain approval of the PRA stockholders, PRA will be obligated to reimburse ICON $100 million for its expenses in connection with the merger agreement.</w:t>
      </w:r>
    </w:p>
    <w:p>
      <w:pPr>
        <w:spacing w:after="0" w:line="76"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319" w:hanging="348"/>
        <w:spacing w:after="0" w:line="279"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Interests of PRA directors and executive officers. </w:t>
      </w:r>
      <w:r>
        <w:rPr>
          <w:rFonts w:ascii="Arial" w:cs="Arial" w:eastAsia="Arial" w:hAnsi="Arial"/>
          <w:sz w:val="17"/>
          <w:szCs w:val="17"/>
          <w:color w:val="auto"/>
        </w:rPr>
        <w:t>The PRA board of directors considered that PRA’s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executive officers may have interests in the merger that may be different from, or in addition to, those of PRA stockholders. For more information about such interests, see below under the heading “</w:t>
      </w:r>
      <w:r>
        <w:rPr>
          <w:rFonts w:ascii="Arial" w:cs="Arial" w:eastAsia="Arial" w:hAnsi="Arial"/>
          <w:sz w:val="17"/>
          <w:szCs w:val="17"/>
          <w:b w:val="1"/>
          <w:bCs w:val="1"/>
          <w:color w:val="auto"/>
        </w:rPr>
        <w:t>—Interests of PRA Directors and Executive Officers in the Merger</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Merger costs. </w:t>
      </w:r>
      <w:r>
        <w:rPr>
          <w:rFonts w:ascii="Arial" w:cs="Arial" w:eastAsia="Arial" w:hAnsi="Arial"/>
          <w:sz w:val="18"/>
          <w:szCs w:val="18"/>
          <w:color w:val="auto"/>
        </w:rPr>
        <w:t>The PRA board of directors considered the costs associated with the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including management’s time and energy and potential opportunity cost.</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Regulatory approval. </w:t>
      </w:r>
      <w:r>
        <w:rPr>
          <w:rFonts w:ascii="Arial" w:cs="Arial" w:eastAsia="Arial" w:hAnsi="Arial"/>
          <w:sz w:val="16"/>
          <w:szCs w:val="16"/>
          <w:color w:val="auto"/>
        </w:rPr>
        <w:t>The PRA board of directors considered that the merger and the related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regulatory approvals to complete such transactions and the risk that the applicable governmental entities may seek to impose unfavorable terms or conditions, or otherwise fail to grant, such approvals.</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Other risks. </w:t>
      </w:r>
      <w:r>
        <w:rPr>
          <w:rFonts w:ascii="Arial" w:cs="Arial" w:eastAsia="Arial" w:hAnsi="Arial"/>
          <w:sz w:val="18"/>
          <w:szCs w:val="18"/>
          <w:color w:val="auto"/>
        </w:rPr>
        <w:t>The PRA board of directors considered risks of the type and nature described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entitled “</w:t>
      </w:r>
      <w:r>
        <w:rPr>
          <w:rFonts w:ascii="Arial" w:cs="Arial" w:eastAsia="Arial" w:hAnsi="Arial"/>
          <w:sz w:val="18"/>
          <w:szCs w:val="18"/>
          <w:b w:val="1"/>
          <w:bCs w:val="1"/>
          <w:color w:val="auto"/>
        </w:rPr>
        <w:t>Risk Factors</w:t>
      </w:r>
      <w:r>
        <w:rPr>
          <w:rFonts w:ascii="Arial" w:cs="Arial" w:eastAsia="Arial" w:hAnsi="Arial"/>
          <w:sz w:val="18"/>
          <w:szCs w:val="18"/>
          <w:color w:val="auto"/>
        </w:rPr>
        <w:t>” and “</w:t>
      </w:r>
      <w:r>
        <w:rPr>
          <w:rFonts w:ascii="Arial" w:cs="Arial" w:eastAsia="Arial" w:hAnsi="Arial"/>
          <w:sz w:val="18"/>
          <w:szCs w:val="18"/>
          <w:b w:val="1"/>
          <w:bCs w:val="1"/>
          <w:color w:val="auto"/>
        </w:rPr>
        <w:t>Cautionary Statements Regarding Forward-Looking</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PRA board of directors believed that, overall, the potential benefits of the merger to PRA stockholders outweighed the risks and uncertainties of the merger.</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foregoing discussion of factors considered by the PRA board of directors in reaching its conclusions and recommendation includes the principal factors considered by the PRA board of directors, but is not intended to be exhaustive and may not include all of the factors considered by the PRA board of directors, but includes the material factors considered by the PRA board of directors. In light of the variety of factors considered in connection with its evaluation of the merger, the PRA board of directors did not find it practicable to, and did not, quantify or otherwise assign relative or specific weights to the specific factors considered in reaching its determinations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recommendations. Rather, the PRA board of directors based its decisions on the totality of the factors and information it considered. Moreover, each member of the PRA board of directors applied his or her own personal business judgment to the process and may have given different weight to different factors.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ICON’s Reasons for the Merger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a special meeting held on February 23, 2021, the ICON board of directors unanimously approved and declared advisable the merger agreement and the transactions contemplated by the merger agreement, including the merger and the ICON share issuance, on the terms and subject to the conditions set forth in the merger agreement. In the course of reaching its determination, the ICON board of directors considered a number of factors, including the following:</w:t>
      </w:r>
    </w:p>
    <w:p>
      <w:pPr>
        <w:spacing w:after="0" w:line="80" w:lineRule="exact"/>
        <w:rPr>
          <w:sz w:val="20"/>
          <w:szCs w:val="20"/>
          <w:color w:val="auto"/>
        </w:rPr>
      </w:pPr>
    </w:p>
    <w:p>
      <w:pPr>
        <w:ind w:left="1000" w:right="31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Benefits of a combined company. </w:t>
      </w:r>
      <w:r>
        <w:rPr>
          <w:rFonts w:ascii="Arial" w:cs="Arial" w:eastAsia="Arial" w:hAnsi="Arial"/>
          <w:sz w:val="18"/>
          <w:szCs w:val="18"/>
          <w:color w:val="auto"/>
        </w:rPr>
        <w:t>ICON’s management and board of directors believe that the merger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significant strategic opportunities for ICON, including among others, that:</w:t>
      </w:r>
    </w:p>
    <w:p>
      <w:pPr>
        <w:spacing w:after="0" w:line="62"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108"/>
        </w:numPr>
        <w:rPr>
          <w:rFonts w:ascii="Arial" w:cs="Arial" w:eastAsia="Arial" w:hAnsi="Arial"/>
          <w:sz w:val="22"/>
          <w:szCs w:val="22"/>
          <w:color w:val="auto"/>
          <w:vertAlign w:val="superscript"/>
        </w:rPr>
      </w:pPr>
      <w:r>
        <w:rPr>
          <w:rFonts w:ascii="Arial" w:cs="Arial" w:eastAsia="Arial" w:hAnsi="Arial"/>
          <w:sz w:val="18"/>
          <w:szCs w:val="18"/>
          <w:color w:val="auto"/>
        </w:rPr>
        <w:t>the combined company will have increased functional, geographic and therapeutic scale as well as expansive healthcare technology innovation;</w:t>
      </w:r>
    </w:p>
    <w:p>
      <w:pPr>
        <w:sectPr>
          <w:pgSz w:w="11900" w:h="16838" w:orient="portrait"/>
          <w:cols w:equalWidth="0" w:num="1">
            <w:col w:w="9019"/>
          </w:cols>
          <w:pgMar w:left="1440" w:top="265" w:right="1440" w:bottom="1440" w:gutter="0" w:footer="0" w:header="0"/>
        </w:sectPr>
      </w:pPr>
    </w:p>
    <w:p>
      <w:pPr>
        <w:spacing w:after="0" w:line="10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ind w:right="319"/>
        <w:spacing w:after="0" w:line="286" w:lineRule="auto"/>
        <w:rPr>
          <w:sz w:val="20"/>
          <w:szCs w:val="20"/>
          <w:color w:val="auto"/>
        </w:rPr>
      </w:pPr>
      <w:r>
        <w:rPr>
          <w:rFonts w:ascii="Arial" w:cs="Arial" w:eastAsia="Arial" w:hAnsi="Arial"/>
          <w:sz w:val="17"/>
          <w:szCs w:val="17"/>
          <w:color w:val="auto"/>
        </w:rPr>
        <w:t>the combined company will be positioned to address the growing market need for de-centralized and hybrid trial solutions from a differentiated combination of mobile and connected health platforms, a global site network, home health services and wearables expertise;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company will be number 1 or 2 in key clinical market segments; and</w:t>
      </w:r>
    </w:p>
    <w:p>
      <w:pPr>
        <w:spacing w:after="0" w:line="117"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the combined company will have formal strategic partnerships with a majority of the top 20 biopharma companies, providing a platform for growth and innovation.</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319" w:hanging="348"/>
        <w:spacing w:after="0" w:line="270" w:lineRule="auto"/>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Receipt of a fairness opinion</w:t>
      </w:r>
      <w:r>
        <w:rPr>
          <w:rFonts w:ascii="Arial" w:cs="Arial" w:eastAsia="Arial" w:hAnsi="Arial"/>
          <w:sz w:val="17"/>
          <w:szCs w:val="17"/>
          <w:color w:val="auto"/>
        </w:rPr>
        <w:t>. ICON’s board of directors considered the opinion of Centerview rendered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ICON board of directors on February 23, 2021, which was subsequently confirmed by delivery of a written opinion dated February 23, 2021, that, as of such date and based upon and subject to various assumptions made, procedures followed, matters considered, and qualifications and limitations upon the review undertaken by Centerview in preparing its opinion, the Consideration to be paid by ICON and its subsidiaries pursuant to the merger agreement was fair, from a financial point of view, to ICON, as more fully described in the section entitled “—</w:t>
      </w:r>
      <w:r>
        <w:rPr>
          <w:rFonts w:ascii="Arial" w:cs="Arial" w:eastAsia="Arial" w:hAnsi="Arial"/>
          <w:sz w:val="17"/>
          <w:szCs w:val="17"/>
          <w:b w:val="1"/>
          <w:bCs w:val="1"/>
          <w:color w:val="auto"/>
        </w:rPr>
        <w:t>Opinion of ICON’s Financial Advisor</w:t>
      </w:r>
      <w:r>
        <w:rPr>
          <w:rFonts w:ascii="Arial" w:cs="Arial" w:eastAsia="Arial" w:hAnsi="Arial"/>
          <w:sz w:val="17"/>
          <w:szCs w:val="17"/>
          <w:color w:val="auto"/>
        </w:rPr>
        <w:t>” beginning on page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 xml:space="preserve">] and in the full text of the written opinion of Centerview, which is attached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this joint proxy statement/prospectus.</w:t>
      </w:r>
    </w:p>
    <w:p>
      <w:pPr>
        <w:spacing w:after="0" w:line="73" w:lineRule="exact"/>
        <w:rPr>
          <w:sz w:val="20"/>
          <w:szCs w:val="20"/>
          <w:color w:val="auto"/>
        </w:rPr>
      </w:pPr>
    </w:p>
    <w:p>
      <w:pPr>
        <w:jc w:val="both"/>
        <w:ind w:left="300" w:right="299" w:firstLine="360"/>
        <w:spacing w:after="0" w:line="259" w:lineRule="auto"/>
        <w:rPr>
          <w:rFonts w:ascii="Arial" w:cs="Arial" w:eastAsia="Arial" w:hAnsi="Arial"/>
          <w:sz w:val="18"/>
          <w:szCs w:val="18"/>
          <w:color w:val="auto"/>
        </w:rPr>
      </w:pPr>
      <w:r>
        <w:rPr>
          <w:rFonts w:ascii="Arial" w:cs="Arial" w:eastAsia="Arial" w:hAnsi="Arial"/>
          <w:sz w:val="18"/>
          <w:szCs w:val="18"/>
          <w:color w:val="auto"/>
        </w:rPr>
        <w:t>The foregoing statements are forward-looking in nature and should be read in conjunction with the discussion entitled “</w:t>
      </w:r>
      <w:r>
        <w:rPr>
          <w:rFonts w:ascii="Arial" w:cs="Arial" w:eastAsia="Arial" w:hAnsi="Arial"/>
          <w:sz w:val="18"/>
          <w:szCs w:val="18"/>
          <w:b w:val="1"/>
          <w:bCs w:val="1"/>
          <w:color w:val="auto"/>
        </w:rPr>
        <w:t>Cautionary Note Regarding Forward-Looking Statements</w:t>
      </w:r>
      <w:r>
        <w:rPr>
          <w:rFonts w:ascii="Arial" w:cs="Arial" w:eastAsia="Arial" w:hAnsi="Arial"/>
          <w:sz w:val="18"/>
          <w:szCs w:val="18"/>
          <w:color w:val="auto"/>
        </w:rPr>
        <w:t>” beginning on page [</w:t>
      </w:r>
      <w:hyperlink w:anchor="page49">
        <w:r>
          <w:rPr>
            <w:rFonts w:ascii="Arial" w:cs="Arial" w:eastAsia="Arial" w:hAnsi="Arial"/>
            <w:sz w:val="18"/>
            <w:szCs w:val="18"/>
            <w:u w:val="single" w:color="auto"/>
            <w:color w:val="0000EE"/>
          </w:rPr>
          <w:t>32</w:t>
        </w:r>
      </w:hyperlink>
      <w:r>
        <w:rPr>
          <w:rFonts w:ascii="Arial" w:cs="Arial" w:eastAsia="Arial" w:hAnsi="Arial"/>
          <w:sz w:val="18"/>
          <w:szCs w:val="18"/>
          <w:color w:val="auto"/>
        </w:rPr>
        <w:t>] and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 There can be no assurance that any anticipated strategic opportunities will be realized.</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ICON shareholders are not required to approve the adoption of the merger agreement under Irish law and, accordingly, ICON shareholders are not being asked to vote on the merger or the adoption of the merger agreement.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ICON’s Financial Advisor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23, 2021, Centerview rendered to the ICON board of directors its oral opinion, subsequently confirmed in a written opinion dated February 23, 2021, that, as of such date and based upon and subject to various assumptions made, procedures followed, matters considered, and qualifications and limitations upon the review undertaken by Centerview in preparing its opinion, the Consideration to be paid by ICON and its subsidiaries pursuant to the merger agreement was fair, from a financial point of view, to ICON.</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The full text of Centerview’s written opinion, dated February 23, 2021, which describes the assumptions made, procedures followed, matters considered, and qualifications and limitations upon the review undertaken by Centerview in preparing its opinion,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is incorporated herein by reference, and the summary of the written opinion of Centerview set forth below is qualified in its entirety by reference to such full text. Centerview’s financial advisory services and opinion were provided for the information and assistance of the ICON board of directors (in their capacity as directors and not in any other capacity) in connection with and for purposes of its consideration of the Transaction and Centerview’s opinion only addressed the fairness, from a financial point of view, as of the date thereof, to ICON of the Consideration to be paid by ICON and its subsidiaries pursuant to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merger agreement. Centerview’s opinion did not address any other term or aspect of the merger agreement or the Transaction and does not constitute a recommendation to any ICON shareholder or any other person as to how such shareholder or other person should vote with respect to the merger or otherwise act with respect to the Transaction or any other matter. 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rendering the opinion described above and performing its related financial analyses,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Centerview reviewed, among other things:</w:t>
      </w:r>
    </w:p>
    <w:p>
      <w:pPr>
        <w:spacing w:after="0" w:line="103" w:lineRule="exact"/>
        <w:rPr>
          <w:sz w:val="20"/>
          <w:szCs w:val="20"/>
          <w:color w:val="auto"/>
        </w:rPr>
      </w:pPr>
    </w:p>
    <w:p>
      <w:pPr>
        <w:ind w:left="1000" w:right="319" w:hanging="348"/>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draft of the merger agreement dated February 23, 2021, referred to in this summary of Centerview’s opinion as the “Draft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PRA’s Annual Reports on Form 10-K for the years ended December 31, 2019, December 31, 2018 and December 31, 2017 and ICON’s Annual Reports on Form 20-F for the years ended December 31, 2019, December 31, 2018 and December 31, 2017;</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interim reports to PRA stockholders and ICON shareholders, including PRA’s Quarterly Reports on Form 10-Q and ICON’s quarterly reports furnished on Form 6-K;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PRA and ICON;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certain other communications from PRA and ICON to their respective stockholders and shareholders;</w:t>
      </w:r>
    </w:p>
    <w:p>
      <w:pPr>
        <w:spacing w:after="0" w:line="128" w:lineRule="exact"/>
        <w:rPr>
          <w:rFonts w:ascii="Arial" w:cs="Arial" w:eastAsia="Arial" w:hAnsi="Arial"/>
          <w:sz w:val="17"/>
          <w:szCs w:val="17"/>
          <w:color w:val="auto"/>
        </w:rPr>
      </w:pPr>
    </w:p>
    <w:p>
      <w:pPr>
        <w:jc w:val="both"/>
        <w:ind w:left="1000" w:right="319" w:hanging="348"/>
        <w:spacing w:after="0" w:line="286"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certain internal information relating to the business, operations, earnings, cash flow, assets, liabilities and prospects of PRA and furnished to Centerview by ICON for purposes of Centerview’s analysis, which are collectively referred to in this summary of Centerview’s opinion as the “PRA Internal Data”;</w:t>
      </w:r>
    </w:p>
    <w:p>
      <w:pPr>
        <w:spacing w:after="0" w:line="57" w:lineRule="exact"/>
        <w:rPr>
          <w:rFonts w:ascii="Arial" w:cs="Arial" w:eastAsia="Arial" w:hAnsi="Arial"/>
          <w:sz w:val="17"/>
          <w:szCs w:val="17"/>
          <w:color w:val="auto"/>
        </w:rPr>
      </w:pPr>
    </w:p>
    <w:p>
      <w:pPr>
        <w:jc w:val="both"/>
        <w:ind w:left="1000" w:right="319" w:hanging="348"/>
        <w:spacing w:after="0" w:line="272"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certain financial forecasts, analyses and projections relating to PRA prepared by management of PRA and of ICON, in each case furnished to Centerview by ICON for purposes of Centerview’s analysis, which are referred to in this summary of Centerview’s opinion as the “ICON-Adjusted PRA Forecasts,” as summarized in the section titled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 beginning on page [</w:t>
      </w:r>
      <w:hyperlink w:anchor="page124">
        <w:r>
          <w:rPr>
            <w:rFonts w:ascii="Arial" w:cs="Arial" w:eastAsia="Arial" w:hAnsi="Arial"/>
            <w:sz w:val="17"/>
            <w:szCs w:val="17"/>
            <w:u w:val="single" w:color="auto"/>
            <w:color w:val="0000EE"/>
          </w:rPr>
          <w:t>107</w:t>
        </w:r>
      </w:hyperlink>
      <w:r>
        <w:rPr>
          <w:rFonts w:ascii="Arial" w:cs="Arial" w:eastAsia="Arial" w:hAnsi="Arial"/>
          <w:sz w:val="17"/>
          <w:szCs w:val="17"/>
          <w:color w:val="auto"/>
        </w:rPr>
        <w:t>], in the case of such forecasts prepared by the management of ICON, and as the “financial forecasts by PRA,” as summarized in the section titled “—</w:t>
      </w:r>
      <w:r>
        <w:rPr>
          <w:rFonts w:ascii="Arial" w:cs="Arial" w:eastAsia="Arial" w:hAnsi="Arial"/>
          <w:sz w:val="17"/>
          <w:szCs w:val="17"/>
          <w:b w:val="1"/>
          <w:bCs w:val="1"/>
          <w:color w:val="auto"/>
        </w:rPr>
        <w:t>PRA 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 in the case of such forecasts prepared by the management of PRA;</w:t>
      </w:r>
    </w:p>
    <w:p>
      <w:pPr>
        <w:spacing w:after="0" w:line="69" w:lineRule="exact"/>
        <w:rPr>
          <w:rFonts w:ascii="Arial" w:cs="Arial" w:eastAsia="Arial" w:hAnsi="Arial"/>
          <w:sz w:val="17"/>
          <w:szCs w:val="17"/>
          <w:color w:val="auto"/>
        </w:rPr>
      </w:pPr>
    </w:p>
    <w:p>
      <w:pPr>
        <w:jc w:val="both"/>
        <w:ind w:left="1000" w:right="299" w:hanging="348"/>
        <w:spacing w:after="0" w:line="254"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internal information relating to the business, operations, earnings, cash flow, assets, liabilities and prospects of ICON, including certain financial forecasts, analyses and projections relating to ICON, prepared by management of ICON and furnished to Centerview by ICON for purposes of Centerview’s analysis, which are referred to in this summary of Centerview’s opinion as the “ICON Forecasts”,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 and which are collectively referred to in this summary of Centerview’s opinion as the “ICON Internal Data”; and</w:t>
      </w:r>
    </w:p>
    <w:p>
      <w:pPr>
        <w:spacing w:after="0" w:line="86"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certain tax and other cost savings and operating synergies projected by the management of ICON to result from the Transaction furnished to Centerview by ICON for purposes of Centerview’s analysis, which are referred to in this summary of Centerview’s opinion as the “Synergies”.</w:t>
      </w:r>
    </w:p>
    <w:p>
      <w:pPr>
        <w:spacing w:after="0" w:line="57" w:lineRule="exact"/>
        <w:rPr>
          <w:rFonts w:ascii="Arial" w:cs="Arial" w:eastAsia="Arial" w:hAnsi="Arial"/>
          <w:sz w:val="17"/>
          <w:szCs w:val="17"/>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Centerview also participated in discussions with members of the senior management and representatives of ICON and PRA regarding their assessment of the PRA Internal Data, the ICON-Adjusted PRA Forecasts, ICON Internal Data (including, without limitation, the ICON Forecasts), the Synergies and the strategic rationale for the Transaction. In addition, Centerview reviewed publicly available financial and stock market data, including valuation multiples, for PRA and ICON and compared that data with similar data for certain other companies, the securities of which are publicly traded, in lines of business that Centerview deemed relevant. Centerview also compared certain of the proposed financial terms of the Transaction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58" w:lineRule="exact"/>
        <w:rPr>
          <w:rFonts w:ascii="Arial" w:cs="Arial" w:eastAsia="Arial" w:hAnsi="Arial"/>
          <w:sz w:val="17"/>
          <w:szCs w:val="17"/>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ICON’s consent, Centerview relied upon such</w:t>
      </w:r>
    </w:p>
    <w:p>
      <w:pPr>
        <w:spacing w:after="0" w:line="14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information as being complete and accurate. In that regard, Centerview assumed, at ICON’s direction, that the PRA Internal Data, the ICON-Adjusted PRA Forecasts, the ICON Internal Data (including, without limitation, the ICON Forecasts) and the Synergies were reasonably prepared on bases reflecting the best currently available estimates and judgments of the management of ICON and PRA, as applicable, as to the matters covered thereby and Centerview relied, at ICON’s direction, on the PRA Internal Data, the ICON-Adjusted PRA Forecasts, the ICON Internal Data (including, without limitation, the ICON Forecasts) for purposes of Centerview’s analysis and opinion. Centerview expressed no view or opinion as to the PRA Internal Data, the ICON-Adjusted PRA Forecasts, the ICON Internal Data (including, without limitation, the ICON Forecasts) or the Synergies or the assumptions on which it was based. In addition, at ICON’s direction, Centerview did not make any independent evaluation or appraisal of any of the assets or liabilities (contingent, derivative, off-balance-sheet or otherwise) of PRA or ICON, nor was Centerview furnished with any such evaluation or appraisal, and was not asked to conduct, and did not conduct, a physical inspection of the properties or assets of PRA or ICON. Centerview assumed, at ICON’s direction, that the final executed merger agreement would not differ in any respect material to Centerview’s analysis or opinion from the Draft Agreement reviewed by Centerview and that the representations and warranties made by each of PRA, ICON, US HoldCo and Merger Sub in the Draft Agreement are and will be true and correct in all respects material to Centerview’s analysis. Centerview also assumed, at ICON’s direction, that the Transaction will be consummated on the terms set forth in the Draft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also assumed that the Transaction will have the tax consequences described in discussions with, and materials furnished to Centerview by, representatives of ICON. Centerview did not evaluate and did not express any opinion as to the solvency or fair value of PRA or ICON, or the ability of PRA or ICON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2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Centerview’s opinion expressed no view as to, and did not address, ICON’s underlying business decision to proceed with or effect the Transaction, or the relative merits of the Transaction as compared to any alternative business strategies or transactions that might be available to ICON or in which ICON might engage. Centerview’s opinion was limited to and addressed only the fairness, from a financial point of view, as of the date of Centerview’s written opinion, to ICON of the Consideration to be paid by ICON and its subsidiaries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ICON or any other party. In addition, Centerview expressed no view or opinion as to the fairness (financial or otherwise) of the amount, nature or any other aspect of any compensation to be paid or payable to any of the officers, directors or employees of PRA or any party, or class of such persons in connection with the Transaction, whether relative to the Consideration to be paid by ICON and its subsidiaries pursuant to the merger agreement or otherwise. Centerview’s opinion related, in part, to the relative values of PRA and ICON.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expressed no view or opinion as to what the value of ICON ordinary shares actually will be when issued pursuant to the Transaction or the prices at which shares of PRA common stock or ICON ordinary shares will trade or otherwise be transferable at any time, including following the announcement or consummation of the Transaction. Centerview’s opinion does not constitute a recommendation to any shareholder of ICON or any other person as to how such shareholder or other person should vote with respect to the merger or otherwise act with respect to the Transaction or any other matter.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Centerview’s financial advisory services and its written opinion were provided for the information and assistance of the ICON board of directors (in their capacity as directors and not in any other capacity) in connection with and for purposes of its consideration of the Transaction. The issuance of Centerview’s opinion was approved by the Centerview Partners LLC Fairness Opinion Committee.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Centerview’s Financial Analysis</w:t>
      </w:r>
    </w:p>
    <w:p>
      <w:pPr>
        <w:spacing w:after="0" w:line="117" w:lineRule="exact"/>
        <w:rPr>
          <w:sz w:val="20"/>
          <w:szCs w:val="20"/>
          <w:color w:val="auto"/>
        </w:rPr>
      </w:pPr>
    </w:p>
    <w:p>
      <w:pPr>
        <w:jc w:val="both"/>
        <w:ind w:left="300" w:right="299" w:firstLine="36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 xml:space="preserve">The following is a summary of the material financial analyses prepared and reviewed with the ICON board of directors in connection with Centerview’s opinion, dated February 23, 2021. </w:t>
      </w:r>
      <w:r>
        <w:rPr>
          <w:rFonts w:ascii="Arial" w:cs="Arial" w:eastAsia="Arial" w:hAnsi="Arial"/>
          <w:sz w:val="16"/>
          <w:szCs w:val="16"/>
          <w:b w:val="1"/>
          <w:bCs w:val="1"/>
          <w:color w:val="auto"/>
        </w:rPr>
        <w:t>The summary set forth below does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ICON or PRA.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Arial" w:cs="Arial" w:eastAsia="Arial" w:hAnsi="Arial"/>
          <w:sz w:val="16"/>
          <w:szCs w:val="16"/>
          <w:color w:val="auto"/>
        </w:rPr>
        <w:t>In performing its analyses,</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made numerous assumptions with respect to industry performance, general business and economic conditions and other matters, many of which are beyond the control of ICON, PRA or any other parties to the Transaction. None of ICON, PRA, US HoldCo,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ICON or PRA do not purport to be appraisals or reflect the prices at which ICON or PRA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February 23, 2021 and is not necessarily indicative of current market conditions. For purposes of the financial analyses described below in this section, the terms Adjusted EBITDA and Adjusted EPS are defined in the section entitled “</w:t>
      </w:r>
      <w:r>
        <w:rPr>
          <w:rFonts w:ascii="Arial" w:cs="Arial" w:eastAsia="Arial" w:hAnsi="Arial"/>
          <w:sz w:val="16"/>
          <w:szCs w:val="16"/>
          <w:b w:val="1"/>
          <w:bCs w:val="1"/>
          <w:color w:val="auto"/>
        </w:rPr>
        <w:t>ICON Unaudited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Forecasts</w:t>
      </w:r>
      <w:r>
        <w:rPr>
          <w:rFonts w:ascii="Arial" w:cs="Arial" w:eastAsia="Arial" w:hAnsi="Arial"/>
          <w:sz w:val="16"/>
          <w:szCs w:val="16"/>
          <w:color w:val="auto"/>
        </w:rPr>
        <w:t>” beginning on pages [</w:t>
      </w:r>
      <w:hyperlink w:anchor="page124">
        <w:r>
          <w:rPr>
            <w:rFonts w:ascii="Arial" w:cs="Arial" w:eastAsia="Arial" w:hAnsi="Arial"/>
            <w:sz w:val="16"/>
            <w:szCs w:val="16"/>
            <w:u w:val="single" w:color="auto"/>
            <w:color w:val="0000EE"/>
          </w:rPr>
          <w:t>107</w:t>
        </w:r>
      </w:hyperlink>
      <w:r>
        <w:rPr>
          <w:rFonts w:ascii="Arial" w:cs="Arial" w:eastAsia="Arial" w:hAnsi="Arial"/>
          <w:sz w:val="16"/>
          <w:szCs w:val="16"/>
          <w:color w:val="auto"/>
        </w:rPr>
        <w:t>].</w:t>
      </w: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Stand-Alone PRA Financial Analysis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Selected Trading Companies Analysis</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Centerview reviewed and compared certain financial information, ratios and multiples for PRA to corresponding financial information, ratios and multiples for selected publicly traded companies that Centerview deemed comparable, based on its experience and professional judgment, to PRA, which we refer to in this “</w:t>
      </w:r>
      <w:r>
        <w:rPr>
          <w:rFonts w:ascii="Arial" w:cs="Arial" w:eastAsia="Arial" w:hAnsi="Arial"/>
          <w:sz w:val="17"/>
          <w:szCs w:val="17"/>
          <w:b w:val="1"/>
          <w:bCs w:val="1"/>
          <w:color w:val="auto"/>
        </w:rPr>
        <w:t>Opinion</w:t>
      </w:r>
      <w:r>
        <w:rPr>
          <w:rFonts w:ascii="Arial" w:cs="Arial" w:eastAsia="Arial" w:hAnsi="Arial"/>
          <w:sz w:val="17"/>
          <w:szCs w:val="17"/>
          <w:color w:val="auto"/>
        </w:rPr>
        <w:t xml:space="preserve"> </w:t>
      </w:r>
      <w:r>
        <w:rPr>
          <w:rFonts w:ascii="Arial" w:cs="Arial" w:eastAsia="Arial" w:hAnsi="Arial"/>
          <w:sz w:val="17"/>
          <w:szCs w:val="17"/>
          <w:b w:val="1"/>
          <w:bCs w:val="1"/>
          <w:color w:val="auto"/>
        </w:rPr>
        <w:t>of ICON’s Financial Advisor</w:t>
      </w:r>
      <w:r>
        <w:rPr>
          <w:rFonts w:ascii="Arial" w:cs="Arial" w:eastAsia="Arial" w:hAnsi="Arial"/>
          <w:sz w:val="17"/>
          <w:szCs w:val="17"/>
          <w:color w:val="auto"/>
        </w:rPr>
        <w:t>” section as the selected trading companies for PRA.</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trading companies for PRA consisted of:</w:t>
      </w:r>
    </w:p>
    <w:p>
      <w:pPr>
        <w:spacing w:after="0" w:line="117" w:lineRule="exact"/>
        <w:rPr>
          <w:sz w:val="20"/>
          <w:szCs w:val="20"/>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ICON plc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Although none of the selected trading companies for PRA is directly comparable to PRA, these companies were selected by Centerview, among other reasons, because they are publicly traded companies in the contract research organization industry with certain operational and financial characteristics that Centerview, in its experience and professional judgment, deemed generally relevant for comparative purposes.</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Using publicly available information obtained from SEC filings, publicly available Wall Street research, other publicly available information and closing stock prices as of February 22, 2021, as well as the ICON Forecasts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ICON-Adjusted PRA Forecasts, Centerview calculated, for PRA and for each of its selected trading companies, the following ratios and multiples: (1) the enterprise value (calculated as the market value of fully diluted common equity with outstanding options treated with the treasury stock method plus the face value of debt and non-controlling interests, less cash and cash equivalents including investments in debt, equity and other securities) as a multiple of 2021 calendar year estimated Adjusted EBITDA and (2) the price to earnings ratio for the 2021 calendar years based on consensus analyst estimates (adjusted to exclude expenses related to stock-based compensation).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for the selected trading companies for PRA are summarized below:</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22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Mean</w:t>
            </w: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r>
      <w:tr>
        <w:trPr>
          <w:trHeight w:val="53"/>
        </w:trPr>
        <w:tc>
          <w:tcPr>
            <w:tcW w:w="530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31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1860" w:type="dxa"/>
            <w:vAlign w:val="bottom"/>
            <w:tcBorders>
              <w:bottom w:val="single" w:sz="8" w:color="CCEEFF"/>
            </w:tcBorders>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90"/>
              </w:rPr>
              <w:t>13.8x</w:t>
            </w:r>
          </w:p>
        </w:tc>
        <w:tc>
          <w:tcPr>
            <w:tcW w:w="6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18.5x</w:t>
            </w:r>
          </w:p>
        </w:tc>
        <w:tc>
          <w:tcPr>
            <w:tcW w:w="6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26.4x</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Price / 2021 Estimated Adjusted EPS</w:t>
            </w:r>
          </w:p>
        </w:tc>
        <w:tc>
          <w:tcPr>
            <w:tcW w:w="186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17.4x</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25.6x</w:t>
            </w: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36.1x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-393700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-393700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-393700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Based on this analysis and other considerations that Centerview deemed relevant in its experience and professional judgment, for purposes of its analysis Centerview selected a reference range of estimated 2021 price to earnings ratios (excluding stock-based compensation expense) of 18.0x to 26.0x and a reference range of enterprise value to estimated 2021 Adjusted EBITDA multiples of 14.0x to 19.0x. However, because none of the selected companies is exactly the same as PRA, Centerview believed that it was inappropriate to, and therefore did not, rely solely on the quantitative results of the selected company analysis. Accordingly, in selecting these reference ranges, Centerview made qualitative judgments based on its experience and professional judgment concerning differences between the business, financial and operating characteristics and prospects of PRA and the selected trading companies for PRA that could affect the public trading values in order to provide a context in which to consider the results of the quantitative analysis.</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Centerview applied the Adjusted EBITDA multiple reference ranges to PRA’s calendar year 2021 estimated Adjusted EBITDA as set forth in the ICON-Adjusted PRA Forecasts to derive ranges of implied enterprise values for PRA. Centerview also applied the Adjusted EPS multiple reference ranges to PRA’s calendar year 2021 estimated Adjusted EPS as set forth in the ICON-Adjusted PRA Forecasts to derive ranges of implied values per share of PRA common stock. Centerview subtracted from each of these ranges of implied enterprise values the value of PRA’s net debt (including non-controlling interest) as of December 31, 2020 as set forth in the PRA Internal Data to derive a range of implied equity values for PRA. Centerview then divided these implied equity values by the number of fully-diluted outstanding shares of PRA common stock as of February 19, 2021 as set forth in the PRA Internal Data to derive a range of implied values per share of PRA common stock.</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rounded to the nearest $1.00, are summarized below:</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Metric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53"/>
        </w:trPr>
        <w:tc>
          <w:tcPr>
            <w:tcW w:w="6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$116.00 – 159.00</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Price / 2021 Estimated Adjusted EPS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$109.00 – 158.00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-393700</wp:posOffset>
            </wp:positionV>
            <wp:extent cx="2057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Centerview then compared these ranges to the value of the Consideration of $165.90 per share of PRA common stock, based on the closing price of ICON ordinary shares as of February 22, 2021, and implied by the sum of (i) 0.4125 of one share of ICON ordinary shares and (ii) $80.00 cash consideration per share of PRA common stock to be paid in the merger.</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Centerview analyzed certain information relating to selected precedent transactions in the contract research organization industry in the past fourteen (14) years that Centerview deemed, based on its experience and professional judgment, to be comparable to PRA and the Transaction.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precedent transactions consisted of:</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Announcement</w:t>
            </w:r>
          </w:p>
        </w:tc>
        <w:tc>
          <w:tcPr>
            <w:tcW w:w="368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Acquirer</w:t>
            </w: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00" w:type="dxa"/>
            <w:vAlign w:val="bottom"/>
            <w:gridSpan w:val="2"/>
          </w:tcPr>
          <w:p>
            <w:pPr>
              <w:spacing w:after="0"/>
              <w:rPr>
                <w:sz w:val="20"/>
                <w:szCs w:val="20"/>
                <w:color w:val="auto"/>
              </w:rPr>
            </w:pPr>
            <w:r>
              <w:rPr>
                <w:rFonts w:ascii="Arial" w:cs="Arial" w:eastAsia="Arial" w:hAnsi="Arial"/>
                <w:sz w:val="18"/>
                <w:szCs w:val="18"/>
                <w:color w:val="auto"/>
              </w:rPr>
              <w:t>July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Laboratory Corporation of America Holdings</w:t>
            </w:r>
          </w:p>
        </w:tc>
        <w:tc>
          <w:tcPr>
            <w:tcW w:w="2840" w:type="dxa"/>
            <w:vAlign w:val="bottom"/>
          </w:tcPr>
          <w:p>
            <w:pPr>
              <w:spacing w:after="0"/>
              <w:rPr>
                <w:sz w:val="20"/>
                <w:szCs w:val="20"/>
                <w:color w:val="auto"/>
              </w:rPr>
            </w:pPr>
            <w:r>
              <w:rPr>
                <w:rFonts w:ascii="Arial" w:cs="Arial" w:eastAsia="Arial" w:hAnsi="Arial"/>
                <w:sz w:val="18"/>
                <w:szCs w:val="18"/>
                <w:color w:val="auto"/>
              </w:rPr>
              <w:t>Chiltern International Inc.</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June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Pamplona Capital Management LLC</w:t>
            </w:r>
          </w:p>
        </w:tc>
        <w:tc>
          <w:tcPr>
            <w:tcW w:w="2840" w:type="dxa"/>
            <w:vAlign w:val="bottom"/>
          </w:tcPr>
          <w:p>
            <w:pPr>
              <w:spacing w:after="0"/>
              <w:rPr>
                <w:sz w:val="20"/>
                <w:szCs w:val="20"/>
                <w:color w:val="auto"/>
              </w:rPr>
            </w:pPr>
            <w:r>
              <w:rPr>
                <w:rFonts w:ascii="Arial" w:cs="Arial" w:eastAsia="Arial" w:hAnsi="Arial"/>
                <w:sz w:val="18"/>
                <w:szCs w:val="18"/>
                <w:color w:val="auto"/>
                <w:w w:val="98"/>
              </w:rPr>
              <w:t>PAREXEL International Corporation</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INC Research, LLC</w:t>
            </w:r>
          </w:p>
        </w:tc>
        <w:tc>
          <w:tcPr>
            <w:tcW w:w="2840" w:type="dxa"/>
            <w:vAlign w:val="bottom"/>
          </w:tcPr>
          <w:p>
            <w:pPr>
              <w:spacing w:after="0"/>
              <w:rPr>
                <w:sz w:val="20"/>
                <w:szCs w:val="20"/>
                <w:color w:val="auto"/>
              </w:rPr>
            </w:pPr>
            <w:r>
              <w:rPr>
                <w:rFonts w:ascii="Arial" w:cs="Arial" w:eastAsia="Arial" w:hAnsi="Arial"/>
                <w:sz w:val="18"/>
                <w:szCs w:val="18"/>
                <w:color w:val="auto"/>
              </w:rPr>
              <w:t>inVentiv Health,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9" w:name="page100"/>
    <w:bookmarkEnd w:id="99"/>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360" w:type="dxa"/>
            <w:vAlign w:val="bottom"/>
            <w:gridSpan w:val="2"/>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Announcement</w:t>
            </w:r>
          </w:p>
        </w:tc>
        <w:tc>
          <w:tcPr>
            <w:tcW w:w="368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Acquirer</w:t>
            </w: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6"/>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6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00" w:type="dxa"/>
            <w:vAlign w:val="bottom"/>
            <w:gridSpan w:val="3"/>
          </w:tcPr>
          <w:p>
            <w:pPr>
              <w:spacing w:after="0"/>
              <w:rPr>
                <w:sz w:val="20"/>
                <w:szCs w:val="20"/>
                <w:color w:val="auto"/>
              </w:rPr>
            </w:pPr>
            <w:r>
              <w:rPr>
                <w:rFonts w:ascii="Arial" w:cs="Arial" w:eastAsia="Arial" w:hAnsi="Arial"/>
                <w:sz w:val="18"/>
                <w:szCs w:val="18"/>
                <w:color w:val="auto"/>
              </w:rPr>
              <w:t>August 2016</w:t>
            </w:r>
          </w:p>
        </w:tc>
        <w:tc>
          <w:tcPr>
            <w:tcW w:w="3680" w:type="dxa"/>
            <w:vAlign w:val="bottom"/>
            <w:gridSpan w:val="2"/>
          </w:tcPr>
          <w:p>
            <w:pPr>
              <w:spacing w:after="0"/>
              <w:rPr>
                <w:sz w:val="20"/>
                <w:szCs w:val="20"/>
                <w:color w:val="auto"/>
              </w:rPr>
            </w:pPr>
            <w:r>
              <w:rPr>
                <w:rFonts w:ascii="Arial" w:cs="Arial" w:eastAsia="Arial" w:hAnsi="Arial"/>
                <w:sz w:val="18"/>
                <w:szCs w:val="18"/>
                <w:color w:val="auto"/>
              </w:rPr>
              <w:t>Advent International Corp</w:t>
            </w:r>
          </w:p>
        </w:tc>
        <w:tc>
          <w:tcPr>
            <w:tcW w:w="2840" w:type="dxa"/>
            <w:vAlign w:val="bottom"/>
          </w:tcPr>
          <w:p>
            <w:pPr>
              <w:spacing w:after="0"/>
              <w:rPr>
                <w:sz w:val="20"/>
                <w:szCs w:val="20"/>
                <w:color w:val="auto"/>
              </w:rPr>
            </w:pPr>
            <w:r>
              <w:rPr>
                <w:rFonts w:ascii="Arial" w:cs="Arial" w:eastAsia="Arial" w:hAnsi="Arial"/>
                <w:sz w:val="18"/>
                <w:szCs w:val="18"/>
                <w:color w:val="auto"/>
              </w:rPr>
              <w:t>inVentiv Health,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May 2016</w:t>
            </w:r>
          </w:p>
        </w:tc>
        <w:tc>
          <w:tcPr>
            <w:tcW w:w="3680" w:type="dxa"/>
            <w:vAlign w:val="bottom"/>
            <w:gridSpan w:val="2"/>
          </w:tcPr>
          <w:p>
            <w:pPr>
              <w:spacing w:after="0"/>
              <w:rPr>
                <w:sz w:val="20"/>
                <w:szCs w:val="20"/>
                <w:color w:val="auto"/>
              </w:rPr>
            </w:pPr>
            <w:r>
              <w:rPr>
                <w:rFonts w:ascii="Arial" w:cs="Arial" w:eastAsia="Arial" w:hAnsi="Arial"/>
                <w:sz w:val="18"/>
                <w:szCs w:val="18"/>
                <w:color w:val="auto"/>
              </w:rPr>
              <w:t>Quintiles Transnational Holdings Inc.</w:t>
            </w:r>
          </w:p>
        </w:tc>
        <w:tc>
          <w:tcPr>
            <w:tcW w:w="2840" w:type="dxa"/>
            <w:vAlign w:val="bottom"/>
          </w:tcPr>
          <w:p>
            <w:pPr>
              <w:spacing w:after="0"/>
              <w:rPr>
                <w:sz w:val="20"/>
                <w:szCs w:val="20"/>
                <w:color w:val="auto"/>
              </w:rPr>
            </w:pPr>
            <w:r>
              <w:rPr>
                <w:rFonts w:ascii="Arial" w:cs="Arial" w:eastAsia="Arial" w:hAnsi="Arial"/>
                <w:sz w:val="18"/>
                <w:szCs w:val="18"/>
                <w:color w:val="auto"/>
              </w:rPr>
              <w:t>IMS Health Holdings,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November 2014</w:t>
            </w:r>
          </w:p>
        </w:tc>
        <w:tc>
          <w:tcPr>
            <w:tcW w:w="3680" w:type="dxa"/>
            <w:vAlign w:val="bottom"/>
            <w:gridSpan w:val="2"/>
          </w:tcPr>
          <w:p>
            <w:pPr>
              <w:spacing w:after="0"/>
              <w:rPr>
                <w:sz w:val="20"/>
                <w:szCs w:val="20"/>
                <w:color w:val="auto"/>
              </w:rPr>
            </w:pPr>
            <w:r>
              <w:rPr>
                <w:rFonts w:ascii="Arial" w:cs="Arial" w:eastAsia="Arial" w:hAnsi="Arial"/>
                <w:sz w:val="18"/>
                <w:szCs w:val="18"/>
                <w:color w:val="auto"/>
              </w:rPr>
              <w:t>Laboratory Corporation of America Holdings</w:t>
            </w:r>
          </w:p>
        </w:tc>
        <w:tc>
          <w:tcPr>
            <w:tcW w:w="2840" w:type="dxa"/>
            <w:vAlign w:val="bottom"/>
          </w:tcPr>
          <w:p>
            <w:pPr>
              <w:spacing w:after="0"/>
              <w:rPr>
                <w:sz w:val="20"/>
                <w:szCs w:val="20"/>
                <w:color w:val="auto"/>
              </w:rPr>
            </w:pPr>
            <w:r>
              <w:rPr>
                <w:rFonts w:ascii="Arial" w:cs="Arial" w:eastAsia="Arial" w:hAnsi="Arial"/>
                <w:sz w:val="18"/>
                <w:szCs w:val="18"/>
                <w:color w:val="auto"/>
              </w:rPr>
              <w:t>Covance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June 2013</w:t>
            </w:r>
          </w:p>
        </w:tc>
        <w:tc>
          <w:tcPr>
            <w:tcW w:w="3680" w:type="dxa"/>
            <w:vAlign w:val="bottom"/>
            <w:gridSpan w:val="2"/>
          </w:tcPr>
          <w:p>
            <w:pPr>
              <w:spacing w:after="0"/>
              <w:rPr>
                <w:sz w:val="20"/>
                <w:szCs w:val="20"/>
                <w:color w:val="auto"/>
              </w:rPr>
            </w:pPr>
            <w:r>
              <w:rPr>
                <w:rFonts w:ascii="Arial" w:cs="Arial" w:eastAsia="Arial" w:hAnsi="Arial"/>
                <w:sz w:val="18"/>
                <w:szCs w:val="18"/>
                <w:color w:val="auto"/>
              </w:rPr>
              <w:t>KKR &amp; Co. Inc.</w:t>
            </w:r>
          </w:p>
        </w:tc>
        <w:tc>
          <w:tcPr>
            <w:tcW w:w="2840" w:type="dxa"/>
            <w:vAlign w:val="bottom"/>
          </w:tcPr>
          <w:p>
            <w:pPr>
              <w:spacing w:after="0"/>
              <w:rPr>
                <w:sz w:val="20"/>
                <w:szCs w:val="20"/>
                <w:color w:val="auto"/>
              </w:rPr>
            </w:pPr>
            <w:r>
              <w:rPr>
                <w:rFonts w:ascii="Arial" w:cs="Arial" w:eastAsia="Arial" w:hAnsi="Arial"/>
                <w:sz w:val="18"/>
                <w:szCs w:val="18"/>
                <w:color w:val="auto"/>
              </w:rPr>
              <w:t>PRA Health Sciences,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October 2011</w:t>
            </w:r>
          </w:p>
        </w:tc>
        <w:tc>
          <w:tcPr>
            <w:tcW w:w="3680" w:type="dxa"/>
            <w:vAlign w:val="bottom"/>
            <w:gridSpan w:val="2"/>
          </w:tcPr>
          <w:p>
            <w:pPr>
              <w:spacing w:after="0"/>
              <w:rPr>
                <w:sz w:val="20"/>
                <w:szCs w:val="20"/>
                <w:color w:val="auto"/>
              </w:rPr>
            </w:pPr>
            <w:r>
              <w:rPr>
                <w:rFonts w:ascii="Arial" w:cs="Arial" w:eastAsia="Arial" w:hAnsi="Arial"/>
                <w:sz w:val="18"/>
                <w:szCs w:val="18"/>
                <w:color w:val="auto"/>
              </w:rPr>
              <w:t>Carlyle Group Inc.</w:t>
            </w:r>
          </w:p>
        </w:tc>
        <w:tc>
          <w:tcPr>
            <w:tcW w:w="2840" w:type="dxa"/>
            <w:vAlign w:val="bottom"/>
          </w:tcPr>
          <w:p>
            <w:pPr>
              <w:spacing w:after="0"/>
              <w:rPr>
                <w:sz w:val="20"/>
                <w:szCs w:val="20"/>
                <w:color w:val="auto"/>
              </w:rPr>
            </w:pPr>
            <w:r>
              <w:rPr>
                <w:rFonts w:ascii="Arial" w:cs="Arial" w:eastAsia="Arial" w:hAnsi="Arial"/>
                <w:sz w:val="18"/>
                <w:szCs w:val="18"/>
                <w:color w:val="auto"/>
              </w:rPr>
              <w:t>PPD,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May 2011</w:t>
            </w:r>
          </w:p>
        </w:tc>
        <w:tc>
          <w:tcPr>
            <w:tcW w:w="3680" w:type="dxa"/>
            <w:vAlign w:val="bottom"/>
            <w:gridSpan w:val="2"/>
          </w:tcPr>
          <w:p>
            <w:pPr>
              <w:spacing w:after="0"/>
              <w:rPr>
                <w:sz w:val="20"/>
                <w:szCs w:val="20"/>
                <w:color w:val="auto"/>
              </w:rPr>
            </w:pPr>
            <w:r>
              <w:rPr>
                <w:rFonts w:ascii="Arial" w:cs="Arial" w:eastAsia="Arial" w:hAnsi="Arial"/>
                <w:sz w:val="18"/>
                <w:szCs w:val="18"/>
                <w:color w:val="auto"/>
              </w:rPr>
              <w:t>INC Research, LLC</w:t>
            </w:r>
          </w:p>
        </w:tc>
        <w:tc>
          <w:tcPr>
            <w:tcW w:w="2840" w:type="dxa"/>
            <w:vAlign w:val="bottom"/>
          </w:tcPr>
          <w:p>
            <w:pPr>
              <w:spacing w:after="0"/>
              <w:rPr>
                <w:sz w:val="20"/>
                <w:szCs w:val="20"/>
                <w:color w:val="auto"/>
              </w:rPr>
            </w:pPr>
            <w:r>
              <w:rPr>
                <w:rFonts w:ascii="Arial" w:cs="Arial" w:eastAsia="Arial" w:hAnsi="Arial"/>
                <w:sz w:val="18"/>
                <w:szCs w:val="18"/>
                <w:color w:val="auto"/>
              </w:rPr>
              <w:t>Kendle International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July 2007</w:t>
            </w:r>
          </w:p>
        </w:tc>
        <w:tc>
          <w:tcPr>
            <w:tcW w:w="3680" w:type="dxa"/>
            <w:vAlign w:val="bottom"/>
            <w:gridSpan w:val="2"/>
          </w:tcPr>
          <w:p>
            <w:pPr>
              <w:spacing w:after="0"/>
              <w:rPr>
                <w:sz w:val="20"/>
                <w:szCs w:val="20"/>
                <w:color w:val="auto"/>
              </w:rPr>
            </w:pPr>
            <w:r>
              <w:rPr>
                <w:rFonts w:ascii="Arial" w:cs="Arial" w:eastAsia="Arial" w:hAnsi="Arial"/>
                <w:sz w:val="18"/>
                <w:szCs w:val="18"/>
                <w:color w:val="auto"/>
              </w:rPr>
              <w:t>Genstar Capital, LLC</w:t>
            </w:r>
          </w:p>
        </w:tc>
        <w:tc>
          <w:tcPr>
            <w:tcW w:w="2840" w:type="dxa"/>
            <w:vAlign w:val="bottom"/>
          </w:tcPr>
          <w:p>
            <w:pPr>
              <w:spacing w:after="0"/>
              <w:rPr>
                <w:sz w:val="20"/>
                <w:szCs w:val="20"/>
                <w:color w:val="auto"/>
              </w:rPr>
            </w:pPr>
            <w:r>
              <w:rPr>
                <w:rFonts w:ascii="Arial" w:cs="Arial" w:eastAsia="Arial" w:hAnsi="Arial"/>
                <w:sz w:val="18"/>
                <w:szCs w:val="18"/>
                <w:color w:val="auto"/>
              </w:rPr>
              <w:t>PRA Health Sciences, Inc.</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No company or transaction used in this analysis is directly comparable to PRA or the Transaction. The companies included in the selected precedent transactions are companies that were selected, among other reasons, because they have certain characteristics that, for the purposes of this analysis, may be considered to be similar to those of PRA. The reasons for and the circumstances surrounding each of the selected precedent transactions analyzed were diverse, and there are inherent differences in the business, operations, financial conditions and prospects of PRA and the companies included in the selected precedent transactions. Accordingly, Centerview believed that it was inappropriate to, and therefore did not, rely solely on the quantitative results of the selected precedent transactions analysis. This analysis involves complex considerations and qualitative judgments concerning differences in financial and operating characteristics and other factors that could affect the public trading, acquisition or other values of the selected target companies and PRA.</w:t>
      </w:r>
    </w:p>
    <w:p>
      <w:pPr>
        <w:spacing w:after="0" w:line="6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Using information from SEC filings, news reports and other publicly available information, Centerview calculated, for each selected transaction set forth above, among other things, the enterprise value implied for the applicable target company based on the consideration payable in the applicable selected precedent transactions, as a multiple of the target company’s Adjusted EBITDA for the last-12-month period, which we refer to as LTM, for which financial information had been made public at the time of the announcement of such transactions (in each case excluding stock-based compensation expense). The results of this analysis are summarized below:</w:t>
      </w:r>
    </w:p>
    <w:p>
      <w:pPr>
        <w:spacing w:after="0" w:line="129" w:lineRule="exact"/>
        <w:rPr>
          <w:sz w:val="20"/>
          <w:szCs w:val="20"/>
          <w:color w:val="auto"/>
        </w:rPr>
      </w:pPr>
    </w:p>
    <w:p>
      <w:pPr>
        <w:ind w:left="7060"/>
        <w:spacing w:after="0"/>
        <w:tabs>
          <w:tab w:leader="none" w:pos="7580" w:val="left"/>
          <w:tab w:leader="none" w:pos="8340" w:val="left"/>
        </w:tabs>
        <w:rPr>
          <w:sz w:val="20"/>
          <w:szCs w:val="20"/>
          <w:color w:val="auto"/>
        </w:rPr>
      </w:pPr>
      <w:r>
        <w:rPr>
          <w:rFonts w:ascii="Arial" w:cs="Arial" w:eastAsia="Arial" w:hAnsi="Arial"/>
          <w:sz w:val="14"/>
          <w:szCs w:val="14"/>
          <w:b w:val="1"/>
          <w:bCs w:val="1"/>
          <w:color w:val="auto"/>
        </w:rPr>
        <w:t>Low</w:t>
      </w:r>
      <w:r>
        <w:rPr>
          <w:sz w:val="20"/>
          <w:szCs w:val="20"/>
          <w:color w:val="auto"/>
        </w:rPr>
        <w:tab/>
      </w:r>
      <w:r>
        <w:rPr>
          <w:rFonts w:ascii="Arial" w:cs="Arial" w:eastAsia="Arial" w:hAnsi="Arial"/>
          <w:sz w:val="14"/>
          <w:szCs w:val="14"/>
          <w:b w:val="1"/>
          <w:bCs w:val="1"/>
          <w:color w:val="auto"/>
        </w:rPr>
        <w:t>Median</w:t>
      </w:r>
      <w:r>
        <w:rPr>
          <w:sz w:val="20"/>
          <w:szCs w:val="20"/>
          <w:color w:val="auto"/>
        </w:rPr>
        <w:tab/>
      </w:r>
      <w:r>
        <w:rPr>
          <w:rFonts w:ascii="Arial" w:cs="Arial" w:eastAsia="Arial" w:hAnsi="Arial"/>
          <w:sz w:val="13"/>
          <w:szCs w:val="13"/>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49530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49530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49530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66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7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LTM Adjusted EBITDA Multiple</w:t>
            </w:r>
          </w:p>
        </w:tc>
        <w:tc>
          <w:tcPr>
            <w:tcW w:w="1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10.2x   12.8x   15.1x</w:t>
            </w:r>
          </w:p>
        </w:tc>
      </w:tr>
      <w:tr>
        <w:trPr>
          <w:trHeight w:val="54"/>
        </w:trPr>
        <w:tc>
          <w:tcPr>
            <w:tcW w:w="66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Based on its analysis of the relevant metrics for each of the companies included in the selected precedent transactions, Centerview selected a reference range of enterprise value to estimated LTM Adjusted EBITDA multiples of 10.0x to 15.0x. In selecting this reference range, Centerview made qualitative judgments based on its experience and professional judgment concerning differences between the business, financial and operating characteristics and prospects of PRA and the companies included in the selected precedent transactions and other factors that could affect the public trading, acquisition or other values of such companies or PRA. Centerview applied this reference range to PRA’s LTM Adjusted EBITDA as of December 31, 2020 of $492 million, reflected in the PRA Internal Data, to calculate an illustrative range of implied enterprise values of PRA. Centerview subtracted from this range of implied enterprise values the value of PRA’s net debt (excluding non-controlling interest) as of December 31, 2020 as set forth in the PRA Internal Data to derive a range of equity values for PRA. Centerview then divided this range of equity values by the number of fully-diluted outstanding shares of PRA common stock as of February 19, 2021 as set forth in the PRA Internal Data to derive a range of implied values per share of PRA common stock of $63.00 to $100.00, rounded to the nearest $1.00. Centerview then compared the results of this analysis to the value of the Consideration of $165.90 per share, based on the closing price of ICON ordinary shares as of February 22, 2021, and implied by the sum of (i) 0.4125 of one ICON ordinary share and (ii) $80.00 cash consideration per share of PRA common stock to be paid in the merger.</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Centerview performed a discounted cash flow analysis of PRA, which is a traditional valuation methodology used to derive a valuation of an asset by calculating the present value of estimated future cash flows of the asset, based on the ICON-Adjusted PRA Forecasts.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performing this analysis, Centerview calculated the estimated present value of the unlevered free cash flows of PRA reflected in the ICON-Adjusted PRA Forecasts for the years from 2021 through 2030. The terminal value of</w:t>
      </w:r>
    </w:p>
    <w:p>
      <w:pPr>
        <w:sectPr>
          <w:pgSz w:w="11900" w:h="16838" w:orient="portrait"/>
          <w:cols w:equalWidth="0" w:num="1">
            <w:col w:w="9019"/>
          </w:cols>
          <w:pgMar w:left="1440" w:top="262"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PRA at the end of the forecast period was estimated by using perpetuity growth rates ranging from 2.5% to 3.5%. The unlevered free cash flows and terminal values were then discounted to present value using discount rates ranging from 8.5% to 10%. This range of discount rates was determined based on Centerview’s analysis of PRA’s weighted average cost of capital. Based on its analysis, Centerview calculated a range of implied enterprise values of PRA. Centerview subtracted from this range of implied enterprise values the face value of PRA’s net debt (including non-controlling interest) as of December 31, 2020 as set forth in the PRA Internal Data to derive a range of implied equity values of PRA. Centerview then divided this range of implied equity values by the number of fully-diluted outstanding shares of PRA common stock as of February 19, 2021 as set forth in the PRA Internal Data to derive a range of implied values per share of PRA common stock of $113.00 to $165.00, rounded to the nearest $1.00. Centerview then compared the results of this analysis to the value of the Consideration of $165.90 per share, based on the closing price of ICON ordinary shares as of February 22, 2021, and implied by the sum of (i) 0.4125 of one ICON ordinary share and (ii) the $80.00 cash consideration per share of PRA common stock to be paid in the merger.</w:t>
      </w:r>
    </w:p>
    <w:p>
      <w:pPr>
        <w:spacing w:after="0" w:line="7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Centerview also performed a discounted cash flow analysis of PRA inclusive of the Synergies expected to be realized by ICON in connection with the merger. In performing this analysis, Centerview calculated the estimated present value of the cash flow impact of Synergies, net of the costs and taxes expected by ICON to achieve the Synergies for the years from 2021 through 2030. The terminal value of the cash flow impact of the Synergies at the end of the forecast period was estimated by using perpetuity growth rates ranging from 2.5% to 3.5%. The Synergies and terminal values were then discounted to present value using discount rates ranging from 8.5% to 10%, which range was selected using the methodologies and assumptions described above. Based on the discounted cash flow analyses Centerview performed on PRA, as described above, Centerview calculated a range of implied values per share of PRA common stock of $130.00 to $191.00 including cost synergies only, rounded to the nearest $1.00. As part of Centerview’s discounted cash flow analysis of PRA, as described above, Centerview calculated the estimated present value of the expected tax synergies forecasted by ICON, which were derived by comparing PRA’s stand-alone tax rate to the pro forma tax rate of earnings attributable to PRA after giving effect to the merger, each as forecasted by ICON, and calculated a range of implied values per share of PRA common stock of $144.00 to $211.00 including cost and tax synergies, rounded to the nearest $1.00. Centerview then compared the results of this analysis to the value of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Factors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Centerview noted for the ICON board of directors certain additional factors solely for informational purposes, including, among other things, the following:</w:t>
      </w:r>
    </w:p>
    <w:p>
      <w:pPr>
        <w:spacing w:after="0" w:line="62" w:lineRule="exact"/>
        <w:rPr>
          <w:sz w:val="20"/>
          <w:szCs w:val="20"/>
          <w:color w:val="auto"/>
        </w:rPr>
      </w:pPr>
    </w:p>
    <w:p>
      <w:pPr>
        <w:jc w:val="both"/>
        <w:ind w:left="1000" w:right="299" w:hanging="348"/>
        <w:spacing w:after="0" w:line="285"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Historical Stock Price Trading Analysis</w:t>
      </w:r>
      <w:r>
        <w:rPr>
          <w:rFonts w:ascii="Arial" w:cs="Arial" w:eastAsia="Arial" w:hAnsi="Arial"/>
          <w:sz w:val="16"/>
          <w:szCs w:val="16"/>
          <w:color w:val="auto"/>
        </w:rPr>
        <w:t>. Centerview reviewed the stock price performance of PRA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for the 52-week period prior to February 22, 2021. Centerview noted that the range of low and high closing prices of PRA common stock during the prior 52-week period was $64.00 to $137.00, rounded to the nearest $1.00, as compared to the Consideration of $165.90 per share of PRA common stock, based on the closing price of ICON ordinary shares as of February 22, 2021, implied by the sum of</w:t>
      </w:r>
    </w:p>
    <w:p>
      <w:pPr>
        <w:spacing w:after="0" w:line="1" w:lineRule="exact"/>
        <w:rPr>
          <w:rFonts w:ascii="Arial" w:cs="Arial" w:eastAsia="Arial" w:hAnsi="Arial"/>
          <w:sz w:val="16"/>
          <w:szCs w:val="16"/>
          <w:color w:val="auto"/>
        </w:rPr>
      </w:pPr>
    </w:p>
    <w:p>
      <w:pPr>
        <w:ind w:left="1000" w:right="319"/>
        <w:spacing w:after="0" w:line="260" w:lineRule="auto"/>
        <w:rPr>
          <w:rFonts w:ascii="Arial" w:cs="Arial" w:eastAsia="Arial" w:hAnsi="Arial"/>
          <w:sz w:val="16"/>
          <w:szCs w:val="16"/>
          <w:color w:val="auto"/>
        </w:rPr>
      </w:pPr>
      <w:r>
        <w:rPr>
          <w:rFonts w:ascii="Arial" w:cs="Arial" w:eastAsia="Arial" w:hAnsi="Arial"/>
          <w:sz w:val="18"/>
          <w:szCs w:val="18"/>
          <w:color w:val="auto"/>
        </w:rPr>
        <w:t>(i) 0.4125 of one ICON ordinary share and (ii) $80.00 cash consideration per share of PRA common stock to be paid in the merger.</w:t>
      </w:r>
    </w:p>
    <w:p>
      <w:pPr>
        <w:spacing w:after="0" w:line="77" w:lineRule="exact"/>
        <w:rPr>
          <w:rFonts w:ascii="Arial" w:cs="Arial" w:eastAsia="Arial" w:hAnsi="Arial"/>
          <w:sz w:val="16"/>
          <w:szCs w:val="16"/>
          <w:color w:val="auto"/>
        </w:rPr>
      </w:pPr>
    </w:p>
    <w:p>
      <w:pPr>
        <w:jc w:val="both"/>
        <w:ind w:left="1000" w:right="299" w:hanging="348"/>
        <w:spacing w:after="0" w:line="272"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Analyst Price Target Analysis</w:t>
      </w:r>
      <w:r>
        <w:rPr>
          <w:rFonts w:ascii="Arial" w:cs="Arial" w:eastAsia="Arial" w:hAnsi="Arial"/>
          <w:sz w:val="17"/>
          <w:szCs w:val="17"/>
          <w:color w:val="auto"/>
        </w:rPr>
        <w:t>. Centerview reviewed stock price targets for PRA reflected in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Wall Street research analyst reports available on Bloomberg for which estimates were available as of February 22, 2021 and noted that the range of stock price targets in such research analyst reports was between $105.00 and $145.00, as compared to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69" w:lineRule="exact"/>
        <w:rPr>
          <w:rFonts w:ascii="Arial" w:cs="Arial" w:eastAsia="Arial" w:hAnsi="Arial"/>
          <w:sz w:val="17"/>
          <w:szCs w:val="17"/>
          <w:color w:val="auto"/>
        </w:rPr>
      </w:pPr>
    </w:p>
    <w:p>
      <w:pPr>
        <w:jc w:val="both"/>
        <w:ind w:left="1000" w:right="299" w:hanging="348"/>
        <w:spacing w:after="0" w:line="255"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Premiums Paid Analysis</w:t>
      </w:r>
      <w:r>
        <w:rPr>
          <w:rFonts w:ascii="Arial" w:cs="Arial" w:eastAsia="Arial" w:hAnsi="Arial"/>
          <w:sz w:val="18"/>
          <w:szCs w:val="18"/>
          <w:color w:val="auto"/>
        </w:rPr>
        <w:t>. Centerview performed an analysis of premiums paid in selected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2010, each with a transaction value of $5 billion or more, providing for stock components paid in such selected transactions that are similar to the share consideration to be paid in the merger. The premiums in this analysis were calculated by comparing the per share acquisition price in each transaction to the unaffected price of the target company’s stock. Based on the analysis above and other considerations that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Centerview deemed relevant in its professional judgment, Centerview applied a range of 20% to 40% to the closing price of PRA common stock on February 22, 2021 of $127.30, which resulted in an implied share price of $153.00 to $178.00, rounded to the nearest $1.00, per share of PRA common stock.</w:t>
      </w:r>
    </w:p>
    <w:p>
      <w:pPr>
        <w:spacing w:after="0" w:line="41" w:lineRule="exact"/>
        <w:rPr>
          <w:sz w:val="20"/>
          <w:szCs w:val="20"/>
          <w:color w:val="auto"/>
        </w:rPr>
      </w:pPr>
    </w:p>
    <w:p>
      <w:pPr>
        <w:jc w:val="both"/>
        <w:ind w:left="1000" w:right="299" w:hanging="348"/>
        <w:spacing w:after="0" w:line="270" w:lineRule="auto"/>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Financial forecasts by PRA</w:t>
      </w:r>
      <w:r>
        <w:rPr>
          <w:rFonts w:ascii="Arial" w:cs="Arial" w:eastAsia="Arial" w:hAnsi="Arial"/>
          <w:sz w:val="17"/>
          <w:szCs w:val="17"/>
          <w:color w:val="auto"/>
        </w:rPr>
        <w:t>. Centerview also performed a discounted cash flow analysis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forecasts by PRA, as described in the section entitled “—</w:t>
      </w:r>
      <w:r>
        <w:rPr>
          <w:rFonts w:ascii="Arial" w:cs="Arial" w:eastAsia="Arial" w:hAnsi="Arial"/>
          <w:sz w:val="17"/>
          <w:szCs w:val="17"/>
          <w:b w:val="1"/>
          <w:bCs w:val="1"/>
          <w:color w:val="auto"/>
        </w:rPr>
        <w:t>PRA 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 Based on the financial forecasts by PRA, and using the same terminal value and discount rates as described in this summary in the “</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section above, Centerview calculated a range of implied values per share of PRA common stock of $134.00 to $197.00, rounded to the nearest $1.00, as compared to the value of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Stand-Alone ICON Financial Analysis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Trading Companies Analysis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Centerview reviewed and compared certain financial information, ratios and multiples for ICON to corresponding financial information, ratios and multiples for selected publicly traded companies that Centerview deemed comparable, based on its experience and professional judgment, to ICON. We refer to these selected publicly traded companies in this “</w:t>
      </w:r>
      <w:r>
        <w:rPr>
          <w:rFonts w:ascii="Arial" w:cs="Arial" w:eastAsia="Arial" w:hAnsi="Arial"/>
          <w:sz w:val="18"/>
          <w:szCs w:val="18"/>
          <w:b w:val="1"/>
          <w:bCs w:val="1"/>
          <w:color w:val="auto"/>
        </w:rPr>
        <w:t>Opinion of ICON’s Financial Advisor</w:t>
      </w:r>
      <w:r>
        <w:rPr>
          <w:rFonts w:ascii="Arial" w:cs="Arial" w:eastAsia="Arial" w:hAnsi="Arial"/>
          <w:sz w:val="18"/>
          <w:szCs w:val="18"/>
          <w:color w:val="auto"/>
        </w:rPr>
        <w:t>” section as the selected trading companies for ICON.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trading companies for ICON consisted of:</w:t>
      </w:r>
    </w:p>
    <w:p>
      <w:pPr>
        <w:spacing w:after="0" w:line="117" w:lineRule="exact"/>
        <w:rPr>
          <w:sz w:val="20"/>
          <w:szCs w:val="20"/>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PRA Health Sciences,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Although none of the selected trading companies for ICON is directly comparable to ICON, these companies were selected, among other reasons, because they are publicly traded companies in the contract research organization industry with certain operational and financial characteristics that Centerview, in its experience and professional judgment, deemed generally relevant for comparative purposes.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Using publicly available information obtained from SEC filings, publicly available Wall Street research, other publicly available information and closing stock prices as of February 22, 2021, as well as the ICON Forecasts, Centerview calculated, for each selected trading company for ICON and for each of its selected trading companies, the following ratios and multiples: (1) the enterprise value (calculated as the market value of fully diluted common equity with outstanding options treated with the treasury stock method plus the face value of debt, equity and other noncontrolling interests, less cash and cash equivalents including investments in debt securities) as a multiple of 2021 calendar year estimated Adjusted EBITDA and (2) the price to earnings ratio for the 2021 calendar year based on consensus analyst estimates (adjusted to exclude expenses related to stock-based compensation).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for the selected trading companies for ICON are summarized below:</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Low</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Mean</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High</w:t>
            </w:r>
          </w:p>
        </w:tc>
      </w:tr>
      <w:tr>
        <w:trPr>
          <w:trHeight w:val="52"/>
        </w:trPr>
        <w:tc>
          <w:tcPr>
            <w:tcW w:w="70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13.8x</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18.1x</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26.4x</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Price / 2021 Estimated Adjusted EPS</w:t>
            </w: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17.4x</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25.0x</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36.1x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-393700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-393700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-393700</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Based on this analysis and other considerations that Centerview deemed relevant in its experience and professional judgment, for purposes of its analysis Centerview selected an estimated calendar year 2021 price to earnings ratios (excluding stock-based compensation expense) of 18.0x to 26.0x and an enterprise value to estimated calendar year 2021 Adjusted EBITDA multiple reference range of 14.0x to 19.0x. In selecting these reference ranges,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Centerview made qualitative judgments based on its experience and professional judgment concerning differences between the business, financial and operating characteristics and prospects of ICON and the selected trading companies for ICON that could affect the public trading values in order to provide a context in which to consider the results of the quantitative analysis.</w:t>
      </w:r>
    </w:p>
    <w:p>
      <w:pPr>
        <w:spacing w:after="0" w:line="7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Centerview applied the Adjusted EBITDA multiple reference ranges to ICON’s calendar year 2021 estimated Adjusted EBITDA as set forth in the ICON Forecasts to derive a range of implied enterprise values for ICON. Centerview also applied the Adjusted EPS multiple reference ranges to ICON’s calendar year 2021 estimated Adjusted EPS as set forth in the ICON Forecasts to derive a range of implied values per ICON ordinary share. Centerview subtracted from each of these ranges of implied enterprise values the value of ICON’s net debt as of December 31, 2020 to derive a range of implied equity values for ICON. Centerview then divided these implied equity values by the number of fully-diluted outstanding ICON ordinary shares as of February 19, 2021 as set forth in the ICON Internal Data to derive a range of implied values per ICON ordinary share.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rounded to the nearest $1.00, are summarized below:</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Metric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53"/>
        </w:trPr>
        <w:tc>
          <w:tcPr>
            <w:tcW w:w="6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Enterprise Value/ 2021 Estimated Adjusted EBITDA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$170.00 – 227.00</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Price / 2021 Estimated Adjusted EPS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$159.00 – 229.00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-393700</wp:posOffset>
            </wp:positionV>
            <wp:extent cx="2057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Centerview also performed a discounted cash flow analysis of ICON. In performing the discounted cash flow analysis, Centerview calculated the estimated present value of the unlevered free cash flows of ICON reflected in the ICON Forecasts for the years from 2021 through 2030. The terminal value of ICON at the end of the forecast period was estimated by using perpetuity growth rates ranging from 2.5% to 3.5%. The unlevered free cash flows and terminal values were then discounted to present value using discount rates ranging from 8.75% to 10%. This range of discount rates was determined based on Centerview’s analysis of ICON’s weighted average cost of capital. Based on its analysis, Centerview calculated a range of implied enterprise values of ICON. Centerview subtracted from this range of implied enterprise values the value of ICON’s net debt as of December 31, 2020 as set forth in the ICON Internal Data to derive a range of implied equity values of ICON. Centerview then divided this range of implied equity values by the number of fully-diluted outstanding ICON ordinary shares as of February 19, 2021 as set forth in the ICON Internal Data to derive a range of implied values per ICON ordinary share of $178.00 to $239.00, rounded to the nearest $1.00. Centerview then compared the results of this analysis to the closing price of ICON ordinary shares on February 22, 2021 of $208.25 per share.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Factors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Centerview noted for the ICON board of directors certain additional factors solely for informational purposes, including, among other things, the following:</w:t>
      </w:r>
    </w:p>
    <w:p>
      <w:pPr>
        <w:spacing w:after="0" w:line="62" w:lineRule="exact"/>
        <w:rPr>
          <w:sz w:val="20"/>
          <w:szCs w:val="20"/>
          <w:color w:val="auto"/>
        </w:rPr>
      </w:pPr>
    </w:p>
    <w:p>
      <w:pPr>
        <w:jc w:val="both"/>
        <w:ind w:left="1000" w:right="299" w:hanging="348"/>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Historical Stock Price Trading Analysis. </w:t>
      </w:r>
      <w:r>
        <w:rPr>
          <w:rFonts w:ascii="Arial" w:cs="Arial" w:eastAsia="Arial" w:hAnsi="Arial"/>
          <w:sz w:val="18"/>
          <w:szCs w:val="18"/>
          <w:color w:val="auto"/>
        </w:rPr>
        <w:t>Centerview reviewed the stock price performance of ICON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for the 52-week period prior to February 22, 2021 and noted that the range of low and high closing prices during this period was $116.00 to $221.00, rounded to the nearest $1.00, prior to the date of Centerview’s written opinion, as compared to the closing price of ICON ordinary shares on February 22, 2021 of $208.25.</w:t>
      </w:r>
    </w:p>
    <w:p>
      <w:pPr>
        <w:spacing w:after="0" w:line="79"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Analyst Price Target Analysis. </w:t>
      </w:r>
      <w:r>
        <w:rPr>
          <w:rFonts w:ascii="Arial" w:cs="Arial" w:eastAsia="Arial" w:hAnsi="Arial"/>
          <w:sz w:val="18"/>
          <w:szCs w:val="18"/>
          <w:color w:val="auto"/>
        </w:rPr>
        <w:t>Centerview reviewed stock price targets for ICON ordinary shares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 selected publicly available Wall Street research analyst reports for which estimates were available as of February 22, 2021 and noted that the range of stock price targets in such research analyst reports was between $179.00 and $240.00, as compared to the closing price of ICON ordinary shares on February 22, 2021 of $208.25.</w:t>
      </w:r>
    </w:p>
    <w:p>
      <w:pPr>
        <w:spacing w:after="0" w:line="79"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Illustrative “Has” / “Gets” Analysis</w:t>
      </w:r>
      <w:r>
        <w:rPr>
          <w:rFonts w:ascii="Arial" w:cs="Arial" w:eastAsia="Arial" w:hAnsi="Arial"/>
          <w:sz w:val="16"/>
          <w:szCs w:val="16"/>
          <w:color w:val="auto"/>
        </w:rPr>
        <w:t>. Centerview compared the implied stand-alone equity value of ICON</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pro forma equity value of ICON after giving effect to the merger, including the Synergies, from the perspective of the holders of ICON ordinary shares. In performing this illustrative “has / gets” analysis, Centerview calculated the combined market value of ICON and PRA and subtracted from such combined market value the cash consideration payable in the Transaction, estimated transaction fees payable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5" w:lineRule="auto"/>
        <w:rPr>
          <w:sz w:val="20"/>
          <w:szCs w:val="20"/>
          <w:color w:val="auto"/>
        </w:rPr>
      </w:pPr>
      <w:r>
        <w:rPr>
          <w:rFonts w:ascii="Arial" w:cs="Arial" w:eastAsia="Arial" w:hAnsi="Arial"/>
          <w:sz w:val="17"/>
          <w:szCs w:val="17"/>
          <w:color w:val="auto"/>
        </w:rPr>
        <w:t>connection with the Transaction, and 34% ownership in the combined company attributable to PRA’s stockholders, and added 66% participation of Synergies. This analysis resulted in an implied market value for ICON on a pro forma basis of approximately $11.6 billion or $217.00 per share, rounded to the nearest $1.00. Centerview compared such implied value to the market value of ICON as of February 22, 2021, which was approximately $11.2 billion or $208.25 per share.</w:t>
      </w:r>
    </w:p>
    <w:p>
      <w:pPr>
        <w:spacing w:after="0" w:line="68" w:lineRule="exact"/>
        <w:rPr>
          <w:sz w:val="20"/>
          <w:szCs w:val="20"/>
          <w:color w:val="auto"/>
        </w:rPr>
      </w:pPr>
    </w:p>
    <w:p>
      <w:pPr>
        <w:jc w:val="both"/>
        <w:ind w:left="1000" w:right="299" w:hanging="348"/>
        <w:spacing w:after="0" w:line="283" w:lineRule="auto"/>
        <w:tabs>
          <w:tab w:leader="none" w:pos="100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Illustrative Future Share Price Analysis</w:t>
      </w:r>
      <w:r>
        <w:rPr>
          <w:rFonts w:ascii="Arial" w:cs="Arial" w:eastAsia="Arial" w:hAnsi="Arial"/>
          <w:sz w:val="16"/>
          <w:szCs w:val="16"/>
          <w:color w:val="auto"/>
        </w:rPr>
        <w:t>. Centerview performed an illustrative analysis of the illustrative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value per ICON ordinary share as of February 22, 2021 for each of the calendar years 2021 to 2025, which is designed to provide a comparison of the theoretical future value of ICON ordinary shares as a stand-alone entity to that of the pro forma combined company at a range of price-to-earnings multiples. To calculate the illustrative future values per share of ICON as a stand-alone company, Centerview multiplied a next-12-month, which we refer to as NTM in this summary of Centerview’s opinion, price to earnings ratio of 24.1x, based on consensus analyst estimates, by NTM Adjusted EPS estimates for ICON as a stand-alone entity at December 31, of each of the years 2021 through 2025, as reflected in the ICON Forecasts. To calculate the illustrative pro forma future values per ICON ordinary share as a combined company, Centerview multiplied (a) each of (1) ICON’s stand-alone NTM price to earnings ratio of 24.1x,</w:t>
      </w:r>
    </w:p>
    <w:p>
      <w:pPr>
        <w:spacing w:after="0" w:line="4" w:lineRule="exact"/>
        <w:rPr>
          <w:rFonts w:ascii="Arial" w:cs="Arial" w:eastAsia="Arial" w:hAnsi="Arial"/>
          <w:sz w:val="16"/>
          <w:szCs w:val="16"/>
          <w:color w:val="auto"/>
        </w:rPr>
      </w:pPr>
    </w:p>
    <w:p>
      <w:pPr>
        <w:jc w:val="both"/>
        <w:ind w:left="1000" w:right="299" w:firstLine="3"/>
        <w:spacing w:after="0" w:line="270" w:lineRule="auto"/>
        <w:tabs>
          <w:tab w:leader="none" w:pos="133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 NTM price to earnings ratio of 22.8x, which reflects the blended NTM adjusted price to earnings ratio based on the stand-alone price to earnings ratio of each of ICON ordinary shares and PRA common stock based on consensus analyst estimates and each company’s pro rata net income contribution to the combined company and (3) an illustrative NTM price to earnings ratio of 20.0x, by (b) NTM Adjusted EPS estimates for the combined company for each of the years 2021 through 2025, based on the ICON-Adjusted PRA Forecasts, ICON Forecasts and the Synergies.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Relative Value Analysis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Based upon a comparison of the range of implied equity values for each of ICON and PRA calculated pursuant to the selected trading companies analyses and discounted cash flow analyses described above, Centerview calculated ranges of implied exchange ratios for the merger, with PRA equity value contribution adjusted for the cash consideration of $80.00 per share of PRA common stock. Centerview calculated these ratios on bases that were exclusive of Synergies, inclusive of cost synergies only and inclusive of cost and tax synergies expected to result from the merger, in each case as described further below. With respect to any given range of exchange ratios, the higher ratio assumes the highest implied value per share of PRA common stock divided by the lowest implied value per ICON ordinary share, and the lower ratio assumes the lowest implied value per share of PRA common stock divided by the highest implied value per ICON ordinary share.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Centerview’s analysis indicated the following implied ranges of exchange ratios on the bases described: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Valuation Methodology</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Cash-Adjusted</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Exchange Ratio</w:t>
            </w:r>
          </w:p>
        </w:tc>
        <w:tc>
          <w:tcPr>
            <w:tcW w:w="0" w:type="dxa"/>
            <w:vAlign w:val="bottom"/>
          </w:tcPr>
          <w:p>
            <w:pPr>
              <w:spacing w:after="0"/>
              <w:rPr>
                <w:sz w:val="1"/>
                <w:szCs w:val="1"/>
                <w:color w:val="auto"/>
              </w:rPr>
            </w:pPr>
          </w:p>
        </w:tc>
      </w:tr>
      <w:tr>
        <w:trPr>
          <w:trHeight w:val="53"/>
        </w:trPr>
        <w:tc>
          <w:tcPr>
            <w:tcW w:w="256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Selected Trading Companies (2021</w:t>
            </w: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Enterprise Value / Adjusted EBITDA)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0.1572x – 0.4660x</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w w:val="89"/>
              </w:rPr>
              <w:t>Selected Trading Companies (2021</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Estimated Price / Adjusted EPS)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0.1269x – 0.4890x</w:t>
            </w:r>
          </w:p>
        </w:tc>
        <w:tc>
          <w:tcPr>
            <w:tcW w:w="0" w:type="dxa"/>
            <w:vAlign w:val="bottom"/>
          </w:tcPr>
          <w:p>
            <w:pPr>
              <w:spacing w:after="0"/>
              <w:rPr>
                <w:sz w:val="1"/>
                <w:szCs w:val="1"/>
                <w:color w:val="auto"/>
              </w:rPr>
            </w:pPr>
          </w:p>
        </w:tc>
      </w:tr>
      <w:tr>
        <w:trPr>
          <w:trHeight w:val="54"/>
        </w:trPr>
        <w:tc>
          <w:tcPr>
            <w:tcW w:w="6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Discounted Cash Flow Analysis (Exclusive of Synergies)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0.1368x – 0.4768x</w:t>
            </w:r>
          </w:p>
        </w:tc>
        <w:tc>
          <w:tcPr>
            <w:tcW w:w="0" w:type="dxa"/>
            <w:vAlign w:val="bottom"/>
          </w:tcPr>
          <w:p>
            <w:pPr>
              <w:spacing w:after="0"/>
              <w:rPr>
                <w:sz w:val="1"/>
                <w:szCs w:val="1"/>
                <w:color w:val="auto"/>
              </w:rPr>
            </w:pPr>
          </w:p>
        </w:tc>
      </w:tr>
      <w:tr>
        <w:trPr>
          <w:trHeight w:val="270"/>
        </w:trPr>
        <w:tc>
          <w:tcPr>
            <w:tcW w:w="7060" w:type="dxa"/>
            <w:vAlign w:val="bottom"/>
            <w:gridSpan w:val="3"/>
          </w:tcPr>
          <w:p>
            <w:pPr>
              <w:spacing w:after="0"/>
              <w:rPr>
                <w:sz w:val="20"/>
                <w:szCs w:val="20"/>
                <w:color w:val="auto"/>
              </w:rPr>
            </w:pPr>
            <w:r>
              <w:rPr>
                <w:rFonts w:ascii="Arial" w:cs="Arial" w:eastAsia="Arial" w:hAnsi="Arial"/>
                <w:sz w:val="18"/>
                <w:szCs w:val="18"/>
                <w:color w:val="auto"/>
              </w:rPr>
              <w:t>Discounted Cash Flow Analysis (Cost Synergies only)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0.2094x – 0.6198x</w:t>
            </w:r>
          </w:p>
        </w:tc>
        <w:tc>
          <w:tcPr>
            <w:tcW w:w="0" w:type="dxa"/>
            <w:vAlign w:val="bottom"/>
          </w:tcPr>
          <w:p>
            <w:pPr>
              <w:spacing w:after="0"/>
              <w:rPr>
                <w:sz w:val="1"/>
                <w:szCs w:val="1"/>
                <w:color w:val="auto"/>
              </w:rPr>
            </w:pPr>
          </w:p>
        </w:tc>
      </w:tr>
      <w:tr>
        <w:trPr>
          <w:trHeight w:val="54"/>
        </w:trPr>
        <w:tc>
          <w:tcPr>
            <w:tcW w:w="6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Discounted Cash Flow Analysis (Cost and Tax Synergies)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0.2675x – 0.7342x</w:t>
            </w:r>
          </w:p>
        </w:tc>
        <w:tc>
          <w:tcPr>
            <w:tcW w:w="0" w:type="dxa"/>
            <w:vAlign w:val="bottom"/>
          </w:tcPr>
          <w:p>
            <w:pPr>
              <w:spacing w:after="0"/>
              <w:rPr>
                <w:sz w:val="1"/>
                <w:szCs w:val="1"/>
                <w:color w:val="auto"/>
              </w:rPr>
            </w:pPr>
          </w:p>
        </w:tc>
      </w:tr>
      <w:tr>
        <w:trPr>
          <w:trHeight w:val="54"/>
        </w:trPr>
        <w:tc>
          <w:tcPr>
            <w:tcW w:w="2560" w:type="dxa"/>
            <w:vAlign w:val="bottom"/>
            <w:shd w:val="clear" w:color="auto" w:fill="CCEEFF"/>
          </w:tcPr>
          <w:p>
            <w:pPr>
              <w:spacing w:after="0"/>
              <w:rPr>
                <w:sz w:val="4"/>
                <w:szCs w:val="4"/>
                <w:color w:val="auto"/>
              </w:rPr>
            </w:pPr>
          </w:p>
        </w:tc>
        <w:tc>
          <w:tcPr>
            <w:tcW w:w="42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-1045210</wp:posOffset>
            </wp:positionV>
            <wp:extent cx="1543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Centerview compared the implied ranges of cash-adjusted exchange ratios set forth above to the exchange ratio of 0.4125 of one ICON ordinary share per share of PRA common stock.</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7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Centerview’s financial analyses and opinion were only one of many factors taken into consideration by the ICON board of directors in its evaluation of the Transaction. Consequently, the analyses described above should not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be viewed as determinative of the views of the ICON board of directors or ICON management with respect to the Consideration or as to whether the ICON board of directors would have been willing to determine that a different consideration was fair. The Consideration was determined through arm’s-length negotiations between ICON and PRA and was approved by the ICON board of directors. Centerview provided advice to ICON during these negotiations. Centerview did not, however recommend any specific amount of consideration to ICON or the ICON board of directors or that any specific amount of consideration constituted the only appropriate consideration for the Transaction.</w:t>
      </w:r>
    </w:p>
    <w:p>
      <w:pPr>
        <w:spacing w:after="0" w:line="8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Centerview is a securities firm engaged directly and through affiliates and related persons in a number of investment banking, financial advisory and merchant banking activities. In the two (2) years prior to the date of its written opinion, except for Centerview’s current engagement, Centerview had not been engaged to provide financial advisory or other services to ICON or Merger Sub, and Centerview did not receive any compensation from ICON or Merger Sub during such period. In the two (2) years prior to the date of its written opinion, Centerview had not been engaged to provide financial advisory or other services to PRA, and Centerview did not receive any compensation from PRA during such period. Centerview may provide investment banking and other services to or with respect to ICON or PRA or their respective affiliates in the future, for which Centerview may receive compensation. Certain</w:t>
      </w:r>
    </w:p>
    <w:p>
      <w:pPr>
        <w:spacing w:after="0" w:line="1" w:lineRule="exact"/>
        <w:rPr>
          <w:sz w:val="20"/>
          <w:szCs w:val="20"/>
          <w:color w:val="auto"/>
        </w:rPr>
      </w:pPr>
    </w:p>
    <w:p>
      <w:pPr>
        <w:jc w:val="both"/>
        <w:ind w:left="300" w:right="299" w:hanging="8"/>
        <w:spacing w:after="0" w:line="252" w:lineRule="auto"/>
        <w:tabs>
          <w:tab w:leader="none" w:pos="5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ICON, PRA, or any of their respective affiliates, or any other party that may be involved in the Transaction.</w:t>
      </w:r>
    </w:p>
    <w:p>
      <w:pPr>
        <w:spacing w:after="0" w:line="8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ICON board of directors selected Centerview as its financial advisor in connection with the Transaction based on Centerview’s reputation and experience. Centerview is an internationally recognized investment banking firm that has substantial experience in transactions similar to the Transaction.</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connection with Centerview’s services as the financial advisor to the ICON board of directors, ICON has agreed to pay Centerview an aggregate fee of $30 million, $5 million of which was payable upon the rendering of Centerview’s opinion and $25 million of which is payable contingent upon consummation of the Transaction. In addition, ICON has agreed to reimburse certain of Centerview’s expenses arising, and to indemnify Centerview against certain liabilities that may arise, out of Centerview’s engagement.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Opinions of PRA’s Financial Advisors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BofA Securities, Inc.</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PRA retained BofA Securities to act as its financial advisor in connection with the merger. BofA Securities is an internationally recognized investment banking firm which is regularly engaged in the valuation of businesses and securities in connection with merger and acquisitions, negotiated underwritings, secondary distributions of listed and unlisted securities, private placements and valuations for corporate and other purposes. PRA selected BofA Securities to act as PRA’s financial advisor in connection with the merger on the basis of BofA Securities’ experience in transactions similar to the merger, its reputation in the investment community and its familiarity with PRA and its business.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February 24, 2021, at a meeting of the PRA board of directors held to evaluate the merger, BofA Securities delivered to the PRA board of directors BofA Securities’ oral opinion, which was confirmed by delivery to the PRA board of directors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 xml:space="preserve">The full text of BofA Securities’ written opinion to the PRA board of directors, which describes, among other things, the assumptions made, procedures followed, factors considered and limitations on the review undertaken, is attached as </w:t>
      </w:r>
      <w:r>
        <w:rPr>
          <w:rFonts w:ascii="Arial" w:cs="Arial" w:eastAsia="Arial" w:hAnsi="Arial"/>
          <w:sz w:val="16"/>
          <w:szCs w:val="16"/>
          <w:i w:val="1"/>
          <w:iCs w:val="1"/>
          <w:u w:val="single" w:color="auto"/>
          <w:color w:val="auto"/>
        </w:rPr>
        <w:t>Annex C</w:t>
      </w:r>
      <w:r>
        <w:rPr>
          <w:rFonts w:ascii="Arial" w:cs="Arial" w:eastAsia="Arial" w:hAnsi="Arial"/>
          <w:sz w:val="16"/>
          <w:szCs w:val="16"/>
          <w:i w:val="1"/>
          <w:iCs w:val="1"/>
          <w:color w:val="auto"/>
        </w:rPr>
        <w:t xml:space="preserve"> to this joint proxy statement/prospectus and is incorporated by reference herein in its entirety. The following summary of BofA Securities’ opinion is qualified in its entirety by reference to the full text of BofA Securities’ written opinion. BofA Securities delivered its opinion to the PRA board of directors for the benefit and use of the PRA board of directors (in its capacity as such) in connection with and for purposes of its evaluation of the merger. BofA Securities’ opinion does not address any other terms or other aspects or implications of the merger and no opinion or view was expressed as to the relative merits of the merger in comparison to other strategies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transactions that might be available to PRA or in which PRA might engage or as to the underlying business decision of PRA to proceed with or effect the merger. BofA Securities’ opinion does not address any other aspect of the merger and does not express any opinion or recommendation as to how any stockholder should vote or act in connection with the merger or any related matter.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rendering its opinion, BofA Securities, among other things:</w:t>
      </w:r>
    </w:p>
    <w:p>
      <w:pPr>
        <w:spacing w:after="0" w:line="117" w:lineRule="exact"/>
        <w:rPr>
          <w:sz w:val="20"/>
          <w:szCs w:val="20"/>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PRA and ICON;</w:t>
      </w:r>
    </w:p>
    <w:p>
      <w:pPr>
        <w:spacing w:after="0" w:line="117"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reviewed certain internal financial and operating information with respect to the business, operations and prospects of PRA furnished to or discussed with us by the management of PRA, including certain stand-alone financial forecasts relating to PRA prepared by the management of PRA (referred to as the “financial forecasts by PRA”, as summarized in the section titled “—</w:t>
      </w:r>
      <w:r>
        <w:rPr>
          <w:rFonts w:ascii="Arial" w:cs="Arial" w:eastAsia="Arial" w:hAnsi="Arial"/>
          <w:sz w:val="18"/>
          <w:szCs w:val="18"/>
          <w:b w:val="1"/>
          <w:bCs w:val="1"/>
          <w:color w:val="auto"/>
        </w:rPr>
        <w:t>PRA Unaudited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Forecasts</w:t>
      </w:r>
      <w:r>
        <w:rPr>
          <w:rFonts w:ascii="Arial" w:cs="Arial" w:eastAsia="Arial" w:hAnsi="Arial"/>
          <w:sz w:val="18"/>
          <w:szCs w:val="18"/>
          <w:color w:val="auto"/>
        </w:rPr>
        <w:t>” beginning on page [</w:t>
      </w:r>
      <w:hyperlink w:anchor="page126">
        <w:r>
          <w:rPr>
            <w:rFonts w:ascii="Arial" w:cs="Arial" w:eastAsia="Arial" w:hAnsi="Arial"/>
            <w:sz w:val="18"/>
            <w:szCs w:val="18"/>
            <w:u w:val="single" w:color="auto"/>
            <w:color w:val="0000EE"/>
          </w:rPr>
          <w:t>109</w:t>
        </w:r>
      </w:hyperlink>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1000" w:right="319" w:hanging="348"/>
        <w:spacing w:after="0" w:line="25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ICON furnished to or discussed with us by the management of ICON, including certain stand-alone financial forecasts relating to ICON prepared by the management of ICON (referred to as the “ICON Forecasts”,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and costs to achieve, cost savings (referred to as the “Cost Savings”,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 anticipated by the management of PRA to result from the merger based on guidance provided by the management of ICON;</w:t>
      </w:r>
    </w:p>
    <w:p>
      <w:pPr>
        <w:spacing w:after="0" w:line="78"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tax savings (referred to as the “Tax Savings”,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 anticipated by the management of PRA to result from the merger based on guidance provided by the management of ICON;</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PRA with members of senior managements of PRA and ICON, and discussed the past and current business, operations, financial condition and prospects of ICON with members of senior managements of PRA and ICON;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ICON, including the potential effect on ICON’s estimated earnings per share;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reviewed the trading histories for PRA common stock and ICON ordinary shares and a comparison of such trading histories with the trading histories of other companies BofA Securities deemed relevant;</w:t>
      </w:r>
    </w:p>
    <w:p>
      <w:pPr>
        <w:spacing w:after="0" w:line="3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PRA and ICON with similar information of other companies BofA Securities deemed relevant;</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certain financial terms of the merger to financial terms, to the extent publicly available, of other transactions BofA Securities deemed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a draft, dated as of February 23, 2021, of the merger agreement (referred to in this section as the “Draft Agreement”);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BofA Securities deemed appropriate.</w:t>
      </w:r>
    </w:p>
    <w:p>
      <w:pPr>
        <w:spacing w:after="0" w:line="62" w:lineRule="exact"/>
        <w:rPr>
          <w:rFonts w:ascii="Arial" w:cs="Arial" w:eastAsia="Arial" w:hAnsi="Arial"/>
          <w:sz w:val="18"/>
          <w:szCs w:val="18"/>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arriving at its opinion, BofA Securities assumed and relied upon, without independent verification, the accuracy and completeness of the financial and other information and data publicly available or provided to or otherwise reviewed by or discussed with BofA Securities and relied upon the assurances of the managements of PRA and ICON that they were not aware of any facts or circumstances that would make such information or data inaccurate or misleading in any material respect. With respect to the ICON Forecasts, BofA Securities was advised by ICON, and assumed, that they were reasonably prepared on bases reflecting the best currently available estimates and good faith judgments of the management of ICON as to the future financial performance of ICON, and, at the direction of PRA, BofA Securities relied on the ICON Forecasts for purposes of its opinion. With respect to the financial forecasts by PRA, the Cost Savings and the Tax Savings, BofA Securities was advised by PRA, and</w:t>
      </w:r>
    </w:p>
    <w:p>
      <w:pPr>
        <w:spacing w:after="0" w:line="1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assumed, that they were reasonably prepared on bases reflecting the best currently available estimates and good faith judgments of the management of PRA as to the future financial performance of PRA and the other matters covered thereby and, at the direction of PRA, BofA Securities relied on the financial forecasts by PRA, the Cost Savings and the Tax Savings for purposes of its opinion. BofA Securities also relied, at the direction of PRA, on the assessments of the management of PRA as to ICON’s ability to achieve the Cost Savings and the Tax Savings and was advised by PRA, and assumed, with the consent of PRA, that the Cost Savings and the Tax Savings would be realized in the amounts and at the times projected. BofA Securities did not make and was not provided with any independent evaluation or appraisal of the assets or liabilities (contingent or otherwise) of PRA, ICON or any other entity, nor did BofA Securities make any physical inspection of the properties or assets of PRA, ICON, or any other entity. BofA Securities did not evaluate the solvency or fair value of PRA or ICON under any state, federal or other laws relating to bankruptcy, insolvency or similar matters. BofA Securities assumed, at the direction of PRA, that the merger would be consummated in accordance with its terms and in compliance with all applicable laws, relevant documents and other requirements,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PRA, ICON or the contemplated benefits of the merger. BofA Securities also assumed, at the direction of PRA, that the final executed merger agreement would not differ in any material respect from the Draft Agreement reviewed by BofA Securities.</w:t>
      </w:r>
    </w:p>
    <w:p>
      <w:pPr>
        <w:spacing w:after="0" w:line="6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BofA Securities expressed no view or opinion as to any terms or other aspects or implications of the merger (other than the merger consideration to the extent expressly specified in its written opinion), including, without limitation, the form or structure of the merger or any terms, aspects or implications of any related transactions or any other agreement, arrangement or understanding entered into in connection with or related to the merger or otherwise. BofA Securities was not requested to, and did not, solicit indications of interest or proposals from third parties regarding a possible acquisition of all or any part of PRA or any alternative transaction. BofA Securities’ opinion was limited to the fairness, from a financial point of view, of the merger consideration to be received by the PRA stockholders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or other consideration to any of the officers, directors or employees of any party to the merger or any related entities, or class of such persons, relative to the merger consideration or otherwise. Furthermore, no opinion or view was expressed as to the relative merits of the merger in comparison to other strategies or transactions that might be available to PRA or in which PRA might engage or as to the underlying business decision of PRA to proceed with or effect the merger. In addition, BofA Securities did not express any view or opinion with respect to, and BofA Securities relied, with the consent of PRA, upon the assessments of PRA and its representatives regarding, legal, regulatory, accounting, tax and similar matters relating to PRA, ICON or any other entity and the merger (including the contemplated benefits thereof) as to which BofA Securities understood that PRA obtained such advice as it deemed necessary from qualified professionals. BofA Securities further expressed no opinion as to what the value of ICON ordinary shares actually would be when issued or the prices at which PRA common stock or ICON ordinary shares would trade at any time, including following announcement or consummation of the merger. In addition, BofA Securities expressed no opinion or recommendation as to how any stockholder should vote or act in connection with the merger or any related matter.</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BofA Securities’ opinion was necessarily based on financial, economic, monetary, market and other conditions and circumstances as in effect on, and the information made available to BofA Securities as of, the date of its opinion. While the credit, financial and stock markets have been experiencing unusual volatility, BofA Securities expressed no opinion or view as to any potential effects of such volatility on PRA, ICON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Except as described in this summary, PRA imposed no other limitations on the investigations made or procedures followed by BofA Securities in rendering its opinion.</w:t>
      </w:r>
    </w:p>
    <w:p>
      <w:pPr>
        <w:spacing w:after="0" w:line="53" w:lineRule="exact"/>
        <w:rPr>
          <w:sz w:val="20"/>
          <w:szCs w:val="20"/>
          <w:color w:val="auto"/>
        </w:rPr>
      </w:pPr>
    </w:p>
    <w:p>
      <w:pPr>
        <w:jc w:val="both"/>
        <w:ind w:left="300" w:right="299" w:firstLine="360"/>
        <w:spacing w:after="0" w:line="298" w:lineRule="auto"/>
        <w:rPr>
          <w:rFonts w:ascii="Arial" w:cs="Arial" w:eastAsia="Arial" w:hAnsi="Arial"/>
          <w:sz w:val="16"/>
          <w:szCs w:val="16"/>
          <w:color w:val="auto"/>
        </w:rPr>
      </w:pPr>
      <w:r>
        <w:rPr>
          <w:rFonts w:ascii="Arial" w:cs="Arial" w:eastAsia="Arial" w:hAnsi="Arial"/>
          <w:sz w:val="16"/>
          <w:szCs w:val="16"/>
          <w:color w:val="auto"/>
        </w:rPr>
        <w:t>The discussion set forth below in “</w:t>
      </w:r>
      <w:r>
        <w:rPr>
          <w:rFonts w:ascii="Arial" w:cs="Arial" w:eastAsia="Arial" w:hAnsi="Arial"/>
          <w:sz w:val="16"/>
          <w:szCs w:val="16"/>
          <w:b w:val="1"/>
          <w:bCs w:val="1"/>
          <w:color w:val="auto"/>
        </w:rPr>
        <w:t>—Summary of Material Financial Analyses of PRA</w:t>
      </w:r>
      <w:r>
        <w:rPr>
          <w:rFonts w:ascii="Arial" w:cs="Arial" w:eastAsia="Arial" w:hAnsi="Arial"/>
          <w:sz w:val="16"/>
          <w:szCs w:val="16"/>
          <w:color w:val="auto"/>
        </w:rPr>
        <w:t>”, “</w:t>
      </w:r>
      <w:r>
        <w:rPr>
          <w:rFonts w:ascii="Arial" w:cs="Arial" w:eastAsia="Arial" w:hAnsi="Arial"/>
          <w:sz w:val="16"/>
          <w:szCs w:val="16"/>
          <w:b w:val="1"/>
          <w:bCs w:val="1"/>
          <w:color w:val="auto"/>
        </w:rPr>
        <w:t>—Summary of</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 Financial Analyses of ICON</w:t>
      </w:r>
      <w:r>
        <w:rPr>
          <w:rFonts w:ascii="Arial" w:cs="Arial" w:eastAsia="Arial" w:hAnsi="Arial"/>
          <w:sz w:val="16"/>
          <w:szCs w:val="16"/>
          <w:color w:val="auto"/>
        </w:rPr>
        <w:t>” and “</w:t>
      </w:r>
      <w:r>
        <w:rPr>
          <w:rFonts w:ascii="Arial" w:cs="Arial" w:eastAsia="Arial" w:hAnsi="Arial"/>
          <w:sz w:val="16"/>
          <w:szCs w:val="16"/>
          <w:b w:val="1"/>
          <w:bCs w:val="1"/>
          <w:color w:val="auto"/>
        </w:rPr>
        <w:t>—Summary of Material Pro Forma Financial Analyses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on page [</w:t>
      </w:r>
      <w:hyperlink w:anchor="page108">
        <w:r>
          <w:rPr>
            <w:rFonts w:ascii="Arial" w:cs="Arial" w:eastAsia="Arial" w:hAnsi="Arial"/>
            <w:sz w:val="16"/>
            <w:szCs w:val="16"/>
            <w:u w:val="single" w:color="auto"/>
            <w:color w:val="0000EE"/>
          </w:rPr>
          <w:t>91</w:t>
        </w:r>
      </w:hyperlink>
      <w:r>
        <w:rPr>
          <w:rFonts w:ascii="Arial" w:cs="Arial" w:eastAsia="Arial" w:hAnsi="Arial"/>
          <w:sz w:val="16"/>
          <w:szCs w:val="16"/>
          <w:color w:val="auto"/>
        </w:rPr>
        <w:t xml:space="preserve">] of this joint proxy statement/prospectus represents a brief summary of the material financial analyses presented by BofA Securities to the PRA board of directors in connection with its opinion. </w:t>
      </w:r>
      <w:r>
        <w:rPr>
          <w:rFonts w:ascii="Arial" w:cs="Arial" w:eastAsia="Arial" w:hAnsi="Arial"/>
          <w:sz w:val="16"/>
          <w:szCs w:val="16"/>
          <w:i w:val="1"/>
          <w:iCs w:val="1"/>
          <w:color w:val="auto"/>
        </w:rPr>
        <w:t>The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analyses summarized below include information presented in tabular format. In order to fully understand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i w:val="1"/>
          <w:iCs w:val="1"/>
          <w:color w:val="auto"/>
        </w:rPr>
        <w:t>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Material Financial Analyses of PRA</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BofA Securities reviewed publicly available financial and stock market information of the following five</w:t>
      </w:r>
    </w:p>
    <w:p>
      <w:pPr>
        <w:spacing w:after="0" w:line="35" w:lineRule="exact"/>
        <w:rPr>
          <w:sz w:val="20"/>
          <w:szCs w:val="20"/>
          <w:color w:val="auto"/>
        </w:rPr>
      </w:pPr>
    </w:p>
    <w:p>
      <w:pPr>
        <w:ind w:left="540" w:hanging="248"/>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selected publicly traded clinical research companies, and for ICON:</w:t>
      </w:r>
    </w:p>
    <w:p>
      <w:pPr>
        <w:spacing w:after="0" w:line="102" w:lineRule="exact"/>
        <w:rPr>
          <w:rFonts w:ascii="Arial" w:cs="Arial" w:eastAsia="Arial" w:hAnsi="Arial"/>
          <w:sz w:val="18"/>
          <w:szCs w:val="18"/>
          <w:color w:val="auto"/>
        </w:rPr>
      </w:pPr>
    </w:p>
    <w:p>
      <w:pPr>
        <w:ind w:left="1000" w:hanging="348"/>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Charles River Laboratories International,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BofA Securities reviewed, among other things, (i) the enterprise values for each of the selected companies and for ICON, calculated by multiplying the closing share price of each company as of February 23, 2021 by the number of fully-diluted shares outstanding of the applicable company (determined on a treasury stock method basis based on information in its public filings), and adding to (or subtracting from, as applicable) the result the amount of the applicable company’s net debt (or net cash) (defined for this purpose as debt, preferred equity and non-controlling interest (as applicable) less cash, cash equivalents and marketable securities (as applicable)), as a multiple of Wall Street analyst consensus estimates of calendar year 2021 and 2022 earnings before interest, taxes, depreciation and amortization (“EBITDA”) for the applicable company without any deduction for stock based compensation expense (“SBC-Unburdened”) (such multiples are referred to in this section as “2021E EV/ EBITDA (SBC-Unburdened)” and “2022E EV/ EBITDA (SBC-Unburdened)”), and (ii) the closing price per share for each selected company and for ICON as of February 23, 2021, as a multiple of Wall Street analyst consensus estimates of calendar year 2021 and 2022 earnings per share (“EPS”) for the applicable company without any deduction for (unburdened by) stock based compensation expense or amortization of purchased intangibles (“SBC/Amort.-Unburdened”) (such multiples are referred to in this section as “2021E Price/ EPS (SBC/Amort.-Unburdened)” and “2022E Price/ EPS (SBC/Amort.-Unburdened)”). Financial data of the selected companies and for ICON were derived from their public filings and publicly available Wall Street research analysts’ estimates published by FactSet as of February 23, 2021. The overall low to high 2021E EV/ EBITDA (SBC-Unburdened) multiples observed for the selected companies were 13.7x to 24.2x (with a mean of 18.3x and median of 17.2x for the selected companies and a mean of 18.3x and median of 17.7x for the selected companies and ICON together). The overall low to high 2022E EV/ EBITDA (SBC-Unburdened) multiples observed for the selected companies were 12.4x to 20.2x (with a mean of 16.2x and median of 15.7x for the selected companies and a mean of 16.3x and median of 16.2x for the selected companies and ICON together). The overall low to high 2021E Price/EPS (SBC/Amort.-Unburdened) multiples observed for the selected companies were 17.2x to 32.1x (with a mean of 25.3x and median of 25.9x for the selected companies and a mean of 25.1x and median of 24.9x for the selected companies and ICON together). The overall low to high 2022E Price/EPS (SBC/Amort.-Unburdened) multiples observed for the selected companies were 15.1x to 27.3x (with a mean of 22.0x and median of 22.2x for the selected companies and a mean of 21.9x and median of 22.0x for the selected companies and ICON together).</w:t>
      </w:r>
    </w:p>
    <w:p>
      <w:pPr>
        <w:spacing w:after="0" w:line="2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Based on BofA Securities’ review of the enterprise values to EBITDA (SBC-Unburdened) multiples for the selected companies and on its professional judgment and experience, BofA Securities applied a 2021E EV/EBITDA (SBC-Unburdened) multiple reference range of 14.0x to 17.5x to estimates of calendar year 2021 EBITDA (SBC-Unburdened) adjusted for certain non-recurring items, as reflected in the financial forecasts by PRA, and a 2022E EV/EBITDA (SBC-Unburdened) multiple reference range of 12.5x to 16.0x to estimates of calendar year 2022 EBITDA (SBC-Unburdened) adjusted for certain non-recurring items, as reflected in the financial forecasts by PRA, in each case, to calculate ranges of implied enterprise values for PRA. BofA Securities then calculated implied equity value reference ranges per share of PRA common stock (rounded to the nearest $1.00) by subtracting from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resulting ranges of implied enterprise values the net debt of PRA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BofA Securities’ review of the Price/EPS (SBC/Amort.-Unburdened) multiples for the selected companies and on its professional judgment and experience, BofA Securities applied a 2021E Price/EPS (SBC/Amort.-Unburdened) multiple reference range of 18.0x to 25.0x to estimates of calendar year 2021 EPS (SBC/Amort.-Unburdened), as reflected in the financial forecasts by PRA, and a 2022E Price/EPS multiple reference range of 15.5x to 22.0x to estimates of calendar year 2022 EPS (SBC/Amort.-Unburdened), as reflected in the financial forecasts by PRA, to calculate implied equity value reference ranges per share of PRA common stock (rounded to the nearest $1.00).</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analysis indicated the following approximate implied equity value reference ranges per share of PRA common stock, as compared to an implied value of $166.06 for the merger consideration calculated by adding to the $80.00 per share of cash consideration an implied value of $86.06 for the 0.4125 of a share of ICON ordinary shares comprising the stock portion of the merger consideration (reflecting the $208.62 closing price of ICON ordinary shares on February 23, 2021 multiplied by 0.4125):</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Implied Equity Value</w:t>
      </w:r>
    </w:p>
    <w:p>
      <w:pPr>
        <w:ind w:left="2780"/>
        <w:spacing w:after="0" w:line="226" w:lineRule="auto"/>
        <w:rPr>
          <w:sz w:val="20"/>
          <w:szCs w:val="20"/>
          <w:color w:val="auto"/>
        </w:rPr>
      </w:pPr>
      <w:r>
        <w:rPr>
          <w:rFonts w:ascii="Arial" w:cs="Arial" w:eastAsia="Arial" w:hAnsi="Arial"/>
          <w:sz w:val="14"/>
          <w:szCs w:val="14"/>
          <w:b w:val="1"/>
          <w:bCs w:val="1"/>
          <w:color w:val="auto"/>
        </w:rPr>
        <w:t>Reference Range Per Share</w:t>
      </w:r>
    </w:p>
    <w:p>
      <w:pPr>
        <w:ind w:left="2920"/>
        <w:spacing w:after="0"/>
        <w:rPr>
          <w:sz w:val="20"/>
          <w:szCs w:val="20"/>
          <w:color w:val="auto"/>
        </w:rPr>
      </w:pPr>
      <w:r>
        <w:rPr>
          <w:rFonts w:ascii="Arial" w:cs="Arial" w:eastAsia="Arial" w:hAnsi="Arial"/>
          <w:sz w:val="14"/>
          <w:szCs w:val="14"/>
          <w:b w:val="1"/>
          <w:bCs w:val="1"/>
          <w:color w:val="auto"/>
        </w:rPr>
        <w:t>of PRA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42602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2021E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2022E</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2021E EPS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 EPS</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49"/>
        </w:trPr>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Merger</w:t>
            </w:r>
          </w:p>
        </w:tc>
        <w:tc>
          <w:tcPr>
            <w:tcW w:w="0" w:type="dxa"/>
            <w:vAlign w:val="bottom"/>
          </w:tcPr>
          <w:p>
            <w:pPr>
              <w:spacing w:after="0"/>
              <w:rPr>
                <w:sz w:val="1"/>
                <w:szCs w:val="1"/>
                <w:color w:val="auto"/>
              </w:rPr>
            </w:pPr>
          </w:p>
        </w:tc>
      </w:tr>
      <w:tr>
        <w:trPr>
          <w:trHeight w:val="148"/>
        </w:trPr>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(SBC/Amort.-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(SBC/Amort.-</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86"/>
        </w:trPr>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Unburdened)</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$118 - $149</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$124 - $161</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$112 - $155</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$112 - $159</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$166.06</w:t>
            </w: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-222250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-222250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-222250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publicly traded company used in this analysis is identical or directly comparable to PRA. Accordingly, an evaluation of the results of this analysis is not entirely mathematical. Rather, this analysis involves complex considerations and judgments concerning differences in financial and operating characteristics (reflected, among other things, in differences in historical trading levels of these companies) and other factors that could affect the public trading or other values of the companies to which PRA was compared.</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BofA Securities reviewed, to the extent publicly available, financial information relating to the following five</w:t>
      </w:r>
    </w:p>
    <w:p>
      <w:pPr>
        <w:spacing w:after="0" w:line="35" w:lineRule="exact"/>
        <w:rPr>
          <w:sz w:val="20"/>
          <w:szCs w:val="20"/>
          <w:color w:val="auto"/>
        </w:rPr>
      </w:pPr>
    </w:p>
    <w:p>
      <w:pPr>
        <w:ind w:left="300" w:right="319" w:hanging="8"/>
        <w:spacing w:after="0" w:line="260" w:lineRule="auto"/>
        <w:tabs>
          <w:tab w:leader="none" w:pos="5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selected transactions involving acquisitions of healthcare clinical research companies since 2014 with an implied enterprise value between $4 billion and $15 billion.</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324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Target</w:t>
            </w:r>
          </w:p>
        </w:tc>
        <w:tc>
          <w:tcPr>
            <w:tcW w:w="33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Acquirer</w:t>
            </w:r>
          </w:p>
        </w:tc>
        <w:tc>
          <w:tcPr>
            <w:tcW w:w="0" w:type="dxa"/>
            <w:vAlign w:val="bottom"/>
          </w:tcPr>
          <w:p>
            <w:pPr>
              <w:spacing w:after="0"/>
              <w:rPr>
                <w:sz w:val="1"/>
                <w:szCs w:val="1"/>
                <w:color w:val="auto"/>
              </w:rPr>
            </w:pPr>
          </w:p>
        </w:tc>
      </w:tr>
      <w:tr>
        <w:trPr>
          <w:trHeight w:val="186"/>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5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06/20/17</w:t>
            </w:r>
          </w:p>
        </w:tc>
        <w:tc>
          <w:tcPr>
            <w:tcW w:w="3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Parexel International Corporation</w:t>
            </w: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Pamplona Capital Management, LLP</w:t>
            </w:r>
          </w:p>
        </w:tc>
        <w:tc>
          <w:tcPr>
            <w:tcW w:w="0" w:type="dxa"/>
            <w:vAlign w:val="bottom"/>
          </w:tcPr>
          <w:p>
            <w:pPr>
              <w:spacing w:after="0"/>
              <w:rPr>
                <w:sz w:val="1"/>
                <w:szCs w:val="1"/>
                <w:color w:val="auto"/>
              </w:rPr>
            </w:pPr>
          </w:p>
        </w:tc>
      </w:tr>
      <w:tr>
        <w:trPr>
          <w:trHeight w:val="270"/>
        </w:trPr>
        <w:tc>
          <w:tcPr>
            <w:tcW w:w="1520" w:type="dxa"/>
            <w:vAlign w:val="bottom"/>
          </w:tcPr>
          <w:p>
            <w:pPr>
              <w:jc w:val="center"/>
              <w:spacing w:after="0"/>
              <w:rPr>
                <w:sz w:val="20"/>
                <w:szCs w:val="20"/>
                <w:color w:val="auto"/>
              </w:rPr>
            </w:pPr>
            <w:r>
              <w:rPr>
                <w:rFonts w:ascii="Arial" w:cs="Arial" w:eastAsia="Arial" w:hAnsi="Arial"/>
                <w:sz w:val="18"/>
                <w:szCs w:val="18"/>
                <w:color w:val="auto"/>
                <w:w w:val="91"/>
              </w:rPr>
              <w:t>05/10/17</w:t>
            </w:r>
          </w:p>
        </w:tc>
        <w:tc>
          <w:tcPr>
            <w:tcW w:w="3580" w:type="dxa"/>
            <w:vAlign w:val="bottom"/>
            <w:gridSpan w:val="3"/>
          </w:tcPr>
          <w:p>
            <w:pPr>
              <w:ind w:left="340"/>
              <w:spacing w:after="0"/>
              <w:rPr>
                <w:sz w:val="20"/>
                <w:szCs w:val="20"/>
                <w:color w:val="auto"/>
              </w:rPr>
            </w:pPr>
            <w:r>
              <w:rPr>
                <w:rFonts w:ascii="Arial" w:cs="Arial" w:eastAsia="Arial" w:hAnsi="Arial"/>
                <w:sz w:val="18"/>
                <w:szCs w:val="18"/>
                <w:color w:val="auto"/>
              </w:rPr>
              <w:t>InVentiv Health, Inc.</w:t>
            </w:r>
          </w:p>
        </w:tc>
        <w:tc>
          <w:tcPr>
            <w:tcW w:w="3320" w:type="dxa"/>
            <w:vAlign w:val="bottom"/>
          </w:tcPr>
          <w:p>
            <w:pPr>
              <w:spacing w:after="0"/>
              <w:rPr>
                <w:sz w:val="20"/>
                <w:szCs w:val="20"/>
                <w:color w:val="auto"/>
              </w:rPr>
            </w:pPr>
            <w:r>
              <w:rPr>
                <w:rFonts w:ascii="Arial" w:cs="Arial" w:eastAsia="Arial" w:hAnsi="Arial"/>
                <w:sz w:val="18"/>
                <w:szCs w:val="18"/>
                <w:color w:val="auto"/>
              </w:rPr>
              <w:t>INC Research Holdings, Inc.</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04/26/17</w:t>
            </w:r>
          </w:p>
        </w:tc>
        <w:tc>
          <w:tcPr>
            <w:tcW w:w="3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PPD, Inc.</w:t>
            </w: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H&amp;F, ADIA, GIC and The Carlyle Group</w:t>
            </w:r>
          </w:p>
        </w:tc>
        <w:tc>
          <w:tcPr>
            <w:tcW w:w="0" w:type="dxa"/>
            <w:vAlign w:val="bottom"/>
          </w:tcPr>
          <w:p>
            <w:pPr>
              <w:spacing w:after="0"/>
              <w:rPr>
                <w:sz w:val="1"/>
                <w:szCs w:val="1"/>
                <w:color w:val="auto"/>
              </w:rPr>
            </w:pPr>
          </w:p>
        </w:tc>
      </w:tr>
      <w:tr>
        <w:trPr>
          <w:trHeight w:val="324"/>
        </w:trPr>
        <w:tc>
          <w:tcPr>
            <w:tcW w:w="1520" w:type="dxa"/>
            <w:vAlign w:val="bottom"/>
          </w:tcPr>
          <w:p>
            <w:pPr>
              <w:jc w:val="center"/>
              <w:spacing w:after="0"/>
              <w:rPr>
                <w:sz w:val="20"/>
                <w:szCs w:val="20"/>
                <w:color w:val="auto"/>
              </w:rPr>
            </w:pPr>
            <w:r>
              <w:rPr>
                <w:rFonts w:ascii="Arial" w:cs="Arial" w:eastAsia="Arial" w:hAnsi="Arial"/>
                <w:sz w:val="18"/>
                <w:szCs w:val="18"/>
                <w:color w:val="auto"/>
                <w:w w:val="91"/>
              </w:rPr>
              <w:t>05/03/16</w:t>
            </w:r>
          </w:p>
        </w:tc>
        <w:tc>
          <w:tcPr>
            <w:tcW w:w="3580" w:type="dxa"/>
            <w:vAlign w:val="bottom"/>
            <w:gridSpan w:val="3"/>
          </w:tcPr>
          <w:p>
            <w:pPr>
              <w:ind w:left="340"/>
              <w:spacing w:after="0" w:line="324" w:lineRule="exact"/>
              <w:rPr>
                <w:sz w:val="20"/>
                <w:szCs w:val="20"/>
                <w:color w:val="auto"/>
              </w:rPr>
            </w:pPr>
            <w:r>
              <w:rPr>
                <w:rFonts w:ascii="Arial" w:cs="Arial" w:eastAsia="Arial" w:hAnsi="Arial"/>
                <w:sz w:val="18"/>
                <w:szCs w:val="18"/>
                <w:color w:val="auto"/>
              </w:rPr>
              <w:t>Quintiles Transnational Holdings Inc.</w:t>
            </w:r>
            <w:r>
              <w:rPr>
                <w:rFonts w:ascii="Arial" w:cs="Arial" w:eastAsia="Arial" w:hAnsi="Arial"/>
                <w:sz w:val="29"/>
                <w:szCs w:val="29"/>
                <w:color w:val="auto"/>
                <w:vertAlign w:val="superscript"/>
              </w:rPr>
              <w:t>(1)</w:t>
            </w:r>
          </w:p>
        </w:tc>
        <w:tc>
          <w:tcPr>
            <w:tcW w:w="3320" w:type="dxa"/>
            <w:vAlign w:val="bottom"/>
          </w:tcPr>
          <w:p>
            <w:pPr>
              <w:spacing w:after="0"/>
              <w:rPr>
                <w:sz w:val="20"/>
                <w:szCs w:val="20"/>
                <w:color w:val="auto"/>
              </w:rPr>
            </w:pPr>
            <w:r>
              <w:rPr>
                <w:rFonts w:ascii="Arial" w:cs="Arial" w:eastAsia="Arial" w:hAnsi="Arial"/>
                <w:sz w:val="18"/>
                <w:szCs w:val="18"/>
                <w:color w:val="auto"/>
              </w:rPr>
              <w:t>Ims Health Holdings, Inc.</w:t>
            </w: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11/03/14</w:t>
            </w:r>
          </w:p>
        </w:tc>
        <w:tc>
          <w:tcPr>
            <w:tcW w:w="3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Covance</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3"/>
              </w:rPr>
              <w:t>Laboratory Corporation of America Holdings</w:t>
            </w:r>
          </w:p>
        </w:tc>
        <w:tc>
          <w:tcPr>
            <w:tcW w:w="0" w:type="dxa"/>
            <w:vAlign w:val="bottom"/>
          </w:tcPr>
          <w:p>
            <w:pPr>
              <w:spacing w:after="0"/>
              <w:rPr>
                <w:sz w:val="1"/>
                <w:szCs w:val="1"/>
                <w:color w:val="auto"/>
              </w:rPr>
            </w:pPr>
          </w:p>
        </w:tc>
      </w:tr>
      <w:tr>
        <w:trPr>
          <w:trHeight w:val="54"/>
        </w:trPr>
        <w:tc>
          <w:tcPr>
            <w:tcW w:w="1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9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-1045210</wp:posOffset>
            </wp:positionV>
            <wp:extent cx="2057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-1045210</wp:posOffset>
            </wp:positionV>
            <wp:extent cx="2228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1" w:lineRule="exact"/>
        <w:rPr>
          <w:sz w:val="20"/>
          <w:szCs w:val="20"/>
          <w:color w:val="auto"/>
        </w:rPr>
      </w:pPr>
    </w:p>
    <w:p>
      <w:pPr>
        <w:ind w:left="640" w:hanging="348"/>
        <w:spacing w:after="0"/>
        <w:tabs>
          <w:tab w:leader="none" w:pos="640" w:val="left"/>
        </w:tabs>
        <w:numPr>
          <w:ilvl w:val="0"/>
          <w:numId w:val="121"/>
        </w:numPr>
        <w:rPr>
          <w:rFonts w:ascii="Arial" w:cs="Arial" w:eastAsia="Arial" w:hAnsi="Arial"/>
          <w:sz w:val="22"/>
          <w:szCs w:val="22"/>
          <w:color w:val="auto"/>
          <w:vertAlign w:val="superscript"/>
        </w:rPr>
      </w:pPr>
      <w:r>
        <w:rPr>
          <w:rFonts w:ascii="Arial" w:cs="Arial" w:eastAsia="Arial" w:hAnsi="Arial"/>
          <w:sz w:val="14"/>
          <w:szCs w:val="14"/>
          <w:color w:val="auto"/>
        </w:rPr>
        <w:t>Transaction also reviewed assuming Quintiles Transnational Holdings Inc. is the acquirer.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each of these transactions, BofA Securities reviewed the enterprise values implied for each target company based on the consideration paid in the selected transaction, as multiples of estimates of the target company’s EBITDA (SBC-Unburdened), (i) for the last twelve (12) months as of the announcement of the relevant transaction, based on publicly available information at that time (such multiples are referred to in this section as “EV/LTM EBITDA (SBC-Unburdened)”), (ii) for the fiscal year in which the applicable transaction was announced if the transaction was announced prior to June 30, and the fiscal year following the fiscal year in which the applicable transaction was announced if the transaction was announced after June 30, based on publicly available information at that time (such multiples are referred to in this section as “EV/FY EBITDA (SBC-Unburdened)”), and (iii) for the fiscal year following the fiscal year in which the applicable transaction was announced if the transaction was announced prior</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to June 30, and the second fiscal year following the fiscal year in which the applicable transaction was announced if the transaction was announced after June 30, based on publicly available information at that time (such multiples are referred to in this section as “EV/FY+1 EBITDA (SBC-Unburdened)”). The overall low to high EV/LTM EBITDA (SBC-Unburdened) multiples of the target companies in the selected transactions were 11.5x to 14.5x (with a top quartile of 13.6x, a mean of 12.8x, a median of 12.4x and bottom quartile of 12.1x), the overall low to high EV/FY EBITDA (SBC-Unburdened) multiples of the target companies in the selected transactions were 10.8x to 13.5x (with a top quartile of 12.6x, a mean of 12.0x, a median of 12.1x and bottom quartile of 11.1x) and the overall low to high EV/FY+1 EBITDA (SBC-Unburdened) multiples of the target companies in the selected transactions were 9.8x to 12.7x (with a top quartile of 11.9x, a mean of 11.0x, a median of 10.6x and bottom quartile of 10.2x).</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Based on BofA Securities’ review of the enterprise values to EBITDA (SBC-Unburdened) multiples for the selected transactions and on its professional judgment and experience, BofA Securities applied (i) an enterprise value to calendar year 2020 EBITDA (SBC-Unburdened) multiple reference range of 12.0x to 14.0x to PRA management’s estimate of PRA’s calendar year 2020 EBITDA (SBC-Unburdened), as reflected in the financial forecasts by PRA and (ii) an enterprise value to calendar year 2021 EBITDA (SBC-Unburdened) multiple reference range of 11.0x to 13.0x to PRA management’s estimate of PRA’s calendar year 2021 EBITDA (SBC-Unburdened), as reflected in the financial forecasts by PRA, in each case, to calculate a range of implied enterprise values for PRA. BofA Securities then calculated implied equity value reference ranges per share of PRA common stock (rounded to the nearest $1.00) by subtracting from these ranges of implied enterprise values the net debt of PRA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 This analysis indicated the following approximate implied equity value reference ranges per share of PRA common stock (rounded to the nearest $1.00), as compared to the implied merger consideration value:</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Implied Equity Value Reference Range Per Share</w:t>
            </w:r>
          </w:p>
        </w:tc>
        <w:tc>
          <w:tcPr>
            <w:tcW w:w="10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8"/>
              </w:rPr>
              <w:t>Implied Merger</w:t>
            </w:r>
          </w:p>
        </w:tc>
      </w:tr>
      <w:tr>
        <w:trPr>
          <w:trHeight w:val="186"/>
        </w:trPr>
        <w:tc>
          <w:tcPr>
            <w:tcW w:w="3560" w:type="dxa"/>
            <w:vAlign w:val="bottom"/>
            <w:gridSpan w:val="3"/>
          </w:tcPr>
          <w:p>
            <w:pPr>
              <w:jc w:val="center"/>
              <w:ind w:left="1924"/>
              <w:spacing w:after="0"/>
              <w:rPr>
                <w:sz w:val="20"/>
                <w:szCs w:val="20"/>
                <w:color w:val="auto"/>
              </w:rPr>
            </w:pPr>
            <w:r>
              <w:rPr>
                <w:rFonts w:ascii="Arial" w:cs="Arial" w:eastAsia="Arial" w:hAnsi="Arial"/>
                <w:sz w:val="14"/>
                <w:szCs w:val="14"/>
                <w:b w:val="1"/>
                <w:bCs w:val="1"/>
                <w:color w:val="auto"/>
                <w:w w:val="93"/>
              </w:rPr>
              <w:t>of PRA Common Stock</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 Value</w:t>
            </w:r>
          </w:p>
        </w:tc>
      </w:tr>
      <w:tr>
        <w:trPr>
          <w:trHeight w:val="53"/>
        </w:trPr>
        <w:tc>
          <w:tcPr>
            <w:tcW w:w="356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187"/>
        </w:trPr>
        <w:tc>
          <w:tcPr>
            <w:tcW w:w="35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2020E EBITDA</w:t>
            </w:r>
          </w:p>
        </w:tc>
        <w:tc>
          <w:tcPr>
            <w:tcW w:w="2020" w:type="dxa"/>
            <w:vAlign w:val="bottom"/>
          </w:tcPr>
          <w:p>
            <w:pPr>
              <w:jc w:val="center"/>
              <w:ind w:right="682"/>
              <w:spacing w:after="0"/>
              <w:rPr>
                <w:sz w:val="20"/>
                <w:szCs w:val="20"/>
                <w:color w:val="auto"/>
              </w:rPr>
            </w:pPr>
            <w:r>
              <w:rPr>
                <w:rFonts w:ascii="Arial" w:cs="Arial" w:eastAsia="Arial" w:hAnsi="Arial"/>
                <w:sz w:val="14"/>
                <w:szCs w:val="14"/>
                <w:b w:val="1"/>
                <w:bCs w:val="1"/>
                <w:color w:val="auto"/>
              </w:rPr>
              <w:t>2021E EBITDA</w:t>
            </w: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6"/>
        </w:trPr>
        <w:tc>
          <w:tcPr>
            <w:tcW w:w="3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5"/>
              </w:rPr>
              <w:t>(SBC-Unburdened)</w:t>
            </w:r>
          </w:p>
        </w:tc>
        <w:tc>
          <w:tcPr>
            <w:tcW w:w="2020" w:type="dxa"/>
            <w:vAlign w:val="bottom"/>
          </w:tcPr>
          <w:p>
            <w:pPr>
              <w:jc w:val="center"/>
              <w:ind w:right="622"/>
              <w:spacing w:after="0"/>
              <w:rPr>
                <w:sz w:val="20"/>
                <w:szCs w:val="20"/>
                <w:color w:val="auto"/>
              </w:rPr>
            </w:pPr>
            <w:r>
              <w:rPr>
                <w:rFonts w:ascii="Arial" w:cs="Arial" w:eastAsia="Arial" w:hAnsi="Arial"/>
                <w:sz w:val="14"/>
                <w:szCs w:val="14"/>
                <w:b w:val="1"/>
                <w:bCs w:val="1"/>
                <w:color w:val="auto"/>
                <w:w w:val="95"/>
              </w:rPr>
              <w:t>(SBC-Unburdened)</w:t>
            </w: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53"/>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r>
      <w:tr>
        <w:trPr>
          <w:trHeight w:val="277"/>
        </w:trPr>
        <w:tc>
          <w:tcPr>
            <w:tcW w:w="3560" w:type="dxa"/>
            <w:vAlign w:val="bottom"/>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9"/>
              </w:rPr>
              <w:t>$78 – $93</w:t>
            </w:r>
          </w:p>
        </w:tc>
        <w:tc>
          <w:tcPr>
            <w:tcW w:w="2020" w:type="dxa"/>
            <w:vAlign w:val="bottom"/>
            <w:shd w:val="clear" w:color="auto" w:fill="CCEEFF"/>
          </w:tcPr>
          <w:p>
            <w:pPr>
              <w:jc w:val="center"/>
              <w:ind w:right="642"/>
              <w:spacing w:after="0"/>
              <w:rPr>
                <w:sz w:val="20"/>
                <w:szCs w:val="20"/>
                <w:color w:val="auto"/>
              </w:rPr>
            </w:pPr>
            <w:r>
              <w:rPr>
                <w:rFonts w:ascii="Arial" w:cs="Arial" w:eastAsia="Arial" w:hAnsi="Arial"/>
                <w:sz w:val="18"/>
                <w:szCs w:val="18"/>
                <w:color w:val="auto"/>
                <w:w w:val="90"/>
              </w:rPr>
              <w:t>$91 - $109</w:t>
            </w:r>
          </w:p>
        </w:tc>
        <w:tc>
          <w:tcPr>
            <w:tcW w:w="2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$166.06</w:t>
            </w:r>
          </w:p>
        </w:tc>
      </w:tr>
      <w:tr>
        <w:trPr>
          <w:trHeight w:val="54"/>
        </w:trPr>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-222250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precedent transaction used in this analysis or the applicable business or target company is identical or directly comparable to PRA or the merger.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or transactions to which PRA and the merger were compared.</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BofA Securities performed a discounted cash flow analysis of PRA to calculate a range of implied present values per share of PRA common stock utilizing estimates of the standalone, unlevered, after-tax free cash flows PRA was expected to generate over the period from January 1, 2021 through December 31, 2025 based on the financial forecasts by PRA. BofA Securities calculated terminal values for the cash flows by applying to estimates of the standalone EBITDA (SBC-Unburdened) PRA was expected to generate in the terminal year a selected range of EBITDA (SBC-Unburdened) exit multiples of 13.0x to 16.5x which were selected based on BofA Securities’ professional judgment and experience. The cash flows were discounted to present value as of December 31, 2020, utilizing mid-year discounting convention, and using a discount rate range of 7.5% to 10.0%, which was based on an estimate of PRA’s weighted average cost of capital, derived using the capital asset pricing model. BofA Securities then calculated implied equity value reference ranges per share of PRA common stock (rounded to the nearest $1.00) by deducting from this range of present values, PRA’s net debt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 This analysis indicated the following approximate implied equity value reference range per share of PRA common stock (rounded to the nearest $1.00), as compared to the implied merger consideration value: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2720" w:type="dxa"/>
            <w:vAlign w:val="bottom"/>
            <w:gridSpan w:val="2"/>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4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Implied Equity Value</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Reference Range Per</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Implied Merger</w:t>
            </w:r>
          </w:p>
        </w:tc>
        <w:tc>
          <w:tcPr>
            <w:tcW w:w="0" w:type="dxa"/>
            <w:vAlign w:val="bottom"/>
          </w:tcPr>
          <w:p>
            <w:pPr>
              <w:spacing w:after="0"/>
              <w:rPr>
                <w:sz w:val="1"/>
                <w:szCs w:val="1"/>
                <w:color w:val="auto"/>
              </w:rPr>
            </w:pPr>
          </w:p>
        </w:tc>
      </w:tr>
      <w:tr>
        <w:trPr>
          <w:trHeight w:val="148"/>
        </w:trPr>
        <w:tc>
          <w:tcPr>
            <w:tcW w:w="4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share of PRA Common</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7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9"/>
              </w:rPr>
              <w:t>Stock</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1"/>
              </w:rPr>
              <w:t>Consideration Value</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89"/>
              </w:rPr>
              <w:t>$141 – $193</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shares of PRA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52-week period ended February 23, 2021, which was $64.14 to $136.53.</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Wall Street Analysts Price Targets</w:t>
      </w:r>
      <w:r>
        <w:rPr>
          <w:rFonts w:ascii="Arial" w:cs="Arial" w:eastAsia="Arial" w:hAnsi="Arial"/>
          <w:sz w:val="18"/>
          <w:szCs w:val="18"/>
          <w:color w:val="auto"/>
        </w:rPr>
        <w:t>. BofA Securities reviewed certain publicly available equity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analyst price targets for the shares of PRA common stock available as of February 23, 2021, and noted that the range of such price targets (discounted by one year at PRA’s estimated cost of equity of 9.5% and rounded to the nearest $1.00) was $100 to $132.</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Material Financial Analyses of ICON</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BofA Securities reviewed publicly available financial and stock market information of the selected publicly traded clinical research companies as described under the heading “</w:t>
      </w:r>
      <w:r>
        <w:rPr>
          <w:rFonts w:ascii="Arial" w:cs="Arial" w:eastAsia="Arial" w:hAnsi="Arial"/>
          <w:sz w:val="17"/>
          <w:szCs w:val="17"/>
          <w:b w:val="1"/>
          <w:bCs w:val="1"/>
          <w:color w:val="auto"/>
        </w:rPr>
        <w:t>—Summary of Material Financial Analyses of</w:t>
      </w:r>
      <w:r>
        <w:rPr>
          <w:rFonts w:ascii="Arial" w:cs="Arial" w:eastAsia="Arial" w:hAnsi="Arial"/>
          <w:sz w:val="17"/>
          <w:szCs w:val="17"/>
          <w:color w:val="auto"/>
        </w:rPr>
        <w:t xml:space="preserve"> </w:t>
      </w:r>
      <w:r>
        <w:rPr>
          <w:rFonts w:ascii="Arial" w:cs="Arial" w:eastAsia="Arial" w:hAnsi="Arial"/>
          <w:sz w:val="17"/>
          <w:szCs w:val="17"/>
          <w:b w:val="1"/>
          <w:bCs w:val="1"/>
          <w:color w:val="auto"/>
        </w:rPr>
        <w:t>PRA—Selected Publicly Traded Companies Analysis</w:t>
      </w:r>
      <w:r>
        <w:rPr>
          <w:rFonts w:ascii="Arial" w:cs="Arial" w:eastAsia="Arial" w:hAnsi="Arial"/>
          <w:sz w:val="17"/>
          <w:szCs w:val="17"/>
          <w:color w:val="auto"/>
        </w:rPr>
        <w:t>”. For purposes of its analysis of ICON, BofA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also reviewed publicly available financial and stock market information of PRA. The 2021E EV/ EBITDA (SBC-Unburdened) multiples observed for the selected companies together with PRA had a mean of 17.9x and median of 17.2x. The 2022E EV/ EBITDA (SBC-Unburdened) multiples observed for the selected companies together with PRA had a mean of 15.9x to 15.6x. The 2021E Price/EPS (SBC/Amort.-Unburdened) multiples observed for the selected companies together with PRA had a mean of 24.8x and median of 24.9x. The 2022E Price/EPS (SBC/Amort.-Unburdened) multiples observed for the selected companies together with PRA had a mean of 21.5x and median of 21.5x.</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Based on BofA Securities’ review of the enterprise values to EBITDA (SBC-Unburdened) multiples for the selected companies as described in this section and under the heading “</w:t>
      </w:r>
      <w:r>
        <w:rPr>
          <w:rFonts w:ascii="Arial" w:cs="Arial" w:eastAsia="Arial" w:hAnsi="Arial"/>
          <w:sz w:val="16"/>
          <w:szCs w:val="16"/>
          <w:b w:val="1"/>
          <w:bCs w:val="1"/>
          <w:color w:val="auto"/>
        </w:rPr>
        <w:t>—Summary of Material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Analyses of PRA—Selected Publicly Traded Companies Analysis</w:t>
      </w:r>
      <w:r>
        <w:rPr>
          <w:rFonts w:ascii="Arial" w:cs="Arial" w:eastAsia="Arial" w:hAnsi="Arial"/>
          <w:sz w:val="16"/>
          <w:szCs w:val="16"/>
          <w:color w:val="auto"/>
        </w:rPr>
        <w:t>” and on its professional judgment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BofA Securities applied a 2021E EV/EBITDA (SBC-Unburdened) multiple reference range of 15.5x to 18.0x to estimates of calendar year 2021 EBITDA (SBC-Unburdened) adjusted for certain non-recurring items, as reflected in the ICON Forecasts, and a 2022E EV/EBITDA (SBC-Unburdened) multiple reference range of 14.0x to 16.5x to estimates of calendar year 2022 EBITDA (SBC-Unburdened) adjusted for certain non-recurring items, as reflected in the ICON Forecasts, in each case, to calculate ranges of implied enterprise values for ICON. BofA Securities then calculated implied equity value reference ranges per ICON ordinary share (rounded to the nearest $1.00) by subtracting from the resulting ranges of implied enterprise values it calculated an estimate of the net debt of ICON as of December 31, 2020 (calculated as debt less cash), as provided by the management of ICON, and dividing the result by a number of fully diluted ICON ordinary shares outstanding as of February 19, 2021 (calculated on a treasury stock method basis, based on information provided by ICON management).</w:t>
      </w:r>
    </w:p>
    <w:p>
      <w:pPr>
        <w:spacing w:after="0" w:line="6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Based on BofA Securities’ review of the Price/EPS (SBC/Amort.-Unburdened) multiples for the selected companies as described in this section and under the heading “</w:t>
      </w:r>
      <w:r>
        <w:rPr>
          <w:rFonts w:ascii="Arial" w:cs="Arial" w:eastAsia="Arial" w:hAnsi="Arial"/>
          <w:sz w:val="17"/>
          <w:szCs w:val="17"/>
          <w:b w:val="1"/>
          <w:bCs w:val="1"/>
          <w:color w:val="auto"/>
        </w:rPr>
        <w:t>—Summary of Material Financial Analyses of</w:t>
      </w:r>
      <w:r>
        <w:rPr>
          <w:rFonts w:ascii="Arial" w:cs="Arial" w:eastAsia="Arial" w:hAnsi="Arial"/>
          <w:sz w:val="17"/>
          <w:szCs w:val="17"/>
          <w:color w:val="auto"/>
        </w:rPr>
        <w:t xml:space="preserve"> </w:t>
      </w:r>
      <w:r>
        <w:rPr>
          <w:rFonts w:ascii="Arial" w:cs="Arial" w:eastAsia="Arial" w:hAnsi="Arial"/>
          <w:sz w:val="17"/>
          <w:szCs w:val="17"/>
          <w:b w:val="1"/>
          <w:bCs w:val="1"/>
          <w:color w:val="auto"/>
        </w:rPr>
        <w:t>PRA—Selected Publicly Traded Companies Analysis</w:t>
      </w:r>
      <w:r>
        <w:rPr>
          <w:rFonts w:ascii="Arial" w:cs="Arial" w:eastAsia="Arial" w:hAnsi="Arial"/>
          <w:sz w:val="17"/>
          <w:szCs w:val="17"/>
          <w:color w:val="auto"/>
        </w:rPr>
        <w:t>” and on its professional judgment and experience, BofA</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applied a 2021E Price/EPS (SBC/Amort.-Unburdened) multiple reference range of 20.0x to 26.0x to estimates of calendar year 2021 EPS (SBC/Amort.-Unburdened), as reflected in the ICON Forecasts, and a 2022E Price/EPS (SBC/Amort.-Unburdened) multiple reference range of 17.0x to 22.5x to estimates of calendar year 2022 EPS (SBC/Amort.-Unburdened), as reflected in the ICON Forecasts, to calculate implied equity value reference ranges per ICON ordinary share (rounded to the nearest $1.00).</w:t>
      </w:r>
    </w:p>
    <w:p>
      <w:pPr>
        <w:spacing w:after="0" w:line="7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This analysis indicated the following approximate implied equity value reference ranges per ICON ordinary share, as compared to the closing price of ICON ordinary shares on February 23, 2021 of $208.62: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1" w:name="page112"/>
    <w:bookmarkEnd w:id="111"/>
    <w:tbl>
      <w:tblPr>
        <w:tblLayout w:type="fixed"/>
        <w:tblInd w:w="300" w:type="dxa"/>
        <w:tblCellMar>
          <w:top w:w="0" w:type="dxa"/>
          <w:left w:w="0" w:type="dxa"/>
          <w:bottom w:w="0" w:type="dxa"/>
          <w:right w:w="0" w:type="dxa"/>
        </w:tblCellMar>
      </w:tblPr>
      <w:tr>
        <w:trPr>
          <w:trHeight w:val="161"/>
        </w:trPr>
        <w:tc>
          <w:tcPr>
            <w:tcW w:w="168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Implied Equity Value</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Closing</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Reference Range Per Share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of ICON ordinary shares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0" w:type="dxa"/>
            <w:vAlign w:val="bottom"/>
          </w:tcPr>
          <w:p>
            <w:pPr>
              <w:spacing w:after="0"/>
              <w:rPr>
                <w:sz w:val="1"/>
                <w:szCs w:val="1"/>
                <w:color w:val="auto"/>
              </w:rPr>
            </w:pPr>
          </w:p>
        </w:tc>
      </w:tr>
      <w:tr>
        <w:trPr>
          <w:trHeight w:val="90"/>
        </w:trPr>
        <w:tc>
          <w:tcPr>
            <w:tcW w:w="1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ICON</w:t>
            </w:r>
          </w:p>
        </w:tc>
        <w:tc>
          <w:tcPr>
            <w:tcW w:w="0" w:type="dxa"/>
            <w:vAlign w:val="bottom"/>
          </w:tcPr>
          <w:p>
            <w:pPr>
              <w:spacing w:after="0"/>
              <w:rPr>
                <w:sz w:val="1"/>
                <w:szCs w:val="1"/>
                <w:color w:val="auto"/>
              </w:rPr>
            </w:pPr>
          </w:p>
        </w:tc>
      </w:tr>
      <w:tr>
        <w:trPr>
          <w:trHeight w:val="38"/>
        </w:trPr>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2021E</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2022E</w:t>
            </w: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2021E EPS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 EPS</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49"/>
        </w:trPr>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on</w:t>
            </w:r>
          </w:p>
        </w:tc>
        <w:tc>
          <w:tcPr>
            <w:tcW w:w="0" w:type="dxa"/>
            <w:vAlign w:val="bottom"/>
          </w:tcPr>
          <w:p>
            <w:pPr>
              <w:spacing w:after="0"/>
              <w:rPr>
                <w:sz w:val="1"/>
                <w:szCs w:val="1"/>
                <w:color w:val="auto"/>
              </w:rPr>
            </w:pPr>
          </w:p>
        </w:tc>
      </w:tr>
      <w:tr>
        <w:trPr>
          <w:trHeight w:val="148"/>
        </w:trPr>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(SBC/Amort.-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(SBC/Amort.-</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February 23,</w:t>
            </w:r>
          </w:p>
        </w:tc>
        <w:tc>
          <w:tcPr>
            <w:tcW w:w="0" w:type="dxa"/>
            <w:vAlign w:val="bottom"/>
          </w:tcPr>
          <w:p>
            <w:pPr>
              <w:spacing w:after="0"/>
              <w:rPr>
                <w:sz w:val="1"/>
                <w:szCs w:val="1"/>
                <w:color w:val="auto"/>
              </w:rPr>
            </w:pPr>
          </w:p>
        </w:tc>
      </w:tr>
      <w:tr>
        <w:trPr>
          <w:trHeight w:val="186"/>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Unburdened)</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$187 - $216</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rPr>
              <w:t>$187 - $219</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$182 - $236</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$169 - $224</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$208.62</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-222250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-222250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-222250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publicly traded company used in this analysis is identical or directly comparable to ICON. Accordingly, an evaluation of the results of this analysis is not entirely mathematical. Rather, this analysis involves complex considerations and judgments concerning differences in financial and operating characteristics (reflected, among other things, in differences in historical trading levels of these companies) and other factors that could affect the public trading or other values of the companies to which ICON was compared.</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BofA Securities performed a discounted cash flow analysis of ICON to calculate a range of implied present values per ICON ordinary share utilizing estimates of the standalone, unlevered, after-tax free cash flows ICON was expected to generate over the period from January 1, 2021 through December 31, 2025 based on the ICON Forecasts. BofA Securities calculated terminal values for the cash flows by applying to estimates of the standalone EBITDA (SBC-Unburdened) ICON was expected to generate in the terminal year a selected range of EBITDA (SBC-Unburdened) exit multiples of 13.0x to 17.5x which were selected based on BofA Securities’ professional judgment and experience. The cash flows were discounted to present value as of December 31, 2020, utilizing mid-year discounting convention, and using a discount rate range of 7.25% to 9.5%, which was based on an estimate of ICON’s weighted average cost of capital, derived using the capital asset pricing model. BofA Securities then calculated implied equity value reference ranges per ICON ordinary share (rounded to the nearest $1.00) by deducting from this range of present values, the net debt of ICON as of December 31, 2020 (calculated as debt less cash), as provided by the management of ICON, and dividing the result by a number of fully diluted ICON ordinary shares outstanding as of February 19, 2021 (calculated on a treasury stock method basis, based on information provided by ICON management). This analysis indicated the following approximate implied equity value reference ranges per ICON ordinary share, as compared to the closing price of ICON ordinary shares on February 23, 2021 of $208.62:</w:t>
      </w:r>
    </w:p>
    <w:p>
      <w:pPr>
        <w:spacing w:after="0" w:line="1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Implied Equity Value</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Closing Price of ICON</w:t>
            </w: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Reference Range Per</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share of ICON ordinary</w:t>
            </w:r>
          </w:p>
        </w:tc>
        <w:tc>
          <w:tcPr>
            <w:tcW w:w="4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ordinary shares on</w:t>
            </w:r>
          </w:p>
        </w:tc>
        <w:tc>
          <w:tcPr>
            <w:tcW w:w="0" w:type="dxa"/>
            <w:vAlign w:val="bottom"/>
          </w:tcPr>
          <w:p>
            <w:pPr>
              <w:spacing w:after="0"/>
              <w:rPr>
                <w:sz w:val="1"/>
                <w:szCs w:val="1"/>
                <w:color w:val="auto"/>
              </w:rPr>
            </w:pPr>
          </w:p>
        </w:tc>
      </w:tr>
      <w:tr>
        <w:trPr>
          <w:trHeight w:val="186"/>
        </w:trPr>
        <w:tc>
          <w:tcPr>
            <w:tcW w:w="4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2"/>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$183 – $252</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ICON ordinary shares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52-week period ended February 23, 2021, which was $115.95 to $220.96.</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Wall Street Analysts Price Targets</w:t>
      </w:r>
      <w:r>
        <w:rPr>
          <w:rFonts w:ascii="Arial" w:cs="Arial" w:eastAsia="Arial" w:hAnsi="Arial"/>
          <w:sz w:val="18"/>
          <w:szCs w:val="18"/>
          <w:color w:val="auto"/>
        </w:rPr>
        <w:t>. BofA Securities reviewed certain publicly available equity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analyst price targets for the ICON ordinary shares available as of February 23, 2021, and noted that the range of such price targets (discounted by one year at ICON’s estimated cost of equity of 8.5% and rounded to the nearest $1.0) was $165 to $221.</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Has/Gets Analysis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BofA Securities performed a Has/Gets Analysis to calculate the theoretical change in value for PRA stockholders resulting from the merger based on a comparison of (i) the total implied pro forma value to be received per share of PRA common stock in the merger based on the implied value of the ICON ordinary shares on a pro forma basis giving effect to the merger together with the $80 in cash to be received per share of PRA common stock in the merger, and (ii) the implied value of the PRA common stock on a stand-alone basis.</w:t>
      </w:r>
    </w:p>
    <w:p>
      <w:pPr>
        <w:sectPr>
          <w:pgSz w:w="11900" w:h="16838" w:orient="portrait"/>
          <w:cols w:equalWidth="0" w:num="1">
            <w:col w:w="9019"/>
          </w:cols>
          <w:pgMar w:left="1440" w:top="262"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For purposes of this analysis, BofA Securities calculated a range of implied values per ICON ordinary share giving effect to the merger by adding the ranges of implied equity values derived by BofA Securities for each of PRA and ICON on standalone basis as of December 31, 2020, as described above under “</w:t>
      </w:r>
      <w:r>
        <w:rPr>
          <w:rFonts w:ascii="Arial" w:cs="Arial" w:eastAsia="Arial" w:hAnsi="Arial"/>
          <w:sz w:val="17"/>
          <w:szCs w:val="17"/>
          <w:b w:val="1"/>
          <w:bCs w:val="1"/>
          <w:color w:val="auto"/>
        </w:rPr>
        <w:t>Summary of 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Analyses of PRA—Discounted Cash Flow Analysis</w:t>
      </w:r>
      <w:r>
        <w:rPr>
          <w:rFonts w:ascii="Arial" w:cs="Arial" w:eastAsia="Arial" w:hAnsi="Arial"/>
          <w:sz w:val="17"/>
          <w:szCs w:val="17"/>
          <w:color w:val="auto"/>
        </w:rPr>
        <w:t>” and under “</w:t>
      </w:r>
      <w:r>
        <w:rPr>
          <w:rFonts w:ascii="Arial" w:cs="Arial" w:eastAsia="Arial" w:hAnsi="Arial"/>
          <w:sz w:val="17"/>
          <w:szCs w:val="17"/>
          <w:b w:val="1"/>
          <w:bCs w:val="1"/>
          <w:color w:val="auto"/>
        </w:rPr>
        <w:t>Summary of Material Financial Analyses of ICON—Discounted Cash Flow Analysis</w:t>
      </w:r>
      <w:r>
        <w:rPr>
          <w:rFonts w:ascii="Arial" w:cs="Arial" w:eastAsia="Arial" w:hAnsi="Arial"/>
          <w:sz w:val="17"/>
          <w:szCs w:val="17"/>
          <w:color w:val="auto"/>
        </w:rPr>
        <w:t>” and ranges of implied present values of the estimated Cost</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and Tax Savings calculated by BofA Securities as of December 31, 2020 (by applying a discount rate range of 7.5% to 10.0% to the estimated Cost Savings (less the cost to achieve the Costs Savings and cash taxes thereon) and the estimated Tax Savings over the period from June 30, 2021, through December 31, 2025, and range of terminal values for the Cost Savings calculated by applying a perpetuity growth rate of 0% to the estimated after-tax Cost Savings in the terminal year and a perpetuity growth rate of 0.0% to 3.0% to the estimated Tax Savings in the terminal year), deducting the additional amount of debt expected to be incurred by ICON in connection with the merger and dividing the result by the estimated number of fully diluted ICON ordinary shares expected to be outstanding after giving effect to the merger.</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BofA Securities calculated a range of total implied pro forma value to be received per share of PRA common stock in the merger by multiplying the range of implied values per ICON ordinary share on a pro forma basis after giving effect to the merger by 0.4125 and adding to the result the $80 in cash consideration per share of PRA common stock. BofA Securities then compared the approximate implied equity value reference range per share of PRA common stock it calculated on a stand-alone basis as described above under “</w:t>
      </w:r>
      <w:r>
        <w:rPr>
          <w:rFonts w:ascii="Arial" w:cs="Arial" w:eastAsia="Arial" w:hAnsi="Arial"/>
          <w:sz w:val="18"/>
          <w:szCs w:val="18"/>
          <w:b w:val="1"/>
          <w:bCs w:val="1"/>
          <w:color w:val="auto"/>
        </w:rPr>
        <w:t>Summary of Material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Analyses of PRA—Discounted Cash Flow Analysis</w:t>
      </w:r>
      <w:r>
        <w:rPr>
          <w:rFonts w:ascii="Arial" w:cs="Arial" w:eastAsia="Arial" w:hAnsi="Arial"/>
          <w:sz w:val="18"/>
          <w:szCs w:val="18"/>
          <w:color w:val="auto"/>
        </w:rPr>
        <w:t>” to the range of total implied pro forma value to be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of PRA common stock in the merger, in each case rounded to the nearest $1.00. This comparison yielded the following:</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560" w:type="dxa"/>
            <w:vAlign w:val="bottom"/>
            <w:gridSpan w:val="3"/>
          </w:tcPr>
          <w:p>
            <w:pPr>
              <w:jc w:val="center"/>
              <w:ind w:right="2848"/>
              <w:spacing w:after="0"/>
              <w:rPr>
                <w:sz w:val="20"/>
                <w:szCs w:val="20"/>
                <w:color w:val="auto"/>
              </w:rPr>
            </w:pPr>
            <w:r>
              <w:rPr>
                <w:rFonts w:ascii="Arial" w:cs="Arial" w:eastAsia="Arial" w:hAnsi="Arial"/>
                <w:sz w:val="14"/>
                <w:szCs w:val="14"/>
                <w:b w:val="1"/>
                <w:bCs w:val="1"/>
                <w:color w:val="auto"/>
                <w:w w:val="93"/>
              </w:rPr>
              <w:t>Per Share Equity Value</w:t>
            </w:r>
          </w:p>
        </w:tc>
      </w:tr>
      <w:tr>
        <w:trPr>
          <w:trHeight w:val="148"/>
        </w:trPr>
        <w:tc>
          <w:tcPr>
            <w:tcW w:w="2860" w:type="dxa"/>
            <w:vAlign w:val="bottom"/>
          </w:tcPr>
          <w:p>
            <w:pPr>
              <w:spacing w:after="0"/>
              <w:rPr>
                <w:sz w:val="12"/>
                <w:szCs w:val="12"/>
                <w:color w:val="auto"/>
              </w:rPr>
            </w:pPr>
          </w:p>
        </w:tc>
        <w:tc>
          <w:tcPr>
            <w:tcW w:w="5560" w:type="dxa"/>
            <w:vAlign w:val="bottom"/>
            <w:gridSpan w:val="3"/>
          </w:tcPr>
          <w:p>
            <w:pPr>
              <w:jc w:val="center"/>
              <w:ind w:right="2848"/>
              <w:spacing w:after="0" w:line="149" w:lineRule="exact"/>
              <w:rPr>
                <w:sz w:val="20"/>
                <w:szCs w:val="20"/>
                <w:color w:val="auto"/>
              </w:rPr>
            </w:pPr>
            <w:r>
              <w:rPr>
                <w:rFonts w:ascii="Arial" w:cs="Arial" w:eastAsia="Arial" w:hAnsi="Arial"/>
                <w:sz w:val="14"/>
                <w:szCs w:val="14"/>
                <w:b w:val="1"/>
                <w:bCs w:val="1"/>
                <w:color w:val="auto"/>
                <w:w w:val="91"/>
              </w:rPr>
              <w:t>Reference Ranges for</w:t>
            </w:r>
          </w:p>
        </w:tc>
      </w:tr>
      <w:tr>
        <w:trPr>
          <w:trHeight w:val="186"/>
        </w:trPr>
        <w:tc>
          <w:tcPr>
            <w:tcW w:w="2860" w:type="dxa"/>
            <w:vAlign w:val="bottom"/>
          </w:tcPr>
          <w:p>
            <w:pPr>
              <w:spacing w:after="0"/>
              <w:rPr>
                <w:sz w:val="16"/>
                <w:szCs w:val="16"/>
                <w:color w:val="auto"/>
              </w:rPr>
            </w:pPr>
          </w:p>
        </w:tc>
        <w:tc>
          <w:tcPr>
            <w:tcW w:w="5560" w:type="dxa"/>
            <w:vAlign w:val="bottom"/>
            <w:gridSpan w:val="3"/>
          </w:tcPr>
          <w:p>
            <w:pPr>
              <w:jc w:val="center"/>
              <w:ind w:right="2808"/>
              <w:spacing w:after="0"/>
              <w:rPr>
                <w:sz w:val="20"/>
                <w:szCs w:val="20"/>
                <w:color w:val="auto"/>
              </w:rPr>
            </w:pPr>
            <w:r>
              <w:rPr>
                <w:rFonts w:ascii="Arial" w:cs="Arial" w:eastAsia="Arial" w:hAnsi="Arial"/>
                <w:sz w:val="14"/>
                <w:szCs w:val="14"/>
                <w:b w:val="1"/>
                <w:bCs w:val="1"/>
                <w:color w:val="auto"/>
                <w:w w:val="93"/>
              </w:rPr>
              <w:t>Holders of PRA Common Stock</w:t>
            </w:r>
          </w:p>
        </w:tc>
      </w:tr>
      <w:tr>
        <w:trPr>
          <w:trHeight w:val="53"/>
        </w:trPr>
        <w:tc>
          <w:tcPr>
            <w:tcW w:w="2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24"/>
        </w:trPr>
        <w:tc>
          <w:tcPr>
            <w:tcW w:w="28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Stand-Alone</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jc w:val="right"/>
              <w:ind w:right="1668"/>
              <w:spacing w:after="0"/>
              <w:rPr>
                <w:sz w:val="20"/>
                <w:szCs w:val="20"/>
                <w:color w:val="auto"/>
              </w:rPr>
            </w:pPr>
            <w:r>
              <w:rPr>
                <w:rFonts w:ascii="Arial" w:cs="Arial" w:eastAsia="Arial" w:hAnsi="Arial"/>
                <w:sz w:val="14"/>
                <w:szCs w:val="14"/>
                <w:b w:val="1"/>
                <w:bCs w:val="1"/>
                <w:color w:val="auto"/>
              </w:rPr>
              <w:t>Pro-Forma</w:t>
            </w:r>
          </w:p>
        </w:tc>
      </w:tr>
      <w:tr>
        <w:trPr>
          <w:trHeight w:val="53"/>
        </w:trPr>
        <w:tc>
          <w:tcPr>
            <w:tcW w:w="2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77"/>
        </w:trPr>
        <w:tc>
          <w:tcPr>
            <w:tcW w:w="28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$141 - $193</w:t>
            </w:r>
          </w:p>
        </w:tc>
        <w:tc>
          <w:tcPr>
            <w:tcW w:w="5560" w:type="dxa"/>
            <w:vAlign w:val="bottom"/>
            <w:gridSpan w:val="3"/>
            <w:shd w:val="clear" w:color="auto" w:fill="CCEEFF"/>
          </w:tcPr>
          <w:p>
            <w:pPr>
              <w:jc w:val="right"/>
              <w:ind w:right="1528"/>
              <w:spacing w:after="0"/>
              <w:rPr>
                <w:sz w:val="20"/>
                <w:szCs w:val="20"/>
                <w:color w:val="auto"/>
              </w:rPr>
            </w:pPr>
            <w:r>
              <w:rPr>
                <w:rFonts w:ascii="Arial" w:cs="Arial" w:eastAsia="Arial" w:hAnsi="Arial"/>
                <w:sz w:val="18"/>
                <w:szCs w:val="18"/>
                <w:color w:val="auto"/>
              </w:rPr>
              <w:t>$157 - $199</w:t>
            </w:r>
          </w:p>
        </w:tc>
      </w:tr>
      <w:tr>
        <w:trPr>
          <w:trHeight w:val="54"/>
        </w:trPr>
        <w:tc>
          <w:tcPr>
            <w:tcW w:w="28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Miscellaneous</w:t>
      </w:r>
    </w:p>
    <w:p>
      <w:pPr>
        <w:spacing w:after="0" w:line="11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noted above, the discussion set forth above in “</w:t>
      </w:r>
      <w:r>
        <w:rPr>
          <w:rFonts w:ascii="Arial" w:cs="Arial" w:eastAsia="Arial" w:hAnsi="Arial"/>
          <w:sz w:val="17"/>
          <w:szCs w:val="17"/>
          <w:b w:val="1"/>
          <w:bCs w:val="1"/>
          <w:color w:val="auto"/>
        </w:rPr>
        <w:t>—Summary of Material Financial Analyses of PRA</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Summary of Material Financial Analyses of ICON</w:t>
      </w:r>
      <w:r>
        <w:rPr>
          <w:rFonts w:ascii="Arial" w:cs="Arial" w:eastAsia="Arial" w:hAnsi="Arial"/>
          <w:sz w:val="17"/>
          <w:szCs w:val="17"/>
          <w:color w:val="auto"/>
        </w:rPr>
        <w:t>” and “</w:t>
      </w:r>
      <w:r>
        <w:rPr>
          <w:rFonts w:ascii="Arial" w:cs="Arial" w:eastAsia="Arial" w:hAnsi="Arial"/>
          <w:sz w:val="17"/>
          <w:szCs w:val="17"/>
          <w:b w:val="1"/>
          <w:bCs w:val="1"/>
          <w:color w:val="auto"/>
        </w:rPr>
        <w:t>—Summary of Material Pro Forma Financial Analyses</w:t>
      </w:r>
      <w:r>
        <w:rPr>
          <w:rFonts w:ascii="Arial" w:cs="Arial" w:eastAsia="Arial" w:hAnsi="Arial"/>
          <w:sz w:val="17"/>
          <w:szCs w:val="17"/>
          <w:color w:val="auto"/>
        </w:rPr>
        <w:t>” represents a brief summary of the material financial analyses presented by BofA Securities to the PRA</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in connection with its opinion, and is not a comprehensive description of all analyses undertaken or factors considered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performing its analyses, BofA Securities considered industry performance, general business and economic conditions and other matters, many of which are beyond the control of PRA and ICON. The estimates of the future performance of PRA and ICON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the PRA stockholders of the merger consideration, to be received by such holders in the merger and were provided to the PRA board of directors in connection with the delivery of BofA Securities’ opinion. The analyses do not purport to be appraisals or to reflect the prices at which a company might actually be sold or acquired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PRA or ICON.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type and amount of consideration payable in the merger was determined through negotiations between PRA and ICON, rather than by any financial advisor, and was approved by the PRA board of directors. The decision to enter into the merger agreement was solely that of the PRA board of directors. As described above, BofA Securities’ opinion and analyses were only one of many factors considered by the PRA board of directors in its evaluation of the merger and should not be viewed as determinative of the views of the PRA board of directors or management or any other party with respect to the merger or the merger consideration.</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has agreed to pay BofA Securities for its services in connection with the merger an aggregate fee which is estimated, based on information available at the time the merger agreement was announced, to be approximately $30 million, $2 million of which was payable upon delivery of its opinion and the remainder of which is payable upon the closing of the merger. PRA also has agreed to reimburse BofA Securities for its expenses incurred in connection with BofA Securities’ engagement and to indemnify BofA Securities against certain liabilities arising out of BofA Securities’ engagement.</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PRA, ICON and certain of their respective affiliates.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BofA Securities and its affiliates in the past have provided, currently are providing, and in the future may provide, investment banking, commercial banking and other financial services to PRA and have received or in the future may receive compensation for the rendering of these services, including (i) having acted or acting as a lender under certain term loans, letters of credit and credit, leasing and conduit facilities for PRA and/or certain of its affiliates, as well as a co-lead arranger and a lender under a credit facility and (ii) having provided or providing certain treasury management services and products to PRA and/or certain of its affiliates. From February 1, 2019 through January 31, 2021, BofA Securities and its affiliates derived aggregate revenues from PRA and certain of its affiliates of approximately $4 million for corporate and/or investment banking services.</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BofA Securities and its affiliates in the future may provide, investment banking, commercial banking and other financial services to ICON and may receive compensation for the rendering of these services.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UBS Securities LLC</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24, 2021, at a meeting of the PRA board of directors held to evaluate the merger, UBS delivered to the PRA board of directors an oral opinion, which opinion was confirmed by delivery of a written opinion dated the same date,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The full text of UBS’ opinion describes the assumptions made, procedures followed, matters considered and limitations on the review undertaken by UBS. The opinion is attached to this joint proxy statement/prospectus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and is incorporated herein by reference. </w:t>
      </w:r>
      <w:r>
        <w:rPr>
          <w:rFonts w:ascii="Arial" w:cs="Arial" w:eastAsia="Arial" w:hAnsi="Arial"/>
          <w:sz w:val="17"/>
          <w:szCs w:val="17"/>
          <w:i w:val="1"/>
          <w:iCs w:val="1"/>
          <w:color w:val="auto"/>
        </w:rPr>
        <w:t>UBS’ opinion was provided for the benefit of the PRA board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directors (in its capacity as such) in connection with, and for the purpose of, its evaluation of the merger consideration in the merger and addresses only the fairness, from a financial point of view, of the merger consideration to be received by PRA stockholders in the merger. The opinion does not address the relative merits of the merger as compared to other business strategies or transactions that might be available with respect to PRA or PRA’s underlying business decision to effect the merger. The opinion does not constitute a recommendation to any shareholder as to how such shareholder should vote or act with respect to the merger. PRA stockholders are encouraged to read UBS’ opinion carefully in its entirety. </w:t>
      </w:r>
      <w:r>
        <w:rPr>
          <w:rFonts w:ascii="Arial" w:cs="Arial" w:eastAsia="Arial" w:hAnsi="Arial"/>
          <w:sz w:val="17"/>
          <w:szCs w:val="17"/>
          <w:color w:val="auto"/>
        </w:rPr>
        <w:t>The following summary of UBS’ opinion should be read</w:t>
      </w:r>
      <w:r>
        <w:rPr>
          <w:rFonts w:ascii="Arial" w:cs="Arial" w:eastAsia="Arial" w:hAnsi="Arial"/>
          <w:sz w:val="17"/>
          <w:szCs w:val="17"/>
          <w:i w:val="1"/>
          <w:iCs w:val="1"/>
          <w:color w:val="auto"/>
        </w:rPr>
        <w:t xml:space="preserve"> </w:t>
      </w:r>
      <w:r>
        <w:rPr>
          <w:rFonts w:ascii="Arial" w:cs="Arial" w:eastAsia="Arial" w:hAnsi="Arial"/>
          <w:sz w:val="17"/>
          <w:szCs w:val="17"/>
          <w:color w:val="auto"/>
        </w:rPr>
        <w:t>in conjunction with the full text of UBS’ opinion.</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arriving at its opinion, UBS, among other things:</w:t>
      </w:r>
    </w:p>
    <w:p>
      <w:pPr>
        <w:spacing w:after="0" w:line="117" w:lineRule="exact"/>
        <w:rPr>
          <w:sz w:val="20"/>
          <w:szCs w:val="20"/>
          <w:color w:val="auto"/>
        </w:rPr>
      </w:pPr>
    </w:p>
    <w:p>
      <w:pPr>
        <w:ind w:left="1000" w:hanging="348"/>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PRA and ICON;</w:t>
      </w:r>
    </w:p>
    <w:p>
      <w:pPr>
        <w:spacing w:after="0" w:line="225"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the business and financial prospects of PRA that were not publicly available, including financial forecasts and estimates prepared by the management of PRA that senior management of PRA and the PRA board of directors directed UBS to utilize for purposes of its analysis (the financial forecasts by PRA referred to below under “—</w:t>
      </w:r>
      <w:r>
        <w:rPr>
          <w:rFonts w:ascii="Arial" w:cs="Arial" w:eastAsia="Arial" w:hAnsi="Arial"/>
          <w:sz w:val="18"/>
          <w:szCs w:val="18"/>
          <w:b w:val="1"/>
          <w:bCs w:val="1"/>
          <w:color w:val="auto"/>
        </w:rPr>
        <w:t>PRA</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 Financial Forecasts</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reviewed certain internal financial information and other data relating to the business and financial prospects of ICON that were not publicly available, including financial forecasts and estimates prepared by the management of ICON that senior management of PRA and the PRA board of directors directed UBS to utilize for purposes of its analysis (the ICON Forecasts for the calendar years 2021 through 2025 referred to below under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reviewed certain estimates of synergies prepared by the management of ICON that were not publicly available that senior management of PRA and the PRA board of directors directed UBS to utilize for purposes of its analysis;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PRA and ICON concerning the businesses and financial prospects of PRA and ICON;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reviewed publicly available financial and stock market data with respect to certain other companies UBS believes to be generally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believes to be generally relevant;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reviewed current and historical market prices of PRA common stock and ICON ordinary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considered certain pro forma effects of the merger on ICON’s financial statements;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UBS deemed necessary or appropriate.</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its review, with the consent of the PRA board of directors, UBS assumed and relied upon, without independent verification, the accuracy and completeness in all material respects of the information provided to or reviewed by UBS for the purpose of its opinion. In addition, with the consent of the PRA board of directors, UBS did not make any independent evaluation or appraisal of any of the assets or liabilities (contingent or otherwise) of PRA or ICON, nor was it furnished with any such evaluation or appraisal. With respect to the financial forecasts, estimates, synergies and pro forma effects referred to above, UBS assumed, at the direction of the PRA board of directors, that they were reasonably prepared on a basis reflecting the best currently available estimates and judgments of the management of each company as to the future financial performance of their respective company and such synergies and pro forma effects. UBS’ opinion was necessarily based on economic, monetary, market and other conditions as in effect on, and the information available to UBS as of, the date of its opinion.</w:t>
      </w:r>
    </w:p>
    <w:p>
      <w:pPr>
        <w:spacing w:after="0" w:line="6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At the direction of the PRA board of directors, UBS was not asked to, nor did it, offer any opinion as to the terms, other than the merger consideration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merger consideration. UBS expressed no opinion as to what the value of ICON ordinary shares will be when issued pursuant to the merger or the price at which ICON ordinary shares will trade at any time. In rendering its opinion, UBS assumed, with the consent of the PRA board of directors, that (1) the final executed form of the merger agreement would not differ in any material respect from the draft that UBS reviewed, (2) the parties to the merger agreement would comply with all material terms of the merger agreement and</w:t>
      </w:r>
    </w:p>
    <w:p>
      <w:pPr>
        <w:spacing w:after="0" w:line="6" w:lineRule="exact"/>
        <w:rPr>
          <w:sz w:val="20"/>
          <w:szCs w:val="20"/>
          <w:color w:val="auto"/>
        </w:rPr>
      </w:pPr>
    </w:p>
    <w:p>
      <w:pPr>
        <w:jc w:val="both"/>
        <w:ind w:left="300" w:right="299" w:hanging="8"/>
        <w:spacing w:after="0" w:line="288" w:lineRule="auto"/>
        <w:tabs>
          <w:tab w:leader="none" w:pos="56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merger would be consummated in accordance with the terms of the merger agreement without any adverse waiver or amendment of any material term or condition thereof. UBS also assumed that all governmental, regulatory or other consents and approvals necessary for the consummation of the merger would be obtained without any material adverse effect on PRA, ICON or the merger. UBS was not authorized to solicit and did not solicit indications of interest in a transaction with PRA from any party. Except as described above, there were no other instructions to, or limitations on, UBS with respect to the investigations made or the procedures followed by UBS in rendering its opinion. The issuance of UBS’ opinion was approved by an authorized committee of UBS.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In connection with rendering its opinion to the PRA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public company analysis and selected transactions analysis summarized below, no company or transaction used as a comparison was identical to PRA, ICON or the merger. These analyses necessarily involved complex considerations and judgments concerning financial and operating characteristics and other factors that could affect the public trading or acquisition values of the companies concerned.</w:t>
      </w:r>
    </w:p>
    <w:p>
      <w:pPr>
        <w:spacing w:after="0" w:line="8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UBS believes that its analysis and the summary below must be considered as a whole and that selecting portions of its analysis and factors or focusing on information presented in tabular format, without considering all analyses and factors or the full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results of all analyses undertaken by it and assessed as a whole.</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estimates of the future performance of PRA and ICON prepared by their respective managements, and of the synergies, prepared by the management of ICON, and the estimates of the future financial performances reflecting such estimates,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PRA or ICON. Estimates of the financial value of companies do not purport to be appraisals or necessarily reflect the prices at which companies may actually be sold or acquired.</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merger consideration was determined through negotiation between PRA and ICON and the decision by the PRA board of directors to enter into the merger agreement was solely that of the PRA board of directors. UBS' opinion and financial analyses were only one of many factors considered by the PRA board of directors in its evaluation of the merger and should not be viewed as determinative of the views of the PRA board of directors with respect to the merger or the merger consideration.</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The following is a brief summary of the material financial analyses performed by UBS and provided to the PRA board of directors on February 24, 2021 in connection with UBS’ opinion relating to the merger. </w:t>
      </w:r>
      <w:r>
        <w:rPr>
          <w:rFonts w:ascii="Arial" w:cs="Arial" w:eastAsia="Arial" w:hAnsi="Arial"/>
          <w:sz w:val="17"/>
          <w:szCs w:val="17"/>
          <w:i w:val="1"/>
          <w:iCs w:val="1"/>
          <w:color w:val="auto"/>
        </w:rPr>
        <w:t>The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analyses summarized below include information presented in tabular format. In order to fully understand UBS’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For purposes of its analyses, UBS reviewed a number of financial and operating metrics, including the following terms defined in this section as: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Enterprise Value or “EV”, defined as equity value (calculated as the value of the applicable company’s outstanding equity securities based on the applicable company’s closing stock price as of a specified date), plus principal amount of outstanding debt, less cash and cash equivalents (“net debt”), plus minority interests at book value, as of a specified date;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amortization; and</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Adjusted EBITDA or “Adj. EBITDA”, defined as EBITDA, adjusted for certain non-cash items, including stock-based compensation, together with one-time or non-recurring items.</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Unless the context indicates otherwise, (1) Enterprise Values derived from the selected companies analysis described below were calculated using balance sheet information and prices of the common stock of the selected publicly traded companies in the U.S. listed below, in all cases, as publicly available as of the close of market on February 23, 2021; (2) transaction values for the target companies derived from the selected transactions analysis described below were calculated based on implied Enterprise Values as of the public announcement date of the relevant transaction, assuming equity values equal to the estimated purchase prices paid for the common equity of the target companies in the selected transactions; and (3) each of cash and cash equivalents and net debt for each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PRA and ICON was based on each such amount as of December 31, 2020, except for the Enterprise Values derived for each company from the selected companies analysis described below based on Wall Street Consensus (as defined below), which were instead derived as described in clause (1) above. Accordingly, this information may not reflect current or future market conditions.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unless the context indicates otherwise, per share amounts for PRA common stock and ICON ordinary shares were calculated on a diluted basis, using the treasury stock method, based on shares, stock options, restricted shares, restricted stock units, restricted share units and performance share units, as applicable, outstanding as of February 23, 2021 (and in the case of PRA common stock, inclusive of phantom shares), each as provided by the respective managements of PRA and ICON.</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For purposes of certain analyses below, the term “implied per share merger consideration” refers to the implied per share value of the merger consideration of $166.06, based on (a) cash consideration of $80.00 together with</w:t>
      </w:r>
    </w:p>
    <w:p>
      <w:pPr>
        <w:ind w:left="300" w:right="299" w:hanging="8"/>
        <w:spacing w:after="0" w:line="290" w:lineRule="auto"/>
        <w:tabs>
          <w:tab w:leader="none" w:pos="58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share consideration based on the exchange ratio of 0.4125x of one ICON ordinary share per share of PRA common stock and the closing price of ICON ordinary shares on February 23, 2021 of $208.62 per share.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PRA Financial Analyses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i w:val="1"/>
          <w:iCs w:val="1"/>
          <w:color w:val="auto"/>
        </w:rPr>
        <w:t>Selected Public Company Analysis</w:t>
      </w:r>
      <w:r>
        <w:rPr>
          <w:rFonts w:ascii="Arial" w:cs="Arial" w:eastAsia="Arial" w:hAnsi="Arial"/>
          <w:sz w:val="17"/>
          <w:szCs w:val="17"/>
          <w:color w:val="auto"/>
        </w:rPr>
        <w:t>. UBS compared selected multiples related to Enterprise Value for PRA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to the corresponding multiples for the selected publicly traded companies in the U.S. clinical research and services industry identified below. These CROs were selected because their equity is publicly traded in the United States and they are focused on clinical research services and related industries.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For each of the companies selected by UBS, UBS reviewed, among other things, multiples of Enterprise Values to estimated calendar year 2021 (“2021E”) Adjusted EBITDA and estimated calendar year 2022 (“2022E”) Adjusted EBITDA. Estimated financial data for the selected companies (and PRA, where indicated) were based on publicly available Wall Street research analysts’ consensus estimates (“Wall Street Consensus”), public filings and other publicly available information as of February 23, 2021. Other estimated financial data for PRA was based on the financial forecasts by PRA.</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list of selected companies, applicable multiples and related mean and median multiples for such selected companies and applicable PRA multiples are set forth below. Such PRA multiples are (a) based upon each of (i) the financial forecasts by PRA and (ii) Wall Street Consensus and (b) derived using each of (i) the closing price of PRA common stock on February 23, 2021 and (ii) the implied per share merger consideration.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Selected Companies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EV / 2021E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EV / 2022E</w:t>
            </w:r>
          </w:p>
        </w:tc>
      </w:tr>
      <w:tr>
        <w:trPr>
          <w:trHeight w:val="148"/>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r>
      <w:tr>
        <w:trPr>
          <w:trHeight w:val="186"/>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EBITDA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39"/>
        </w:trPr>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9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7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03"/>
        </w:trPr>
        <w:tc>
          <w:tcPr>
            <w:tcW w:w="67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Pure-Play Clinical CROs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48"/>
        </w:trPr>
        <w:tc>
          <w:tcPr>
            <w:tcW w:w="1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Pharmaceutical Product Development,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17.2x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15.7x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ICON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18.3x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Medpace Holdings,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24.2x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20.2x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Mean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19.9x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17.5x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Median</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18.3x</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16.7x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03"/>
        </w:trPr>
        <w:tc>
          <w:tcPr>
            <w:tcW w:w="674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Diversified CROs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8"/>
        </w:trPr>
        <w:tc>
          <w:tcPr>
            <w:tcW w:w="1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IQVIA Holdings Inc.</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17.1x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15.6x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Syneos Health,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13.7x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12.4x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Mean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15.4x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14.0x</w:t>
            </w:r>
          </w:p>
        </w:tc>
      </w:tr>
      <w:tr>
        <w:trPr>
          <w:trHeight w:val="270"/>
        </w:trPr>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13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91"/>
              </w:rPr>
              <w:t>Pre-Clinical CROs</w:t>
            </w:r>
          </w:p>
        </w:tc>
        <w:tc>
          <w:tcPr>
            <w:tcW w:w="5380" w:type="dxa"/>
            <w:vAlign w:val="bottom"/>
            <w:tcBorders>
              <w:bottom w:val="single" w:sz="8" w:color="CCEEFF"/>
            </w:tcBorders>
            <w:gridSpan w:val="2"/>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Charles River Laboratories International,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19.2x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17.1x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Overall Mean</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18.3x</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16.3x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7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Overall Median</w:t>
            </w: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17.7x</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16.2x</w:t>
            </w:r>
          </w:p>
        </w:tc>
      </w:tr>
      <w:tr>
        <w:trPr>
          <w:trHeight w:val="27"/>
        </w:trPr>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-3282315</wp:posOffset>
            </wp:positionV>
            <wp:extent cx="154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-3282315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7" w:name="page118"/>
    <w:bookmarkEnd w:id="117"/>
    <w:tbl>
      <w:tblPr>
        <w:tblLayout w:type="fixed"/>
        <w:tblInd w:w="300" w:type="dxa"/>
        <w:tblCellMar>
          <w:top w:w="0" w:type="dxa"/>
          <w:left w:w="0" w:type="dxa"/>
          <w:bottom w:w="0" w:type="dxa"/>
          <w:right w:w="0" w:type="dxa"/>
        </w:tblCellMar>
      </w:tblPr>
      <w:tr>
        <w:trPr>
          <w:trHeight w:val="161"/>
        </w:trPr>
        <w:tc>
          <w:tcPr>
            <w:tcW w:w="6740" w:type="dxa"/>
            <w:vAlign w:val="bottom"/>
            <w:gridSpan w:val="5"/>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62"/>
        </w:trPr>
        <w:tc>
          <w:tcPr>
            <w:tcW w:w="1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EV / 2021E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EV / 2022E</w:t>
            </w: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r>
      <w:tr>
        <w:trPr>
          <w:trHeight w:val="186"/>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EBITDA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39"/>
        </w:trPr>
        <w:tc>
          <w:tcPr>
            <w:tcW w:w="14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71"/>
        </w:trPr>
        <w:tc>
          <w:tcPr>
            <w:tcW w:w="32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i w:val="1"/>
                <w:iCs w:val="1"/>
                <w:color w:val="auto"/>
                <w:w w:val="91"/>
              </w:rPr>
              <w:t>At Closing Stock Price on February 23, 2021</w:t>
            </w:r>
          </w:p>
        </w:tc>
        <w:tc>
          <w:tcPr>
            <w:tcW w:w="3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43"/>
        </w:trPr>
        <w:tc>
          <w:tcPr>
            <w:tcW w:w="6740" w:type="dxa"/>
            <w:vAlign w:val="bottom"/>
            <w:gridSpan w:val="5"/>
          </w:tcPr>
          <w:p>
            <w:pPr>
              <w:spacing w:after="0"/>
              <w:rPr>
                <w:sz w:val="20"/>
                <w:szCs w:val="20"/>
                <w:color w:val="auto"/>
              </w:rPr>
            </w:pPr>
            <w:r>
              <w:rPr>
                <w:rFonts w:ascii="Arial" w:cs="Arial" w:eastAsia="Arial" w:hAnsi="Arial"/>
                <w:sz w:val="18"/>
                <w:szCs w:val="18"/>
                <w:b w:val="1"/>
                <w:bCs w:val="1"/>
                <w:color w:val="auto"/>
              </w:rPr>
              <w:t>PRA (the financial forecasts by PRA)</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15.1x</w:t>
            </w: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12.8x</w:t>
            </w: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PRA (Wall Street Consensus)</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16.0x</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14.4x</w:t>
            </w: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7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At Implied Per Share Merger Consideration</w:t>
            </w: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31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PRA (the financial forecasts by PRA)</w:t>
            </w:r>
          </w:p>
        </w:tc>
        <w:tc>
          <w:tcPr>
            <w:tcW w:w="3580" w:type="dxa"/>
            <w:vAlign w:val="bottom"/>
            <w:tcBorders>
              <w:top w:val="single" w:sz="8" w:color="CCEEFF"/>
            </w:tcBorders>
            <w:gridSpan w:val="2"/>
          </w:tcPr>
          <w:p>
            <w:pPr>
              <w:spacing w:after="0"/>
              <w:rPr>
                <w:sz w:val="21"/>
                <w:szCs w:val="21"/>
                <w:color w:val="auto"/>
              </w:rPr>
            </w:pPr>
          </w:p>
        </w:tc>
        <w:tc>
          <w:tcPr>
            <w:tcW w:w="960" w:type="dxa"/>
            <w:vAlign w:val="bottom"/>
            <w:tcBorders>
              <w:top w:val="single" w:sz="8" w:color="CCEEFF"/>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19.4x</w:t>
            </w:r>
          </w:p>
        </w:tc>
        <w:tc>
          <w:tcPr>
            <w:tcW w:w="72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16.5</w:t>
            </w: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PRA (Wall Street Consensus)</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20.5x</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18.4x</w:t>
            </w: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1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89"/>
              </w:rPr>
              <w:t>For Reference Only</w:t>
            </w:r>
          </w:p>
        </w:tc>
        <w:tc>
          <w:tcPr>
            <w:tcW w:w="5320" w:type="dxa"/>
            <w:vAlign w:val="bottom"/>
            <w:tcBorders>
              <w:bottom w:val="single" w:sz="8" w:color="CCEEFF"/>
            </w:tcBorders>
            <w:gridSpan w:val="4"/>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5"/>
          </w:tcPr>
          <w:p>
            <w:pPr>
              <w:spacing w:after="0"/>
              <w:rPr>
                <w:sz w:val="20"/>
                <w:szCs w:val="20"/>
                <w:color w:val="auto"/>
              </w:rPr>
            </w:pPr>
            <w:r>
              <w:rPr>
                <w:rFonts w:ascii="Arial" w:cs="Arial" w:eastAsia="Arial" w:hAnsi="Arial"/>
                <w:sz w:val="18"/>
                <w:szCs w:val="18"/>
                <w:color w:val="auto"/>
              </w:rPr>
              <w:t>Laboratory Corporation of America Holdings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8.3x</w:t>
            </w:r>
          </w:p>
        </w:tc>
        <w:tc>
          <w:tcPr>
            <w:tcW w:w="720" w:type="dxa"/>
            <w:vAlign w:val="bottom"/>
          </w:tcPr>
          <w:p>
            <w:pPr>
              <w:ind w:left="160"/>
              <w:spacing w:after="0"/>
              <w:rPr>
                <w:sz w:val="20"/>
                <w:szCs w:val="20"/>
                <w:color w:val="auto"/>
              </w:rPr>
            </w:pPr>
            <w:r>
              <w:rPr>
                <w:rFonts w:ascii="Arial" w:cs="Arial" w:eastAsia="Arial" w:hAnsi="Arial"/>
                <w:sz w:val="18"/>
                <w:szCs w:val="18"/>
                <w:color w:val="auto"/>
              </w:rPr>
              <w:t>11.0x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-1722120</wp:posOffset>
            </wp:positionV>
            <wp:extent cx="1543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-1722120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Based on the foregoing, UBS selected reference range multiples for PRA of (1) 16.5x to 17.5x EV/2021E Adj. EBITDA and (2) 15.0x to 16.0x EV/2022E Adj. EBITDA. UBS then applied such multiple ranges to corresponding financial data for PRA (based on 2021E and 2022E data based on the financial forecasts by PRA). UBS then derived implied per share reference ranges from the resulting implied Enterprise Value reference ranges, using the net debt and diluted share information described above. This analysis indicated the following implied per share reference ranges for PRA common stock, as compared to the closing price of PRA common stock on February 23, 2021 and the implied per share merger consideration in the merger:</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Closing Price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9"/>
        </w:trPr>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EV / 2021E</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EV / 2022E</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PRA Common</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on February 23,</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 Merger</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020" w:type="dxa"/>
            <w:vAlign w:val="bottom"/>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$151.27 - $162.13</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$140.87 - $150.11</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644"/>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Selected Transactions Analysis</w:t>
      </w:r>
      <w:r>
        <w:rPr>
          <w:rFonts w:ascii="Arial" w:cs="Arial" w:eastAsia="Arial" w:hAnsi="Arial"/>
          <w:sz w:val="16"/>
          <w:szCs w:val="16"/>
          <w:color w:val="auto"/>
        </w:rPr>
        <w:t>. UBS reviewed the purchase prices paid in the five (5) transactions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below, which involved selected targets in the U.S. clinical research and services industry that were announced since the beginning of 2014 and involved target companies that had implied transaction values greater than $4 billion. UBS calculated and compared the implied Enterprise Value for each target company, based on the implied purchase price paid for the common equity of the target company, as a multiple of the target company’s (1) Adjusted EBITDA for the last twelve-month period (“LTM”) based on the last four (4) quarters completed prior to the announcement of the applicable transaction and (2) Adjusted EBITDA for the fiscal year (“FY+1”) (a) during which the applicable transaction was announced if such announcement date occurred in the first half of such fiscal year, or (b) following the fiscal year in which the applicable transaction was announced if such announcement date occurred in the second half of such fiscal year, of the relevant transaction, based on publicly reported financial information (which such LTM and FY+1 financial data for PRA was based upon estimated Adj. EBITDA for the twelve-month period ended March 31, 2021 and 2021E Adj. EBITDA, respectively).</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list of selected transactions, applicable multiples and related mean and median multiples for such selected transactions and applicable PRA multiples are as follows: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EV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EV /</w:t>
            </w: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Announcement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LTM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FY+1</w:t>
            </w:r>
          </w:p>
        </w:tc>
        <w:tc>
          <w:tcPr>
            <w:tcW w:w="0" w:type="dxa"/>
            <w:vAlign w:val="bottom"/>
          </w:tcPr>
          <w:p>
            <w:pPr>
              <w:spacing w:after="0"/>
              <w:rPr>
                <w:sz w:val="1"/>
                <w:szCs w:val="1"/>
                <w:color w:val="auto"/>
              </w:rPr>
            </w:pPr>
          </w:p>
        </w:tc>
      </w:tr>
      <w:tr>
        <w:trPr>
          <w:trHeight w:val="148"/>
        </w:trPr>
        <w:tc>
          <w:tcPr>
            <w:tcW w:w="168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Acquirer</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Adj.</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c>
          <w:tcPr>
            <w:tcW w:w="0" w:type="dxa"/>
            <w:vAlign w:val="bottom"/>
          </w:tcPr>
          <w:p>
            <w:pPr>
              <w:spacing w:after="0"/>
              <w:rPr>
                <w:sz w:val="1"/>
                <w:szCs w:val="1"/>
                <w:color w:val="auto"/>
              </w:rPr>
            </w:pPr>
          </w:p>
        </w:tc>
      </w:tr>
      <w:tr>
        <w:trPr>
          <w:trHeight w:val="186"/>
        </w:trPr>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20,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Pamplona Capital</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Parexel International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12.2x</w:t>
            </w:r>
          </w:p>
        </w:tc>
        <w:tc>
          <w:tcPr>
            <w:tcW w:w="0" w:type="dxa"/>
            <w:vAlign w:val="bottom"/>
          </w:tcPr>
          <w:p>
            <w:pPr>
              <w:spacing w:after="0"/>
              <w:rPr>
                <w:sz w:val="1"/>
                <w:szCs w:val="1"/>
                <w:color w:val="auto"/>
              </w:rPr>
            </w:pPr>
          </w:p>
        </w:tc>
      </w:tr>
      <w:tr>
        <w:trPr>
          <w:trHeight w:val="264"/>
        </w:trPr>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Management, LLP</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Corporation</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May 10,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INC Research</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inVentiv Health, Inc.</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12.2x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12.1x</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Holdings, Inc.</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-908050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-908050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-908050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-908050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8" w:name="page119"/>
    <w:bookmarkEnd w:id="118"/>
    <w:tbl>
      <w:tblPr>
        <w:tblLayout w:type="fixed"/>
        <w:tblInd w:w="300" w:type="dxa"/>
        <w:tblCellMar>
          <w:top w:w="0" w:type="dxa"/>
          <w:left w:w="0" w:type="dxa"/>
          <w:bottom w:w="0" w:type="dxa"/>
          <w:right w:w="0" w:type="dxa"/>
        </w:tblCellMar>
      </w:tblPr>
      <w:tr>
        <w:trPr>
          <w:trHeight w:val="161"/>
        </w:trPr>
        <w:tc>
          <w:tcPr>
            <w:tcW w:w="168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EV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EV /</w:t>
            </w:r>
          </w:p>
        </w:tc>
        <w:tc>
          <w:tcPr>
            <w:tcW w:w="0" w:type="dxa"/>
            <w:vAlign w:val="bottom"/>
          </w:tcPr>
          <w:p>
            <w:pPr>
              <w:spacing w:after="0"/>
              <w:rPr>
                <w:sz w:val="1"/>
                <w:szCs w:val="1"/>
                <w:color w:val="auto"/>
              </w:rPr>
            </w:pPr>
          </w:p>
        </w:tc>
      </w:tr>
      <w:tr>
        <w:trPr>
          <w:trHeight w:val="148"/>
        </w:trPr>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Announcement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LTM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FY+1</w:t>
            </w:r>
          </w:p>
        </w:tc>
        <w:tc>
          <w:tcPr>
            <w:tcW w:w="0" w:type="dxa"/>
            <w:vAlign w:val="bottom"/>
          </w:tcPr>
          <w:p>
            <w:pPr>
              <w:spacing w:after="0"/>
              <w:rPr>
                <w:sz w:val="1"/>
                <w:szCs w:val="1"/>
                <w:color w:val="auto"/>
              </w:rPr>
            </w:pPr>
          </w:p>
        </w:tc>
      </w:tr>
      <w:tr>
        <w:trPr>
          <w:trHeight w:val="148"/>
        </w:trPr>
        <w:tc>
          <w:tcPr>
            <w:tcW w:w="1680" w:type="dxa"/>
            <w:vAlign w:val="bottom"/>
            <w:gridSpan w:val="3"/>
            <w:vMerge w:val="continue"/>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Acquirer</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Adj.</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c>
          <w:tcPr>
            <w:tcW w:w="0" w:type="dxa"/>
            <w:vAlign w:val="bottom"/>
          </w:tcPr>
          <w:p>
            <w:pPr>
              <w:spacing w:after="0"/>
              <w:rPr>
                <w:sz w:val="1"/>
                <w:szCs w:val="1"/>
                <w:color w:val="auto"/>
              </w:rPr>
            </w:pPr>
          </w:p>
        </w:tc>
      </w:tr>
      <w:tr>
        <w:trPr>
          <w:trHeight w:val="186"/>
        </w:trPr>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26,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Hellman &amp; Friedman</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Pharmaceutical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13.9x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12.7x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LLC, The Carlyle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Product Development,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Group Inc., GIC</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Private Ltd, Abu</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Dhabi Investment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Authority</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May 3, 2016</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Quintiles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IMS Health Holdings,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14.5x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Transnational</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Holdings Inc.</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May 3, 2016</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IMS Health Holdings,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Quintiles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11.5x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Transnational</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Holdings Inc.</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3, 2014</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Laboratory</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Covance Inc.</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12.1x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Corporation of</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America Holdings</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Mean</w:t>
            </w: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12.8x</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12.0x</w:t>
            </w:r>
          </w:p>
        </w:tc>
        <w:tc>
          <w:tcPr>
            <w:tcW w:w="0" w:type="dxa"/>
            <w:vAlign w:val="bottom"/>
          </w:tcPr>
          <w:p>
            <w:pPr>
              <w:spacing w:after="0"/>
              <w:rPr>
                <w:sz w:val="1"/>
                <w:szCs w:val="1"/>
                <w:color w:val="auto"/>
              </w:rPr>
            </w:pPr>
          </w:p>
        </w:tc>
      </w:tr>
      <w:tr>
        <w:trPr>
          <w:trHeight w:val="270"/>
        </w:trPr>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Median</w:t>
            </w: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12.4x</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12.1x</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spacing w:after="0"/>
              <w:rPr>
                <w:sz w:val="24"/>
                <w:szCs w:val="24"/>
                <w:color w:val="auto"/>
              </w:rPr>
            </w:pPr>
          </w:p>
        </w:tc>
        <w:tc>
          <w:tcPr>
            <w:tcW w:w="170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80" w:type="dxa"/>
            <w:vAlign w:val="bottom"/>
            <w:gridSpan w:val="7"/>
          </w:tcPr>
          <w:p>
            <w:pPr>
              <w:spacing w:after="0"/>
              <w:rPr>
                <w:sz w:val="20"/>
                <w:szCs w:val="20"/>
                <w:color w:val="auto"/>
              </w:rPr>
            </w:pPr>
            <w:r>
              <w:rPr>
                <w:rFonts w:ascii="Arial" w:cs="Arial" w:eastAsia="Arial" w:hAnsi="Arial"/>
                <w:sz w:val="18"/>
                <w:szCs w:val="18"/>
                <w:b w:val="1"/>
                <w:bCs w:val="1"/>
                <w:color w:val="auto"/>
              </w:rPr>
              <w:t>PRA (the financial forecasts by PRA)(at implied per share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23.6x</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19.4x</w:t>
            </w:r>
          </w:p>
        </w:tc>
        <w:tc>
          <w:tcPr>
            <w:tcW w:w="0" w:type="dxa"/>
            <w:vAlign w:val="bottom"/>
          </w:tcPr>
          <w:p>
            <w:pPr>
              <w:spacing w:after="0"/>
              <w:rPr>
                <w:sz w:val="1"/>
                <w:szCs w:val="1"/>
                <w:color w:val="auto"/>
              </w:rPr>
            </w:pPr>
          </w:p>
        </w:tc>
      </w:tr>
      <w:tr>
        <w:trPr>
          <w:trHeight w:val="234"/>
        </w:trPr>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merger consideration)</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-4097020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-4097020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-4097020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-4097020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foregoing, UBS selected reference range multiples for PRA of (1) 12.5x to 14.5x EV/LTM Adj. EBITDA and (2) 12.0x to 13.5x EV/ FY+1 Adj. EBITDA. UBS then applied such multiple ranges to corresponding financial data for PRA (based on LTM Adj. EBITDA as of March 31, 2021 and 2021E Adj. EBITDA, respectively, provided by the management of PRA). UBS then derived implied per share reference ranges from the resulting implied Enterprise Value reference ranges, using the net debt and diluted share information described above. This analysis indicated the following implied per share reference ranges for PRA common stock, as compared to the closing price of PRA common stock on February 23, 2021 and the implied per share merger consideration in the merger:</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Implied EV /</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Implied EV /</w:t>
            </w: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Closing Price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PRA Common</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LTM</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FY+1</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on February 23,</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 Merger</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020" w:type="dxa"/>
            <w:vAlign w:val="bottom"/>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$83.30 - $98.49</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$99.29 - $113.15</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UBS performed a discounted cash flow analysis of PRA on a standalone basis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financial forecasts by PRA. UBS calculated a range of implied present values as of December 31, 2020 of the standalone after-tax unlevered free cash flows that PRA was forecasted to generate from January 1, 2021 through December 31, 2025 using discount rates ranging between 9.00% and 10.00%, based on UBS’ estimate of PRA’s weighted average cost of capital (“WACC”). UBS also calculated estimated terminal values for PRA as of December 31, 2025, based on the estimated standalone LTM Adj. EBITDA for fiscal year 2025, using terminal multiples of 15.0x to 16.0x. The estimated terminal values were then discounted to present value as of December 31, 2020 using discount rates ranging between 9.00% and 10.00% based on PRA’s estimated WACC. UBS then derived</w:t>
      </w:r>
    </w:p>
    <w:p>
      <w:pPr>
        <w:sectPr>
          <w:pgSz w:w="11900" w:h="16838" w:orient="portrait"/>
          <w:cols w:equalWidth="0" w:num="1">
            <w:col w:w="9019"/>
          </w:cols>
          <w:pgMar w:left="1440" w:top="262"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9" w:name="page120"/>
    <w:bookmarkEnd w:id="119"/>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an implied per share reference range from the resulting implied Enterprise Value reference range, using the net debt and diluted share information described above. This analysis resulted in the following implied per share reference range for PRA common stock as compared to the closing price of PRA common stock on February 23, 2021 and the implied per share merger consideration in the merger: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Implied Per Share</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Closing Price of PRA</w:t>
            </w:r>
          </w:p>
        </w:tc>
        <w:tc>
          <w:tcPr>
            <w:tcW w:w="404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95"/>
              </w:rPr>
              <w:t>Implied Per Share Merger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 Stock on</w:t>
            </w:r>
          </w:p>
        </w:tc>
        <w:tc>
          <w:tcPr>
            <w:tcW w:w="4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Reference Range</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February 23, 2021</w:t>
            </w:r>
          </w:p>
        </w:tc>
        <w:tc>
          <w:tcPr>
            <w:tcW w:w="40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53"/>
        </w:trPr>
        <w:tc>
          <w:tcPr>
            <w:tcW w:w="40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$158.94 - $175.53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-625475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-625475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0" w:name="page121"/>
    <w:bookmarkEnd w:id="120"/>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ICON Financial Analyses</w:t>
      </w:r>
    </w:p>
    <w:p>
      <w:pPr>
        <w:spacing w:after="0" w:line="117"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i w:val="1"/>
          <w:iCs w:val="1"/>
          <w:color w:val="auto"/>
        </w:rPr>
        <w:t>Selected Public Company Analysis</w:t>
      </w:r>
      <w:r>
        <w:rPr>
          <w:rFonts w:ascii="Arial" w:cs="Arial" w:eastAsia="Arial" w:hAnsi="Arial"/>
          <w:sz w:val="18"/>
          <w:szCs w:val="18"/>
          <w:color w:val="auto"/>
        </w:rPr>
        <w:t>. UBS compared selected multiples related to Enterprise Value for ICON on</w:t>
      </w:r>
      <w:r>
        <w:rPr>
          <w:rFonts w:ascii="Arial" w:cs="Arial" w:eastAsia="Arial" w:hAnsi="Arial"/>
          <w:sz w:val="18"/>
          <w:szCs w:val="18"/>
          <w:i w:val="1"/>
          <w:iCs w:val="1"/>
          <w:color w:val="auto"/>
        </w:rPr>
        <w:t xml:space="preserve"> </w:t>
      </w:r>
      <w:r>
        <w:rPr>
          <w:rFonts w:ascii="Arial" w:cs="Arial" w:eastAsia="Arial" w:hAnsi="Arial"/>
          <w:sz w:val="18"/>
          <w:szCs w:val="18"/>
          <w:color w:val="auto"/>
        </w:rPr>
        <w:t>a standalone basis, to the corresponding multiples for the selected publicly traded CROs in the U.S. identified below. These CROs were selected because their equity is publicly traded in the United States and they are focused on clinical research services and related industries.</w:t>
      </w:r>
    </w:p>
    <w:p>
      <w:pPr>
        <w:spacing w:after="0" w:line="79" w:lineRule="exact"/>
        <w:rPr>
          <w:sz w:val="20"/>
          <w:szCs w:val="20"/>
          <w:color w:val="auto"/>
        </w:rPr>
      </w:pPr>
    </w:p>
    <w:p>
      <w:pPr>
        <w:jc w:val="both"/>
        <w:ind w:left="1300" w:right="1300" w:firstLine="360"/>
        <w:spacing w:after="0" w:line="301" w:lineRule="auto"/>
        <w:rPr>
          <w:sz w:val="20"/>
          <w:szCs w:val="20"/>
          <w:color w:val="auto"/>
        </w:rPr>
      </w:pPr>
      <w:r>
        <w:rPr>
          <w:rFonts w:ascii="Arial" w:cs="Arial" w:eastAsia="Arial" w:hAnsi="Arial"/>
          <w:sz w:val="16"/>
          <w:szCs w:val="16"/>
          <w:color w:val="auto"/>
        </w:rPr>
        <w:t>For each of the companies selected by UBS, UBS reviewed, among other things, multiples of Enterprise Values to 2021E Adj. EBITDA and 2022E Adj. EBITDA. Estimated financial data for the selected companies (and ICON, where indicated) were based on Wall Street Consensus, public filings and other publicly available information as of February 23, 2021. Other estimated financial data for ICON were based on the ICON Forecasts.</w:t>
      </w:r>
    </w:p>
    <w:p>
      <w:pPr>
        <w:spacing w:after="0" w:line="49"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color w:val="auto"/>
        </w:rPr>
        <w:t>The list of selected companies, applicable multiples and related mean and median multiples for such selected companies and applicable ICON multiples are set forth below. Such ICON multiples are based upon each of (i) the ICON Forecasts and (ii) Wall Street Consensus and derived using the closing price of ICON ordinary shares on February 23, 2021.</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Selected Companies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EV /</w:t>
            </w:r>
          </w:p>
        </w:tc>
        <w:tc>
          <w:tcPr>
            <w:tcW w:w="18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EV /</w:t>
            </w:r>
          </w:p>
        </w:tc>
      </w:tr>
      <w:tr>
        <w:trPr>
          <w:trHeight w:val="148"/>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2021E</w:t>
            </w:r>
          </w:p>
        </w:tc>
        <w:tc>
          <w:tcPr>
            <w:tcW w:w="1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2022E</w:t>
            </w:r>
          </w:p>
        </w:tc>
      </w:tr>
      <w:tr>
        <w:trPr>
          <w:trHeight w:val="148"/>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Adj.</w:t>
            </w:r>
          </w:p>
        </w:tc>
        <w:tc>
          <w:tcPr>
            <w:tcW w:w="18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8"/>
              </w:rPr>
              <w:t>Adj.</w:t>
            </w:r>
          </w:p>
        </w:tc>
      </w:tr>
      <w:tr>
        <w:trPr>
          <w:trHeight w:val="186"/>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EBITDA</w:t>
            </w:r>
          </w:p>
        </w:tc>
        <w:tc>
          <w:tcPr>
            <w:tcW w:w="18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EBITDA</w:t>
            </w:r>
          </w:p>
        </w:tc>
      </w:tr>
      <w:tr>
        <w:trPr>
          <w:trHeight w:val="53"/>
        </w:trPr>
        <w:tc>
          <w:tcPr>
            <w:tcW w:w="1300" w:type="dxa"/>
            <w:vAlign w:val="bottom"/>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3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Pure-Play Clinical CROs</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Pharmaceutical Product Development,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15.7x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PRA</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16.0x</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14.4x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Medpace Holdings,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24.2x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Mean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19.2x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16.8x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i w:val="1"/>
                <w:iCs w:val="1"/>
                <w:color w:val="auto"/>
              </w:rPr>
              <w:t>Median</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15.7x</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366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Diversified CROs</w:t>
            </w:r>
          </w:p>
        </w:tc>
        <w:tc>
          <w:tcPr>
            <w:tcW w:w="3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IQVIA Holdings Inc.</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17.1x</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15.6x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Syneos Health,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13.7x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12.4x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Mean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15.4x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14.0x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Pre-Clinical CROs</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Charles River Laboratories International,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19.2x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17.1x</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Overall Mean</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17.9x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15.9x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color w:val="auto"/>
              </w:rPr>
              <w:t>Overall Median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17.2x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15.6x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At Closing Stock Price on February 23, 2021</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ICON (the ICON Forecasts)</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17.4x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color w:val="auto"/>
              </w:rPr>
              <w:t>ICON (Wall Street Consensus)</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18.3x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16.7x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For Reference Only</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Laboratory Corporation of America Holdings</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8.3x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11.0x</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right"/>
              <w:ind w:right="247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-5562600</wp:posOffset>
            </wp:positionV>
            <wp:extent cx="257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-5562600</wp:posOffset>
            </wp:positionV>
            <wp:extent cx="1289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Based on the foregoing, UBS selected reference range multiples for ICON of (1) 16.5x to 17.5x EV/2021E Adj. EBITDA and (2) 15.0x to 16.0x EV/2022E Adj. EBITDA. UBS then applied such multiple ranges to corresponding financial data for ICON (based on 2021E and 2022E data based on the ICON Forecasts). UBS then derived implied per share reference ranges from the resulting implied Enterprise Value reference ranges, using the net debt and diluted share information described above. This analysis indicated the following implied per share reference ranges for ICON ordinary shares, as compared to the closing price of ICON ordinary shares on February 23, 2021:</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EV / 2021E</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EV / 2022E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6"/>
              </w:rPr>
              <w:t>Closing Price of ICON Ordinary</w:t>
            </w:r>
          </w:p>
        </w:tc>
      </w:tr>
      <w:tr>
        <w:trPr>
          <w:trHeight w:val="186"/>
        </w:trPr>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on February 23, 2021</w:t>
            </w:r>
          </w:p>
        </w:tc>
      </w:tr>
      <w:tr>
        <w:trPr>
          <w:trHeight w:val="53"/>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277"/>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$198.71 - $210.19</w:t>
            </w:r>
          </w:p>
        </w:tc>
        <w:tc>
          <w:tcPr>
            <w:tcW w:w="100" w:type="dxa"/>
            <w:vAlign w:val="bottom"/>
            <w:shd w:val="clear" w:color="auto" w:fill="CCEEFF"/>
          </w:tcPr>
          <w:p>
            <w:pPr>
              <w:spacing w:after="0"/>
              <w:rPr>
                <w:sz w:val="24"/>
                <w:szCs w:val="24"/>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$199.97 - $212.69</w:t>
            </w:r>
          </w:p>
        </w:tc>
        <w:tc>
          <w:tcPr>
            <w:tcW w:w="100" w:type="dxa"/>
            <w:vAlign w:val="bottom"/>
            <w:shd w:val="clear" w:color="auto" w:fill="CCEEFF"/>
          </w:tcPr>
          <w:p>
            <w:pPr>
              <w:spacing w:after="0"/>
              <w:rPr>
                <w:sz w:val="24"/>
                <w:szCs w:val="24"/>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r>
      <w:tr>
        <w:trPr>
          <w:trHeight w:val="54"/>
        </w:trPr>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-222250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UBS performed a discounted cash flow analysis of ICON on a standalone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using the ICON Forecasts. UBS calculated a range of implied present values as of December 31, 2020 of the standalone after-tax unlevered free cash flows that ICON was forecasted to generate from January 1, 2021 through December 31, 2025 using discount rates ranging between 9.00% and 10.00% based on UBS' estimate of ICON’s WACC. UBS also calculated estimated terminal values for ICON as of December 31, 2025, based on the estimated standalone LTM Adj. EBITDA for fiscal year 2025, using terminal multiples of 15.0x to 16.0x. The estimated terminal values were then discounted to present value as of December 31, 2020 using discount rates ranging between 9.00% and 10.00% based on ICON’s estimated WACC. UBS then derived an implied per share reference range from the resulting implied Enterprise Value reference range, using the net debt and diluted share information described above. This analysis resulted in the following implied per share reference range for ICON ordinary shares as compared to the closing price of ICON ordinary shares on February 23, 2021:</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Implied Per Share Reference Range</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Closing Price of ICON Ordinary Shares on</w:t>
            </w:r>
          </w:p>
        </w:tc>
        <w:tc>
          <w:tcPr>
            <w:tcW w:w="0" w:type="dxa"/>
            <w:vAlign w:val="bottom"/>
          </w:tcPr>
          <w:p>
            <w:pPr>
              <w:spacing w:after="0"/>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3"/>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rPr>
              <w:t>$200.16 - $218.66</w:t>
            </w:r>
          </w:p>
        </w:tc>
        <w:tc>
          <w:tcPr>
            <w:tcW w:w="100" w:type="dxa"/>
            <w:vAlign w:val="bottom"/>
            <w:shd w:val="clear" w:color="auto" w:fill="CCEEFF"/>
          </w:tcPr>
          <w:p>
            <w:pPr>
              <w:spacing w:after="0"/>
              <w:rPr>
                <w:sz w:val="24"/>
                <w:szCs w:val="24"/>
                <w:color w:val="auto"/>
              </w:rPr>
            </w:pP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 Forma Combined Company Financial Analyses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Discounted Cash Flow Analysis</w:t>
      </w:r>
      <w:r>
        <w:rPr>
          <w:rFonts w:ascii="Arial" w:cs="Arial" w:eastAsia="Arial" w:hAnsi="Arial"/>
          <w:sz w:val="18"/>
          <w:szCs w:val="18"/>
          <w:color w:val="auto"/>
        </w:rPr>
        <w:t>. UBS performed a discounted cash flow analysis of the combined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standalone Adj. EBITDA reflected in the financial forecasts by PRA and the ICON Forecasts, respectively, adjusted to reflect estimated (1) synergies (assumed to achieve an annual run-rate of $150 million to be realized by the end of the calendar year 2025, based on guidance from ICON management) and (2) one-time costs to achieve such synergies.</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UBS calculated a range of implied present values as of June 30, 2021 of the after-tax unlevered free cash flows (which included estimated tax savings anticipated to result from the combined effective tax rate of the combined company decreasing to 14% by the end of the calendar year 2024, based on guidance from ICON management) that the combined company was forecasted to generate from July 1, 2021 through December 31, 2025 using discount rates ranging between 9.00% and 10.00% based on UBS’ estimate of the combined company’s WACC. UBS also calculated estimated terminal values for the combined company as of December 31, 2025, based on the estimated LTM Adj. EBITDA for fiscal year 2025, using terminal multiples of 15.0x to 16.0x. The estimated terminal values were then discounted to present value as of June 30, 2021 using discount rates ranging between 9.00% and 10.00% based on the combined company’s estimated WACC. UBS then derived an implied per share reference range from the resulting implied Enterprise Value reference range, using the net debt and diluted share information described above, for each of PRA and ICON on a standalone basis, adjusted for projected net debt and diluted share information as of an assumed closing date of June 30, 2021 based on (a) the anticipated refinancing related to the consummation of the merger and (b) the issuance of ICON ordinary shares and cash in connection with the merger. The resulting per share reference ranges were then discounted to present value as of December 31, 2020 using a discount rate of 10.5% based on UBS' estimate of the combined company’s cost of equity.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analysis resulted in the following implied pro forma per share reference range for ICON ordinary shares, as compared to the implied pro forma per share reference range for the value of the merger consideration per share of PRA common stock (based on cash consideration of $80.00 per share, together with the product of 0.4125x and such implied pro forma per share reference range for ICON ordinary shares), the implied per share reference range of PRA common stock on a stand-alone basis using the financial forecasts by PRA, based on the discounted cash flow analysis as described above, and the closing price of PRA common stock on February 23,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Implied</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Implied Pro Forma</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Combined</w:t>
            </w:r>
          </w:p>
        </w:tc>
        <w:tc>
          <w:tcPr>
            <w:tcW w:w="214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Company Pro</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 Share Reference</w:t>
            </w: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Implied</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Forma Per</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Range (Value of</w:t>
            </w:r>
          </w:p>
        </w:tc>
        <w:tc>
          <w:tcPr>
            <w:tcW w:w="2120" w:type="dxa"/>
            <w:vAlign w:val="bottom"/>
            <w:gridSpan w:val="2"/>
            <w:vMerge w:val="continue"/>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Closing Price of PRA</w:t>
            </w: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Merger Consideration</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Standalone PRA</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Reference</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 Share of PRA</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 Share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on</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Reference Range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$216.87 - $243.00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$169.46 - $180.24</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$158.94 - $175.53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b w:val="1"/>
          <w:bCs w:val="1"/>
          <w:color w:val="auto"/>
        </w:rPr>
        <w:t xml:space="preserve">Other Information. </w:t>
      </w:r>
      <w:r>
        <w:rPr>
          <w:rFonts w:ascii="Arial" w:cs="Arial" w:eastAsia="Arial" w:hAnsi="Arial"/>
          <w:sz w:val="17"/>
          <w:szCs w:val="17"/>
          <w:color w:val="auto"/>
        </w:rPr>
        <w:t>UBS also noted for the PRA board of directors certain additional factors that were not</w:t>
      </w:r>
      <w:r>
        <w:rPr>
          <w:rFonts w:ascii="Arial" w:cs="Arial" w:eastAsia="Arial" w:hAnsi="Arial"/>
          <w:sz w:val="17"/>
          <w:szCs w:val="17"/>
          <w:b w:val="1"/>
          <w:bCs w:val="1"/>
          <w:color w:val="auto"/>
        </w:rPr>
        <w:t xml:space="preserve"> </w:t>
      </w:r>
      <w:r>
        <w:rPr>
          <w:rFonts w:ascii="Arial" w:cs="Arial" w:eastAsia="Arial" w:hAnsi="Arial"/>
          <w:sz w:val="17"/>
          <w:szCs w:val="17"/>
          <w:color w:val="auto"/>
        </w:rPr>
        <w:t>relied upon in rendering its opinion, but were provided for informational purposes, including the following:</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Analysts Price Targets for PRA. </w:t>
      </w:r>
      <w:r>
        <w:rPr>
          <w:rFonts w:ascii="Arial" w:cs="Arial" w:eastAsia="Arial" w:hAnsi="Arial"/>
          <w:sz w:val="16"/>
          <w:szCs w:val="16"/>
          <w:color w:val="auto"/>
        </w:rPr>
        <w:t>UBS reviewed stock price targets for shares of PRA common stock in eleven</w:t>
      </w:r>
    </w:p>
    <w:p>
      <w:pPr>
        <w:spacing w:after="0" w:line="46" w:lineRule="exact"/>
        <w:rPr>
          <w:sz w:val="20"/>
          <w:szCs w:val="20"/>
          <w:color w:val="auto"/>
        </w:rPr>
      </w:pPr>
    </w:p>
    <w:p>
      <w:pPr>
        <w:jc w:val="both"/>
        <w:ind w:left="300" w:right="319" w:hanging="8"/>
        <w:spacing w:after="0" w:line="253" w:lineRule="auto"/>
        <w:tabs>
          <w:tab w:leader="none" w:pos="6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recently published, publicly available Wall Street research analysts’ reports, which indicated low and high stock price targets ranging from $110.00 to $145.00 per share, with a mean stock price target of $126.91 per share, as compared to the closing price of PRA common stock on February 23, 2021 of $127.73 per share and the implied per share merger consideration in the merger of $166.06.</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Analysts Price Targets for ICON. </w:t>
      </w:r>
      <w:r>
        <w:rPr>
          <w:rFonts w:ascii="Arial" w:cs="Arial" w:eastAsia="Arial" w:hAnsi="Arial"/>
          <w:sz w:val="17"/>
          <w:szCs w:val="17"/>
          <w:color w:val="auto"/>
        </w:rPr>
        <w:t>UBS reviewed stock price targets for ICON ordinary shares in twelve</w:t>
      </w:r>
    </w:p>
    <w:p>
      <w:pPr>
        <w:spacing w:after="0" w:line="35" w:lineRule="exact"/>
        <w:rPr>
          <w:sz w:val="20"/>
          <w:szCs w:val="20"/>
          <w:color w:val="auto"/>
        </w:rPr>
      </w:pPr>
    </w:p>
    <w:p>
      <w:pPr>
        <w:jc w:val="both"/>
        <w:ind w:left="300" w:right="299" w:hanging="8"/>
        <w:spacing w:after="0" w:line="277" w:lineRule="auto"/>
        <w:tabs>
          <w:tab w:leader="none" w:pos="64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recently published, publicly available Wall Street research analysts’ reports, which indicated low and high stock price targets ranging from $179.00 to $240.00 per share, with a mean stock price target of $210.83 per share, as compared to the closing price of ICON ordinary shares on February 23, 2021 of $208.62 per share.</w:t>
      </w:r>
    </w:p>
    <w:p>
      <w:pPr>
        <w:spacing w:after="0" w:line="65"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Trading Range Analysis for PRA</w:t>
      </w:r>
      <w:r>
        <w:rPr>
          <w:rFonts w:ascii="Arial" w:cs="Arial" w:eastAsia="Arial" w:hAnsi="Arial"/>
          <w:sz w:val="18"/>
          <w:szCs w:val="18"/>
          <w:color w:val="auto"/>
        </w:rPr>
        <w:t>. UBS reviewed the historical closing trading prices for shares of PRA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the 52-week period ended February 23, 2021, which reflected low and high stock prices during such period ranging from $64.14 to $136.53 per share, as compared to the closing price of PRA common stock on February 23, 2021 of $127.73 per share and the implied per share merger consideration in the merger of $166.06.</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Trading Range Analysis for ICON</w:t>
      </w:r>
      <w:r>
        <w:rPr>
          <w:rFonts w:ascii="Arial" w:cs="Arial" w:eastAsia="Arial" w:hAnsi="Arial"/>
          <w:sz w:val="18"/>
          <w:szCs w:val="18"/>
          <w:color w:val="auto"/>
        </w:rPr>
        <w:t>. UBS reviewed the historical closing trading prices for ICON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during the 52-week period ended February 23, 2021, which reflected low and high stock prices during such period ranging from $115.95 to $220.96 per share, as compared to the closing price of ICON ordinary shares on February 23, 2021 of $208.62 per share.</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Premiums Paid Analysis. </w:t>
      </w:r>
      <w:r>
        <w:rPr>
          <w:rFonts w:ascii="Arial" w:cs="Arial" w:eastAsia="Arial" w:hAnsi="Arial"/>
          <w:sz w:val="16"/>
          <w:szCs w:val="16"/>
          <w:color w:val="auto"/>
        </w:rPr>
        <w:t>UBS reviewed the implied premiums paid in majority stock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announced since the beginning of 2011, which involved US public target companies with implied Enterprise Values between $5 billion and $20 billion, (excluding merger of equal transactions), using premiums based on one trading day (unaffected) prior to the announcement of the applicable transaction. Such range of implied premiums indicated a median premium of approximately 18% and a mean premium of approximately 24% for the applicable transactions, which UBS then applied to the closing price of PRA common stock on February 23, 2021, the last trading day prior to the announcement of the merger, which resulted in an implied per share reference range for PRA common stock of $150.72 to $158.39 per share as compared to the closing price of PRA common stock on February 23, 2021 of $127.73 per share and the implied per share merger consideration in the merger of $166.06.</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the terms of UBS’ engagement by PRA, PRA has agreed to pay UBS for its financial advisory services in connection with the proposed transaction an aggregate fee which is estimated, based on information available at the time the merger agreement was announced, to be approximately $30 million, $2.0 million of which became payable upon delivery of UBS’ opinion and remainder of which is contingent upon consummation of the merger. In addition, PRA has agreed to reimburse UBS for certain expenses, including certain fees, disbursements and other charges of its counsel, and to indemnify UBS and related parties against certain liabilities, including certain liabilities under federal securities laws, relating to, or arising out of, its engagement.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ordinary course of business, UBS, its affiliates and its and their respective employees may currently own or trade loans, debt and/or equity securities of PRA and/or ICON for its own account or for the accounts of customers, and may at any time hold a long or short position in such securities.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PRA selected UBS as a financial advisor in connection with the merger because UBS is an internationally recognized investment banking firm with substantial experience in similar transactions. UBS is continually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 Unaudited Financial Forecasts</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does not, as a matter of course, publicly disclose forecasts or projections as to future performance, earnings or other results due to the inherent unpredictability of projections and their underlying assumptions and estimates. However, in connection with the discussions regarding the proposed merger, each of ICON and PRA supplied the other with certain unaudited business and financial information that was not publicly available. ICON’s management provided its board of directors and Centerview with certain financial forecasts for ICON reflecting different sensitivities/cases for calendar years 2021 through 2025, and with extrapolations of such forecasts for calendar years 2026 through 2030, but advised its board of directors and Centerview to only use one case of financial forecasts and extrapolations, which case is referred to as the ICON Forecasts and is summarized below under the heading ICON Forecasts. The ICON Forecasts for calendar years 2021 through 2025 were provided to PRA and to BofA Securities and UBS, which were directed by PRA management to use and rely upon such ICON Forecasts for purposes of their respective financial analyses and fairness opinions (and when used by PRA or PRA’s financial advisors, ICON Forecasts means the ICON Forecasts for calendar years 2021 through 2025). ICON’s management also provided its board of directors and Centerview with certain financial forecasts for PRA prepared by PRA’s management and adjusted and extrapolated by ICON’s management, which are referred to as the ICON-Adjusted PRA Forecasts and are summarized below under the heading ICON-Adjusted PRA Forecasts. The ICON Forecasts and the ICON-Adjusted PRA Forecasts are referred to in this section collectively as the ICON management forecasts. The ICON management forecasts were prepared treating each of ICON and PRA on a stand-alone basis, without giving effect to the merger, including the impact of negotiating or executing the merger, the expenses that may be incurred in connection with consummating the merger, the impact on the combined company as a result of the merger and the effect of any business or strategic action that would be taken as a result of the merger agreement having been executed.</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ICON management forecasts were not prepared with a view toward public disclosure and, accordingly, do not necessarily comply with published guidelines of the SEC, the guidelines established by the American Institute of Certified Public Accountants for preparation and presentation of financial forecasts or GAAP, but, in the view of ICON’s management, were prepared on a reasonable basis, reflected the best available estimates and judgments at the time of preparation and presented as of the time of preparation, to the best of ICON management’s knowledge and belief (and, in the case of the ICON-Adjusted PRA Forecasts, based in part on inputs from and discussions with PRA’s management), the reasonable projections of the future financial performance of ICON and PRA. Neither ICON’s independent registered public accounting firm, nor any other independent accountants, have audited, reviewed, compiled or performed any procedures with respect to the ICON management forecasts or expressed any opinion or any form of assurance related thereto. The summary of the forecasts is included in this joint proxy statement/prospectus solely to give ICON shareholders access to certain financial forecasts that were made available to the ICON board of directors, Centerview, PRA and PRA’s financial advisors, and is not being included in this joint proxy statement/prospectus to influence any ICON shareholder’s decision whether to vote for the ICON share issuance proposal.</w:t>
      </w:r>
    </w:p>
    <w:p>
      <w:pPr>
        <w:spacing w:after="0" w:line="76" w:lineRule="exact"/>
        <w:rPr>
          <w:sz w:val="20"/>
          <w:szCs w:val="20"/>
          <w:color w:val="auto"/>
        </w:rPr>
      </w:pPr>
    </w:p>
    <w:p>
      <w:pPr>
        <w:jc w:val="both"/>
        <w:ind w:left="300" w:right="299" w:firstLine="3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ICON management forecasts, while presented with numerical specificity, necessarily were based on numerous variables and assumptions that are inherently uncertain and many of which are beyond the control of ICON’s management. Because the forecasts cover multiple years, by their nature, they also become subject to greater uncertainty with each successive year. Please consider carefully the discussion entitled “</w:t>
      </w:r>
      <w:r>
        <w:rPr>
          <w:rFonts w:ascii="Arial" w:cs="Arial" w:eastAsia="Arial" w:hAnsi="Arial"/>
          <w:sz w:val="17"/>
          <w:szCs w:val="17"/>
          <w:b w:val="1"/>
          <w:bCs w:val="1"/>
          <w:color w:val="auto"/>
        </w:rPr>
        <w:t>Cautionary Note</w:t>
      </w:r>
      <w:r>
        <w:rPr>
          <w:rFonts w:ascii="Arial" w:cs="Arial" w:eastAsia="Arial" w:hAnsi="Arial"/>
          <w:sz w:val="17"/>
          <w:szCs w:val="17"/>
          <w:color w:val="auto"/>
        </w:rPr>
        <w:t xml:space="preserve"> </w:t>
      </w:r>
      <w:r>
        <w:rPr>
          <w:rFonts w:ascii="Arial" w:cs="Arial" w:eastAsia="Arial" w:hAnsi="Arial"/>
          <w:sz w:val="17"/>
          <w:szCs w:val="17"/>
          <w:b w:val="1"/>
          <w:bCs w:val="1"/>
          <w:color w:val="auto"/>
        </w:rPr>
        <w:t>Regarding Forward-Looking Statements</w:t>
      </w:r>
      <w:r>
        <w:rPr>
          <w:rFonts w:ascii="Arial" w:cs="Arial" w:eastAsia="Arial" w:hAnsi="Arial"/>
          <w:sz w:val="17"/>
          <w:szCs w:val="17"/>
          <w:color w:val="auto"/>
        </w:rPr>
        <w:t>” beginning on page [</w:t>
      </w:r>
      <w:hyperlink w:anchor="page49">
        <w:r>
          <w:rPr>
            <w:rFonts w:ascii="Arial" w:cs="Arial" w:eastAsia="Arial" w:hAnsi="Arial"/>
            <w:sz w:val="17"/>
            <w:szCs w:val="17"/>
            <w:u w:val="single" w:color="auto"/>
            <w:color w:val="0000EE"/>
          </w:rPr>
          <w:t>32</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There can be no assurance that the ICON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forecasts will be realized, and actual results may vary materially from those shown.</w:t>
      </w:r>
    </w:p>
    <w:p>
      <w:pPr>
        <w:spacing w:after="0" w:line="7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inclusion of the ICON management forecasts in this joint proxy statement/prospectus should not be regarded as an indication that ICON or any of its affiliates, advisors, officers, directors or representatives considered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or considers the ICON management forecasts to be predictive of actual future events, and the ICON management forecasts should not be relied upon as such. Neither ICON nor PRA nor any of their respective affiliates, advisors, officers, directors or representatives has made or makes any representation to any of ICON’s shareholders or any other person regarding the ultimate performance of ICON or PRA compared to the information contained in the ICON management forecasts or can give any assurance that actual results will not differ materially from the ICON management forecasts, and none of them undertakes any obligation to update or otherwise revise or reconcile the ICON management forecasts. ICON does not intend to make publicly available any update or other revision to the ICON management forecasts, except as otherwise required by law.</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Certain of the forecasted financial information set forth herein may be considered non-GAAP financial measures. Non-GAAP financial measures should not be considered in isolation from, or as a substitute for, financial information presented in compliance with GAAP, and non-GAAP financial measures as used by ICON may not be comparable to similarly titled amounts used by other companies. No reconciliation of non-GAAP financial measures in the ICON management forecasts to GAAP measures was created or used in connection with preparing the ICON management forecasts.</w:t>
      </w:r>
    </w:p>
    <w:p>
      <w:pPr>
        <w:spacing w:after="0" w:line="84"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light of the foregoing factors and the uncertainties inherent in the ICON management forecasts, ICON’s shareholders are cautioned not to place undue, if any, reliance on the ICON management forecasts.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ICON management forecasts: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ICON Forecasts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$mm,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4"/>
                <w:szCs w:val="14"/>
                <w:b w:val="1"/>
                <w:bCs w:val="1"/>
                <w:color w:val="auto"/>
              </w:rPr>
              <w:t>ICON Extrapolations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53"/>
        </w:trPr>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2024E</w:t>
            </w:r>
          </w:p>
        </w:tc>
        <w:tc>
          <w:tcPr>
            <w:tcW w:w="14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2025E</w:t>
            </w:r>
          </w:p>
        </w:tc>
        <w:tc>
          <w:tcPr>
            <w:tcW w:w="2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2027E</w:t>
            </w:r>
          </w:p>
        </w:tc>
        <w:tc>
          <w:tcPr>
            <w:tcW w:w="12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2028E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2029E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2030E</w:t>
            </w:r>
          </w:p>
        </w:tc>
      </w:tr>
      <w:tr>
        <w:trPr>
          <w:trHeight w:val="53"/>
        </w:trPr>
        <w:tc>
          <w:tcPr>
            <w:tcW w:w="1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87"/>
              </w:rPr>
              <w:t>$3,250</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$3,510</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$3,791</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87"/>
              </w:rPr>
              <w:t>$4,422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$4,775</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$5,157</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$5,904</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$6,199</w:t>
            </w:r>
          </w:p>
        </w:tc>
      </w:tr>
      <w:tr>
        <w:trPr>
          <w:trHeight w:val="324"/>
        </w:trPr>
        <w:tc>
          <w:tcPr>
            <w:tcW w:w="182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(a)</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$1,225</w:t>
            </w:r>
          </w:p>
        </w:tc>
      </w:tr>
      <w:tr>
        <w:trPr>
          <w:trHeight w:val="324"/>
        </w:trPr>
        <w:tc>
          <w:tcPr>
            <w:tcW w:w="1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Unlevered FCF</w:t>
            </w:r>
            <w:r>
              <w:rPr>
                <w:rFonts w:ascii="Arial" w:cs="Arial" w:eastAsia="Arial" w:hAnsi="Arial"/>
                <w:sz w:val="29"/>
                <w:szCs w:val="29"/>
                <w:color w:val="auto"/>
                <w:vertAlign w:val="superscript"/>
              </w:rPr>
              <w:t>(b)</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789</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898</w:t>
            </w:r>
          </w:p>
        </w:tc>
      </w:tr>
      <w:tr>
        <w:trPr>
          <w:trHeight w:val="420"/>
        </w:trPr>
        <w:tc>
          <w:tcPr>
            <w:tcW w:w="1820" w:type="dxa"/>
            <w:vAlign w:val="bottom"/>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(c)</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95"/>
              </w:rPr>
              <w:t>$ 8.81</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$ 9.82</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0"/>
              </w:rPr>
              <w:t>$10.78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$11.83</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87"/>
              </w:rPr>
              <w:t>$12.81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1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gridSpan w:val="13"/>
          </w:tcPr>
          <w:p>
            <w:pPr>
              <w:jc w:val="center"/>
              <w:ind w:right="28"/>
              <w:spacing w:after="0"/>
              <w:rPr>
                <w:sz w:val="20"/>
                <w:szCs w:val="20"/>
                <w:color w:val="auto"/>
              </w:rPr>
            </w:pPr>
            <w:r>
              <w:rPr>
                <w:rFonts w:ascii="Arial" w:cs="Arial" w:eastAsia="Arial" w:hAnsi="Arial"/>
                <w:sz w:val="18"/>
                <w:szCs w:val="18"/>
                <w:b w:val="1"/>
                <w:bCs w:val="1"/>
                <w:color w:val="auto"/>
                <w:w w:val="91"/>
              </w:rPr>
              <w:t>ICON-Adjusted PRA Forecasts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16"/>
        </w:trPr>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11"/>
          </w:tcPr>
          <w:p>
            <w:pPr>
              <w:jc w:val="center"/>
              <w:spacing w:after="0"/>
              <w:rPr>
                <w:sz w:val="20"/>
                <w:szCs w:val="20"/>
                <w:color w:val="auto"/>
              </w:rPr>
            </w:pPr>
            <w:r>
              <w:rPr>
                <w:rFonts w:ascii="Arial" w:cs="Arial" w:eastAsia="Arial" w:hAnsi="Arial"/>
                <w:sz w:val="18"/>
                <w:szCs w:val="18"/>
                <w:color w:val="auto"/>
                <w:w w:val="88"/>
              </w:rPr>
              <w:t>$mm, except per share amounts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6"/>
          </w:tcPr>
          <w:p>
            <w:pPr>
              <w:jc w:val="center"/>
              <w:ind w:right="48"/>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2"/>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8"/>
          </w:tcPr>
          <w:p>
            <w:pPr>
              <w:spacing w:after="0"/>
              <w:rPr>
                <w:sz w:val="20"/>
                <w:szCs w:val="20"/>
                <w:color w:val="auto"/>
              </w:rPr>
            </w:pPr>
            <w:r>
              <w:rPr>
                <w:rFonts w:ascii="Arial" w:cs="Arial" w:eastAsia="Arial" w:hAnsi="Arial"/>
                <w:sz w:val="14"/>
                <w:szCs w:val="14"/>
                <w:b w:val="1"/>
                <w:bCs w:val="1"/>
                <w:color w:val="auto"/>
              </w:rPr>
              <w:t>ICON Extrapolations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3"/>
        </w:trPr>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2024E</w:t>
            </w:r>
          </w:p>
        </w:tc>
        <w:tc>
          <w:tcPr>
            <w:tcW w:w="14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2025E</w:t>
            </w:r>
          </w:p>
        </w:tc>
        <w:tc>
          <w:tcPr>
            <w:tcW w:w="2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2027E</w:t>
            </w:r>
          </w:p>
        </w:tc>
        <w:tc>
          <w:tcPr>
            <w:tcW w:w="12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2028E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2029E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2030E</w:t>
            </w:r>
          </w:p>
        </w:tc>
      </w:tr>
      <w:tr>
        <w:trPr>
          <w:trHeight w:val="53"/>
        </w:trPr>
        <w:tc>
          <w:tcPr>
            <w:tcW w:w="1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87"/>
              </w:rPr>
              <w:t>$3,636</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$3,915</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$4,209</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87"/>
              </w:rPr>
              <w:t>$4,857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$5,197</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$5,561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$6,248</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$6,560</w:t>
            </w:r>
          </w:p>
        </w:tc>
      </w:tr>
      <w:tr>
        <w:trPr>
          <w:trHeight w:val="324"/>
        </w:trPr>
        <w:tc>
          <w:tcPr>
            <w:tcW w:w="182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(a)</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603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832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$1,287</w:t>
            </w:r>
          </w:p>
        </w:tc>
      </w:tr>
      <w:tr>
        <w:trPr>
          <w:trHeight w:val="324"/>
        </w:trPr>
        <w:tc>
          <w:tcPr>
            <w:tcW w:w="1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Unlevered FCF</w:t>
            </w:r>
            <w:r>
              <w:rPr>
                <w:rFonts w:ascii="Arial" w:cs="Arial" w:eastAsia="Arial" w:hAnsi="Arial"/>
                <w:sz w:val="29"/>
                <w:szCs w:val="29"/>
                <w:color w:val="auto"/>
                <w:vertAlign w:val="superscript"/>
              </w:rPr>
              <w:t>(b)</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787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836</w:t>
            </w:r>
          </w:p>
        </w:tc>
      </w:tr>
      <w:tr>
        <w:trPr>
          <w:trHeight w:val="420"/>
        </w:trPr>
        <w:tc>
          <w:tcPr>
            <w:tcW w:w="1820" w:type="dxa"/>
            <w:vAlign w:val="bottom"/>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(d)</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95"/>
              </w:rPr>
              <w:t>$ 6.06</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$ 6.97</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$ 7.79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$ 8.65</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95"/>
              </w:rPr>
              <w:t>$ 9.48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-2700655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-2700655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-2700655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-2700655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-2700655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-2700655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-2700655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-2700655</wp:posOffset>
            </wp:positionV>
            <wp:extent cx="102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-2700655</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-2700655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-900430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-900430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-900430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-900430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-900430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-900430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-900430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-900430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-900430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-900430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ind w:left="640" w:right="299" w:hanging="348"/>
        <w:spacing w:after="0" w:line="253" w:lineRule="auto"/>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Adjusted EBITDA is calculated as net earnings before interest, income taxes, depreciation and amortization, adjusted to exclude stock-based compensation expense and one-time expenses.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Unlevered FCF, or unlevered free cash flow, is calculated as Adjusted EBITDA less stock-based compensation expense, taxes, capital expenditures, and adjusted for changes in net working capital.</w:t>
      </w:r>
    </w:p>
    <w:p>
      <w:pPr>
        <w:spacing w:after="0" w:line="11" w:lineRule="exact"/>
        <w:rPr>
          <w:rFonts w:ascii="Arial" w:cs="Arial" w:eastAsia="Arial" w:hAnsi="Arial"/>
          <w:sz w:val="14"/>
          <w:szCs w:val="14"/>
          <w:color w:val="auto"/>
        </w:rPr>
      </w:pPr>
    </w:p>
    <w:p>
      <w:pPr>
        <w:jc w:val="both"/>
        <w:ind w:left="640" w:right="299" w:hanging="348"/>
        <w:spacing w:after="0" w:line="277" w:lineRule="auto"/>
        <w:tabs>
          <w:tab w:leader="none" w:pos="64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Adjusted EPS, or adjusted earnings per share, in ICON Forecasts is calculated as net income adjusted to exclude stock-based compensation expense and one-time expenses divided by a fixed number of ICON ordinary shares assumed to be outstanding, as forecasted by ICON management. For purposes of their respective financial analyses, PRA’s financial advisors used adjusted earnings per share for 2021E and 2022E of $9.08 and $9.95 respectively, calculated by PRA’s financial advisors and approved for their use by PRA based on information included in the ICON Forecasts as adjusted earnings per share unburdened for stock based compensation and amortization of intangibles.</w:t>
      </w:r>
    </w:p>
    <w:p>
      <w:pPr>
        <w:jc w:val="both"/>
        <w:ind w:left="640" w:right="319" w:hanging="348"/>
        <w:spacing w:after="0" w:line="238" w:lineRule="auto"/>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Adjusted EPS, or adjusted earnings per share, in ICON-Adjusted PRA Forecasts is calculated as net income adjusted to exclude stock-based compensation expense, amortization and one-time expenses, divided by the weighted-average diluted shares of PRA common stock outstanding, for each year, as forecasted by ICON management.</w:t>
      </w:r>
    </w:p>
    <w:p>
      <w:pPr>
        <w:spacing w:after="0" w:line="7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As noted above, the ICON management forecasts were prepared treating each of ICON and PRA on a stand-alone basis, without giving effect to the merger. The ICON management forecasts accordingly do not reflect estimated annual run-rate cost synergies of $150 million, or estimated tax savings anticipated to result from the combined effective tax rate of the combined company decreasing to 14%, which cost synergies and tax savings are</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anticipated to be realized in approximately four years. BofA Securities and UBS were directed by PRA management to use and rely upon such cost-synergies and tax savings for purposes of their respective financial analyses and fairness opinions. There can be no assurance that anticipated synergies or savings will be realized in full or at all or in the time frame anticipated. See “</w:t>
      </w:r>
      <w:r>
        <w:rPr>
          <w:rFonts w:ascii="Arial" w:cs="Arial" w:eastAsia="Arial" w:hAnsi="Arial"/>
          <w:sz w:val="16"/>
          <w:szCs w:val="16"/>
          <w:b w:val="1"/>
          <w:bCs w:val="1"/>
          <w:color w:val="auto"/>
        </w:rPr>
        <w:t>Risk Factors—Risks Relating to the Combined Company after Completion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the Merger—ICON may be unable to realize anticipated cost synergies and expects to incur substantial expenses related to the merger</w:t>
      </w:r>
      <w:r>
        <w:rPr>
          <w:rFonts w:ascii="Arial" w:cs="Arial" w:eastAsia="Arial" w:hAnsi="Arial"/>
          <w:sz w:val="16"/>
          <w:szCs w:val="16"/>
          <w:color w:val="auto"/>
        </w:rPr>
        <w:t>” beginning on page [</w:t>
      </w:r>
      <w:hyperlink w:anchor="page61">
        <w:r>
          <w:rPr>
            <w:rFonts w:ascii="Arial" w:cs="Arial" w:eastAsia="Arial" w:hAnsi="Arial"/>
            <w:sz w:val="16"/>
            <w:szCs w:val="16"/>
            <w:u w:val="single" w:color="auto"/>
            <w:color w:val="0000EE"/>
          </w:rPr>
          <w:t>44</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w:t>
      </w:r>
      <w:r>
        <w:rPr>
          <w:rFonts w:ascii="Arial" w:cs="Arial" w:eastAsia="Arial" w:hAnsi="Arial"/>
          <w:sz w:val="16"/>
          <w:szCs w:val="16"/>
          <w:b w:val="1"/>
          <w:bCs w:val="1"/>
          <w:color w:val="auto"/>
        </w:rPr>
        <w:t>Risk Factors—Risks Relating to the Combined</w:t>
      </w:r>
    </w:p>
    <w:p>
      <w:pPr>
        <w:spacing w:after="0" w:line="4" w:lineRule="exact"/>
        <w:rPr>
          <w:sz w:val="20"/>
          <w:szCs w:val="20"/>
          <w:color w:val="auto"/>
        </w:rPr>
      </w:pPr>
    </w:p>
    <w:p>
      <w:pPr>
        <w:jc w:val="both"/>
        <w:ind w:left="300" w:right="299"/>
        <w:spacing w:after="0" w:line="302" w:lineRule="auto"/>
        <w:rPr>
          <w:rFonts w:ascii="Arial" w:cs="Arial" w:eastAsia="Arial" w:hAnsi="Arial"/>
          <w:sz w:val="16"/>
          <w:szCs w:val="16"/>
          <w:b w:val="1"/>
          <w:bCs w:val="1"/>
          <w:color w:val="auto"/>
        </w:rPr>
      </w:pPr>
      <w:r>
        <w:rPr>
          <w:rFonts w:ascii="Arial" w:cs="Arial" w:eastAsia="Arial" w:hAnsi="Arial"/>
          <w:sz w:val="16"/>
          <w:szCs w:val="16"/>
          <w:b w:val="1"/>
          <w:bCs w:val="1"/>
          <w:color w:val="auto"/>
        </w:rPr>
        <w:t>Company after Completion of the Merger—There is a risk that, as a result of the merger, either (1) ICON could be treated as having become a U.S. corporation for U.S. federal income tax purposes or (2) ICON and its affiliates could become subject to certain adverse U.S. federal income tax rules</w:t>
      </w:r>
      <w:r>
        <w:rPr>
          <w:rFonts w:ascii="Arial" w:cs="Arial" w:eastAsia="Arial" w:hAnsi="Arial"/>
          <w:sz w:val="16"/>
          <w:szCs w:val="16"/>
          <w:color w:val="auto"/>
        </w:rPr>
        <w:t>” beginning on page [</w:t>
      </w:r>
      <w:hyperlink w:anchor="page63">
        <w:r>
          <w:rPr>
            <w:rFonts w:ascii="Arial" w:cs="Arial" w:eastAsia="Arial" w:hAnsi="Arial"/>
            <w:sz w:val="16"/>
            <w:szCs w:val="16"/>
            <w:u w:val="single" w:color="auto"/>
            <w:color w:val="0000EE"/>
          </w:rPr>
          <w:t>46</w:t>
        </w:r>
      </w:hyperlink>
      <w:r>
        <w:rPr>
          <w:rFonts w:ascii="Arial" w:cs="Arial" w:eastAsia="Arial" w:hAnsi="Arial"/>
          <w:sz w:val="16"/>
          <w:szCs w:val="16"/>
          <w:color w:val="auto"/>
        </w:rPr>
        <w: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 Unaudited Financial Forecasts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PRA does not as a matter of course publicly disclose long-term projections as to future performance, earnings, or other results due to the inherent unpredictability and subjectivity of the underlying assumptions and estimates. However, in connection with the discussions regarding the proposed merger, each of PRA and ICON supplied the other with certain unaudited business and financial information that was not publicly available. PRA provided its board of directors, BofA Securities, UBS, Centerview and ICON with certain financial forecasts which were prepared by and are the responsibility of, the management of PRA, which are referred to in this section as the financial forecasts by PRA. BofA Securities and UBS were directed by PRA management to use and rely upon the financial forecasts by PRA for purposes of their respective financial analyses and fairness opinions. The financial forecasts by PRA were prepared in January 2021 treating PRA on a stand-alone basis, without giving effect to, and as if PRA never contemplated, the merger including the impact of negotiating or executing the merger agreement, the expenses that may be incurred in connection with consummating the merger, the potential synergies that may be achieved by the combined company as a result of the merger, the effect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w:t>
      </w:r>
    </w:p>
    <w:p>
      <w:pPr>
        <w:spacing w:after="0" w:line="5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accompanying financial forecasts by PRA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PRA’s management, were prepared on a reasonable basis, reflected the best currently available estimates and judgments at the time of preparation, and presented as of the time of preparation, to the best of PRA management’s knowledge and belief, the reasonable projections of the future financial performance of PRA. However, this information is not factual and should not be relied upon as being necessarily indicative of future results, and readers of this joint proxy statement/prospectus are cautioned not to place undue reliance on the financial forecasts by PRA. Although PRA’s management believes there is a reasonable basis for the financial forecasts by PRA, PRA cautions PRA stockholders that future results could be materially different from the financial forecasts by PRA. The summary of the financial forecasts by PRA is not being included in this joint proxy statement/prospectus to influence your decision whether to vote for the PRA merger agreement proposal, but because these financial forecasts by PRA were shared between PRA and ICON and provided to PRA’s and ICON’s respective boards of directors for purposes of considering and evaluating the merger and the merger agreement and financial advisors for their use in their respective financial analyses. The financial forecasts of ICON and PRA included in this joint proxy statement/prospectus have been prepared by, and are the responsibility of ICON management or PRA management, as applicable. KPMG, ICON’s independent registered public accounting firm, Deloitte &amp; Touche LLP, PRA’s independent registered public accounting firm, or any other audit firm has not audited, reviewed, examined, compiled nor applied agreed-upon procedures with respect to the accompanying financial projections and, accordingly, KPMG and Deloitte &amp; Touche LLP do not express an opinion or any other form of assurance with respect thereto, or its achievability, and they assume no responsibility for, and disclaim any association with, the prospective financial information. The reports of KPMG and Deloitte &amp; Touche LLP incorporated by reference in this joint proxy statement/prospectus relate to ICON’s or PRA’s previously issued financial statements. They do not extend to the accompanying financial projections and should not be read to do so.</w:t>
      </w:r>
    </w:p>
    <w:p>
      <w:pPr>
        <w:spacing w:after="0" w:line="6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financial forecasts by PRA are subject to estimates and assumptions in many respects and, as a result, subject to interpretation. While presented with numerical specificity, the financial forecasts by PRA are based upon a variety of estimates and assumptions that are inherently uncertain, though considered reasonable by PRA’s management as of the date of their preparation. These estimates and assumptions may prove to be inaccurate for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number of reasons, including general economic conditions, competition, and the risks discussed in this joint proxy statement/prospectus under the sections entitled “</w:t>
      </w:r>
      <w:r>
        <w:rPr>
          <w:rFonts w:ascii="Arial" w:cs="Arial" w:eastAsia="Arial" w:hAnsi="Arial"/>
          <w:sz w:val="16"/>
          <w:szCs w:val="16"/>
          <w:b w:val="1"/>
          <w:bCs w:val="1"/>
          <w:color w:val="auto"/>
        </w:rPr>
        <w:t>Cautionary Statement Regarding Forward-Looking</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Statements</w:t>
      </w:r>
      <w:r>
        <w:rPr>
          <w:rFonts w:ascii="Arial" w:cs="Arial" w:eastAsia="Arial" w:hAnsi="Arial"/>
          <w:sz w:val="16"/>
          <w:szCs w:val="16"/>
          <w:color w:val="auto"/>
        </w:rPr>
        <w:t>” and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pages [</w:t>
      </w:r>
      <w:hyperlink w:anchor="page49">
        <w:r>
          <w:rPr>
            <w:rFonts w:ascii="Arial" w:cs="Arial" w:eastAsia="Arial" w:hAnsi="Arial"/>
            <w:sz w:val="16"/>
            <w:szCs w:val="16"/>
            <w:u w:val="single" w:color="auto"/>
            <w:color w:val="0000EE"/>
          </w:rPr>
          <w:t>32</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w:t>
      </w:r>
      <w:hyperlink w:anchor="page51">
        <w:r>
          <w:rPr>
            <w:rFonts w:ascii="Arial" w:cs="Arial" w:eastAsia="Arial" w:hAnsi="Arial"/>
            <w:sz w:val="16"/>
            <w:szCs w:val="16"/>
            <w:u w:val="single" w:color="auto"/>
            <w:color w:val="0000EE"/>
          </w:rPr>
          <w:t>34</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The financial forecasts by PRA</w:t>
      </w:r>
      <w:r>
        <w:rPr>
          <w:rFonts w:ascii="Arial" w:cs="Arial" w:eastAsia="Arial" w:hAnsi="Arial"/>
          <w:sz w:val="16"/>
          <w:szCs w:val="16"/>
          <w:b w:val="1"/>
          <w:bCs w:val="1"/>
          <w:color w:val="auto"/>
        </w:rPr>
        <w:t xml:space="preserve"> </w:t>
      </w:r>
      <w:r>
        <w:rPr>
          <w:rFonts w:ascii="Arial" w:cs="Arial" w:eastAsia="Arial" w:hAnsi="Arial"/>
          <w:sz w:val="16"/>
          <w:szCs w:val="16"/>
          <w:color w:val="auto"/>
        </w:rPr>
        <w:t>also reflect assumptions as to certain business decisions that are subject to change. Because the financial forecasts by PRA were developed for PRA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PRA’s operations or strategy that may be implemented after completion of the merger. There can be no assurance that the projections will be realized, and actual results may differ materially from those shown. Generally, the further out the period to which financial forecasts by PRA relate, the more unreliable the information becomes.</w:t>
      </w:r>
    </w:p>
    <w:p>
      <w:pPr>
        <w:spacing w:after="0" w:line="6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PRA uses a variety of financial measures that are not in accordance with GAAP for forecasting, budgeting and measuring operating performance, including Adjusted EBITDA (as described below) and unlevered free cash flow (as described below). While PRA believes that these non-GAAP financial measures provide meaningful information to help investors understand the operating results and to analyze PRA’s financial business trends, there are limitations associated with the use of these non-GAAP financial measures. These non-GAAP financial measures are not prepared in accordance with GAAP and may not be directly comparable to similarly titled measures of PRA’s competitors (or ICON) due to potential differences in the exact method of calculation. Further, these non-GAAP financial measures are not meant to be considered in isolation or as a substitute for comparable GAAP measures.</w:t>
      </w:r>
    </w:p>
    <w:p>
      <w:pPr>
        <w:spacing w:after="0" w:line="57" w:lineRule="exact"/>
        <w:rPr>
          <w:sz w:val="20"/>
          <w:szCs w:val="20"/>
          <w:color w:val="auto"/>
        </w:rPr>
      </w:pPr>
    </w:p>
    <w:p>
      <w:pPr>
        <w:jc w:val="both"/>
        <w:ind w:left="300" w:right="299" w:firstLine="3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Financial measures included in forecasts (including the financial forecasts by PRA) provided to a financial advisor are excluded from the definition of “non-GAAP financial measures” under the rules of the SEC if and to the extent such financial measures are included in the forecasts provided to the financial advisor for the purpose of rendering an opinion that is materially related to a business combination transaction and the forecasts are being disclosed in order to comply with the SEC rules or requirements under state or foreign law, including case law regarding disclosure of the financial advisor’s analyses. Therefore the financial forecasts by PRA are not subject to the SEC rules regarding disclosures of non-GAAP financial measures, which would otherwise require a reconciliation of a non-GAAP financial measure to a GAAP financial measure. Reconciliations of non-GAAP financial measures were not relied upon by any of BofA Securities, Centerview, or UBS for purposes of its respective opinion to the PRA board of directors or the ICON board of directors, as applicable, as described above in the sections entitled “</w:t>
      </w:r>
      <w:r>
        <w:rPr>
          <w:rFonts w:ascii="Arial" w:cs="Arial" w:eastAsia="Arial" w:hAnsi="Arial"/>
          <w:sz w:val="17"/>
          <w:szCs w:val="17"/>
          <w:b w:val="1"/>
          <w:bCs w:val="1"/>
          <w:color w:val="auto"/>
        </w:rPr>
        <w:t>The Merger—Opinions of PRA’s Financial Advisors</w:t>
      </w:r>
      <w:r>
        <w:rPr>
          <w:rFonts w:ascii="Arial" w:cs="Arial" w:eastAsia="Arial" w:hAnsi="Arial"/>
          <w:sz w:val="17"/>
          <w:szCs w:val="17"/>
          <w:color w:val="auto"/>
        </w:rPr>
        <w:t>” or “</w:t>
      </w:r>
      <w:r>
        <w:rPr>
          <w:rFonts w:ascii="Arial" w:cs="Arial" w:eastAsia="Arial" w:hAnsi="Arial"/>
          <w:sz w:val="17"/>
          <w:szCs w:val="17"/>
          <w:b w:val="1"/>
          <w:bCs w:val="1"/>
          <w:color w:val="auto"/>
        </w:rPr>
        <w:t>The Merger—Opinion of</w:t>
      </w:r>
      <w:r>
        <w:rPr>
          <w:rFonts w:ascii="Arial" w:cs="Arial" w:eastAsia="Arial" w:hAnsi="Arial"/>
          <w:sz w:val="17"/>
          <w:szCs w:val="17"/>
          <w:color w:val="auto"/>
        </w:rPr>
        <w:t xml:space="preserve"> </w:t>
      </w:r>
      <w:r>
        <w:rPr>
          <w:rFonts w:ascii="Arial" w:cs="Arial" w:eastAsia="Arial" w:hAnsi="Arial"/>
          <w:sz w:val="17"/>
          <w:szCs w:val="17"/>
          <w:b w:val="1"/>
          <w:bCs w:val="1"/>
          <w:color w:val="auto"/>
        </w:rPr>
        <w:t>ICON’s Financial Advisor</w:t>
      </w:r>
      <w:r>
        <w:rPr>
          <w:rFonts w:ascii="Arial" w:cs="Arial" w:eastAsia="Arial" w:hAnsi="Arial"/>
          <w:sz w:val="17"/>
          <w:szCs w:val="17"/>
          <w:color w:val="auto"/>
        </w:rPr>
        <w:t>” beginning on pages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or by the PRA board of directors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its consideration of the merger. Accordingly, no reconciliation of the financial measures included in the financial forecasts by PRA is provided.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None of PRA, ICON, the combined company, their respective financial advisors, or their respective affiliates, advisors, officers, directors or other representatives can provide any assurance that actual results will not differ from the financial forecasts by PRA, and none of them undertakes any obligation to update, or otherwise revise or reconcile, the financial forecasts by PRA. Except as required by applicable securities laws, PRA does not intend to make publicly available any update or other revision to the financial forecasts by PRA, even in the event that any or all assumptions are shown to be in error. None of PRA, its financial advisor or their respective affiliates, advisors, officers, directors or other representatives has made or makes any representation to any PRA stockholder or other person regarding PRA’s ultimate performance compared to the information contained in the financial forecasts by PRA or that forecasted results will be achieved. PRA has made no representation to ICON, in the merger agreement or otherwise, concerning the financial forecasts by PRA.</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the financial forecasts by PRA</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connection with the evaluation of the merger, PRA’s management prepared forecasts of PRA’s financial results for calendar years 2021 through 2025. The following table presents a summary of the financial forecasts by PRA:</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FY</w:t>
            </w:r>
          </w:p>
        </w:tc>
        <w:tc>
          <w:tcPr>
            <w:tcW w:w="8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FY 2022E</w:t>
            </w:r>
          </w:p>
        </w:tc>
        <w:tc>
          <w:tcPr>
            <w:tcW w:w="8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FY 2023E</w:t>
            </w:r>
          </w:p>
        </w:tc>
        <w:tc>
          <w:tcPr>
            <w:tcW w:w="8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FY 2024E</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FY 2025E</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2021E</w:t>
            </w:r>
          </w:p>
        </w:tc>
        <w:tc>
          <w:tcPr>
            <w:tcW w:w="8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560" w:type="dxa"/>
            <w:vAlign w:val="bottom"/>
          </w:tcPr>
          <w:p>
            <w:pPr>
              <w:spacing w:after="0"/>
              <w:rPr>
                <w:sz w:val="4"/>
                <w:szCs w:val="4"/>
                <w:color w:val="auto"/>
              </w:rPr>
            </w:pPr>
          </w:p>
        </w:tc>
        <w:tc>
          <w:tcPr>
            <w:tcW w:w="386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560" w:type="dxa"/>
            <w:vAlign w:val="bottom"/>
          </w:tcPr>
          <w:p>
            <w:pPr>
              <w:spacing w:after="0"/>
              <w:rPr>
                <w:sz w:val="19"/>
                <w:szCs w:val="19"/>
                <w:color w:val="auto"/>
              </w:rPr>
            </w:pPr>
          </w:p>
        </w:tc>
        <w:tc>
          <w:tcPr>
            <w:tcW w:w="386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53"/>
        </w:trPr>
        <w:tc>
          <w:tcPr>
            <w:tcW w:w="45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$3,778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$4,489</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324"/>
        </w:trPr>
        <w:tc>
          <w:tcPr>
            <w:tcW w:w="456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$615</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$910</w:t>
            </w: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324"/>
        </w:trPr>
        <w:tc>
          <w:tcPr>
            <w:tcW w:w="4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Adjusted net income per diluted share</w:t>
            </w:r>
            <w:r>
              <w:rPr>
                <w:rFonts w:ascii="Arial" w:cs="Arial" w:eastAsia="Arial" w:hAnsi="Arial"/>
                <w:sz w:val="29"/>
                <w:szCs w:val="29"/>
                <w:color w:val="auto"/>
                <w:vertAlign w:val="superscript"/>
              </w:rPr>
              <w:t>(2)</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420"/>
        </w:trPr>
        <w:tc>
          <w:tcPr>
            <w:tcW w:w="456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(3)</w:t>
            </w: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$389</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72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-900430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-1089025</wp:posOffset>
            </wp:positionV>
            <wp:extent cx="1200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-1089025</wp:posOffset>
            </wp:positionV>
            <wp:extent cx="1200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-1089025</wp:posOffset>
            </wp:positionV>
            <wp:extent cx="1200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-1089025</wp:posOffset>
            </wp:positionV>
            <wp:extent cx="1200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24765</wp:posOffset>
            </wp:positionV>
            <wp:extent cx="8229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68" w:lineRule="exact"/>
        <w:rPr>
          <w:sz w:val="20"/>
          <w:szCs w:val="20"/>
          <w:color w:val="auto"/>
        </w:rPr>
      </w:pPr>
    </w:p>
    <w:p>
      <w:pPr>
        <w:jc w:val="both"/>
        <w:ind w:left="640" w:right="299" w:hanging="348"/>
        <w:spacing w:after="0" w:line="290" w:lineRule="auto"/>
        <w:tabs>
          <w:tab w:leader="none" w:pos="6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Adjusted EBITDA is calculated as net earnings before interest, income taxes, depreciation and amortization, adjusted to exclude stock-based compensation expense, loss (gain) on disposal of fixed assets, loss on modification or extinguishment of debt, foreign currency losses</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8" w:lineRule="auto"/>
        <w:rPr>
          <w:sz w:val="20"/>
          <w:szCs w:val="20"/>
          <w:color w:val="auto"/>
        </w:rPr>
      </w:pPr>
      <w:r>
        <w:rPr>
          <w:rFonts w:ascii="Arial" w:cs="Arial" w:eastAsia="Arial" w:hAnsi="Arial"/>
          <w:sz w:val="14"/>
          <w:szCs w:val="14"/>
          <w:color w:val="auto"/>
        </w:rPr>
        <w:t>(gains), other non-operating expense (income), transaction-related costs, acquisition-related costs, severance costs and restructuring charges, lease termination expense, non-cash rent adjustment, adjustment to reflect amounts attributable to noncontrolling interest and other charges.</w:t>
      </w:r>
    </w:p>
    <w:p>
      <w:pPr>
        <w:spacing w:after="0" w:line="21" w:lineRule="exact"/>
        <w:rPr>
          <w:sz w:val="20"/>
          <w:szCs w:val="20"/>
          <w:color w:val="auto"/>
        </w:rPr>
      </w:pPr>
    </w:p>
    <w:p>
      <w:pPr>
        <w:jc w:val="both"/>
        <w:ind w:left="640" w:right="299" w:hanging="348"/>
        <w:spacing w:after="0" w:line="247" w:lineRule="auto"/>
        <w:tabs>
          <w:tab w:leader="none" w:pos="6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Adjusted net income per diluted share is calculated as net income adjusted to exclude stock-based compensation expense, amortization of intangible assets, amortization of terminated interest rate swaps, amortization of deferred financing costs, loss (gain) on disposal of fixed assets, loss on modification or extinguishment of debt, foreign currency losses (gains), other non-operating expense (income), transaction-related costs, acquisition-related costs, severance costs and restructuring charges, lease termination expense, non-cash rent adjustment, adjustment to reflect amounts attributable to noncontrolling interest and other charges divided by the weighted average number of common shares or common stock equivalents outstanding during the applicable period. The dilutive effect of common stock equivalents is included in the calculation of diluted earnings per share, unless the effect of inclusion would be anti-dilutive.</w:t>
      </w:r>
    </w:p>
    <w:p>
      <w:pPr>
        <w:spacing w:after="0" w:line="16"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Unlevered Free Cash Flow is calculated as Adjusted EBITDA less stock-based compensation expense, taxes, capital expenditures, and adjusted for changes in net working capital.</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1" w:lineRule="exact"/>
        <w:rPr>
          <w:sz w:val="20"/>
          <w:szCs w:val="20"/>
          <w:color w:val="auto"/>
        </w:rPr>
      </w:pPr>
    </w:p>
    <w:p>
      <w:pPr>
        <w:jc w:val="both"/>
        <w:ind w:left="300" w:right="299" w:firstLine="3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The closing of the merger will take place as soon as practicable (and, in any event, within five (5) business days) after the satisfaction or, to the extent permitted under the merger agreement, waiver of all conditions for completion of the merger contained in the merger agreement (other than those conditions that by their nature are to be satisfied or waived at the closing, but subject to the satisfaction or waiver (to the extent permitted under the merger agreement) of such conditions), or on such other date as ICON and PRA may mutually agree in writing. Subject to the satisfaction or waiver of the conditions to the closing described in the section entitled “</w:t>
      </w:r>
      <w:r>
        <w:rPr>
          <w:rFonts w:ascii="Arial" w:cs="Arial" w:eastAsia="Arial" w:hAnsi="Arial"/>
          <w:sz w:val="17"/>
          <w:szCs w:val="17"/>
          <w:b w:val="1"/>
          <w:bCs w:val="1"/>
          <w:color w:val="auto"/>
        </w:rPr>
        <w:t>The 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Agreement—Conditions to the Completion of the Merger</w:t>
      </w:r>
      <w:r>
        <w:rPr>
          <w:rFonts w:ascii="Arial" w:cs="Arial" w:eastAsia="Arial" w:hAnsi="Arial"/>
          <w:sz w:val="17"/>
          <w:szCs w:val="17"/>
          <w:color w:val="auto"/>
        </w:rPr>
        <w:t>” beginning on page [</w:t>
      </w:r>
      <w:hyperlink w:anchor="page157">
        <w:r>
          <w:rPr>
            <w:rFonts w:ascii="Arial" w:cs="Arial" w:eastAsia="Arial" w:hAnsi="Arial"/>
            <w:sz w:val="17"/>
            <w:szCs w:val="17"/>
            <w:u w:val="single" w:color="auto"/>
            <w:color w:val="0000EE"/>
          </w:rPr>
          <w:t>140</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merger agreement by PRA stockholders at the PRA stockholder meeting and approval of the share issuance by ICON shareholders at the ICON EGM, it is anticipated that the merger will close in July 2021, but in no event shall the merger be completed prior to July 1, 2021. However, neither ICON nor PRA can predict the actual date on which the merger will be completed, or if the completion will occur at all, because completion is subject to conditions and factors outside the control of both companies. It is possible that factors outside the control of both companies could result in the merger being completed at a different time, or not at all.</w:t>
      </w:r>
    </w:p>
    <w:p>
      <w:pPr>
        <w:spacing w:after="0" w:line="7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closing, ICON and PRA will cause a certificate of merger relating to the merger, which is referred to as the certificate of merger, to be executed and filed with the Delaware Secretary as provided in Section 251 of the DGCL. The merger will become effective at the time when the certificate of merger has been duly filed with the Delaware Secretary or at such later date and time as may be agreed by ICON and PRA in writing and specified in the certificate of merger.</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Reasonable Best Efforts and Regulatory Approvals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ICON and PRA have agreed to each use, and cause their respective subsidiaries to use, their respective reasonable best efforts to take, or cause to be taken, all actions and to do, or cause to be done, and to assist and cooperate with the other parties in doing all things necessary, proper or advisable under applicable law to (i) obtain all necessary actions and nonactions, waivers, registrations, permits, authorizations, orders, consents and approvals from governmental entities, the expiry or early termination of any applicable waiting periods, and make all necessary registrations and filings and take all steps as may be reasonably necessary to obtain an approval or waiver from, or to avoid an action or proceeding by, any governmental entities, (ii) obtain all necessary consents and waivers from third parties and (iii) execute and deliver any necessary additional instruments necessary to consummate the transactions contemplated by the merger agreement as promptly as practicable (and in any event prior to 11:59 p.m., Eastern Time, on February 24, 2022 or such later date as set forth in the merger agreement).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Requisite Regulatory Approvals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completion of the merger is subject to the receipt of antitrust clearance in the United States, Germany, Russia and Austria, and to approval of foreign direct investment in each of Austria, France, Germany, Italy and New Zealand.</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With respect to the United States, under the HSR Act and the rules promulgated thereunder, the merger may not be completed until notification and report forms have been filed with the FTC and the DOJ, and the applicable waiting period (or any extensions thereof) has expired or been terminated. ICON and PRA each filed an HSR notification with the FTC and the DOJ on March 15, 2021. The waiting period under the HSR Act with respect to the filed notifications expired on April 14, 2021. ICON and PRA have submitted antitrust filings in Austria, Germany and Russia. Approval was received with respect to antitrust filings in Austria and Germany on April 17, 2021,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April 12, 2021, respectively. ICON and PRA have also submitted foreign direct investment filings in Austria, France, Germany, Italy and New Zealand. Approval with respect to the New Zealand filing was received on April 19, 2021, and approvals with respect to the German and Italian foreign direct investment filings were received on April 22, 2021. As of the date of this joint proxy statement/prospectus, subject to receipt of required regulatory approvals and satisfaction or waiver of the other conditions to completion of the merger, ICON and PRA expect the merger to close in July 2021.</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At any time before or after consummation of the merger, notwithstanding the termination of the waiting period under the HSR Act, the DOJ or the FTC, or any state or some foreign governmental entities, could take such action under the antitrust laws as each deems necessary or desirable in the public interest, including seeking to enjoin the completion of the merger or seeking divestiture of substantial assets of PRA and ICON. Private parties also may seek to take legal action under the antitrust laws under certain circumstances.</w:t>
      </w:r>
    </w:p>
    <w:p>
      <w:pPr>
        <w:spacing w:after="0" w:line="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There can be no assurance that the DOJ, the FTC or any other governmental entity or any private party will not attempt to challenge the merger on antitrust or competition grounds, and, if such a challenge is made, there can be no assurance as to its result.</w:t>
      </w:r>
    </w:p>
    <w:p>
      <w:pPr>
        <w:spacing w:after="0" w:line="76" w:lineRule="exact"/>
        <w:rPr>
          <w:sz w:val="20"/>
          <w:szCs w:val="20"/>
          <w:color w:val="auto"/>
        </w:rPr>
      </w:pPr>
    </w:p>
    <w:p>
      <w:pPr>
        <w:jc w:val="both"/>
        <w:ind w:left="300" w:right="299" w:firstLine="360"/>
        <w:spacing w:after="0" w:line="263" w:lineRule="auto"/>
        <w:rPr>
          <w:rFonts w:ascii="Arial" w:cs="Arial" w:eastAsia="Arial" w:hAnsi="Arial"/>
          <w:sz w:val="18"/>
          <w:szCs w:val="18"/>
          <w:color w:val="auto"/>
        </w:rPr>
      </w:pPr>
      <w:r>
        <w:rPr>
          <w:rFonts w:ascii="Arial" w:cs="Arial" w:eastAsia="Arial" w:hAnsi="Arial"/>
          <w:sz w:val="18"/>
          <w:szCs w:val="18"/>
          <w:color w:val="auto"/>
        </w:rPr>
        <w:t>For a description of the parties’ obligations with respect to regulatory approvals related to the merger, see the section entitled “</w:t>
      </w:r>
      <w:r>
        <w:rPr>
          <w:rFonts w:ascii="Arial" w:cs="Arial" w:eastAsia="Arial" w:hAnsi="Arial"/>
          <w:sz w:val="18"/>
          <w:szCs w:val="18"/>
          <w:b w:val="1"/>
          <w:bCs w:val="1"/>
          <w:color w:val="auto"/>
        </w:rPr>
        <w:t>The Merger Agreement—Reasonable Best Efforts and Regulatory Approvals</w:t>
      </w:r>
      <w:r>
        <w:rPr>
          <w:rFonts w:ascii="Arial" w:cs="Arial" w:eastAsia="Arial" w:hAnsi="Arial"/>
          <w:sz w:val="18"/>
          <w:szCs w:val="18"/>
          <w:color w:val="auto"/>
        </w:rPr>
        <w:t>” beginning on page [</w:t>
      </w:r>
      <w:hyperlink w:anchor="page149">
        <w:r>
          <w:rPr>
            <w:rFonts w:ascii="Arial" w:cs="Arial" w:eastAsia="Arial" w:hAnsi="Arial"/>
            <w:sz w:val="18"/>
            <w:szCs w:val="18"/>
            <w:u w:val="single" w:color="auto"/>
            <w:color w:val="0000EE"/>
          </w:rPr>
          <w:t>132</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Ownership of ICON after the Merger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ordinary shares of ICON, and ICON shareholders as of immediately prior to the completion of the merger will hold, in the aggregate, approximately 66% of the issued and outstanding ordinary shares of ICON.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Governance of ICON after the Merger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Constitution</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constitution of ICON as currently in effect will be the constitution of ICON after the merger, until thereafter amended by special resolution of the shareholders at a general meeting. Special resolutions require a majority of not less than 75% of the shareholder votes cast at a general meeting at which a quorum is present.</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 Board of Directors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Chairman of ICON plc, will serve as the Chairman of the Board of Directors of the combined company.</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ICON’s constitution provides that, unless otherwise determined by ICON at a general meeting, the number of directors shall not be more than fifteen (15) nor fewer than three (3). ICON’s board of directors comprises one (1) executive director and nine (9) outside or non-executive directors at the date of this joint proxy statement/prospectus. 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(2)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exemptions from Nasdaq corporate governance requirements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foreign private issuer, ICON is eligible for exemption from certain Nasdaq corporate governance requirements that apply to U.S. domestic issuers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of the date of this joint proxy statement/prospectus, the exemptions from Nasdaq corporate governance requirements that ICON relies on, and the practices ICON adheres to, are as follows:</w:t>
      </w:r>
    </w:p>
    <w:p>
      <w:pPr>
        <w:spacing w:after="0" w:line="62" w:lineRule="exact"/>
        <w:rPr>
          <w:sz w:val="20"/>
          <w:szCs w:val="20"/>
          <w:color w:val="auto"/>
        </w:rPr>
      </w:pPr>
    </w:p>
    <w:p>
      <w:pPr>
        <w:jc w:val="both"/>
        <w:ind w:left="1000" w:right="299" w:hanging="348"/>
        <w:spacing w:after="0" w:line="296"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ICON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ICON’s Constitution requires that only three (3) members be present, in person or by proxy, at a shareholder meeting to constitute a quorum. This quorum requirement is in accordance with Irish law.</w:t>
      </w:r>
    </w:p>
    <w:p>
      <w:pPr>
        <w:spacing w:after="0" w:line="53" w:lineRule="exact"/>
        <w:rPr>
          <w:rFonts w:ascii="Arial" w:cs="Arial" w:eastAsia="Arial" w:hAnsi="Arial"/>
          <w:sz w:val="16"/>
          <w:szCs w:val="16"/>
          <w:color w:val="auto"/>
        </w:rPr>
      </w:pPr>
    </w:p>
    <w:p>
      <w:pPr>
        <w:jc w:val="both"/>
        <w:ind w:left="1000" w:right="319" w:hanging="348"/>
        <w:spacing w:after="0" w:line="254"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ICON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ICON’s restricted share unit plans and share option plans were adopted by ICON’s board of directors without shareholder approval.</w:t>
      </w:r>
    </w:p>
    <w:p>
      <w:pPr>
        <w:spacing w:after="0" w:line="86"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ICON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ICON holds regularly scheduled meetings which all of the directors may attend and the lead independent director may call meetings of the independent directors and non-employee directors, as appropriate, in accordance with the lead independent director charter.</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Securities Law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Pending the effectiveness of the registration statement on Form F-4, of which this joint proxy statement/prospectus forms a part, ICON ordinary shares issued in the merger will not be subject to any restrictions on transfer arising under the Securities Act or the Exchange Act, except for ICON ordinary shares issued to any PRA stockholder who may be deemed an “affiliate” of ICON after the completion of the merger. This joint proxy statement/prospectus does not cover resales of ICON ordinary shares received by any person upon the completion of the merger, and no person is authorized to make any use of this joint proxy statement/prospectus in connection with any resale of ICON ordinary shares.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and PRA prepare their respective financial statements in accordance with GAAP. The merger will be accounted for using the acquisition method of accounting, and ICON will be treated as the accounting acquirer. In identifying ICON as the acquiring entity for accounting purposes, ICON and PRA took into account a number of factors as of the date of this joint proxy statement/prospectus, including the estimate of the relative voting rights of all equity instruments in the combined company, the expected composition of senior management of the combined company and the expected corporate governance structure of the combined company. No single factor was the sole determinant in the overall conclusion that ICON is the acquirer for accounting purposes; rather, all factors were considered in arriving at such conclusion.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Financing</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ICON’s obligation to complete the transaction is not contingent on the receipt by ICON of any financing. ICON estimates that it and US HoldCo will need approximately $6,441.9 million in order to pay PRA stockholders the cash consideration due to them as merger consideration under the merger agreement, pay related fees and transaction costs in connection with the transactions, and refinance certain existing indebtedness of PRA. ICON anticipates that the funds needed to pay the foregoing amount will be obtained from a combination of some or all of cash on hand at ICON and PRA, borrowings under new credit facilities, and the proceeds from the sale of debt securities.</w:t>
      </w:r>
    </w:p>
    <w:p>
      <w:pPr>
        <w:spacing w:after="0" w:line="5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execution of the merger agreement, ICON has entered into a commitment letter with Citigroup Global Markets Inc. and certain other financial institutions, referred to in this joint proxy statement/prospectus as the debt financing sources, pursuant to which such debt financing sources have committed, on a several basis and subject to customary closing conditions, to provide to ICON a senior secured revolving credit facility in an aggregate principal amount of up to $300.0 million and a senior secured bridge loan facility in an aggregate principal amount of up to $6,060.0 million to, among other things, fund (i) cash consideration in connection with the merger, (ii) repayment of certain existing indebtedness and (iii) fees and expenses in connection with the</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foregoing. The debt financing sources’ several commitment to provide debt financing under the proposed credit facilities is available for a period which corresponds with the period ending on the date that is five (5) business days after the “End Date” as defined in (and as may be extended in accordance with the terms of) the merger agreement.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On April 1, 2021, a complaint was filed against PRA and the members of its board of directors in the United States District Court for the Southern District of New York under the caption </w:t>
      </w:r>
      <w:r>
        <w:rPr>
          <w:rFonts w:ascii="Arial" w:cs="Arial" w:eastAsia="Arial" w:hAnsi="Arial"/>
          <w:sz w:val="16"/>
          <w:szCs w:val="16"/>
          <w:i w:val="1"/>
          <w:iCs w:val="1"/>
          <w:color w:val="auto"/>
        </w:rPr>
        <w:t>Wang v. PRA Health Sciences,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1:21-cv-02814 (S.D.N.Y.). The complaint alleges that the registration statement filed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proposed merger between PRA and Merger Sub omitted material information in violation of Sections 14(a) and 20(a) of the Securities Exchange Act of 1934, rendering the registration statement false and misleading. The complaint seeks an order (1) preliminarily and permanently enjoining defendants from proceeding with the proposed transaction; (2) rescinding the proposed transaction, to the extent it closes; (3) directing defendants to disseminate a registration statement that does not contain any untrue statements of material fact and that states all material facts required to make the statements contained therein not misleading; (4) awarding costs, including attorneys’ fees and expenses; and (5) awarding such other relief as the court deems proper.</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Specifically, the complaint alleges that the registration statement omits material information regarding the financial projections of PRA and ICON, the analyses of BofA Securities and UBS, as well as certain relationship disclosure on the part of UBS.</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On April 7, 2021, a complaint was filed against PRA, the members of the PRA board of directors, ICON, and Merger Sub in the United States District Court for the Southern District of New York under the caption </w:t>
      </w:r>
      <w:r>
        <w:rPr>
          <w:rFonts w:ascii="Arial" w:cs="Arial" w:eastAsia="Arial" w:hAnsi="Arial"/>
          <w:sz w:val="16"/>
          <w:szCs w:val="16"/>
          <w:i w:val="1"/>
          <w:iCs w:val="1"/>
          <w:color w:val="auto"/>
        </w:rPr>
        <w:t>Ciccotelli v.</w:t>
      </w:r>
      <w:r>
        <w:rPr>
          <w:rFonts w:ascii="Arial" w:cs="Arial" w:eastAsia="Arial" w:hAnsi="Arial"/>
          <w:sz w:val="16"/>
          <w:szCs w:val="16"/>
          <w:color w:val="auto"/>
        </w:rPr>
        <w:t xml:space="preserve"> </w:t>
      </w:r>
      <w:r>
        <w:rPr>
          <w:rFonts w:ascii="Arial" w:cs="Arial" w:eastAsia="Arial" w:hAnsi="Arial"/>
          <w:sz w:val="16"/>
          <w:szCs w:val="16"/>
          <w:i w:val="1"/>
          <w:iCs w:val="1"/>
          <w:color w:val="auto"/>
        </w:rPr>
        <w:t>PRA Health Sciences, Inc., et al.</w:t>
      </w:r>
      <w:r>
        <w:rPr>
          <w:rFonts w:ascii="Arial" w:cs="Arial" w:eastAsia="Arial" w:hAnsi="Arial"/>
          <w:sz w:val="16"/>
          <w:szCs w:val="16"/>
          <w:color w:val="auto"/>
        </w:rPr>
        <w:t>, Case No. 1:21-cv-02981 (S.D.N.Y.). The allegations, claims, and prayer for relief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substantially similar to those articulated in the </w:t>
      </w:r>
      <w:r>
        <w:rPr>
          <w:rFonts w:ascii="Arial" w:cs="Arial" w:eastAsia="Arial" w:hAnsi="Arial"/>
          <w:sz w:val="16"/>
          <w:szCs w:val="16"/>
          <w:i w:val="1"/>
          <w:iCs w:val="1"/>
          <w:color w:val="auto"/>
        </w:rPr>
        <w:t>Wang</w:t>
      </w:r>
      <w:r>
        <w:rPr>
          <w:rFonts w:ascii="Arial" w:cs="Arial" w:eastAsia="Arial" w:hAnsi="Arial"/>
          <w:sz w:val="16"/>
          <w:szCs w:val="16"/>
          <w:color w:val="auto"/>
        </w:rPr>
        <w:t xml:space="preserve"> complaint except that the </w:t>
      </w:r>
      <w:r>
        <w:rPr>
          <w:rFonts w:ascii="Arial" w:cs="Arial" w:eastAsia="Arial" w:hAnsi="Arial"/>
          <w:sz w:val="16"/>
          <w:szCs w:val="16"/>
          <w:i w:val="1"/>
          <w:iCs w:val="1"/>
          <w:color w:val="auto"/>
        </w:rPr>
        <w:t>Ciccotelli</w:t>
      </w:r>
      <w:r>
        <w:rPr>
          <w:rFonts w:ascii="Arial" w:cs="Arial" w:eastAsia="Arial" w:hAnsi="Arial"/>
          <w:sz w:val="16"/>
          <w:szCs w:val="16"/>
          <w:color w:val="auto"/>
        </w:rPr>
        <w:t xml:space="preserve"> complaint alleges material omissions as to certain relationship disclosure on the part of BofA Securities, rather than UBS.</w:t>
      </w:r>
    </w:p>
    <w:p>
      <w:pPr>
        <w:spacing w:after="0" w:line="5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On April 13, 2021, a complaint was filed against PRA and the members of the PRA board of directors in the United States District Court for the Southern District of New York under the caption </w:t>
      </w:r>
      <w:r>
        <w:rPr>
          <w:rFonts w:ascii="Arial" w:cs="Arial" w:eastAsia="Arial" w:hAnsi="Arial"/>
          <w:sz w:val="18"/>
          <w:szCs w:val="18"/>
          <w:i w:val="1"/>
          <w:iCs w:val="1"/>
          <w:color w:val="auto"/>
        </w:rPr>
        <w:t>Tambe v. PRA Health Sciences,</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Case No. 1:21-cv-03189 (S.D.N.Y.). The allegations and claims are substantially similar to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articulated in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complaint except that the </w:t>
      </w:r>
      <w:r>
        <w:rPr>
          <w:rFonts w:ascii="Arial" w:cs="Arial" w:eastAsia="Arial" w:hAnsi="Arial"/>
          <w:sz w:val="18"/>
          <w:szCs w:val="18"/>
          <w:i w:val="1"/>
          <w:iCs w:val="1"/>
          <w:color w:val="auto"/>
        </w:rPr>
        <w:t>Tambe</w:t>
      </w:r>
      <w:r>
        <w:rPr>
          <w:rFonts w:ascii="Arial" w:cs="Arial" w:eastAsia="Arial" w:hAnsi="Arial"/>
          <w:sz w:val="18"/>
          <w:szCs w:val="18"/>
          <w:color w:val="auto"/>
        </w:rPr>
        <w:t xml:space="preserve"> complaint alleges that the registration statement fails to disclose certain relationships on the part of both of the financial advisors. The complaint seeks an order (1) preliminarily enjoining the merger; (2) directing the defendants to account for any damages sustained by the plaintiff; (3) awarding costs, including attorneys’ fees and expenses; and (4) awarding such other relief as the court deems proper.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On April 15, 2021, a complaint was filed against PRA and the members of the PRA board of directors in the United States District Court for the Southern District of New York under the caption </w:t>
      </w:r>
      <w:r>
        <w:rPr>
          <w:rFonts w:ascii="Arial" w:cs="Arial" w:eastAsia="Arial" w:hAnsi="Arial"/>
          <w:sz w:val="18"/>
          <w:szCs w:val="18"/>
          <w:i w:val="1"/>
          <w:iCs w:val="1"/>
          <w:color w:val="auto"/>
        </w:rPr>
        <w:t>Trovato v. PRA Health</w:t>
      </w:r>
      <w:r>
        <w:rPr>
          <w:rFonts w:ascii="Arial" w:cs="Arial" w:eastAsia="Arial" w:hAnsi="Arial"/>
          <w:sz w:val="18"/>
          <w:szCs w:val="18"/>
          <w:color w:val="auto"/>
        </w:rPr>
        <w:t xml:space="preserve"> </w:t>
      </w:r>
      <w:r>
        <w:rPr>
          <w:rFonts w:ascii="Arial" w:cs="Arial" w:eastAsia="Arial" w:hAnsi="Arial"/>
          <w:sz w:val="18"/>
          <w:szCs w:val="18"/>
          <w:i w:val="1"/>
          <w:iCs w:val="1"/>
          <w:color w:val="auto"/>
        </w:rPr>
        <w:t>Sciences, Inc., et al.</w:t>
      </w:r>
      <w:r>
        <w:rPr>
          <w:rFonts w:ascii="Arial" w:cs="Arial" w:eastAsia="Arial" w:hAnsi="Arial"/>
          <w:sz w:val="18"/>
          <w:szCs w:val="18"/>
          <w:color w:val="auto"/>
        </w:rPr>
        <w:t>, Case No. 1:21-cv-03324 (S.D.N.Y.). In addition to allegations and claims substantially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those articulated in the </w:t>
      </w:r>
      <w:r>
        <w:rPr>
          <w:rFonts w:ascii="Arial" w:cs="Arial" w:eastAsia="Arial" w:hAnsi="Arial"/>
          <w:sz w:val="18"/>
          <w:szCs w:val="18"/>
          <w:i w:val="1"/>
          <w:iCs w:val="1"/>
          <w:color w:val="auto"/>
        </w:rPr>
        <w:t>Ciccotelli</w:t>
      </w:r>
      <w:r>
        <w:rPr>
          <w:rFonts w:ascii="Arial" w:cs="Arial" w:eastAsia="Arial" w:hAnsi="Arial"/>
          <w:sz w:val="18"/>
          <w:szCs w:val="18"/>
          <w:color w:val="auto"/>
        </w:rPr>
        <w:t xml:space="preserve"> complaint, the </w:t>
      </w:r>
      <w:r>
        <w:rPr>
          <w:rFonts w:ascii="Arial" w:cs="Arial" w:eastAsia="Arial" w:hAnsi="Arial"/>
          <w:sz w:val="18"/>
          <w:szCs w:val="18"/>
          <w:i w:val="1"/>
          <w:iCs w:val="1"/>
          <w:color w:val="auto"/>
        </w:rPr>
        <w:t>Trovato</w:t>
      </w:r>
      <w:r>
        <w:rPr>
          <w:rFonts w:ascii="Arial" w:cs="Arial" w:eastAsia="Arial" w:hAnsi="Arial"/>
          <w:sz w:val="18"/>
          <w:szCs w:val="18"/>
          <w:color w:val="auto"/>
        </w:rPr>
        <w:t xml:space="preserve"> complaint includes a count against the members of the PRA board of directors alleging they breached their fiduciary duties of candor and disclosure by causing a materially deficient registration statement to be disseminated. The relief sought is substantially similar to that sought in the </w:t>
      </w:r>
      <w:r>
        <w:rPr>
          <w:rFonts w:ascii="Arial" w:cs="Arial" w:eastAsia="Arial" w:hAnsi="Arial"/>
          <w:sz w:val="18"/>
          <w:szCs w:val="18"/>
          <w:i w:val="1"/>
          <w:iCs w:val="1"/>
          <w:color w:val="auto"/>
        </w:rPr>
        <w:t xml:space="preserve">Tambe </w:t>
      </w:r>
      <w:r>
        <w:rPr>
          <w:rFonts w:ascii="Arial" w:cs="Arial" w:eastAsia="Arial" w:hAnsi="Arial"/>
          <w:sz w:val="18"/>
          <w:szCs w:val="18"/>
          <w:color w:val="auto"/>
        </w:rPr>
        <w:t>complaint.</w:t>
      </w:r>
    </w:p>
    <w:p>
      <w:pPr>
        <w:spacing w:after="0" w:line="8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It is possible additional lawsuits may be filed between the date of this joint proxy statement/prospectus and consummation of the merger.</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Prior to the effective time, ICON will appoint an exchange agent reasonably acceptable to PRA to handle the exchange of shares of PRA common stock. Each share of PRA common stock (other than excluded shares and dissenting shares) will be converted into the right to receive 0.4125 of one ICON ordinary share and $80.00 in cash, without interest, together with cash in lieu of fractional shares, if any, in accordance with the merger agreement.</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At or promptly following the effective time, ICON shall deposit or cause to be deposited with an exchange agent selected by ICON, (i) certificates representing the ICON ordinary shares to be issued as share consideration (or make appropriate alternative arrangements if uncertificated ICON ordinary shares represented by book-entry shares will be issued) and (ii) any cash sufficient for the exchange agent to make payments in lieu of fractional ICON ordinary shares required pursuant to the terms of the merger agreement. In addition, US HoldCo and the surviving corporation will deposit with the exchange agent cash sufficient to pay the cash consideration. In addition, ICON shall deposit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or caused to be deposited, as necessary from time to time after the effective time, any dividends or other distributions, if necessary, to which PRA stockholders may be entitled pursuant to the merger agreement after the effective time and prior to the surrender of PRA common stock in exchange for ICON ordinary shares.</w:t>
      </w:r>
    </w:p>
    <w:p>
      <w:pPr>
        <w:spacing w:after="0" w:line="5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Following conversion, shares of PRA common stock will be cancelled and will cease to exist and each certificate that previously represented shares of PRA common stock will represent only the right to receive the merger consideration and cash in lieu of fractional shares, if any, in accordance with the merger agreement.</w:t>
      </w:r>
    </w:p>
    <w:p>
      <w:pPr>
        <w:spacing w:after="0" w:line="5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Promptly after the effective time and in any event within five (5) business days after the effective time, ICON will send, or cause the exchange agent to send, to each holder of record PRA common stock at the effective time, in each case whose shares of PRA common stock were converted into the right to receive the merger consideration:</w:t>
      </w:r>
    </w:p>
    <w:p>
      <w:pPr>
        <w:spacing w:after="0" w:line="2" w:lineRule="exact"/>
        <w:rPr>
          <w:sz w:val="20"/>
          <w:szCs w:val="20"/>
          <w:color w:val="auto"/>
        </w:rPr>
      </w:pPr>
    </w:p>
    <w:p>
      <w:pPr>
        <w:jc w:val="both"/>
        <w:ind w:left="300" w:right="299" w:hanging="8"/>
        <w:spacing w:after="0" w:line="268" w:lineRule="auto"/>
        <w:tabs>
          <w:tab w:leader="none" w:pos="53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letter of transmittal specifying that delivery of the shares of PRA common stock will be effected, and risk of loss and title to a certificate representing such shares will pass, only upon proper delivery or transfer of such certificate representing the shares of PRA common stock to the exchange agent and (ii) instructions for surrendering the applicable certificates (including effective affidavits of loss in accordance with the terms of the merger agreement or book-entry accounting statements relating to the ownership of PRA common stock) in exchange for ICON ordinary shares. After the completion of the merger, such shares of PRA common stock represented by any such certificate, effective affidavit or book-entry accounting statement will be exchanged for merger consideration and cash in lieu of fractional shares, if any, in accordance with the merger agreement.</w:t>
      </w:r>
    </w:p>
    <w:p>
      <w:pPr>
        <w:spacing w:after="0" w:line="7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Holders of shares of PRA common stock in book-entry form are required to deliver to the exchange agent an “agent’s message” (or other evidence as the exchange agent may reasonably request) in order to exchange shares PRA common stock for ICON ordinary shares.</w:t>
      </w:r>
    </w:p>
    <w:p>
      <w:pPr>
        <w:spacing w:after="0" w:line="72" w:lineRule="exact"/>
        <w:rPr>
          <w:sz w:val="20"/>
          <w:szCs w:val="20"/>
          <w:color w:val="auto"/>
        </w:rPr>
      </w:pPr>
    </w:p>
    <w:p>
      <w:pPr>
        <w:jc w:val="both"/>
        <w:ind w:left="300" w:right="319" w:firstLine="360"/>
        <w:spacing w:after="0" w:line="282" w:lineRule="auto"/>
        <w:rPr>
          <w:rFonts w:ascii="Arial" w:cs="Arial" w:eastAsia="Arial" w:hAnsi="Arial"/>
          <w:sz w:val="18"/>
          <w:szCs w:val="18"/>
          <w:color w:val="auto"/>
        </w:rPr>
      </w:pPr>
      <w:r>
        <w:rPr>
          <w:rFonts w:ascii="Arial" w:cs="Arial" w:eastAsia="Arial" w:hAnsi="Arial"/>
          <w:sz w:val="18"/>
          <w:szCs w:val="18"/>
          <w:color w:val="auto"/>
        </w:rPr>
        <w:t>More information can be found in the section entitled “</w:t>
      </w:r>
      <w:r>
        <w:rPr>
          <w:rFonts w:ascii="Arial" w:cs="Arial" w:eastAsia="Arial" w:hAnsi="Arial"/>
          <w:sz w:val="18"/>
          <w:szCs w:val="18"/>
          <w:b w:val="1"/>
          <w:bCs w:val="1"/>
          <w:color w:val="auto"/>
        </w:rPr>
        <w:t>The Merger Agreement—Exchange of Shares</w:t>
      </w:r>
      <w:r>
        <w:rPr>
          <w:rFonts w:ascii="Arial" w:cs="Arial" w:eastAsia="Arial" w:hAnsi="Arial"/>
          <w:sz w:val="18"/>
          <w:szCs w:val="18"/>
          <w:color w:val="auto"/>
        </w:rPr>
        <w:t>” beginning on page [</w:t>
      </w:r>
      <w:hyperlink w:anchor="page134">
        <w:r>
          <w:rPr>
            <w:rFonts w:ascii="Arial" w:cs="Arial" w:eastAsia="Arial" w:hAnsi="Arial"/>
            <w:sz w:val="18"/>
            <w:szCs w:val="18"/>
            <w:u w:val="single" w:color="auto"/>
            <w:color w:val="0000EE"/>
          </w:rPr>
          <w:t>117</w:t>
        </w:r>
      </w:hyperlink>
      <w:r>
        <w:rPr>
          <w:rFonts w:ascii="Arial" w:cs="Arial" w:eastAsia="Arial" w:hAnsi="Arial"/>
          <w:sz w:val="18"/>
          <w:szCs w:val="18"/>
          <w:color w:val="auto"/>
        </w:rPr>
        <w:t>].</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ICON ordinary shares; Delisting and Deregistration of PRA common stock</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ordinary shares to be issued in the merger will be listed for trading on Nasdaq.</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merger is completed, PRA common stock will be delisted from Nasdaq and deregistered under the Exchange Act, and following that delisting and deregistration, PRA will no longer be required to file periodic reports with the SEC with respect to PRA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jc w:val="both"/>
        <w:ind w:left="300" w:right="299" w:firstLine="360"/>
        <w:spacing w:after="0" w:line="269"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description of the merger agreement in this section and elsewhere in this joint proxy statement/prospectus is qualified in its entirety by reference to the complete text of the merger agreement, a copy of which is attached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xml:space="preserve"> and is incorporated by reference into this joint proxy statement/prospectus. This summary does not purport to be complete and may not contain all of the information about the merger agreement that is important to you. You are encouraged to read the merger agreement carefully and in its entirety before making any decisions regarding any of the proposals described in this joint proxy statement/prospectus, as it is the legal document governing the merger. This section is not intended to provide you with any factual information about ICON or PRA. Such information can be found elsewhere in this joint proxy statement/prospectus and in the public filings ICON and PRA make with the SEC, as described in the section entitled “</w:t>
      </w:r>
      <w:r>
        <w:rPr>
          <w:rFonts w:ascii="Arial" w:cs="Arial" w:eastAsia="Arial" w:hAnsi="Arial"/>
          <w:sz w:val="17"/>
          <w:szCs w:val="17"/>
          <w:b w:val="1"/>
          <w:bCs w:val="1"/>
          <w:i w:val="1"/>
          <w:iCs w:val="1"/>
          <w:color w:val="auto"/>
        </w:rPr>
        <w:t>Where You Can Find More Information</w:t>
      </w:r>
      <w:r>
        <w:rPr>
          <w:rFonts w:ascii="Arial" w:cs="Arial" w:eastAsia="Arial" w:hAnsi="Arial"/>
          <w:sz w:val="17"/>
          <w:szCs w:val="17"/>
          <w:i w:val="1"/>
          <w:iCs w:val="1"/>
          <w:color w:val="auto"/>
        </w:rPr>
        <w:t>” beginning on page [</w:t>
      </w:r>
      <w:hyperlink w:anchor="page235">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agreement and this summary of terms are included to provide you with information regarding the terms of the merger agreement. Factual disclosures about ICON and PRA contained in this joint proxy statement/prospectus or in the public reports of ICON and PRA filed with the SEC may supplement, update or modify the factual disclosures about ICON and PRA contained in the merger agreement. The representations, warranties and covenants made in the merger agreement by ICON and PRA were qualified and subject to important limitations agreed to by ICON and PRA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stockholders and reports and documents filed with the SEC and in some cases were qualified by the matters contained in the confidential disclosures that ICON and PRA each delivered in connection with the merger agreement, which disclosures were not reflected in the merger agreement. Moreover, information concerning the subject matter of the representations and warranties, which do not purport to be accurate as of the date of this joint proxy statement/prospectus, may have changed since the date of the merger agreement.</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agreement provides for the merger of Merger Sub, a Delaware corporation and a wholly owned subsidiary of ICON and US HoldCo, with and into PRA. As a result of the merger, the separate existence of Merger Sub will cease, and PRA will continue its existence under the laws of the State of Delaware as the surviving corporation and a wholly owned subsidiary of ICON and US HoldCo.</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closing of the merger will take place as soon as practicable (and, in any event, within five (5) business days) after the satisfaction or, to the extent permitted under the merger agreement and by applicable law, waiver of all conditions for completion of the merger contained in the merger agreement (other than those conditions that by their nature are to be satisfied or waived at the closing, but subject to the satisfaction or waiver (to the extent permitted under the merger agreement) of such conditions), or on such other date as ICON and PRA may mutually agree in writing.</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At the closing, ICON and PRA will cause a certificate of merger relating to the merger to be executed and filed with the Secretary of the State of Delaware in accordance with the DGCL. The merger will become effective at the time when such certificate of merger has been duly filed with the Secretary of the State of Delaware or at such later date and time as may be agreed by the parties in writing and specified in such certificate of merger.</w:t>
      </w:r>
    </w:p>
    <w:p>
      <w:pPr>
        <w:spacing w:after="0" w:line="4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ICON and PRA are working to complete the merger prior to February 24, 2022, which is referred to as the end date (as may be extended as specified in the merger agreement as described in the section entitled “—Termination of the Merger Agreement—Termination by Either ICON or PRA”). It is possible that factors outside the control of both companies could result in the merger being completed at a different time or not at 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At the effective time, by virtue of the merger and without any action on the part of the parties or any holder of any capital stock of PRA, each share of PRA common stock issued and outstanding immediately prior to the effective time (other than excluded shares and dissenting shares) will be converted automatically into the right to receive (i) 0.4125 of one ICON ordinary share (which is referred to as the share consideration) and (ii) $80.00 in cash, without interest (which is referred to as the cash consideration, and together with the share consideration, the merger consideration).</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either ICON or PRA common stock changes. The market price of ICON ordinary shares has fluctuated since the date of the announcement of the merger agreement and will continue to fluctuate from the date of this joint proxy statement/prospectus to the date of the stockholder meetings and the date the merger is completed and thereafter. The market price of ICON ordinary shares, when received by PRA stockholders after the merger is completed, could be greater than, less than or the same as the market price of ICON ordinary shares on the date of this joint proxy statement/prospectus or at the time of the ICON EGM and PRA stockholder meeting. Accordingly, you should obtain current stock price quotations for ICON ordinary shares and PRA common stock before deciding how to vote with respect to the proposals described in this joint proxy statement/prospectus. The ICON ordinary shares are traded on Nasdaq under the symbol “ICLR” and the common stock of PRA is traded on Nasdaq under the symbol “PRAH.”</w:t>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all excluded shares (other than subsidiary-held shares) will be cancelled and will cease to exist, and no payment will be made in respect of such shares.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PRA Equity Awards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 as set forth in the merger agreement:</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award of restricted PRA common stock outstanding immediately prior to the effective time will vest at closing and be converted automatically into the right to receive the merger consideration for each share of restricted PRA common stock as of the effective time, to be provided promptly but not later than five (5) business days following the effective time;</w:t>
      </w:r>
    </w:p>
    <w:p>
      <w:pPr>
        <w:spacing w:after="0" w:line="78"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each outstanding restricted stock unit award in respect of PRA common stock, whether vested or unvested, will be assumed by ICON and converted into a number of restricted share units with respect to a number of ICON ordinary shares equal to the product of (i) the number of PRA restricted stock units and (ii) the equity award conversion ratio (rounded down to the nearest whole number of ICON restricted share units), subject to the same terms and conditions as were applicable to such PRA restricted stock unit award immediately prior to the effective time (including applicable vesting conditions); and</w:t>
      </w:r>
    </w:p>
    <w:p>
      <w:pPr>
        <w:spacing w:after="0" w:line="56" w:lineRule="exact"/>
        <w:rPr>
          <w:rFonts w:ascii="Arial" w:cs="Arial" w:eastAsia="Arial" w:hAnsi="Arial"/>
          <w:sz w:val="16"/>
          <w:szCs w:val="16"/>
          <w:color w:val="auto"/>
        </w:rPr>
      </w:pPr>
    </w:p>
    <w:p>
      <w:pPr>
        <w:jc w:val="both"/>
        <w:ind w:left="1000" w:right="319" w:hanging="348"/>
        <w:spacing w:after="0" w:line="270"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with an exercise price equal to the quotient of (a) the exercise price per share of PRA common stock subject to such PRA stock option and (b) the equity award conversion ratio (rounded up to the nearest whole cent), in each case, subject to the same terms and conditions as were applicable to such PRA stock option immediately prior to the effective time (including applicable vesting conditions).</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“equity award conversion ratio” means the quotient determined by dividing (i) the sum of (a) cash consideration and (b) the product of (A) the exchange ratio of 0.4125 and (B) the volume weighted average price per ICON ordinary share for the ten (10) consecutive trading days ending on the trading day immediately preceding the effective time by (ii) the volume weighted average price per ICON ordinary share for the ten (10) consecutive trading days ending on the trading day immediately preceding the effective time.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Shares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At or promptly following the effective time, ICON shall deposit or cause to be deposited with an exchange agent selected by ICON, (i) certificates representing the ICON ordinary shares to be issued as share consideration (or make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appropriate alternative arrangements if uncertificated ICON ordinary shares represented by book-entry shares will be issued) and (ii) any cash sufficient for the exchange agent to make payments in lieu of fractional ICON ordinary shares required pursuant to the terms of the merger agreement. In addition, US HoldCo and the surviving corporation will deposit with the exchange agent cash sufficient to pay the cash consideration. In addition, ICON shall deposit or caused to be deposited, as necessary from time to time after the effective time, any dividends or other distributions, if any, to which PRA stockholders may be entitled pursuant to the merger agreement with both a record and payment date after the effective time and prior to the surrender of PRA common stock in exchange for ICON ordinary shares. Such certificates and cash amounts deposited are referred to as the exchange fund.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Promptly after the effective time and in any event no later than five (5) business days after the effective time, ICON will send, or cause the exchange agent to send, to each record holder of shares of PRA common stock at the effective time:</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letter of transmittal in customary form, which shall specify that the delivery shall be effected, and risk of loss and title shall pass, only upon proper delivery of the certificates or transfer of the book-entry shares to the exchange agent and will contain such other provisions as ICON, US HoldCo, and the surviving corporation may reasonably specify; and</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instructions for surrendering the certificate representing shares of PRA common stock to the exchange agent.</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Each holder of shares of PRA common stock that have been converted into the right to receive the merger consideration, will be entitled to receive the merger consideration in respect of the shares represented by a certificate promptly upon (i) surrender to the exchange agent of such certificate, or (ii) receipt of an “agent’s message” by the exchange agent (or such other evidence, if any, of transfer as the exchange agent may reasonably request) in the case of the exchange of book-entry shares, in each case together with a duly executed and completed letter of transmittal and such other documents as may reasonably be requested by the exchange agent.</w:t>
      </w:r>
    </w:p>
    <w:p>
      <w:pPr>
        <w:spacing w:after="0" w:line="5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interest will be paid or accrued on any amount payable for shares of PRA common stock pursuant to the merger agreement.</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At the effective time, the stock transfer books of PRA will be closed and no transfer of shares of PRA common stock will subsequently be made. From and after the effective time, the holders of certificates formerly representing shares of PRA common stock or shares of PRA common stock held in book-entry form will cease to have any rights with respect to such shares of PRA common stock, except for the right to receive, upon surrender of a certificate or book-entry share in accordance with the merger agreement, the merger consideration, except as otherwise provided in the merger agreement or by applicable law. If, after the effective time, any certificates are presented to the surviving corporation, ICON or the exchange agent for transfer, the holder of such certificates will be given a copy of a letter of transmittal and instructed to comply with the instructions therein in order to receive the merger consideration to which such holder is entitled pursuant to the merger agreement.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No fractional ICON ordinary shares will be issued upon the conversion of shares of PRA common stock pursuant to the merger agreement. Each holder of shares of PRA common stock who would otherwise have been entitled to receive fractional ICON ordinary shares pursuant to the merger agreement (after taking into account all shares of PRA common stock exchanged by such holder) will be entitled to receive a cash payment (rounded to the nearest whole cent), without interest, in lieu of any such fractional share, equal to the product of (i) such fractional amount and (ii) an amount equal to the last reported sale price per ICON ordinary share on Nasdaq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an authoritative source mutually agreed in good faith by ICON and PRA) on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trading day immediately prior to the date of the effective time.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Exchange Fund</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portion of the exchange fund that remains unclaimed twelve (12) months after the effective time will be delivered to ICON, US HoldCo, or the surviving corporation, as applicable, upon demand, and any holder of shares of PRA common stock who has not by that point complied with the terms of the exchange procedures in the merger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agreement may thereafter look only to ICON, US HoldCo, or the surviving corporation, as applicable (subject to abandoned property, escheat, or other similar laws), for payment of the merger consideration and cash in lieu of fractional ICON ordinary shares, if any, in each case, that such holder has the right to receive pursuant to the merger agreement and without any interest thereon.</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None of ICON, PRA, US HoldCo, or the surviving corporation will be liable to PRA stockholders in respect of any portion of the exchange fund delivered to a public official pursuant to and in accordance with any applicable abandoned property, escheat or similar law. If any certificate formerly representing shares of PRA common stock or share of PRA common stock held in book-entry form has not been surrendered two (2) years after the effective date (or such earlier date, immediately prior to such time when the amounts would otherwise escheat to or become the property of any governmental entity), any such amounts will, to the extent permitted by applicable law, become the property of ICON, US HoldCo, or the surviving corporation, as applicable, free and clear of all claims or interest of any person previously entitled thereto.</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Lost, Stolen or Destroyed Share Certificates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the event that any certificate formerly representing shares of PRA common stock is lost, stolen or destroyed, upon the making of an affidavit of that fact by the person claiming such certificate to be lost, stolen or destroyed and, if reasonably required by ICON or US HoldCo, the posting by such person of a bond in such reasonable amount as ICON or US HoldCo may direct, as indemnity against any claim that may be made against it with respect to such certificate, the exchange agent will issue in exchange for such lost, stolen or destroyed certificate, the merger consideration and cash in lieu of fractional ICON ordinary shares, if any, to be paid in respect of the shares of PRA common stock formerly represented by such certificate.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Dissenting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Shares of PRA common stock issued and outstanding immediately prior to the effective time (other than excluded shares) and held by a holder who has not voted in favor of the adoption of the merger agreement or consented thereto in writing and is entitled to demand, and has properly demanded, appraisal for such shares of PRA common stock in accordance with Section 262 of the DGCL and, as of the effective time, has neither effectively withdrawn nor lost such holder’s right to appraisal pursuant to the DGCL with respect to such shares (any such shares referred to as the dissenting shares) will not be converted into the right to receive the merger consideration but instead will be entitled only to such rights as are granted by Section 262 of the DGCL.</w:t>
      </w:r>
    </w:p>
    <w:p>
      <w:pPr>
        <w:spacing w:after="0" w:line="6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If any such holder of dissenting shares fails to perfect or withdraws, waives or otherwise loses its right to appraisal under Section 262 of the DGCL or if a court of competent jurisdiction determines that such holder is not entitled to the relief provided by Section 262 of the DGCL, then such dissenting shares will be deemed to have been converted, as of the effective time of the merger, into and will be exchangeable solely for the right to receive the merger consideration and cash in lieu of fractional ICON ordinary shares, if any, without interest thereon.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Withholding Rights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Each of ICON, US HoldCo, Merger Sub, the surviving corporation, the exchange agent and any other applicable withholding agent will be entitled to deduct and withhold from the consideration otherwise payable to any person pursuant to the merger agreement such amounts as may be required to be deducted or withheld from such payment under the Internal Revenue Code or any other applicable state, local or foreign tax law.</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Adjustments to Prevent Dilution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Without limiting the other provisions of the merger agreement, if, at any time from the date of the merger agreement to the effective time, there occurs any change in the outstanding shares of capital stock of PRA or ICON ordinary shares, including by reason of any reclassification, recapitalization, stock split (including a reverse stock split) or combination, exchange or readjustment of shares, or similar transaction, or any stock dividend or distribution paid in stock, then the merger consideration, the exchange ratio and any other amounts payable pursuant to the merger agreement will be appropriately adjusted to provide the holders of shares of PRA common stock and ICON ordinary shares the same economic effect as contemplated by the merger agreement prior to such event.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Surviving Corporation Governance and Merger Sub Shares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At the effective time, the certificate of incorporation of PRA, as in effect immediately prior to the effective time, will be amended and restated in its entirety as set forth on an exhibit to the merger agreement, and ICON, PRA, US HoldCo and Merger Sub shall take all necessary action such that the bylaws of the surviving corporation, as in</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effect immediately prior to the effective time, will be amended and restated as of the effective time to be in the form of the bylaws of Merger Sub as in effect immediately prior to the effective time (except that all references in such bylaws to Merger Sub will be amended to become references to the surviving corporation), respectively, and as so amended and restated will be the certificate of incorporation and bylaws of the surviving corporation.</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merger agreement, from and after the effective time, until successors are duly elected or appointed and qualified or until their earlier death, resignation or removal in accordance with the surviving corporation’s charter and bylaws, the directors and officers of Merger Sub immediately prior to the effective time will be the directors and officers of the surviving corporation.</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At the effective time, each share of common stock, par value $0.01 per share, of Merger Sub issued and outstanding immediately prior to the effective time will be converted into one share of common stock, par value $0.01 per share, of the surviving corporation, which will constitute the only outstanding shares of common stock of the surviving corporation immediately following the effective time.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merger agreement contains representations and warranties made by PRA to ICON, US HoldCo and Merger Sub and by ICON, US HoldCo and Merger Sub to PRA.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inquiry. Furthermore, each of the representations and warranties is subject to the qualifications set forth on the disclosure letter delivered to PRA by ICON, in the case of representations and warranties made by ICON, US HoldCo, and Merger Sub, or the disclosure letter delivered to ICON by PRA, in the case of representations and warranties made by PRA (with each letter referred to as that party’s disclosure letter), as well as certain reports of PRA or ICON, as applicable, filed with the SEC during the period from January 1, 2019, through the date of the merger agreement, in each case, excluding any disclosures set forth or referenced in any risk factor section or in any other section to the extent they are forward-looking statements or cautionary, predictive or forward-looking in nature.</w:t>
      </w:r>
    </w:p>
    <w:p>
      <w:pPr>
        <w:spacing w:after="0" w:line="5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In the merger agreement, PRA has made representations and warranties to ICON, US HoldCo, and Merger Sub, and ICON, US HoldCo, and Merger Sub have made representations and warranties to PRA, regarding:</w:t>
      </w:r>
    </w:p>
    <w:p>
      <w:pPr>
        <w:spacing w:after="0" w:line="38" w:lineRule="exact"/>
        <w:rPr>
          <w:sz w:val="20"/>
          <w:szCs w:val="20"/>
          <w:color w:val="auto"/>
        </w:rPr>
      </w:pPr>
    </w:p>
    <w:p>
      <w:pPr>
        <w:ind w:left="1000" w:hanging="348"/>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corporate existence, power, good standing and qualification to do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corporate authority and power with respect to the execution, delivery and performance of the merger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filings with governmental entities needed in connection with the execution, delivery and performance of the merger agreement or the consummation of the merger and the other transactions contemplated by the merger agreement;</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absence of violations of, or conflicts with, such party’s or its subsidiaries’ organizational documents, applicable law and certain contracts as a result of the execution, delivery and performance of the merger agreement and the consummation of the merger and the other transactions contemplated by the merger agreement;</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party’s capital structure, including the number of shares of common stock, stock options and other equity-based awards outstanding;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party’s subsidiaries;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proper filing of reports with the SEC since December 31, 2019, the accuracy of the information contained in those reports, compliance with the requirements of certain laws and the design of its internal disclosure controls and procedures;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compliance with GAAP and SEC accounting rules and regulations with respect to such party’s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conduct of business in the ordinary course from December 31, 2019 through February 24, 2021 (the date of the merger agreement) and that such party has not suffered a material adverse effect;</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absence of certain litigation and governmental orders;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compliance with applicable laws and regulations and such party’s licenses;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material contracts;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employee benefits matters, including matters related to employee benefit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anti-corruption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international trade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title to and interests in such party’s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health regulatory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fairness opinion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accuracy of information supplied;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absence of affiliate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fees payable to brokers and financial advisors in connection with the merger;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absence of other representations or warranties.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merger agreement, ICON has also made representations and warranties to PRA regarding:</w:t>
      </w:r>
    </w:p>
    <w:p>
      <w:pPr>
        <w:spacing w:after="0" w:line="117" w:lineRule="exact"/>
        <w:rPr>
          <w:sz w:val="20"/>
          <w:szCs w:val="20"/>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unanimous adoption by the ICON board of directors of resolutions:</w:t>
      </w:r>
    </w:p>
    <w:p>
      <w:pPr>
        <w:sectPr>
          <w:pgSz w:w="11900" w:h="16838" w:orient="portrait"/>
          <w:cols w:equalWidth="0" w:num="1">
            <w:col w:w="9019"/>
          </w:cols>
          <w:pgMar w:left="1440" w:top="265"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determining that the merger agreement and the transactions contemplated by the merger agreement, including the share issuance, are advisable, fair to, and in the best interests of, ICON and its shareholders;</w:t>
      </w:r>
    </w:p>
    <w:p>
      <w:pPr>
        <w:spacing w:after="0" w:line="76"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approving and declaring advisable the merger agreement and the transactions contemplated by the merger agreement, including the share issuance;</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spacing w:after="0" w:line="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directing that the share issuance be submitted to ICON shareholders for their approval;</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recommending that ICON shareholders vote in favor of the approval of the share issuance, which is referred to as the ICON recommendation; and</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1" w:lineRule="auto"/>
        <w:tabs>
          <w:tab w:leader="none" w:pos="1360" w:val="left"/>
        </w:tabs>
        <w:numPr>
          <w:ilvl w:val="1"/>
          <w:numId w:val="141"/>
        </w:numPr>
        <w:rPr>
          <w:rFonts w:ascii="Arial" w:cs="Arial" w:eastAsia="Arial" w:hAnsi="Arial"/>
          <w:sz w:val="22"/>
          <w:szCs w:val="22"/>
          <w:color w:val="auto"/>
          <w:vertAlign w:val="superscript"/>
        </w:rPr>
      </w:pPr>
      <w:r>
        <w:rPr>
          <w:rFonts w:ascii="Arial" w:cs="Arial" w:eastAsia="Arial" w:hAnsi="Arial"/>
          <w:sz w:val="18"/>
          <w:szCs w:val="18"/>
          <w:color w:val="auto"/>
        </w:rPr>
        <w:t>the ICON board of directors’ receipt of an opinion from Centerview to the effect that, as of the date of such opinion and based upon and subject to the various qualifications and/or assumptions set forth therein, the merger consideration to be paid by ICON and its subsidiaries is fair from a financial point of view, to ICON;</w:t>
      </w:r>
    </w:p>
    <w:p>
      <w:pPr>
        <w:spacing w:after="0" w:line="94" w:lineRule="exact"/>
        <w:rPr>
          <w:rFonts w:ascii="Arial" w:cs="Arial" w:eastAsia="Arial" w:hAnsi="Arial"/>
          <w:sz w:val="22"/>
          <w:szCs w:val="22"/>
          <w:color w:val="auto"/>
          <w:vertAlign w:val="superscript"/>
        </w:rPr>
      </w:pPr>
    </w:p>
    <w:p>
      <w:pPr>
        <w:ind w:left="1000" w:hanging="348"/>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debt financing;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capital structure of US HoldCo and Merger Sub.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the merger agreement, PRA has also made representations and warranties to ICON and Merger Sub regarding:</w:t>
      </w:r>
    </w:p>
    <w:p>
      <w:pPr>
        <w:spacing w:after="0" w:line="35" w:lineRule="exact"/>
        <w:rPr>
          <w:sz w:val="20"/>
          <w:szCs w:val="20"/>
          <w:color w:val="auto"/>
        </w:rPr>
      </w:pPr>
    </w:p>
    <w:p>
      <w:pPr>
        <w:ind w:left="1000"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unanimous adoption by the PRA board of directors of resolutions:</w:t>
      </w:r>
    </w:p>
    <w:p>
      <w:pPr>
        <w:sectPr>
          <w:pgSz w:w="11900" w:h="16838" w:orient="portrait"/>
          <w:cols w:equalWidth="0" w:num="1">
            <w:col w:w="9019"/>
          </w:cols>
          <w:pgMar w:left="1440" w:top="265" w:right="1440" w:bottom="1440" w:gutter="0" w:footer="0" w:header="0"/>
        </w:sectPr>
      </w:pPr>
    </w:p>
    <w:p>
      <w:pPr>
        <w:spacing w:after="0" w:line="8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39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19"/>
        <w:spacing w:after="0" w:line="325" w:lineRule="auto"/>
        <w:rPr>
          <w:sz w:val="20"/>
          <w:szCs w:val="20"/>
          <w:color w:val="auto"/>
        </w:rPr>
      </w:pPr>
      <w:r>
        <w:rPr>
          <w:rFonts w:ascii="Arial" w:cs="Arial" w:eastAsia="Arial" w:hAnsi="Arial"/>
          <w:sz w:val="16"/>
          <w:szCs w:val="16"/>
          <w:color w:val="auto"/>
        </w:rPr>
        <w:t>determining that the merger agreement and the transactions contemplated by the merger agreement, including the merger, are advisable, fair to, and in the best interests of, PRA and its stockholders;</w:t>
      </w:r>
    </w:p>
    <w:p>
      <w:pPr>
        <w:spacing w:after="0" w:line="1"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approving and declaring advisable the merger agreement and the transactions contemplated by the merger agreement, including the merger;</w:t>
      </w:r>
    </w:p>
    <w:p>
      <w:pPr>
        <w:spacing w:after="0" w:line="35"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spacing w:after="0" w:line="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39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directing the merger agreement to a vote of PRA stockholders for adoption;</w:t>
      </w:r>
    </w:p>
    <w:p>
      <w:pPr>
        <w:spacing w:after="0" w:line="77"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resolving to recommend adoption of the merger agreement by PRA stockholders, which is referred to as the PRA recommendation; and</w:t>
      </w:r>
    </w:p>
    <w:p>
      <w:pPr>
        <w:spacing w:after="0" w:line="22"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color w:val="auto"/>
        </w:rPr>
        <w:t>the PRA board of directors’ receipt of an opinion from each of BofA Securities, Inc. and UBS Securities LLC to the effect that, as of the date of such opinions and based upon and subject to the various qualifications and/or assumptions set forth therein, the merger consideration to be received as a result of the merger by the PRA stockholders is fair from a financial point of view, to such holders of shares of PRA common stock (other than dissenting shares and Cancelled Shares (as defined in the merger agreement)).</w:t>
      </w:r>
    </w:p>
    <w:p>
      <w:pPr>
        <w:spacing w:after="0" w:line="84"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300" w:right="299" w:firstLine="360"/>
        <w:spacing w:after="0" w:line="291" w:lineRule="auto"/>
        <w:rPr>
          <w:sz w:val="20"/>
          <w:szCs w:val="20"/>
          <w:color w:val="auto"/>
        </w:rPr>
      </w:pPr>
      <w:r>
        <w:rPr>
          <w:rFonts w:ascii="Arial" w:cs="Arial" w:eastAsia="Arial" w:hAnsi="Arial"/>
          <w:sz w:val="16"/>
          <w:szCs w:val="16"/>
          <w:color w:val="auto"/>
        </w:rPr>
        <w:t>For purposes of the merger agreement, a “material adverse effect” with respect to ICON or PRA means any event, occurrence, state of facts, condition, effect, circumstance, development, action, omission or change (each of which is referred to as an effect) that has, or would reasonably be expected to have, individually or in the aggregate with one or more effects, a material adverse effect on the business, results of operations, or financial condition of such party and its subsidiaries, taken as a whole, except that no effect to the extent, directly or indirectly, resulting or arising from or related to any of the following shall be deemed to constitute a material adverse effect, or be taken into account in determining whether a material adverse effect has occurred or may, would or could occur:</w:t>
      </w:r>
    </w:p>
    <w:p>
      <w:pPr>
        <w:spacing w:after="0" w:line="31" w:lineRule="exact"/>
        <w:rPr>
          <w:sz w:val="20"/>
          <w:szCs w:val="20"/>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generally affecting the economy, financial or securities markets, or political conditions;</w:t>
      </w:r>
    </w:p>
    <w:p>
      <w:pPr>
        <w:spacing w:after="0" w:line="76"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announcement, or pendency or consummation of the transactions contemplated by the merger agreement, including the impact thereof on relationships, contractual or otherwise, of such party and its subsidiaries with employees, suppliers, customers, governmental entities, or other third persons (however, this bullet shall not apply with respect to representations and warranties regarding non-contravention or required government consents);</w:t>
      </w:r>
    </w:p>
    <w:p>
      <w:pPr>
        <w:spacing w:after="0" w:line="39"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changes in applicable law (including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 (each of which is referred to as a COVID-19 measure)) or GAAP or other applicable accounting standards;</w:t>
      </w:r>
    </w:p>
    <w:p>
      <w:pPr>
        <w:spacing w:after="0" w:line="29" w:lineRule="exact"/>
        <w:rPr>
          <w:rFonts w:ascii="Arial" w:cs="Arial" w:eastAsia="Arial" w:hAnsi="Arial"/>
          <w:sz w:val="16"/>
          <w:szCs w:val="16"/>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acts of war, sabotage, or terrorism, or military actions, or the escalation thereof;</w:t>
      </w:r>
    </w:p>
    <w:p>
      <w:pPr>
        <w:spacing w:after="0" w:line="7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natural disasters, weather conditions, epidemics, pandemics, or disease outbreaks (including COVID-19) or public health emergencies (as declared by the World Health Organization or the Health and Human Services Secretary of the United States);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general conditions in the industry in which such party and its subsidiaries operate;</w:t>
      </w:r>
    </w:p>
    <w:p>
      <w:pPr>
        <w:spacing w:after="0" w:line="90"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failure, in and of itself, by such party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material adverse effect, to the extent permitted by the definition in the merger agreement and not otherwise excepted by another clause of the proviso therein);</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such party’s securities or in its credit ratings; or</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action required to be taken by such party pursuant to the terms of the merger agreement or at the direction of the other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Notwithstanding the exceptions listed above, with respect to the first, third, fourth, fifth or sixth bullets (excluding any effect arising from COVID-19 or any COVID-19 measure), such effect will be taken into account in determining whether a material adverse effect has occurred or would reasonably be expected to occur to the extent it has a disproportionate impact on such party and its subsidiaries, taken as a whole, as compared to other participants in the industries in which such party and its subsidiaries conduct their business.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Conduct of Business Prior to the Effective Time</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Each of ICON and PRA has agreed as to itself and its subsidiaries, after the date of the merger agreement and prior to the effective time, to use reasonable best efforts to operate in the ordinary course of business, except as expressly permitted or required by the merger agreement, required by applicable law, in connection with any COVID-19 measure and any other reasonable action taken or omitted to be taken after the date of the merger agreement that ICON or PRA, as applicable, reasonably determines to be necessary or prudent for it or its subsidiaries to take in connection with or in response to COVID-19, or approved in writing by the other party (which approval may not be unreasonably withheld, conditioned or delayed).</w:t>
      </w:r>
    </w:p>
    <w:p>
      <w:pPr>
        <w:spacing w:after="0" w:line="6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From the date of the merger agreement until the effective time, except as expressly contemplated by the merger agreement, required by and not in contravention of applicable law, in connection with any COVID-19 measure and any other reasonable action taken or omitted to be taken after the date of the merger agreement that PRA reasonably determines to be necessary or prudent for it or its subsidiaries to take in connection with or in response to COVID-19, approved in writing by ICON (which approval may not be unreasonably withheld, conditioned or delayed) or set forth in PRA’s disclosure letter, PRA has agreed not to and not to permit any of its subsidiaries to:</w:t>
      </w:r>
    </w:p>
    <w:p>
      <w:pPr>
        <w:spacing w:after="0" w:line="56" w:lineRule="exact"/>
        <w:rPr>
          <w:sz w:val="20"/>
          <w:szCs w:val="20"/>
          <w:color w:val="auto"/>
        </w:rPr>
      </w:pPr>
    </w:p>
    <w:p>
      <w:pPr>
        <w:ind w:left="1000" w:right="319" w:hanging="348"/>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 or propose to amend the organizational documents of PRA or any of its subsidiaries, whether by merger, consolidation or otherwise;</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propose or adopt any plan of merger, consolidation, reorganization, liquidation, scheme of arrangement, tender offer or dissolution of PRA or any of its subsidiaries, file a petition in bankruptcy under any provisions of federal or state bankruptcy law on behalf of PRA or any of its subsidiaries or consent to the filing of any bankruptcy petition against PRA or any of its subsidiaries under any similar applicable law;</w:t>
      </w:r>
    </w:p>
    <w:p>
      <w:pPr>
        <w:spacing w:after="0" w:line="49" w:lineRule="exact"/>
        <w:rPr>
          <w:rFonts w:ascii="Arial" w:cs="Arial" w:eastAsia="Arial" w:hAnsi="Arial"/>
          <w:sz w:val="16"/>
          <w:szCs w:val="16"/>
          <w:color w:val="auto"/>
        </w:rPr>
      </w:pPr>
    </w:p>
    <w:p>
      <w:pPr>
        <w:jc w:val="both"/>
        <w:ind w:left="1000" w:right="299" w:hanging="348"/>
        <w:spacing w:after="0" w:line="268" w:lineRule="auto"/>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 split, combine, or reclassify or otherwise amend the terms of any securities of PRA or any of its subsidiaries, (ii) repurchase, redeem, or otherwise acquire, or offer to repurchase, redeem, or otherwise acquire, any securities of PRA or any of its subsidiaries (other than for purposes of effecting a net exercise or settlement or net share withholding, in satisfaction of any exercise price or required tax withholdings, under, or in connection with the forfeiture of, any equity award outstanding on the date of the merger agreement), (iii) issue or authorize the issuance of any other securities in respect of, in lieu of or in substitution for, shares of capital stock of PRA or any of its subsidiaries (other than upon the exercise or settlement of any equity award outstanding as of the date of the merger agreement, in accordance with the terms of such award, or pursuant to the PRA stock purchase plan, in accordance with the terms of the merger agreement) or (iv)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7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issue, sell, grant, pledge, transfer, lease, dispose of, grant any lien or otherwise encumber or enter into any contract or other agreement with respect to capital stock or any other securities of PRA or any of its subsidiaries other than the issuance of PRA common stock, upon the exercise or settlement of an equity award outstanding as of the date of the merger agreement;</w:t>
      </w:r>
    </w:p>
    <w:p>
      <w:pPr>
        <w:spacing w:after="0" w:line="78"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except as required by applicable law or the terms of any PRA employee plan as in effect as of the date of the merger agreement (i) increase the compensation payable or that could become payable by PRA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 positions at the level of Vice President or above, or (iii) establish, adopt, enter into, amend, terminate, or take any action to grant or accelerate vesting, payment or other rights or awards (including any action to accelerate the vesting or exercisability of any equity award or other equity-based or long-term incentive compensation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award) under any PRA employee plan or any plan, agreement, program, policy, trust, fund, or other arrangement that would be a PRA employee plan if it were in existence as of the date of the merger agreement, or make any contribution to any PRA employee plan;</w:t>
      </w:r>
    </w:p>
    <w:p>
      <w:pPr>
        <w:spacing w:after="0" w:line="76" w:lineRule="exact"/>
        <w:rPr>
          <w:sz w:val="20"/>
          <w:szCs w:val="20"/>
          <w:color w:val="auto"/>
        </w:rPr>
      </w:pPr>
    </w:p>
    <w:p>
      <w:pPr>
        <w:jc w:val="both"/>
        <w:ind w:left="1000" w:right="299" w:hanging="348"/>
        <w:spacing w:after="0" w:line="272" w:lineRule="auto"/>
        <w:tabs>
          <w:tab w:leader="none" w:pos="10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directly or indirectly acquire or purchase, or agree to acquire or purchase, by merger, consolidation, acquisition of stock or assets, business combination or otherwise, (i) any business or person or division thereof or (ii) any assets, real property, or personal property, in each case of clauses (i) and (ii), other than acquisitions or purchases of (a) in the ordinary course of business consistent with past practice with a sale price or market value not in excess of $10,000,000 in the aggregate for all such acquisitions between the date of the merger agreement and the effective date or (b) raw materials, supplies, equipment and inventory in the ordinary course of business consistent with past practice;</w:t>
      </w:r>
    </w:p>
    <w:p>
      <w:pPr>
        <w:spacing w:after="0" w:line="69" w:lineRule="exact"/>
        <w:rPr>
          <w:rFonts w:ascii="Arial" w:cs="Arial" w:eastAsia="Arial" w:hAnsi="Arial"/>
          <w:sz w:val="17"/>
          <w:szCs w:val="17"/>
          <w:color w:val="auto"/>
        </w:rPr>
      </w:pPr>
    </w:p>
    <w:p>
      <w:pPr>
        <w:jc w:val="both"/>
        <w:ind w:left="1000" w:right="319" w:hanging="348"/>
        <w:spacing w:after="0" w:line="255"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make any material capital investment in or material loan or advance to, or forgive any material loan to, any other person, except (i) for loans, capital contributions, advances or investments between PRA and any wholly owned subsidiary thereof or between wholly owned subsidiaries of PRA and (ii) advances to employees and consultants for travel and other business-related expenses in the ordinary course of business consistent with past practice and in compliance with PRA’s policies related thereto in effect on the date of the merger agreement;</w:t>
      </w:r>
    </w:p>
    <w:p>
      <w:pPr>
        <w:spacing w:after="0" w:line="84"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PRA, or any business thereof, with a sale price or fair market value in excess of $10,000,000 in the aggregate; provided, that the foregoing shall not prohibit PRA and its subsidiaries from transferring, selling, leasing, or disposing of obsolete equipment or assets being replaced, or granting non-exclusive licenses or sublicenses under intellectual property of PRA, in each case in the ordinary course of business consistent with past practice, or (ii) adopt or effect a plan of complete or partial liquidation, dissolution, restructuring, recapitalization, or other reorganization;</w:t>
      </w:r>
    </w:p>
    <w:p>
      <w:pPr>
        <w:spacing w:after="0" w:line="86" w:lineRule="exact"/>
        <w:rPr>
          <w:rFonts w:ascii="Arial" w:cs="Arial" w:eastAsia="Arial" w:hAnsi="Arial"/>
          <w:sz w:val="18"/>
          <w:szCs w:val="18"/>
          <w:color w:val="auto"/>
        </w:rPr>
      </w:pPr>
    </w:p>
    <w:p>
      <w:pPr>
        <w:jc w:val="both"/>
        <w:ind w:left="1000" w:right="299" w:hanging="348"/>
        <w:spacing w:after="0" w:line="271" w:lineRule="auto"/>
        <w:tabs>
          <w:tab w:leader="none" w:pos="10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repurchase, prepay, assume or incur any indebtedness or guarantee any such indebtedness of another person, issue or sell any debt securities or options, warrants, calls, or other rights to acquire any debt securities of PRA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70" w:lineRule="exact"/>
        <w:rPr>
          <w:rFonts w:ascii="Arial" w:cs="Arial" w:eastAsia="Arial" w:hAnsi="Arial"/>
          <w:sz w:val="17"/>
          <w:szCs w:val="17"/>
          <w:color w:val="auto"/>
        </w:rPr>
      </w:pPr>
    </w:p>
    <w:p>
      <w:pPr>
        <w:jc w:val="both"/>
        <w:ind w:left="1000" w:right="319" w:hanging="348"/>
        <w:spacing w:after="0" w:line="287"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enter into or amend or modify in any material respect (including extending the term of any lease), or consent to the acceleration, cancelation or termination of (other than at its stated expiry date), any material contract or any lease with respect to real estate or any other contract or lease that, if in effect as of the date hereof would constitute a material contract or lease with respect to real estate under the merger agreement (other than extensions to any existing lease that would have the effect of extending the term of such lease to a date not to exceed the date twelve (12) months from the date of the merger agreement), or (ii) enter into any contract with respect to any IT system with a term of greater than twelve (12) months or annual spend in excess of $500,000 per year or amend or modify any existing contract with respect to any IT system that would have the effect of extending the term of, or commitment under, such contract for a period that would exceed twelve (12) months from the date of the merger agreement or increasing annual spend under such contract to be in excess of $500,000 per year, subject to certain exceptions;</w:t>
      </w:r>
    </w:p>
    <w:p>
      <w:pPr>
        <w:spacing w:after="0" w:line="63" w:lineRule="exact"/>
        <w:rPr>
          <w:rFonts w:ascii="Arial" w:cs="Arial" w:eastAsia="Arial" w:hAnsi="Arial"/>
          <w:sz w:val="16"/>
          <w:szCs w:val="16"/>
          <w:color w:val="auto"/>
        </w:rPr>
      </w:pPr>
    </w:p>
    <w:p>
      <w:pPr>
        <w:jc w:val="both"/>
        <w:ind w:left="1000" w:right="319" w:hanging="348"/>
        <w:spacing w:after="0" w:line="291"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settle, pay, discharge or satisfy any legal action (or agree to do any of the foregoing), with certain exceptions for stockholder litigation relating to the merger agreement and the transactions contemplated thereby and settlements that (i) either (a) result solely in a monetary obligation involving only the payment of monies by PRA or its subsidiaries of not more than $10,000,000 individually or $15,000,000 in the aggregate, individually or in the aggregate for all such legal actions (excluding any settlements made under the following clause (b)), or (b) result solely in a monetary obligation that is funded by an indemnity obligation to, or an insurance policy of, PRA or any of its subsidiaries and the payment of monies by PRA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3" w:lineRule="auto"/>
        <w:rPr>
          <w:sz w:val="20"/>
          <w:szCs w:val="20"/>
          <w:color w:val="auto"/>
        </w:rPr>
      </w:pPr>
      <w:r>
        <w:rPr>
          <w:rFonts w:ascii="Arial" w:cs="Arial" w:eastAsia="Arial" w:hAnsi="Arial"/>
          <w:sz w:val="16"/>
          <w:szCs w:val="16"/>
          <w:color w:val="auto"/>
        </w:rPr>
        <w:t>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(ii) do not involve any admission of guilt or impose any material restrictions or material limitations upon the operations or business of, or other conduct remedy or injunctive relief applicable to, PRA or any of its subsidiaries, whether before, on or after the effective time;</w:t>
      </w:r>
    </w:p>
    <w:p>
      <w:pPr>
        <w:spacing w:after="0" w:line="56" w:lineRule="exact"/>
        <w:rPr>
          <w:sz w:val="20"/>
          <w:szCs w:val="20"/>
          <w:color w:val="auto"/>
        </w:rPr>
      </w:pPr>
    </w:p>
    <w:p>
      <w:pPr>
        <w:ind w:left="1000" w:right="31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any material change in any method of financial accounting principles or practices, in each case except for any such change required by a change in GAAP or applicable law;</w:t>
      </w:r>
    </w:p>
    <w:p>
      <w:pPr>
        <w:spacing w:after="0" w:line="62" w:lineRule="exact"/>
        <w:rPr>
          <w:rFonts w:ascii="Arial" w:cs="Arial" w:eastAsia="Arial" w:hAnsi="Arial"/>
          <w:sz w:val="18"/>
          <w:szCs w:val="18"/>
          <w:color w:val="auto"/>
        </w:rPr>
      </w:pPr>
    </w:p>
    <w:p>
      <w:pPr>
        <w:jc w:val="both"/>
        <w:ind w:left="1000" w:right="319" w:hanging="348"/>
        <w:spacing w:after="0" w:line="293"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make, change or revoke any material tax election; (ii) amend any material tax return; (iii) make, change or revoke any tax accounting method; (iv) enter into any closing or similar agreement regarding any material tax liability or assessment; (v) enter into or materially change or terminate any tax sharing obligation; (vi) settle or resolve any controversy that relates to a material amount of taxes; (vii) consent to any extension or waiver of the limitation period applicable to any material tax audit, material tax assessment or other material tax matter; or (viii) surrender any right to claim a material tax refund;</w:t>
      </w:r>
    </w:p>
    <w:p>
      <w:pPr>
        <w:spacing w:after="0" w:line="56"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enter into any material agreement, agreement in principle, letter of intent, memorandum of understanding, or similar contract with respect to any joint venture, strategic partnership, or alliance;</w:t>
      </w:r>
    </w:p>
    <w:p>
      <w:pPr>
        <w:spacing w:after="0" w:line="38"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in connection with the actions otherwise permitted under the merger agreement, take any action to exempt any person from, or make any acquisition of securities of PRA by any person not subject to the restrictions on “business combinations” set forth in Section 203 of the DGCL, except for ICON, Merger Sub, or any of their respective subsidiaries or affiliates, or the transactions contemplated by the merger agreement;</w:t>
      </w:r>
    </w:p>
    <w:p>
      <w:pPr>
        <w:spacing w:after="0" w:line="79" w:lineRule="exact"/>
        <w:rPr>
          <w:rFonts w:ascii="Arial" w:cs="Arial" w:eastAsia="Arial" w:hAnsi="Arial"/>
          <w:sz w:val="18"/>
          <w:szCs w:val="18"/>
          <w:color w:val="auto"/>
        </w:rPr>
      </w:pPr>
    </w:p>
    <w:p>
      <w:pPr>
        <w:jc w:val="both"/>
        <w:ind w:left="1000" w:right="319" w:hanging="348"/>
        <w:spacing w:after="0" w:line="254"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abandon, allow to lapse, sell, assign, transfer, grant any security interest in or otherwise encumber or dispose of any material intellectual property of PRA, or grant any right or license to any material intellectual property of PRA other than pursuant to non-exclusive licenses or sublicenses entered into in the ordinary course of business consistent with past practice, or (ii) make any investments in IT systems that exceed, in the aggregate, the amounts set forth with respect to IT systems in any budget or capital expenditure plan made available to ICON prior to the date of the merger agreement, other than investments in any IT system that are not material;</w:t>
      </w:r>
    </w:p>
    <w:p>
      <w:pPr>
        <w:spacing w:after="0" w:line="8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engage in any transaction with, or enter into any agreement, arrangement or understanding with, any affiliate of PRA or other person covered by Item 404 of Regulation S-K promulgated by the SEC that would be required to be disclosed pursuant to Item 404 of Regulation S-K promulgated by the SEC;</w:t>
      </w:r>
    </w:p>
    <w:p>
      <w:pPr>
        <w:spacing w:after="0" w:line="57"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become a party to, establish, adopt, amend, commence participation in or terminate any collective bargaining agreement or other agreement with a labor union, works council or similar organization;</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make any capital expenditures that exceed, in the aggregate, the aggregate capital expenditures set forth in a budget or a capital expenditure plan made available to ICON prior to the date hereof, other than capital expenditures that are not material;</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enter into any new material line of business or abandon or discontinue any material existing line of business;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that (i) does not exempt ICON, its subsidiaries, the merger and the transaction contemplated by the merger agreement, or (ii) would cause any meaningful delay to the closing or impose any additional conditions on the transactions contemplated by the merger agreement, including the merger;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From the date of the merger agreement until the effective time, except as expressly contemplated by the merger agreement, required by and not in contravention of applicable law, in connection with any COVID-19 measure and any other reasonable action taken or omitted to be taken after the date of the merger agreement that ICON reasonably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determines to be necessary or prudent for it or its subsidiaries to take in connection with or in response to COVID-19, approved in writing by PRA (which approval may not be unreasonably withheld, conditioned or delayed) or set forth in ICON’s disclosure letter, ICON has agreed not to and not to permit any of its subsidiaries to:</w:t>
      </w:r>
    </w:p>
    <w:p>
      <w:pPr>
        <w:spacing w:after="0" w:line="41" w:lineRule="exact"/>
        <w:rPr>
          <w:sz w:val="20"/>
          <w:szCs w:val="20"/>
          <w:color w:val="auto"/>
        </w:rPr>
      </w:pPr>
    </w:p>
    <w:p>
      <w:pPr>
        <w:ind w:left="1000" w:right="319" w:hanging="348"/>
        <w:spacing w:after="0" w:line="277"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 or propose to amend the organizational documents of ICON, whether by merger, consolidation or otherwise;</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propose or adopt any plan of merger, consolidation, reorganization, liquidation, scheme of arrangement, tender offer or dissolution of ICON or any of its subsidiaries, file a petition in bankruptcy under any provisions of federal or state bankruptcy law on behalf of ICON or any of its subsidiaries or consent to the filing of any bankruptcy petition against ICON or any of its subsidiaries under any similar applicable law;</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 split, combine, or reclassify or otherwise amend the terms of any ICON securities or any of its subsidiaries, (ii) repurchase, redeem, or otherwise acquire, or offer to repurchase, redeem, or otherwise acquire, any ICON securities or any of its subsidiaries (other than for purposes of effecting a net exercise or settlement or net share withholding, in satisfaction of any exercise price or required tax withholdings, under, or in connection with the forfeiture of, any equity award outstanding on the date of the merger agreement), (iii) issue or authorize the issuance of any other securities in respect of, in lieu of or in substitution for, shares of capital stock of ICON or any of its subsidiaries (other than upon the exercise or settlement of any equity award outstanding as of the date of the merger agreement) or (iv)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70" w:lineRule="exact"/>
        <w:rPr>
          <w:rFonts w:ascii="Arial" w:cs="Arial" w:eastAsia="Arial" w:hAnsi="Arial"/>
          <w:sz w:val="17"/>
          <w:szCs w:val="17"/>
          <w:color w:val="auto"/>
        </w:rPr>
      </w:pPr>
    </w:p>
    <w:p>
      <w:pPr>
        <w:jc w:val="both"/>
        <w:ind w:left="1000" w:right="319" w:hanging="348"/>
        <w:spacing w:after="0" w:line="275"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other than with respect to any indebtedness incurred or repaid in connection with the transactions contemplated by the merger agreement (including any debt financing or take-out financing), issue, sell, pledge, dispose of, transfer, lease, grant any lien on, or otherwise encumber or enter into any contract or other agreement with respect to any ICON securities or the securities of its subsidiaries, other than the issuance of ordinary shares upon the grant, exercise or settlement of any equity award;</w:t>
      </w:r>
    </w:p>
    <w:p>
      <w:pPr>
        <w:spacing w:after="0" w:line="68" w:lineRule="exact"/>
        <w:rPr>
          <w:rFonts w:ascii="Arial" w:cs="Arial" w:eastAsia="Arial" w:hAnsi="Arial"/>
          <w:sz w:val="17"/>
          <w:szCs w:val="17"/>
          <w:color w:val="auto"/>
        </w:rPr>
      </w:pPr>
    </w:p>
    <w:p>
      <w:pPr>
        <w:jc w:val="both"/>
        <w:ind w:left="1000" w:right="299" w:hanging="348"/>
        <w:spacing w:after="0" w:line="253"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than any indebtedness incurred or repaid in connection with the transactions contemplated by the merger agreement (including any debt financing or take-out financing), repurchase, prepay, assume or incur any indebtedness or guarantee any such indebtedness of another person, issue or sell any debt securities or options, warrants, calls, or other rights to acquire any debt securities of ICON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86"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in connection with the actions otherwise permitted under the merger agreement, take any action to exempt any person from, or make any acquisition of ICON securities by any person not subject to, any state takeover statute or similar statute or regulation that applies to ICON with respect to a takeover proposal or otherwise, including the restrictions on “business combinations” set forth in Section 203 of the DGCL, except for PRA or any of its subsidiaries or affiliates, or the transactions contemplated by the merger agreement;</w:t>
      </w:r>
    </w:p>
    <w:p>
      <w:pPr>
        <w:spacing w:after="0" w:line="84"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other than with respect to any indebtedness incurred or repaid in connection with the transactions contemplated by the merger agreement (including any debt financing or take-out financing), abandon, allow to lapse, sell, assign, transfer, grant any security interest in or otherwise encumber or dispose of any material intellectual property of ICON, or grant any right or license to any material intellectual property of ICON other than pursuant to non-exclusive licenses or sublicenses entered into in the ordinary course of business consistent with past practice;</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3299"/>
        <w:spacing w:after="0" w:line="393" w:lineRule="auto"/>
        <w:rPr>
          <w:sz w:val="20"/>
          <w:szCs w:val="20"/>
          <w:color w:val="auto"/>
        </w:rPr>
      </w:pPr>
      <w:r>
        <w:rPr>
          <w:rFonts w:ascii="Arial" w:cs="Arial" w:eastAsia="Arial" w:hAnsi="Arial"/>
          <w:sz w:val="18"/>
          <w:szCs w:val="18"/>
          <w:b w:val="1"/>
          <w:bCs w:val="1"/>
          <w:color w:val="auto"/>
        </w:rPr>
        <w:t xml:space="preserve">No Solicitation of Takeover Proposals; No Change of Recommendation </w:t>
      </w:r>
      <w:r>
        <w:rPr>
          <w:rFonts w:ascii="Arial" w:cs="Arial" w:eastAsia="Arial" w:hAnsi="Arial"/>
          <w:sz w:val="18"/>
          <w:szCs w:val="18"/>
          <w:b w:val="1"/>
          <w:bCs w:val="1"/>
          <w:i w:val="1"/>
          <w:iCs w:val="1"/>
          <w:color w:val="auto"/>
        </w:rPr>
        <w:t>No Solicitation of Takeover Proposals</w:t>
      </w:r>
    </w:p>
    <w:p>
      <w:pPr>
        <w:spacing w:after="0" w:line="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Each of ICON (solely prior to the receipt of the required ICON vote) and PRA have agreed not to, and to cause its subsidiaries and its and its subsidiaries’ respective directors, officers and employees not to, and to use reasonable best efforts to cause other members, managers, investment bankers, attorneys, accountants, consultants, or other agents, advisors and representatives of it or its subsidiaries (which directors, members, managers, officers, employees, investment bankers, attorneys, accountants, consultants, or other agents, advisors or representatives are collectively referred to as representatives) not to, directly or indirectly, and except as expressly permitted under the merger agreement:</w:t>
      </w:r>
    </w:p>
    <w:p>
      <w:pPr>
        <w:spacing w:after="0" w:line="87" w:lineRule="exact"/>
        <w:rPr>
          <w:sz w:val="20"/>
          <w:szCs w:val="20"/>
          <w:color w:val="auto"/>
        </w:rPr>
      </w:pPr>
    </w:p>
    <w:p>
      <w:pPr>
        <w:ind w:left="1000" w:right="319" w:hanging="348"/>
        <w:spacing w:after="0" w:line="342"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solicit, initiate, propose, or knowingly facilitate or knowingly encourage the submission of any takeover proposal or the making of any proposal that would reasonably be expected to lead to a takeover proposal;</w:t>
      </w:r>
    </w:p>
    <w:p>
      <w:pPr>
        <w:spacing w:after="0" w:line="15"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79"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57"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relating to any takeover proposal (which is referred to as an acquisition agreement);</w:t>
      </w:r>
    </w:p>
    <w:p>
      <w:pPr>
        <w:spacing w:after="0" w:line="72" w:lineRule="exact"/>
        <w:rPr>
          <w:rFonts w:ascii="Arial" w:cs="Arial" w:eastAsia="Arial" w:hAnsi="Arial"/>
          <w:sz w:val="17"/>
          <w:szCs w:val="17"/>
          <w:color w:val="auto"/>
        </w:rPr>
      </w:pPr>
    </w:p>
    <w:p>
      <w:pPr>
        <w:ind w:left="1000" w:hanging="348"/>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case of ICON, submit any takeover proposal to the vote of shareholders of ICON;</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these provisions;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 “takeover proposal” means, with respect to either ICON or PRA,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in the case of PRA, any such inquiry, proposal, offer or indication of interest made by or on behalf of ICON, US HoldCo, Merger Sub or one or more of their subsidiaries as contemplated by the merger agreement), relating to, or that would reasonably be expected to lead to, in one transaction or a series of related transactions, any:</w:t>
      </w:r>
    </w:p>
    <w:p>
      <w:pPr>
        <w:spacing w:after="0" w:line="87" w:lineRule="exact"/>
        <w:rPr>
          <w:sz w:val="20"/>
          <w:szCs w:val="20"/>
          <w:color w:val="auto"/>
        </w:rPr>
      </w:pPr>
    </w:p>
    <w:p>
      <w:pPr>
        <w:jc w:val="both"/>
        <w:ind w:left="1000" w:right="319" w:hanging="348"/>
        <w:spacing w:after="0" w:line="275" w:lineRule="auto"/>
        <w:tabs>
          <w:tab w:leader="none" w:pos="10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direct or indirect acquisition of assets of such party or its subsidiaries (including any voting equity interests of subsidiaries, but excluding sales of assets in the ordinary course of business consistent with past practice) equal to 15% or more of the fair market value of such party’s and its subsidiaries’ consolidated assets, taken as a whole, or to which 15% or more of such party’s and its subsidiaries’ revenues, income or EBITDA on a consolidated basis, taken as a whole, are attributable;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direct or indirect acquisition of 15% or more of the voting equity interests of such party or any of its subsidiaries whose business constitutes 15% or more of the consolidated revenues, income, EBITDA or assets of such party and its subsidiaries, taken as a whole;</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tender offer or exchange offer that if consummated would result in any person or group (as defined in Section 13(d) of the Exchange Act) beneficially owning 15% or more of the voting power of such party;</w:t>
      </w:r>
    </w:p>
    <w:p>
      <w:pPr>
        <w:spacing w:after="0" w:line="3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merger, consolidation, joint venture, partnership, consolidation, dissolution, liquidation, tender offer, recapitalization, reorganization, spin-off, share exchange, acquisition, license agreement, other business combination, or similar transaction involving such party or any of its subsidiaries, pursuant to which such person or group would own 15% or more of the consolidated net revenues, net income, or assets of such party and its subsidiaries, taken as a whole;</w:t>
      </w:r>
    </w:p>
    <w:p>
      <w:pPr>
        <w:spacing w:after="0" w:line="79"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liquidation, dissolution (or the adoption of a plan of liquidation or dissolution), or recapitalization or other significant corporate reorganization of such party or one or more of its subsidiaries which, individually or in the aggregate, generate or constitute 15% or more of the consolidated net revenues, net income, or assets of such party and its subsidiaries, taken as a whole;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Existing Discussions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merger agreement provides that following the execution and delivery of the merger agreement, each of ICON and PRA shall not, and shall cause its subsidiaries and its and their officers, employees and directors not to, and shall use reasonable best efforts to cause the other representatives of such party and its subsidiaries not to continue, any and all existing activities, discussions, or negotiations, if any, with any third party conducted prior to the date hereof with respect to any takeover proposal and shall use its reasonable best efforts to cause any such third party (or its agents or advisors) in possession of non-public information in respect of such party and its subsidiaries that was furnished by or on behalf of such party or its subsidiaries to return or destroy (and confirm destruction of) all such information and immediately terminate access by any third party to any physical or electronic data room relating to any potential takeover proposal.</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Superior Proposal</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the case of PRA, prior to the time the required PRA vote, is obtained, PRA may, subject to certain notification requirements:</w:t>
      </w:r>
    </w:p>
    <w:p>
      <w:pPr>
        <w:spacing w:after="0" w:line="62" w:lineRule="exact"/>
        <w:rPr>
          <w:sz w:val="20"/>
          <w:szCs w:val="20"/>
          <w:color w:val="auto"/>
        </w:rPr>
      </w:pPr>
    </w:p>
    <w:p>
      <w:pPr>
        <w:jc w:val="both"/>
        <w:ind w:left="1000" w:right="299" w:hanging="348"/>
        <w:spacing w:after="0" w:line="301"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participate in negotiations or discussions with any third party that has made (and not withdrawn) a bona fide takeover proposal that did not arise from a breach of the obligations set forth in the merger agreement in writing that the PRA board of directors believes in good faith, after consultation with its outside legal counsel and financial advisor, constitutes or would reasonably be expected to lead to a superior proposal;</w:t>
      </w:r>
    </w:p>
    <w:p>
      <w:pPr>
        <w:spacing w:after="0" w:line="49" w:lineRule="exact"/>
        <w:rPr>
          <w:rFonts w:ascii="Arial" w:cs="Arial" w:eastAsia="Arial" w:hAnsi="Arial"/>
          <w:sz w:val="16"/>
          <w:szCs w:val="16"/>
          <w:color w:val="auto"/>
        </w:rPr>
      </w:pPr>
    </w:p>
    <w:p>
      <w:pPr>
        <w:jc w:val="both"/>
        <w:ind w:left="1000" w:right="319" w:hanging="348"/>
        <w:spacing w:after="0" w:line="275" w:lineRule="auto"/>
        <w:tabs>
          <w:tab w:leader="none" w:pos="10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furnish to such third party non-public information relating to PRA or its subsidiaries pursuant to an executed confidentiality agreement that constitutes an acceptable confidentiality agreement (a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6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following receipt of and on account of a superior proposal, make an adverse recommendation change; and/or</w:t>
      </w:r>
    </w:p>
    <w:p>
      <w:pPr>
        <w:spacing w:after="0" w:line="62"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take any action that any court of competent jurisdiction orders PRA to take (which order remains unstayed), but in each case referred to in the foregoing bullets, only if the PRA board of directors determines in good faith, after consultation with outside legal counsel, that the failure to take such action would be inconsistent with the fiduciary duties of the board of directors under applicable law.</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A “superior proposal” means, with respect to PRA or its subsidiaries,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takeover proposal (except that the references in the definition thereof to “15%” will be deemed to be references to “50%”) that PRA board of directors determines in good faith (after consultation with its outside legal counsel and a financial advisor of national reputation), is reasonably likely to be consummated in accordance with its terms, taking into account all financial, legal, regulatory, timing and other aspects of such proposal and would, if consummated, result in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transaction that is more favorable to such party’s stockholders from a financial point of view than the transactions contemplated by the merger agreement, taking into account:</w:t>
      </w:r>
    </w:p>
    <w:p>
      <w:pPr>
        <w:spacing w:after="0" w:line="62" w:lineRule="exact"/>
        <w:rPr>
          <w:sz w:val="20"/>
          <w:szCs w:val="20"/>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financial considerations;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identity of the third party making such takeover proposal;</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anticipated timing, conditions (including any financing condition or the reliability of any debt or equity funding commitments) and prospects for completion of such takeover proposal;</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other terms and conditions of such takeover proposal and the implications thereof on PRA, including relevant legal, regulatory, and other aspects of such takeover proposal deemed relevant by PRA (including any conditions relating to financing, stockholder approval, regulatory approvals, or other events or circumstances beyond the control of PRA);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revisions to the terms of the merger agreement and the transactions contemplated by the merger agreement proposed by ICON during the superior proposal notice period.</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Nothing contained in the merger agreement will prohibit the board of directors of ICON or PRA from disclosing to its stockholders a position contemplated by Rule 14d-9 and Rule 14e-2(a) promulgated under the Exchange Act with regard to a takeover proposal, if such party determines, after consultation with its outside legal counsel, that the disclosure of such position is required by applicable law.</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Adverse Recommendation Change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Except as set forth in the merger agreement, ICON and PRA have each agreed that its respective board of directors or any committee of the board of directors will not effect the following, the occurrence of which is referenced as an adverse recommendation change:</w:t>
      </w:r>
    </w:p>
    <w:p>
      <w:pPr>
        <w:spacing w:after="0" w:line="76" w:lineRule="exact"/>
        <w:rPr>
          <w:sz w:val="20"/>
          <w:szCs w:val="20"/>
          <w:color w:val="auto"/>
        </w:rPr>
      </w:pPr>
    </w:p>
    <w:p>
      <w:pPr>
        <w:ind w:left="1000" w:right="319" w:hanging="348"/>
        <w:spacing w:after="0" w:line="277"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withhold or withdraw (or amend, modify or materially qualify, in a manner adverse to PRA or to ICON or Merger Sub, as applicable), the ICON recommendation or the PRA recommendation;</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 to include the board recommendation in the proxy statement/EGM notice, as applicable, that is mailed to each of their respective stockholders;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adopt, approve or recommend a takeover proposal;</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 to recommend against acceptance of any tender offer or exchange offer for the ICON ordinary shares or PRA common stock, as applicable, within ten (10) business days after the commencement of such offer (within the meaning of Rule 14d-2 under the Exchange Act);</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fail to reaffirm (publicly, if so requested by the other party) the board recommendation within ten (10) business days after the date any takeover proposal (or material modification thereto) is first publicly disclosed by such party or the person making such takeover proposal; or</w:t>
      </w:r>
    </w:p>
    <w:p>
      <w:pPr>
        <w:spacing w:after="0" w:line="76" w:lineRule="exact"/>
        <w:rPr>
          <w:sz w:val="20"/>
          <w:szCs w:val="20"/>
          <w:color w:val="auto"/>
        </w:rPr>
      </w:pPr>
    </w:p>
    <w:p>
      <w:pPr>
        <w:sectPr>
          <w:pgSz w:w="11900" w:h="16838" w:orient="portrait"/>
          <w:cols w:equalWidth="0" w:num="2">
            <w:col w:w="720" w:space="280"/>
            <w:col w:w="8019"/>
          </w:cols>
          <w:pgMar w:left="1440" w:top="265" w:right="1440" w:bottom="1440" w:gutter="0" w:footer="0" w:header="0"/>
          <w:type w:val="continuous"/>
        </w:sectPr>
      </w:pPr>
    </w:p>
    <w:p>
      <w:pPr>
        <w:ind w:left="1000" w:hanging="348"/>
        <w:spacing w:after="0"/>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resolve, agree or publicly propose to take any of the foregoing actions.</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Recommendation for Superior Proposal or Acquisition Agreement</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At any time prior to the receipt of the required PRA vote, the board of directors of PRA may effect an adverse recommendation change or enter into an acquisition agreement only if:</w:t>
      </w:r>
    </w:p>
    <w:p>
      <w:pPr>
        <w:spacing w:after="0" w:line="62" w:lineRule="exact"/>
        <w:rPr>
          <w:sz w:val="20"/>
          <w:szCs w:val="20"/>
          <w:color w:val="auto"/>
        </w:rPr>
      </w:pPr>
    </w:p>
    <w:p>
      <w:pPr>
        <w:jc w:val="both"/>
        <w:ind w:left="1000" w:right="299" w:hanging="348"/>
        <w:spacing w:after="0" w:line="296"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board of directors of PRA determines in good faith after consultation with its outside legal counsel and financial advisor of national reputation that a given takeover proposal constitutes or would reasonably be expected to lead to a superior proposal and that failure to effect an adverse recommendation change in response to such actual or potential superior proposal would be inconsistent with the fiduciary duties owed by the board of directors to the PRA stockholders under applicable law;</w:t>
      </w:r>
    </w:p>
    <w:p>
      <w:pPr>
        <w:spacing w:after="0" w:line="53" w:lineRule="exact"/>
        <w:rPr>
          <w:rFonts w:ascii="Arial" w:cs="Arial" w:eastAsia="Arial" w:hAnsi="Arial"/>
          <w:sz w:val="16"/>
          <w:szCs w:val="16"/>
          <w:color w:val="auto"/>
        </w:rPr>
      </w:pPr>
    </w:p>
    <w:p>
      <w:pPr>
        <w:jc w:val="both"/>
        <w:ind w:left="1000" w:right="319" w:hanging="348"/>
        <w:spacing w:after="0" w:line="255"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PRA promptly notifies ICON, in writing, at least three (3) business days (which is referred to as the superior proposal notice period) before making an adverse recommendation change with respect to a superior proposal or entering into (or causing one of its subsidiaries to enter into) an acquisition agreement, of its intention to take such action with respect to a superior proposal, which notice shall state expressly that PRA has received a takeover proposal that the board of directors (or a committee thereof) intends to declare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superior proposal and that it intends to effect an adverse recommendation change and/or PRA intends to enter into an acquisition agreement in connection with such superior proposal (it being understood that the delivery and receipt of any such notice shall not, in and of itself, be an adverse recommendation change);</w:t>
      </w:r>
    </w:p>
    <w:p>
      <w:pPr>
        <w:spacing w:after="0" w:line="41" w:lineRule="exact"/>
        <w:rPr>
          <w:sz w:val="20"/>
          <w:szCs w:val="20"/>
          <w:color w:val="auto"/>
        </w:rPr>
      </w:pPr>
    </w:p>
    <w:p>
      <w:pPr>
        <w:jc w:val="both"/>
        <w:ind w:left="1000" w:right="319" w:hanging="348"/>
        <w:spacing w:after="0" w:line="296" w:lineRule="auto"/>
        <w:tabs>
          <w:tab w:leader="none" w:pos="10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PRA specifies the identity of the party making the superior proposal and the material terms and conditions thereof in such notice and includes an unredacted copy of the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superior proposal;</w:t>
      </w:r>
    </w:p>
    <w:p>
      <w:pPr>
        <w:spacing w:after="0" w:line="53"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PRA shall, and shall cause its representatives to, during the superior proposal notice period, negotiate with ICON in good faith to make such adjustments in the terms and conditions of the merger agreement so that such takeover proposal ceases to constitute a superior proposal, if ICON, in its discretion, proposes to make such adjustments (it being understood and agreed that in the event that, after commencement of the superior proposal notice period, there is any material revision to the terms of a superior proposal, including, any revision in price or financing, the superior proposal notice period shall be extended, if applicable, to ensure that at least two (2) business days remains in the superior proposal notice period subsequent to the time PRA notifies ICON of any such material revision (it being understood that there may be multiple extensions)); and</w:t>
      </w:r>
    </w:p>
    <w:p>
      <w:pPr>
        <w:spacing w:after="0" w:line="72"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at the conclusion of the superior proposal notice period, the board of directors of PRA (or a committee thereof) determines in good faith, after consulting with outside legal counsel and its financial advisor, that such takeover proposal continues to constitute a superior proposal after taking into account any adjustments made by ICON during the superior proposal notice period in the terms and conditions of the merger agreement or otherwise and that the failure to make an adverse recommendation change would be inconsistent with the fiduciary duty of PRA board of directors under applicable law.</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Recommendation for an Intervening Event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Notwithstanding anything in the merger agreement to the contrary, prior to the time, in the case of PRA, the required PRA vote is obtained or, in the case of ICON, the required ICON vote is obtained, the PRA board of directors or the ICON board of directors, as applicable, may effect an adverse recommendation change upon the occurrence of an intervening event only if such board of directors determines in good faith, after consultation with its outside legal counsel and a financial advisor of national reputation, that the failure to do so would be inconsistent with such board of directors’ fiduciary duties under applicable law, and only if all of the following conditions are also met:</w:t>
      </w:r>
    </w:p>
    <w:p>
      <w:pPr>
        <w:spacing w:after="0" w:line="87" w:lineRule="exact"/>
        <w:rPr>
          <w:sz w:val="20"/>
          <w:szCs w:val="20"/>
          <w:color w:val="auto"/>
        </w:rPr>
      </w:pPr>
    </w:p>
    <w:p>
      <w:pPr>
        <w:jc w:val="both"/>
        <w:ind w:left="1000" w:right="319" w:hanging="348"/>
        <w:spacing w:after="0" w:line="255"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PRA or ICON, as applicable, has first provided to the other party a notice of such intervening event at least three (3) business days (which is referred to as the intervening event notice period) in advance of making an adverse recommendation change advising such other party of its intention to make an adverse recommendation change and specifying in reasonable detail the intervening event (it being understood that the delivery and receipt of any such notice shall not, in and of itself, be deemed to be an adverse recommendation change);</w:t>
      </w:r>
    </w:p>
    <w:p>
      <w:pPr>
        <w:spacing w:after="0" w:line="84" w:lineRule="exact"/>
        <w:rPr>
          <w:rFonts w:ascii="Arial" w:cs="Arial" w:eastAsia="Arial" w:hAnsi="Arial"/>
          <w:sz w:val="18"/>
          <w:szCs w:val="18"/>
          <w:color w:val="auto"/>
        </w:rPr>
      </w:pPr>
    </w:p>
    <w:p>
      <w:pPr>
        <w:jc w:val="both"/>
        <w:ind w:left="1000" w:right="299" w:hanging="348"/>
        <w:spacing w:after="0" w:line="287" w:lineRule="auto"/>
        <w:tabs>
          <w:tab w:leader="none" w:pos="10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prior to making such an adverse recommendation change, to the extent requested in writing by the other party, engages in good faith negotiations with the other party during such three (3) business day period to amend the merger agreement in such a manner that the failure of the board of directors of such company to make an adverse recommendation change with respect to such intervening event would no longer be, in the good faith determination of the board of directors of such party in consultation with its outside legal counsel and financial advisor of national reputation, inconsistent with the directors’ fiduciary duties under applicable law (it being understood that, if after commencement of the intervening event notice period, there is any material change to the circumstances giving rise to the intervening event that was previously the subject of a notice hereunder, a new notice to the other party shall be required as provided above; provided, that with respect to each such material change, each reference herein to a “three (3) business day” period shall be changed to refer to a “two (2) business day” period); and</w:t>
      </w:r>
    </w:p>
    <w:p>
      <w:pPr>
        <w:spacing w:after="0" w:line="63" w:lineRule="exact"/>
        <w:rPr>
          <w:rFonts w:ascii="Arial" w:cs="Arial" w:eastAsia="Arial" w:hAnsi="Arial"/>
          <w:sz w:val="16"/>
          <w:szCs w:val="16"/>
          <w:color w:val="auto"/>
        </w:rPr>
      </w:pPr>
    </w:p>
    <w:p>
      <w:pPr>
        <w:jc w:val="both"/>
        <w:ind w:left="1000" w:right="299" w:hanging="348"/>
        <w:spacing w:after="0" w:line="296" w:lineRule="auto"/>
        <w:tabs>
          <w:tab w:leader="none" w:pos="10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at the conclusion of the intervening event notice period, the board of directors of such party (or a committee thereof, in the case of PRA) shall have determined in good faith, after consultation with its outside legal counsel and financial advisor of national reputation, that in light of such intervening event and taking into account any revised terms proposed by the other party, the failure to make an adverse recommendation change would be inconsistent with the directors’ fiduciary duties under applicable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 “intervening event” means, with respect to either ICON or PRA, a material development or change in circumstance that occurs or arises after the date of the merger agreement that was not known to or reasonably foreseeable by the board of directors of each respective party, as of the date of the merger agreement (or, if known or reasonably foreseeable, the magnitude of material consequences of which were not known or reasonably foreseeable by the board of directors of each respective party as of the date of this agreement), subject to certain exceptions.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Regarding Takeover Proposals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of ICON and PRA must promptly (and, in any event, within 24 hours in the case of PRA and two (2) business days in the case of ICON) notify the other party of any takeover proposal, any inquiry that would reasonably be expected to lead to a takeover proposal, any request for non-public information relating to such party or its subsidiaries, or for access to the business, properties, assets, books, or records of such party or its subsidiaries by any third party that would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reasonably informed, on a reasonably current basis, of the status and material terms of such takeover proposal, indication or request, including any material amendments or proposed amendments as to price, proposed financing, and other material terms thereof.</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merger agreement requires each of ICON and PRA to, as soon as reasonably practicable following the effectiveness of ICON’s registration statement on Form F-4, of which this joint proxy statement/prospectus forms a part, in accordance with applicable law, mail the joint proxy statement/prospectus and all other proxy materials to its stockholders in advance of its respective stockholder meeting. Each of ICON and PRA shall take all action necessary to duly call, give notice of, convene and hold its respective stockholder meeting as soon as reasonably practicable after the Form F-4 is declared effective.</w:t>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ICON must use its reasonable best efforts to solicit from the holders of ICON ordinary shares proxies in favor of granting the ICON board authority to effect the share issuance, PRA must use its reasonable best efforts to solicit proxies from the PRA stockholders proxies in favor of the adoption of the merger agreement and approval of the merger and each of ICON and PRA must use its reasonable best efforts to take all other actions necessary or advisable to secure the vote or consent of the holders of ICON ordinary shares and PRA common stock, as applicable, required to comply with applicable law. Once the ICON EGM or the PRA stockholders meeting, as applicable, has been called and noticed, neither ICON nor PRA, as applicable, may adjourn, postpone or otherwise delay the corresponding meeting without the prior written consent of the other party, except that each of ICON and PRA may postpone or adjourn the ICON EGM or the PRA stockholders meeting, as applicable, to obtain a quorum of its shareholders or as reasonably determined by ICON or PRA, as applicable, to comply with applicable law.</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ICON and PRA must use reasonable best efforts to cooperate with the other regarding the record date and the meeting date and time for the ICON EGM and the PRA stockholders meeting such that the meeting date and time for each such stockholder meeting will be the same.</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Without the consent of the other party or as required by applicable law, (a) the adoption of the merger agreement or granting the ICON board authority to effect the ICON share issuance, as applicable shall be the only matter (other than matters of procedure and, in the case of PRA, a non-binding advisory proposal regarding compensation that may be paid or become payable to the named executive officers of PRA in connection with the merger) that either PRA or ICON shall propose to be acted on by the shareholders at the PRA stockholders meeting or the ICON EGM, as applicable, and the parties shall not submit any other proposal to such shareholders in connection with the meetings or otherwise (including any proposal inconsistent with the adoption of the merger agreement or the consummation of the transactions contemplated by the merger agreement) and (b) neither PRA nor ICON shall call any shareholder meeting prior to the PRA stockholder meeting or the ICON EGM, as applicable.</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Each of ICON and PRA agrees that its obligations to hold the ICON EGM and the PRA stockholders meeting, as applicable, will not be affected by the making of a change of recommendation by the ICON board of directors or the PRA board of directors, as applicable, unless the merger agreement is terminated in accordance with its terms prior to the ICON EGM or the PRA stockholders meeting, as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Reasonable Best Efforts and Regulatory Approvals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Subject to the terms and conditions set forth in the merger agreement, ICON and PRA are required to use (and will cause their respective subsidiaries to use) their respective reasonable best efforts to take or cause to be taken all actions, and do or cause to be done, and to assist and cooperate with the other parties in doing all things necessary, proper or advisable under applicable to consummate and make effective, and to satisfy all conditions to, in the most expeditious manner practicable, and in any event prior to the end date, the transactions contemplated by the merger agreement, including to (i) obtain all necessary permits, actions and nonactions, and waivers from governmental entities, and make all necessary or advisable registrations and filings and take all steps as may be necessary to obtain an approval or waiver from, or to avoid an action or proceeding by, any governmental entities (ii) obtain all necessary consents or waivers from third parties, and (iii) execute and deliver any additional instruments necessary to consummate the merger and to fully carry out the purposes of the merger agreement. Notwithstanding the foregoing (but subject to the other provisions of the merger agreement), in no event shall either PRA or ICON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w:t>
      </w:r>
    </w:p>
    <w:p>
      <w:pPr>
        <w:spacing w:after="0" w:line="6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the event that any administrative or judicial action or proceeding is instituted (or threatened to be instituted) by a governmental entity or private party challenging the merger or any other transaction contemplated by the merger agreement, or any other agreement contemplated in the merger agreement, ICON, US HoldCo, Merger Sub and PRA agreed to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the merger agreement. Notwithstanding anything in the merger agreement to the contrary, ICON, US HoldCo, Merger Sub, and PRA, and their respective affiliates shall be required to use their reasonable best efforts to defend, contest, or resist any action or proceeding, whether judicial or administrative, and to take any action, to have vacated, lifted, reversed, or overturned any order, in connection with the transactions contemplated by the merger agreement.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Antitrust Filings and Approvals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ICON and PRA have agreed that they will, subject to applicable law, promptly (i) consult with each other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divestures or other remedial undertakings made for purposes securing any required approvals under the antitrust laws, (ii) cooperate and coordinate with the other in the taking of the actions contemplated by the merger agreement, including clauses (i), (ii), and (iii) in the first paragraph of the preceding section, and (iii) supply the other with any information that may be reasonably required in order to effectuate the taking of such actions. Each party is required to promptly inform the other party or parties of any communication from any governmental entity regarding any of the transactions contemplated by the merger agreement.</w:t>
      </w:r>
    </w:p>
    <w:p>
      <w:pPr>
        <w:spacing w:after="0" w:line="8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furtherance of the foregoing and subject to the limitations set forth below, “reasonable best efforts” for each of ICON and PRA shall include (A) proposing, negotiating, committing to and effecting, by consent decree, holding separate order or otherwise, the sale, divestiture, disposition, license or other disposition of its and its subsidiaries’ assets, properties or businesses, (B) terminating existing relationships, contractual rights or obligations of PRA or ICON or their respective subsidiaries, (C) terminating any venture or other arrangement, (D) creating any relationship, contractual rights or obligations of PRA or ICON or their respective subsidiaries and (E) effectuating any other change or restructuring of PRA or ICON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the merger agreement. If PRA, on the one hand, or ICON, US HoldCo or Merger Sub, on the other hand, receives a request for additional information or documentary material from any governmental entity with respect to the transactions contemplated by the merger agreement, then such party shall use reasonable best efforts to make, or cause to be made, as soon as reasonably practicable and after consultation with the other party, an appropriate response in compliance with such request, and, if permitted by applicable law and by any applicable governmental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entity, provide the other party’s counsel with advance notice and the opportunity to attend and participate in any meeting with any governmental entity in respect of any filing made thereto in connection with the transactions contemplated by the merger agreement. None of ICON, US HoldCo or PRA shall commit to or agree (or permit any of their respective subsidiaries to commit to or agree) with any governmental entity to stay, toll, or extend any applicable waiting period under the Hart-Scott-Rodino Antitrust Improvements Act of 1976, as amended, or HSR Act, or other applicable antitrust laws, without the prior written consent of each other (such consent not to be unreasonably withheld, conditioned, or delayed). The parties agreed to use their best efforts to preserve any applicable privilege to the extent they share information protected from disclosure under the attorney-client privilege, work product doctrine, joint defense privilege or any other privilege.</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parties also agreed to: (i) provide or cause to be provided as promptly as reasonably practicable to governmental entities with jurisdiction over the antitrust laws (referred to as governmental antitrust authority) information and documents required or requested by any governmental antitrust authority as necessary, proper, or advisable to permit consummation of the transactions contemplated by the merger agreement, including preparing and filing any notification and report form and related material required under the HSR Act and any additional consents and filings under any other antitrust laws as promptly as practicable following the date of the merger agreement (provided, that in the case of the filing under the HSR Act, such filing shall be made within fifteen</w:t>
      </w:r>
    </w:p>
    <w:p>
      <w:pPr>
        <w:spacing w:after="0" w:line="2" w:lineRule="exact"/>
        <w:rPr>
          <w:sz w:val="20"/>
          <w:szCs w:val="20"/>
          <w:color w:val="auto"/>
        </w:rPr>
      </w:pPr>
    </w:p>
    <w:p>
      <w:pPr>
        <w:jc w:val="both"/>
        <w:ind w:left="300" w:right="299" w:hanging="8"/>
        <w:spacing w:after="0" w:line="292" w:lineRule="auto"/>
        <w:tabs>
          <w:tab w:leader="none" w:pos="65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business days of the date of the merger agreement) and thereafter to respond as promptly as practicable to any request for additional information or documentary material that may be made under the HSR Act or any other applicable antitrust laws, and (ii) subject to certain enumerated limitations, use their reasonable best efforts to take such actions as are necessary or advisable to obtain prompt approval of the consummation of the transactions contemplated by the merger agreement by any governmental entity or expiration of applicable waiting periods.</w:t>
      </w:r>
    </w:p>
    <w:p>
      <w:pPr>
        <w:spacing w:after="0" w:line="5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None of ICON or its subsidiaries are required to, and none of PRA and its subsidiaries shall, without the prior written consent of ICON, take any action, or commit to take any action, or agree to any condition or limitation contemplated under the merger agreement that is not conditioned on the consummation of the merger or that would constitute or result in, or would reasonably be expected to constitute or result in, individually or in the aggregate, any sale, divestiture, license or disposition of any assets, properties or businesses, or any other action concession or undertaking, or any commitment to do any of the foregoing, that, individually or in the aggregate, would reasonably be expected to have a material adverse effect on ICON, PRA, and their respective subsidiaries, taken as a whole (which is referred to as the burdensome condition); provided, that if requested by ICON, PRA will become subject to, consent to, or offer or agree to, or otherwise take any action with respect to, any such requirement, condition, limitation, understanding, agreement, or order so long as such requirement, condition, limitation, understanding, agreement, or order is only binding on PRA in the event the closing occurs.</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Each of ICON, US HoldCo, Merger Sub, and PRA agreed to not take any action that could reasonably be expected to hinder or delay in any material respect the obtaining of clearance or the expiration of the required waiting period under the HSR Act or any other applicable antitrust laws. Without limiting the previous sentence, each of PRA or any of its subsidiaries or ICON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w:t>
      </w:r>
    </w:p>
    <w:p>
      <w:pPr>
        <w:spacing w:after="0" w:line="1" w:lineRule="exact"/>
        <w:rPr>
          <w:sz w:val="20"/>
          <w:szCs w:val="20"/>
          <w:color w:val="auto"/>
        </w:rPr>
      </w:pPr>
    </w:p>
    <w:p>
      <w:pPr>
        <w:jc w:val="both"/>
        <w:ind w:left="300" w:right="299" w:hanging="8"/>
        <w:spacing w:after="0" w:line="295" w:lineRule="auto"/>
        <w:tabs>
          <w:tab w:leader="none" w:pos="57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increase the risk of any governmental entity entering an order prohibiting the consummation of the transactions contemplated by the merger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Subject to certain exceptions and conditions, ICON and PRA each must, and must cause its subsidiaries and its and their respective officers, directors, employees, and other representatives to, afford to the other party and its or their representatives reasonable access, at reasonable times in a manner as shall not unreasonably interfere with the business or operations of such party or any of its subsidiaries, to the officers, employees, accountants, agents, properties, offices, and other facilities and to all books, records, contracts, and other assets of such party and its subsidiaries, and each must, and must cause its subsidiaries to, furnish promptly to the other party such other information concerning the business and properties of such party and its subsidiaries as the other party may reasonably request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ICON ordinary shares; Delisting and Deregistration of PRA common stock</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ICON is required to take all action reasonably necessary to cause the ICON ordinary shares to be issued in connection with the merger to be approved for listing on Nasdaq (or such other stock exchange as may be mutually agreed upon by ICON and PRA), subject to official notice of issuance, prior to the effective time. To the extent required by ICON, prior to the effective time, PRA will cooperate with ICON and use its reasonable best efforts to take, or cause to be taken, all actions, and do or cause to be done all things, reasonably necessary, proper or advisable on its part under applicable laws and the rules and policies of Nasdaq to enable delisting by the surviving corporation of the shares of PRA common stock from Nasdaq and the deregistration of the shares of PRA common stock under the Exchange Act as promptly as practicable after the effective time, and in any event no more than ten (10) days after the effective time.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and PRA are required to consult with each other before issuing any press release or scheduling a press conference or conference call with investors or analysts, and to use reasonable best efforts to consult with each other before making any other public statement with respect to the merger agreement or the transactions contemplated thereby. ICON and PRA have agreed not to issue any such press release or make any such other public statement relating to the merger agreement or the transactions contemplated thereby without the consent of the other party, which consent will not be unreasonably withheld, conditioned or delayed, except for any such release or announcement that ICON or PRA determines, after consultation with outside legal counsel, is required by applicable law or any listing agreement with or rule of a national or foreign securities exchange or association upon which the securities of PRA or ICON, as applicable, are listed, in which case the party required to make the release or announcement will provide notice to and, to the extent reasonably practicable, consult with the other party about, and will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The foregoing will not prohibit or limit either ICON or PRA from (i) making any public statement in response to questions from the press, analysts, investors or those attending industry conferences, making internal announcements to employees and making disclosures in the reports of such party filed with the SEC,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reports of such party filed with the SEC in respect of a change of recommendation only to the extent such statement, announcement or disclosure complies with and is otherwise permitted by the merger agreement.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 and Compensation Matters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Continuing Compensation and Benefits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one year following the effective time, ICON will provide to each continuing PRA employee who remains employed with ICON or any of its subsidiaries with a base salary or base wage that is no less favorable and with employee benefits that are no less favorable in the aggregate than those in effect for such employee immediately prior to the effective time.</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For one year following the effective time, ICON will provide to each continuing PRA employee (other than PRA employees with a title of executive vice president or higher and the President, Strategic Solutions, referred to herein as the “key company employees”) who experiences a termination of employment other than for cause with severance payments and benefits that are no less favorable than the severance payments and benefits provided by PRA and its subsidiaries to such continuing PRA employee as of the date of the merger agreement as set forth on PRA’s disclosure letter.</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 will use commercially reasonable efforts to (i) cause any pre-existing conditions or limitations and eligibility waiting period under any group health plans of ICON and its affiliates to be waived with respect to the PRA continuing employees and their eligible dependents, (ii) give each PRA continuing employee credit for the plan year in which the effective time occurs towards applicable deductibles and annual out-of-pocket limits for medical expenses incurred prior to the effective time under the applicable ICON employee plan for which payment has been made and (iii) give each PRA continuing employee service credit for such PRA continuing employee’s employment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with PRA and its subsidiaries for purposes of vesting, benefit accrual and eligibility to participate under each applicable ICON employee plan, as if such services had been performed with ICON, except for benefit accrual under defined benefit pension plans, for purposes of qualifying for subsidized early retirement benefits, or to the extent that it would result in a duplication of benefits.</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addition, PRA may continue to pay its non-employee directors in the ordinary course of business consistent with past practice.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Equity-Based Compensation</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With respect to outstanding equity awards held by PRA employees, ICON and PRA agree that the merger, if consummated, will constitute a change in control under the applicable PRA stock incentive plan and award agreement terms. PRA restricted stock units (and options held by key company employees) vest in full upon a “qualifying termination” (as defined in the applicable stock incentive plan and award agreements) following closing per their terms. In addition, PRA may amend (and is expected to amend) outstanding PRA stock options granted prior to the execution of the merger agreement held by employees (other than the key company employees) to provide that, in the event of a termination of employment within 12 months after the effective time other than for cause, or upon a resignation following a relocation of such employee’s current work location by more than 50 miles, the portion of PRA stock options held by such employee that would have vested and become exercisable during the 12 months following termination shall accelerate and vest. PRA may also amend (and is expected to amend) outstanding and unvested restricted stock units that were granted as annual awards in lieu of restricted stock prior to May 1, 2020 to non-U.S. employees for tax purposes so that such awards vest at closing and are treated the same as outstanding PRA restricted stock awards.</w:t>
      </w:r>
    </w:p>
    <w:p>
      <w:pPr>
        <w:spacing w:after="0" w:line="78" w:lineRule="exact"/>
        <w:rPr>
          <w:sz w:val="20"/>
          <w:szCs w:val="20"/>
          <w:color w:val="auto"/>
        </w:rPr>
      </w:pPr>
    </w:p>
    <w:p>
      <w:pPr>
        <w:jc w:val="both"/>
        <w:ind w:left="300" w:right="319" w:firstLine="360"/>
        <w:spacing w:after="0" w:line="274" w:lineRule="auto"/>
        <w:rPr>
          <w:sz w:val="20"/>
          <w:szCs w:val="20"/>
          <w:color w:val="auto"/>
        </w:rPr>
      </w:pPr>
      <w:r>
        <w:rPr>
          <w:rFonts w:ascii="Arial" w:cs="Arial" w:eastAsia="Arial" w:hAnsi="Arial"/>
          <w:sz w:val="17"/>
          <w:szCs w:val="17"/>
          <w:color w:val="auto"/>
        </w:rPr>
        <w:t>With respect to equity awards to be granted in 2021, such awards will be granted to PRA employees in the form of restricted stock units (or, with the consent of ICON, partially or wholly in stock options) that vest in three</w:t>
      </w:r>
    </w:p>
    <w:p>
      <w:pPr>
        <w:jc w:val="both"/>
        <w:ind w:left="300" w:right="299" w:hanging="8"/>
        <w:spacing w:after="0" w:line="287" w:lineRule="auto"/>
        <w:tabs>
          <w:tab w:leader="none" w:pos="55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annual installments and provide for (i) full accelerated vesting upon a “qualifying termination” (as defined in the PRA 2020 Stock Incentive Plan) for key company employees and (ii) accelerated vesting of the awards that would have vested during the 12 months following the employee’s death, disability or a termination of employment within 12 months of the effective time other than for cause or upon a resignation following a relocation of such employee’s current work location by more than 50 miles. The aggregate amount of equity awards that may be granted to PRA employees in respect of 2021 is $55 million, with the number of restricted stock units that will be granted to a given employee to be determined by dividing the total value of the grant in U.S. dollars by $124.9285, which is the volume weighted average price per share of PRA common stock from January 26, 2021 to February 22, 2021.</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merger agreement provides that the PRA 2017 Employee Stock Purchase Plan, which we refer to as the ESPP, shall continue to operate through the closing date, and for employees currently participating in the ESPP, the final exercise date shall be the closing date, provided that such participating employees may not increase their contributions from the levels in effect upon execution of the merger agreement. Unless otherwise requested by ICON, the ESPP will terminate on the closing date, and all shares of PRA common stock purchased by employees through exercise of their contributions on such date shall be cancelled at the effective time and converted into the right to receive the merger consideration.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Retention Bonus Program</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may implement a cash retention program with a $25 million aggregate retention pool to be allocated to the PRA employees (other than key company employees) and ICON employees and in amounts to be agreed by PRA and ICON. Such retention bonuses shall be paid 50% at the effective time and 50% at the six (6) month anniversary of the effective time or, if earlier, upon a termination of employment without cause.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PRA may make annual bonus payments in respect of 2020 and, if the closing does not occur prior to the scheduled payment date, with respect to 2021, based on actual performance. PRA may also establish annual bonus and long-term incentive targets in respect of 2021 for company employees in the ordinary course of business consistent with past practice. In the event a PRA employee with an express target bonus amount at the director level or above (but excluding the key company employees) experiences a termination of employment following the closing and during 2021 other than for cause or upon a resignation following such employee’s relocation by more than 50 miles, such employee shall receive a pro-rated bonus payment for 2021 assuming target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merger agreement, PRA may amend (and is expected to amend) each employment agreement with each key company employee to provide: (i) if ICON does not make an offer of continuing employment to each key company employee on or prior to the earlier of July 1, 2021 and the day that is ten (10) days prior to the closing date on the same terms and conditions as such key company employee’s employment with PRA (including but not limited to annual salary, cash bonus opportunities, long-term incentive opportunities, role/title at ICON and work location), then the key company employee shall have grounds to terminate his or her employment with PRA for “good reason” under his or her employment agreement and experience a “qualifying termination” for purposes of his or her outstanding PRA equity awards at closing; and (ii) the “bonus” component of any cash severance payable to a key company employee pursuant to his or her employment agreement in respect of a termination of employment during the one-year period following the merger effective time shall be based on such key company employee’s 2021 target bonus.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FIRPTA Certificate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PRA determines in good faith that, as of the closing, there is a material risk that PRA has become a “United States real property holding corporation” within the meaning of Section 897(c) of the Internal Revenue Code, referred to as a USRPHC, and has so notified ICON, PRA shall provide ICON prior to closing with a signed certificate from the Company conforming to the requirements of Treasury Regulation Section 1.1445-2(c)(3) to the effect that PRA is not, and has not been during the relevant period specified in Section 897(c)(1)(ii) of the Internal Revenue Code, a USRPHC together with a signed notice to the Internal Revenue Service conforming to the requirements of Treasury Regulation Section 1.897-2(h) (which notice ICON shall mail to the Internal Revenue Service promptly after closing).</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Except as otherwise provided in the provisions related to termination of the merger agreement, whether or not the merger is completed, all expenses incurred in connection with the merger agreement and the transactions contemplated by the merger agreement will be paid by the party incurring such expense.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ICON will not (without the prior written consent of PRA, which consent shall not be unreasonably withheld, conditioned, or delayed) consent or agree to any amendment, replacement, supplement, or modification of, or any waiver of any provision or remedy pursuant to the commitment letter among ICON and the debt financing sources, if such amendment, replacement, supplement, modification, or waiver would: (i) reduce the aggregate amount of the net proceeds of the debt financing to an amount that, together with ICON’s and Merger Sub’s cash on hand and cash equivalents on hand and any escrowed take-out financing proceeds, would be less than the amounts required under the terms of the merger agreement to be paid by ICON, US HoldCo or Merger Sub in cash in connection with the merger and the other transactions contemplated by the merger agreement (such amount, the required amount);</w:t>
      </w:r>
    </w:p>
    <w:p>
      <w:pPr>
        <w:spacing w:after="0" w:line="1" w:lineRule="exact"/>
        <w:rPr>
          <w:sz w:val="20"/>
          <w:szCs w:val="20"/>
          <w:color w:val="auto"/>
        </w:rPr>
      </w:pPr>
    </w:p>
    <w:p>
      <w:pPr>
        <w:jc w:val="both"/>
        <w:ind w:left="300" w:right="299" w:hanging="8"/>
        <w:spacing w:after="0" w:line="281" w:lineRule="auto"/>
        <w:tabs>
          <w:tab w:leader="none" w:pos="58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impose new or additional conditions or otherwise expand, amend, or modify any of the conditions to the receipt of the debt financing or (b) expand, amend or modify any other terms to the debt financing in a manner that would reasonably be expected to: (1) delay or prevent the closing date, or (2) make the timely funding of the debt financing, or the satisfaction of the conditions to obtaining the debt financing, materially less likely to occur; or</w:t>
      </w:r>
    </w:p>
    <w:p>
      <w:pPr>
        <w:spacing w:after="0" w:line="2" w:lineRule="exact"/>
        <w:rPr>
          <w:rFonts w:ascii="Arial" w:cs="Arial" w:eastAsia="Arial" w:hAnsi="Arial"/>
          <w:sz w:val="16"/>
          <w:szCs w:val="16"/>
          <w:color w:val="auto"/>
        </w:rPr>
      </w:pPr>
    </w:p>
    <w:p>
      <w:pPr>
        <w:jc w:val="both"/>
        <w:ind w:left="300" w:right="299" w:hanging="8"/>
        <w:spacing w:after="0" w:line="269" w:lineRule="auto"/>
        <w:tabs>
          <w:tab w:leader="none" w:pos="6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materially adversely impact the ability of ICON to enforce its rights against the other parties to the commitment letter or the debt financing definitive agreements (clauses (i), (ii) and (iii) collectively, the restricted amendments); provided, that ICON may (without the consent of PRA)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w:t>
      </w:r>
    </w:p>
    <w:p>
      <w:pPr>
        <w:spacing w:after="0" w:line="7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Subject to the terms and conditions of the merger agreement, ICON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ICON’s, US HoldCo’s and Merger Sub’s cash on hand, any cash proceeds of any take-out financing received by ICON or its subsidiaries on the closing date and any escrowed take-out financing proceeds) to fund the required amount on or prior to the closing date, on the terms and conditions described in the commitment letter.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To the extent reasonably requested by PRA from time to time, ICON shall keep PRA informed on a reasonably current basis of the status of its efforts to arrange the debt financing (including providing PRA, upon request, with copies of all definitive agreements related to the debt financing), and such other information and documentation available to ICON as shall be reasonably requested by PRA.</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During the period between the date of the merger agreement and the effective time, PRA will use its commercially reasonable efforts, and cause each of its subsidiaries and its and their respective representatives to use their respective commercially reasonable efforts, to provide ICON with all cooperation reasonably requested by ICON to assist ICON in causing the conditions in the commitment letter to be satisfied or as is otherwise customary and reasonably requested by ICON in connection with the debt financing or any take-out financing, including using commercially reasonable efforts to:</w:t>
      </w:r>
    </w:p>
    <w:p>
      <w:pPr>
        <w:spacing w:after="0" w:line="84" w:lineRule="exact"/>
        <w:rPr>
          <w:sz w:val="20"/>
          <w:szCs w:val="20"/>
          <w:color w:val="auto"/>
        </w:rPr>
      </w:pPr>
    </w:p>
    <w:p>
      <w:pPr>
        <w:jc w:val="both"/>
        <w:ind w:left="1000" w:right="319" w:hanging="348"/>
        <w:spacing w:after="0" w:line="275" w:lineRule="auto"/>
        <w:tabs>
          <w:tab w:leader="none" w:pos="10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as promptly as reasonably practicable in connection with the anticipated timing for the marketing of the debt financing or any take-out financing, deliver to ICON the historical financial statements with respect to PRA and its subsidiaries that are specified in the commitment letter (it being agreed that these obligations with respect to any historical financial statement shall be deemed satisfied upon the filing of the applicable SEC documents of PRA containing such historical financial statements);</w:t>
      </w:r>
    </w:p>
    <w:p>
      <w:pPr>
        <w:spacing w:after="0" w:line="68" w:lineRule="exact"/>
        <w:rPr>
          <w:rFonts w:ascii="Arial" w:cs="Arial" w:eastAsia="Arial" w:hAnsi="Arial"/>
          <w:sz w:val="17"/>
          <w:szCs w:val="17"/>
          <w:color w:val="auto"/>
        </w:rPr>
      </w:pPr>
    </w:p>
    <w:p>
      <w:pPr>
        <w:jc w:val="both"/>
        <w:ind w:left="1000" w:right="319" w:hanging="348"/>
        <w:spacing w:after="0" w:line="254"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cause PRA’s independent accountants to (x) provide, consistent with customary 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PRA and its subsidiaries as reasonably requested by ICON and as customary for any offering or private placement of debt securities pursuant to Rule 144A under the Securities Act and (y) participate in a reasonable number of accounting due diligence sessions;</w:t>
      </w:r>
    </w:p>
    <w:p>
      <w:pPr>
        <w:spacing w:after="0" w:line="86"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provide information regarding PRA and its subsidiaries reasonably requested by ICON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49"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PRA and its subsidiaries included in such confidential information memorandum, and solely to the extent PRA has had a reasonable time period to review such confidential information memorandum;</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furnish no later than four (4) business days prior to the closing date all documentation and other information that is reasonably requested by ICON that is required by regulatory authorities in connection with applicable “know your customer” and anti-money laundering rules and regulations, including the USA PATRIOT Act, relating to PRA and its subsidiaries;</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75"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ICON, the debt financing sources, or any take-out financing party (including customary officer’s and other closing certificates and back-up therefore), in each case effective no earlier than, and subject to the occurrence of, the closing, subject to certain restrictions; and</w:t>
      </w:r>
    </w:p>
    <w:p>
      <w:pPr>
        <w:spacing w:after="0" w:line="84"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deliver notices of prepayment within the time periods required by the relevant agreements governing Indebtedness and assist ICON in obtaining customary payoff letters, lien terminations, and instruments of discharge to be delivered at closing to allow for the payoff, discharge, and termination in full on the closing date of any material indebtedness for borrowed money of PRA or its subsidiaries that is reasonably requested by ICON to be paid off, discharged or terminated at closing (upon reasonable prior written notice to PRA) or that is otherwise subject to mandatory prepayment (however described) or repayment in full as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a result of the consummation of the merger; provided that PRA shall not be required to deliver any notice of prepayment or redemption or similar notice or document that is not conditioned on the consummation of the merger or that, if the merger is not consummated, results in liability to PRA.</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US HoldCo shall, promptly upon request by PRA following the termination of the merger agreement (unless the termination of the merger agreement triggers PRA’s obligation to pay PRA the applicable termination fee) reimburse PRA for all reasonable and documented out-of-pocket costs actually incurred by PRA, its subsidiaries, or any of its or their respective representatives in connection with its cooperation pursuant to the merger agreement. In addition, ICON and US HoldCo will indemnify and hold harmless PRA, its subsidiaries, and its and their respective representatives from and against any and all losses suffered or incurred by them in connection with the arrangement of the debt financing or any take-out financing, any action taken by them pursuant to the foregoing, and any information used in connection therewith (other than historical financial information provided in writing by PRA or any of its subsidiaries specifically in connection with its obligations under the merger agreement); in each case, except to the extent suffered or incurred as a result of the bad faith, gross negligence, willful misconduct, intentional misrepresentation, or intentional breach of the merger agreement or fraud by PRA or any of its subsidiaries or its or their respective representatives.</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Notwithstanding anything to the contrary in the merger agreement, it is expressly understood and agreed by the parties thereto that PRA’s and each of its subsidiaries’ obligations to cooperate with ICON and US HoldCo’s financing activities shall be disregarded for purposes of determining whether the conditions set forth in the merger agreement have been satisfied (including for purposes of determining any termination rights under merger agreement).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 Board Representation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Under the merger agreement ICON has agreed to take all reasonably necessary action to cause, as of the closing, Colin Shannon, the chief executive officer of PRA, and one additional current member of PRA’s board of directors (such member to be mutually agreed by ICON and PRA) to be appointed to ICON’s board of directors, and ICON has also agreed to take all reasonably necessary actions, through its board of directors and its Nominating &amp; Governance Committee, as applicable, to nominate such two (2) new directors for re-election to the ICON board of directors at the next annual general meeting of ICON shareholders.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ICON will use reasonable efforts to (i) have in place on or before the closing date a composition agreement with the Revenue Commissioners of Ireland and a Special Eligibility Agreement for Securities (which is referred to as SEAS) with The Depository Trust Company in respect of ICON ordinary shares (including those issuable as merger consideration pursuant to the merger agreement), and (ii) cause that such composition agreement and SEAS remain in full force and effect as of the closing date.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Section 16 Matters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Prior to the effective time, PRA will take all such steps as may be required to cause to be exempt under Rule 16b-3 promulgated under the Exchange Act, any dispositions of shares of PRA common stock (including derivative securities with respect to such shares) that are treated as dispositions under such rule and result from the transactions contemplated by the merger agreement by each director or officer of PRA who is subject to the reporting requirements of Section 16(a) of the Exchange Act with respect to PRA immediately prior to the effective time.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Directors’ and Officers’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merger agreement provides that, from and after the effective time, each of ICON and the surviving corporation will, jointly and severally, indemnify and hold harmless each person who is or has been at any time prior to the date of the merger agreement, or who becomes prior to the effective time a director, manager or officer of PRA or any of its subsidiaries or who acts as a fiduciary under any PRA stock plan, in each case, when acting in such capacity (who are collectively referred to as the indemnified parties)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PRA or any of its subsidiaries or, while a director, manager or officer of PRA or any of its subsidiaries,</w:t>
      </w:r>
    </w:p>
    <w:p>
      <w:pPr>
        <w:sectPr>
          <w:pgSz w:w="11900" w:h="16838" w:orient="portrait"/>
          <w:cols w:equalWidth="0" w:num="1">
            <w:col w:w="9019"/>
          </w:cols>
          <w:pgMar w:left="1440" w:top="265"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is or was serving at the request of PRA or one of its subsidiaries as an officer, director or manager of another person, whether pertaining to any act or omission occurring or existing prior to or at, but not after the effective time and whether asserted or claimed prior to, at or after the effective time, to the fullest extent that PRA would have been permitted to do so by law. Each indemnified party will be entitled to advancement of expenses (including attorneys’ fees) incurred in the defense of any such claim, action, suit, proceeding or investigation from each of ICON and the surviving corporation within 90 days of receipt of ICON or the surviving corporation from the indemnified party of a request therefor, as long as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ICON, US HoldCo, and Merger Sub have further agreed that all rights to indemnification, advancement of expenses and exculpation by PRA existing as of the date of the merger agreement in favor of the current or former directors or officers of PRA and its subsidiaries as provided in their respective certificate of incorporation or bylaws (or comparable organizational documents) and any indemnification or other agreements of PRA as in effect on the date of the merger agreement will be assumed by the surviving corporation, without further action, at the effective time, and will survive the merger and will continue in full force and effect in accordance with their terms, provided that all rights to indemnification in respect of any claim made for indemnification within such period shall continue until the disposition of such action or resolution of such claim.</w:t>
      </w:r>
    </w:p>
    <w:p>
      <w:pPr>
        <w:spacing w:after="0" w:line="6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merger agreement further provides that, for a period of six (6) years from the effective time, the surviving corporation shall, and ICON shall cause the surviving corporation to, maintain in effect the exculpation, indemnification, and advancement of expenses no less favorable than the provisions of the certificate of incorporation and bylaws of PRA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provided that all rights to indemnification in respect of any claim made for indemnification within such period shall continue until the disposition of such action or resolution of such claim.</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has agreed to cause the surviving corporation to obtain and fully prepay as of the effective time, a “tail” insurance policy from an insurance carrier with the same or better credit rating as PRA’s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provided, however, that in no event will the surviving corporation be required to pay, with respect to the entire six (6)-year period following the effective time, premiums for such insurance which in the aggregate exceed 300% of the aggregate premiums paid by PRA for the period in its most recent fiscal year for such purpose (which is referred to as the maximum premium); provided, further, that if such insurance coverage cannot be obtained at an annual premium equal to or less than the maximum premium, ICON will nevertheless be obligated to provide the greatest coverage, with respect to the entire six (6)-year period following the effective time, as may be obtained for the maximum premium.</w:t>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the event that ICON, the surviving corporation or any of its respective successors or assigns (i) consolidates with or merges into any other person and is not the continuing or surviving corporation or entity of such consolidation or merger or (ii) transfers all or substantially all its properties and assets to any person, then, and in each such case, ICON will cause proper provision to be made so that the successors and assigns of ICON and the surviving corporation, as the case may be, assume the obligations described in this section.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indemnification, exculpation and insurance provisions described in this section are intended to be for the benefit of, and from and after the effective time will be enforceable by, each of the persons entitled to indemnification or insurance coverage or expense reimbursement, as described in the merger agreement, and his or her heirs and representatives.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of ICON and PRA has agreed to promptly notify the other party in writing of any claim or legal action against such party or any of its directors or officers (including any class action or derivative litigation) relating, directly or indirectly, to the merger agreement, the merger or other transactions contemplated by the merger agreement, including disclosures made under securities laws and regulations related thereto stockholder litigation. Each of ICON and PRA has agreed (i) to give the other party at such participant’s sole cost and expense the right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to review and comment on all material filings or responses to be made by such party and to discuss in advance any material discussions or communications proposed to be held by such party with any third party in connection with any such stockholder litigation (and such party shall in good faith take any comments or feedback provided by the other party into account), and give the other party the opportunity to participate in the defense and settlement of, any such stockholder litigation and (ii) if the other party does not exercise such right to participate, keep such other party reasonably and promptly informed with respect to the status of such stockholder litigation. Each of ICON and PRA has agreed that no compromise or full or partial settlement of any such stockholder litigation will be agreed to by either party without the other party’s prior written consent (which consent must not be unreasonably withheld, conditioned or delayed).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Each party’s obligation to effect the merger is subject to the satisfaction at closing or waiver at or prior to closing of each of the following conditions:</w:t>
      </w:r>
    </w:p>
    <w:p>
      <w:pPr>
        <w:spacing w:after="0" w:line="62" w:lineRule="exact"/>
        <w:rPr>
          <w:sz w:val="20"/>
          <w:szCs w:val="20"/>
          <w:color w:val="auto"/>
        </w:rPr>
      </w:pPr>
    </w:p>
    <w:p>
      <w:pPr>
        <w:ind w:left="1000" w:hanging="348"/>
        <w:spacing w:after="0"/>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receipt of the required PRA vote and the required ICON vote;</w:t>
      </w:r>
    </w:p>
    <w:p>
      <w:pPr>
        <w:spacing w:after="0" w:line="117"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expiration or termination of the waiting periods (and any extension thereof or any agreement with any governmental entity by a party not to consummate the merger) applicable to the merger under the HSR Act and the making of all required filings and obtainment of all required approvals (or expiration or termination of waiting periods) under applicable antitrust laws of certain jurisdictions, in each case free of any burdensome condition;</w:t>
      </w:r>
    </w:p>
    <w:p>
      <w:pPr>
        <w:spacing w:after="0" w:line="79"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obtainment of certain consents, approvals and other authorizations of governmental entities free of any burdensome condition;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ICON ordinary shares to be issued to PRA stockholders in accordance with the merger agreement having been approved for listing on Nasdaq, subject to official notice of issuance;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effectiveness of the registration statement of which this joint proxy statement/prospectus forms a part and the absence of a stop order or proceedings seeking a stop order with respect thereto;</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absence of a governmental entity having jurisdiction over any party having enacted, issued, promulgated, enforced, or entered any laws or orders, whether temporary, preliminary, or permanent, that make illegal, enjoin, or otherwise prohibit consummation of the merger, the ICON share issuance, or the other transactions contemplated by the merger agreement;</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as follows:</w:t>
      </w:r>
    </w:p>
    <w:p>
      <w:pPr>
        <w:sectPr>
          <w:pgSz w:w="11900" w:h="16838" w:orient="portrait"/>
          <w:cols w:equalWidth="0" w:num="1">
            <w:col w:w="9019"/>
          </w:cols>
          <w:pgMar w:left="1440" w:top="265"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representation and warranty of such party that there has not been or occurred a material adverse effect must have been true and correct in all respects as of the date of the merger agreement and must be true and correct in all respects as of the closing date;</w:t>
      </w:r>
    </w:p>
    <w:p>
      <w:pPr>
        <w:spacing w:after="0" w:line="76" w:lineRule="exact"/>
        <w:rPr>
          <w:sz w:val="20"/>
          <w:szCs w:val="20"/>
          <w:color w:val="auto"/>
        </w:rPr>
      </w:pPr>
    </w:p>
    <w:p>
      <w:pPr>
        <w:jc w:val="both"/>
        <w:ind w:right="319"/>
        <w:spacing w:after="0" w:line="296" w:lineRule="auto"/>
        <w:rPr>
          <w:sz w:val="20"/>
          <w:szCs w:val="20"/>
          <w:color w:val="auto"/>
        </w:rPr>
      </w:pPr>
      <w:r>
        <w:rPr>
          <w:rFonts w:ascii="Arial" w:cs="Arial" w:eastAsia="Arial" w:hAnsi="Arial"/>
          <w:sz w:val="16"/>
          <w:szCs w:val="16"/>
          <w:color w:val="auto"/>
        </w:rPr>
        <w:t xml:space="preserve">the representations and warranties of such party relating to such party’s capital stock, including with respect to equity awards, must have been true and correct (except for any inaccuracies that are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minimis</w:t>
      </w:r>
      <w:r>
        <w:rPr>
          <w:rFonts w:ascii="Arial" w:cs="Arial" w:eastAsia="Arial" w:hAnsi="Arial"/>
          <w:sz w:val="16"/>
          <w:szCs w:val="16"/>
          <w:color w:val="auto"/>
        </w:rPr>
        <w:t>) as of the date of the merger agreement and must be true as of the closing date, as if made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spacing w:after="0" w:line="53"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spacing w:after="0" w:line="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jc w:val="both"/>
        <w:ind w:right="319"/>
        <w:spacing w:after="0" w:line="272" w:lineRule="auto"/>
        <w:rPr>
          <w:sz w:val="20"/>
          <w:szCs w:val="20"/>
          <w:color w:val="auto"/>
        </w:rPr>
      </w:pPr>
      <w:r>
        <w:rPr>
          <w:rFonts w:ascii="Arial" w:cs="Arial" w:eastAsia="Arial" w:hAnsi="Arial"/>
          <w:sz w:val="17"/>
          <w:szCs w:val="17"/>
          <w:color w:val="auto"/>
        </w:rPr>
        <w:t>the representations and warranties of such party relating to such party’s good standing and power, charter documents, absence of convertible or restricted securities other than equity awards, authority, non-contravention of organizational documents, board approval, and brokers’ and finders’ fee, must have been true and correct in all material respects as of the date of the merger agreement and must be true and correct as of the closing date, as if made on and as of such date (except those representations and warranties that address matters only as of a particular date, which shall be true and correct in all respects as of that date); and</w:t>
      </w:r>
    </w:p>
    <w:p>
      <w:pPr>
        <w:spacing w:after="0" w:line="69"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color w:val="auto"/>
        </w:rPr>
        <w:t>each other representation and warranty of such party set forth in the merger agreement must be true and correct in all respects (without giving effect to any limitation indicated by words such as “material adverse effect,” “in all material respects,” “in any material respect,” “material,” or “materially”) as of the date of the merger agreement and must be true and correct in all respects as of the closing date, as if made on and as of such date (except those representations and warranties that address matters</w:t>
      </w:r>
    </w:p>
    <w:p>
      <w:pPr>
        <w:spacing w:after="0" w:line="19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126365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080" w:space="280"/>
            <w:col w:w="7659"/>
          </w:cols>
          <w:pgMar w:left="1440" w:top="265" w:right="1440" w:bottom="1440" w:gutter="0" w:footer="0" w:header="0"/>
          <w:type w:val="continuous"/>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7"/>
          <w:szCs w:val="17"/>
          <w:color w:val="auto"/>
        </w:rPr>
        <w:t>only as of a particular date, which shall be true and correct in all respects as of that date), except where the failure of such representations and warranties to be so true and correct would not reasonably be expected to have, individually or in the aggregate, a material adverse effect.</w:t>
      </w:r>
    </w:p>
    <w:p>
      <w:pPr>
        <w:spacing w:after="0" w:line="57" w:lineRule="exact"/>
        <w:rPr>
          <w:sz w:val="20"/>
          <w:szCs w:val="20"/>
          <w:color w:val="auto"/>
        </w:rPr>
      </w:pPr>
    </w:p>
    <w:p>
      <w:pPr>
        <w:jc w:val="both"/>
        <w:ind w:left="1000" w:right="299" w:hanging="348"/>
        <w:spacing w:after="0" w:line="263"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performance in all material respects by each party of all obligations and compliance in all material respects with the agreements and covenants in the merger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receipt by such party of a certificate signed by the chief executive officer or chief financial officer of the other party certifying that the conditions in the two (2) immediately preceding bullets (and any subbullets thereof) have been satisfied; and</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ICON has in place a composition agreement with the Revenue Commissioners of Ireland and a Special Eligibility Agreement for Securities with The Depository Trust Company in respect of the ICON ordinary shares issuable as merger consideration pursuant to the merger agreement, both of which are in full force and effect and are enforceable in accordance with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Mutual Consent</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by mutual written consent of ICON and US HoldCo, on the one hand, and PRA, on the other hand.</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Either ICON or PRA</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Either ICON and US HoldCo, on the one hand, or PRA, on the other hand, may terminate the merger agreement at any time prior to the effective time if:</w:t>
      </w:r>
    </w:p>
    <w:p>
      <w:pPr>
        <w:spacing w:after="0" w:line="62" w:lineRule="exact"/>
        <w:rPr>
          <w:sz w:val="20"/>
          <w:szCs w:val="20"/>
          <w:color w:val="auto"/>
        </w:rPr>
      </w:pPr>
    </w:p>
    <w:p>
      <w:pPr>
        <w:jc w:val="both"/>
        <w:ind w:left="1000" w:right="299" w:hanging="348"/>
        <w:spacing w:after="0" w:line="283" w:lineRule="auto"/>
        <w:tabs>
          <w:tab w:leader="none" w:pos="10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merger has not been completed by 11:59 p.m., Eastern Time, on February 24, 2022 (which date is referred to as the end date); provided, however, that (i) in the event the conditions for closing relating to regulatory approvals and absence of injunctions, restraints, or illegality (if the applicable law or order relates to antitrust laws or laws relating to foreign direct investments) shall not have been satisfied on or prior to the end date, but all other closing conditions have been satisfied, or are capable of being satisfied (or have been waived by the party then entitled to give such waiver) on or prior to the end date, then the end date will be extended without further action by the parties until May 24, 2022, and (ii) in the event a legal action is pending such that such closing conditions (if the applicable law or order relates to antitrust laws or laws relating to foreign direct investments) shall not have been satisfied on or prior to the end date as so extended, but all other closing conditions have been satisfied, or are capable of being satisfied (or have been waived by the party then entitled to give such waiver) on or prior to the end date, then the end date will be extended without further action by the parties until the earlier of (x) August 24, 2022, and</w:t>
      </w:r>
    </w:p>
    <w:p>
      <w:pPr>
        <w:spacing w:after="0" w:line="2" w:lineRule="exact"/>
        <w:rPr>
          <w:rFonts w:ascii="Arial" w:cs="Arial" w:eastAsia="Arial" w:hAnsi="Arial"/>
          <w:sz w:val="16"/>
          <w:szCs w:val="16"/>
          <w:color w:val="auto"/>
        </w:rPr>
      </w:pPr>
    </w:p>
    <w:p>
      <w:pPr>
        <w:jc w:val="both"/>
        <w:ind w:left="1000" w:right="299" w:firstLine="3"/>
        <w:spacing w:after="0" w:line="251" w:lineRule="auto"/>
        <w:tabs>
          <w:tab w:leader="none" w:pos="127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date on which such legal action is no longer pending, plus twenty (20) business days; provided, further, that if a party brings any legal action to enforce specifically the performance of the terms and provisions of the merger agreement by any other party, the end date has not yet passed, and the end date occurs during the pendency of such legal action, the end date will be automatically extended by the amount of time during which such legal action is pending, plus twenty (20) business days; provided, further, however, that the right to terminate the merger agreement will not be available to any party whose material breach of any representation, warranty, covenant, or agreement set forth in the merger agreement has been the proximate cause of, or resulted in, the failure of the merger to be consummated on or before the end date;</w:t>
      </w:r>
    </w:p>
    <w:p>
      <w:pPr>
        <w:spacing w:after="0" w:line="89"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if any governmental entity of competent jurisdiction has enacted, issued, promulgated, enforced, or entered any law or order making illegal, permanently enjoining, or otherwise permanently prohibiting the consummation of the merger or ICON share issuance, and such law or order has become final and nonappealable; provided, however, that the right to terminate the merger agreement pursuant will not be available to any party whose material breach of any representation, warranty, covenant, or agreement set forth in the merger agreement has been the proximate cause of, or resulted in, the issuance, promulgation, enforcement, or entry of any such law or order;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59"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 merger agreement has been submitted to the PRA stockholders for adoption at a duly convened PRA stockholders meeting and the requisite vote shall not have been obtained at the PRA stockholders meeting (unless such stockholder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ICON share issuance has been submitted to the shareholders of ICON for approval at a duly convened ICON EGM and the requisite vote shall not have been obtained at the EGM (unless the EGM has been adjourned or postponed, in which case at the final adjournment or postponement thereof).</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ICON and US HoldCo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ICON and US HoldCo may terminate the merger agreement at any time prior to the effective time,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000" w:right="319" w:hanging="348"/>
        <w:spacing w:after="0" w:line="342" w:lineRule="auto"/>
        <w:tabs>
          <w:tab w:leader="none" w:pos="10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prior to the time the required PRA vote is obtained, a PRA adverse recommendation change has occurred (whether or not such PRA adverse recommendation change is permitted by the merger agreement); or</w:t>
      </w:r>
    </w:p>
    <w:p>
      <w:pPr>
        <w:spacing w:after="0" w:line="15" w:lineRule="exact"/>
        <w:rPr>
          <w:rFonts w:ascii="Arial" w:cs="Arial" w:eastAsia="Arial" w:hAnsi="Arial"/>
          <w:sz w:val="16"/>
          <w:szCs w:val="16"/>
          <w:color w:val="auto"/>
        </w:rPr>
      </w:pPr>
    </w:p>
    <w:p>
      <w:pPr>
        <w:jc w:val="both"/>
        <w:ind w:left="1000" w:right="319" w:hanging="348"/>
        <w:spacing w:after="0" w:line="270" w:lineRule="auto"/>
        <w:tabs>
          <w:tab w:leader="none" w:pos="10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there has been a breach of any representation, warranty, covenant, or agreement on the part of PRA set forth in the merger agreement such that the conditions to the closing of the merger would not be satisfied, and such breach is incapable of being cured by the end date or, if capable of being cured before the end date, has not been cured by PRA within thirty (30) days after written notice has been given by ICON and US HoldCo to PRA of such breach or failure to perform; provided, that ICON and US HoldCo shall not have the right to terminate the merger agreement if ICON, US HoldCo or Merger Sub is then in material breach of any representation, warranty, covenant, or obligation under the merger agreement (it being understood and agreed that if ICON and US HoldCo remedy any such breach, then it may terminate the merger agreement when such breach has been so remedied).</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PRA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PRA may terminate the merger agreement at any time prior to the effective time, if:</w:t>
      </w:r>
    </w:p>
    <w:p>
      <w:pPr>
        <w:spacing w:after="0" w:line="117" w:lineRule="exact"/>
        <w:rPr>
          <w:sz w:val="20"/>
          <w:szCs w:val="20"/>
          <w:color w:val="auto"/>
        </w:rPr>
      </w:pPr>
    </w:p>
    <w:p>
      <w:pPr>
        <w:jc w:val="both"/>
        <w:ind w:left="1000" w:right="319" w:hanging="348"/>
        <w:spacing w:after="0" w:line="255" w:lineRule="auto"/>
        <w:tabs>
          <w:tab w:leader="none" w:pos="1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at PRA stockholders meeting, the board of directors of PRA authorizes PRA, to the extent permitted and subject to full compliance with the terms and conditions of the merger agreement, to enter into a definitive agreement in respect of a superior proposal; provided, that PRA shall have paid any applicable amounts due under the merger agreement; and provided further, that in the event of such termination, PRA substantially concurrently enters into such definitive agreement with respect to such superior proposal;</w:t>
      </w:r>
    </w:p>
    <w:p>
      <w:pPr>
        <w:spacing w:after="0" w:line="8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an ICON adverse recommendation change has occurred (whether or not such ICON adverse recommendation change is permitted by the merger agreement); or</w:t>
      </w:r>
    </w:p>
    <w:p>
      <w:pPr>
        <w:spacing w:after="0" w:line="75"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there shall have been a breach of any representation, warranty, covenant, or agreement on the part of ICON, US HoldCo or Merger Sub set forth in the merger agreement such that the conditions to the closing of the merger would not be satisfied and such breach is incapable of being cured by the end date or, if capable of being cured before the end date, has not been cured by ICON, US HoldCo or Merger Sub within thirty (30) days after written notice has been given by PRA to ICON of such breach or failure to perform; provided, that PRA will not have the right to terminate the merger agreement if PRA is then in material breach of any representation, warranty, covenant, or obligation under the merger agreement (it being understood and agreed that if PRA remedies any such breach, then it may terminate the merger agreement when such breach has been so remedied).</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PRA will be required to pay to ICON and US HoldCo a termination fee of $277,000,000 if the merger agreement is terminated:</w:t>
      </w:r>
    </w:p>
    <w:p>
      <w:pPr>
        <w:spacing w:after="0" w:line="62" w:lineRule="exact"/>
        <w:rPr>
          <w:sz w:val="20"/>
          <w:szCs w:val="20"/>
          <w:color w:val="auto"/>
        </w:rPr>
      </w:pPr>
    </w:p>
    <w:p>
      <w:pPr>
        <w:ind w:left="1000" w:hanging="348"/>
        <w:spacing w:after="0"/>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ICON and US HoldCo due to a PRA adverse recommendation 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by PRA in connection with PRA entering into a definitive agreement in respect of a superior proposal;</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ICON and US HoldCo or PRA for a failure to obtain PRA stockholder approval at a time when the merger agreement was terminable by ICON due to a PRA adverse recommendation change;</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87" w:lineRule="auto"/>
        <w:tabs>
          <w:tab w:leader="none" w:pos="10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by ICON and US HoldCo due to a terminable breach by PRA or (B) by ICON and US HoldCo or PRA due to a failure to complete to merger by the end date and, in each case of (A) and (B), (1) prior to such termination a PRA takeover proposal shall have been publicly disclosed or otherwise publicly known or otherwise made or communicated to the PRA board of directors and not publicly withdrawn without qualification at least seven (7) business days prior to such termination (provided that a PRA takeover proposal shall be deemed not to have been publicly withdrawn if a PRA acquisition agreement with respect to such PRA takeover proposal is entered into within the time period set forth in the following clause (2)) and (2)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 or</w:t>
      </w:r>
    </w:p>
    <w:p>
      <w:pPr>
        <w:spacing w:after="0" w:line="63" w:lineRule="exact"/>
        <w:rPr>
          <w:rFonts w:ascii="Arial" w:cs="Arial" w:eastAsia="Arial" w:hAnsi="Arial"/>
          <w:sz w:val="16"/>
          <w:szCs w:val="16"/>
          <w:color w:val="auto"/>
        </w:rPr>
      </w:pPr>
    </w:p>
    <w:p>
      <w:pPr>
        <w:jc w:val="both"/>
        <w:ind w:left="1000" w:right="319" w:hanging="348"/>
        <w:spacing w:after="0" w:line="269" w:lineRule="auto"/>
        <w:tabs>
          <w:tab w:leader="none" w:pos="1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ICON and US HoldCo or PRA due to a failure to obtain PRA stockholder approval and (A) prior to the PRA stockholders meeting a PRA takeover proposal shall have been publicly disclosed or otherwise publicly known or otherwise made or communicated to PRA board of directors and not publicly withdrawn without qualification at least seven (7) business days prior to PRA stockholders meeting (provided that a PRA takeover proposal shall be deemed not to have been publicly withdrawn if a PRA acquisition agreement with respect to such PRA takeover proposal is entered into within the time period set forth in the following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PRA will be required to pay ICON and US HoldCo expense reimbursement in an amount of $100,000,000 (excluding any amounts in respect of VAT, if applicable) if the merger agreement is terminated by ICON and US HoldCo or PRA for a failure to obtain PRA stockholder approval.</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ICON and US HoldCo will be required to pay to PRA a termination fee of $388,000,000 if the merger agreement is terminated:</w:t>
      </w:r>
    </w:p>
    <w:p>
      <w:pPr>
        <w:spacing w:after="0" w:line="62" w:lineRule="exact"/>
        <w:rPr>
          <w:sz w:val="20"/>
          <w:szCs w:val="20"/>
          <w:color w:val="auto"/>
        </w:rPr>
      </w:pPr>
    </w:p>
    <w:p>
      <w:pPr>
        <w:ind w:left="1000" w:hanging="348"/>
        <w:spacing w:after="0"/>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by PRA due to an ICON adverse recommendation change;</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by ICON and US HoldCo or PRA due to a failure to obtain ICON shareholder approval at a time when the merger agreement was terminable by PRA due to an ICON adverse recommendation change;</w:t>
      </w:r>
    </w:p>
    <w:p>
      <w:pPr>
        <w:spacing w:after="0" w:line="38"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by PRA due to a terminable breach by ICON or (B) by ICON or PRA due to a failure to complete to merger by the end date and, in each case of (A) and (B), (1) prior to such termination an ICON takeover proposal shall have been publicly disclosed or otherwise publicly known or otherwise made or communicated to the ICON board of directors and not publicly withdrawn without qualification at least seven (7) Business Days prior to such termination (provided that an ICON takeover proposal shall be deemed not to have been publicly withdrawn if an ICON acquisition agreement with respect to such ICON takeover proposal is entered into within the time period set forth in the following clause (2)) and (2)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73"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by ICON and US HoldCo or PRA due to a failure to obtain ICON shareholder approval and (A) prior to the ICON EGM an ICON takeover proposal shall have been publicly disclosed or otherwise publicly known or otherwise made or communicated to the ICON board of directors and not publicly withdrawn without qualification at least seven (7) business days prior to the ICON EGM (provided that an ICON takeover proposal shall be deemed not to have been publicly withdrawn if an ICON acquisition agreement with respect to such ICON takeover proposal is entered into within the time period set forth in clause (B)) and (B)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ICON and/or US HoldCo will be required to pay, or cause to be paid by a subsidiary, to PRA expense reimbursement in an amount of $120,000,000 (excluding any amounts in respect of VAT, if applicable) if the merger agreement is terminated by ICON and US HoldCo or PRA for a failure to obtain ICON shareholder approval.</w:t>
      </w:r>
    </w:p>
    <w:p>
      <w:pPr>
        <w:spacing w:after="0" w:line="4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Except as expressly set forth above, all expenses incurred in connection with the merger agreement and the transactions contemplated thereby will be paid by the party incurring such expenses. If any of ICON and US HoldCo or PRA receive a termination fee, then such party will not be entitled to also receive a payment of expense reimbursement; upon payment of any termination fee, any previously paid expense reimbursements shall be credited against the amount of the applicable termination fee. In no event shall any party be entitled to receive more than one payment of the termination fee or more than one payment of the above-described expense reimbursement.</w:t>
      </w:r>
    </w:p>
    <w:p>
      <w:pPr>
        <w:spacing w:after="0" w:line="5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US HoldCo, Merger Sub and PRA agree that the monetary remedies set forth above and the specific performance set forth below shall be the sole and exclusive remedies of (i) PRA and its subsidiaries against ICON,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ICON, US HoldCo and Merger Sub shall be liable for damages for such fraud or willful breach), and upon payment of such amount, none of ICON, US HoldCo or Merger Sub or any of their respective former, current or future directors, officers, shareholders, representatives or affiliates shall have any further liability or obligation relating to or arising out of the merger agreement or the transactions contemplated thereby, except for the liability of ICON in the case of fraud or a willful breach of any covenant, agreement or obligation; and (ii) ICON, US HoldCo and Merger Sub against PRA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PRA shall be liable for damages for such fraud or willful breach), and upon payment of such amount, none of PRA and its subsidiaries or any of their respective former, current or future directors, officers, shareholders, representatives or affiliates shall have any further liability or obligation relating to or arising out of the merger agreement or the transactions contemplated thereby, except for the liability of PRA in the case of fraud or a willful breach of any covenant, agreement or obligation..</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Any provision of the merger agreement may be amended, supplemented or waived prior to the effective time of the merger if the amendment, supplement, or waiver is in writing and signed by each of ICON, US HoldCo, Merger Sub, and PRA; provided that, following the receipt of the required PRA vote, any amendment shall require further approval by the PRA stockholders and following the required ICON vote, any amendment shall require further approval of the holders of ICON ordinary shares.</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At any time prior to the Effective Time, ICON, US HoldCo or Merger Sub, on the one hand, or PRA,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the merger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merger agreement and any proceedings arising out of or related thereto or the transactions contemplated by the merger agreement will be governed by Delaware law, without regard to the conflicts of law rules of such state.</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Each of the parties to the merger agreement agrees that irreparable damage would be caused for which money damages would not be an adequate remedy in the event that any of the provisions of the merger agreement were not performed in accordance with their specific terms or were otherwise breached by the parties. Accordingly, each party agrees that, the parties shall be entitled to an injunction or injunctions, or any other appropriate form of specific performance or equitable relief, to prevent breaches or threatened breaches of the merger agreement or to enforce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specifically the performance of the terms and provisions of the merger agreement in any federal court located in the State of Delaware or any Delaware state court, in addition to any other remedy to which they are entitled at law or in equity.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Each party to the merger agreement further agrees that: (i) no such party will oppose or raise any objection to the granting of an injunction or specific performance as provided in the merger agreement on the basis that the other party has an adequate remedy at law or that an award of specific performance is not an appropriate remedy for any reason at law or equity; (ii) no such party will oppose the specific performance of the terms and provisions of the merger agreement; and (iii) no other party or any other person shall be required to obtain, furnish, or post any bond or similar instrument in connection with or as a condition to obtaining any remedy referred to in the merger agreement, and each party irrevocably waives any right it may have to require the obtaining, furnishing, or posting of any such bond or similar instrument.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merger agreement is not intended to confer on any person other than ICON, US HoldCo, Merger Sub,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any rights, benefits, or remedies, except for:</w:t>
      </w:r>
    </w:p>
    <w:p>
      <w:pPr>
        <w:spacing w:after="0" w:line="103" w:lineRule="exact"/>
        <w:rPr>
          <w:sz w:val="20"/>
          <w:szCs w:val="20"/>
          <w:color w:val="auto"/>
        </w:rPr>
      </w:pPr>
    </w:p>
    <w:p>
      <w:pPr>
        <w:ind w:left="1000" w:right="319" w:hanging="348"/>
        <w:spacing w:after="0" w:line="277" w:lineRule="auto"/>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from and after the effective time, the right of the PRA stockholders to receive the merger consideration and cash in lieu of fractional ICON ordinary shares, if any;</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provisions of the merger agreement relating to indemnification and exculpation from liability for the directors and officers of PRA;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provisions of the merger agreement relating to the debt financing 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February 24, 2021, ICON entered into a merger agreement with PRA Health Sciences, Inc. (“PRA”), ICON US Holdings Inc., a Delaware corporation and subsidiary of ICON (“US HoldCo”), and Indigo Merger Sub, Inc., a Delaware corporation and subsidiary of ICON and US HoldCo (“Merger Sub”). Upon the terms and subject to the conditions of the merger agreement, Merger Sub will merge with and into PRA (the “merger”), with PRA surviving as a subsidiary of ICON and US HoldCo (the “surviving corporation”). The following unaudited pro forma condensed combined financial information of ICON and PRA is presented to illustrate the estimated effects of the merger, which estimated effects are collectively referred to as adjustments or transaction accounting adjustments.</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February 24, 2021, ICON also entered into a commitment letter for commitments with respect to (i) up to $6.06 billion of loans (the “Bridge Facility”) from certain financial institutions for the purposes of funding a portion of the consideration for the merger, repaying certain indebtedness of PRA and its subsidiaries and paying all or a portion of the transaction costs, and (ii) a senior secured revolving credit facility (the “Revolving Facility”) in aggregate principal amount of up to $300.0 million, also available in Euros and other currencies to be agreed, with a maturity date that is five years after the closing date of such Revolving Facility.</w:t>
      </w:r>
    </w:p>
    <w:p>
      <w:pPr>
        <w:spacing w:after="0" w:line="7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Unaudited Pro Forma Condensed Combined Balance Sheet is presented as if the merger and the related debt incurrences under the Bridge Facility and Revolving Facility and debt repayments had occurred on December 31, 2020. The Unaudited Pro Forma Condensed Combined Statement of Operations for the year ended December 31, 2020 is presented as if the merger and the related debt incurrences under the Bridge Facility and Revolving Facility and debt repayments had occurred on January 1, 2020, the beginning of the earliest period presented. The Unaudited Pro Forma Condensed Combined Statements of Operations and Unaudited Pro Forma Condensed Combined Balance Sheet are collectively referred to as the unaudited pro forma financial information. The unaudited pro forma financial information is based on the historical consolidated financial statements of ICON and PRA, and the assumptions and adjustments set forth in the accompanying explanatory notes.</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unaudited pro forma financial information for the merger has been developed from and should be read in conjunction with the ICON audited consolidated financial statements contained in the ICON Form 20-F for the year ended December 31, 2020 and the PRA audited consolidated financial statements contained in the PRA Form 10-K for the year ended December 31, 2020, which are incorporated by reference into this joint proxy statement/prospectus.</w:t>
      </w:r>
    </w:p>
    <w:p>
      <w:pPr>
        <w:spacing w:after="0" w:line="8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For purposes of developing the Unaudited Pro Forma Condensed Combined Balance Sheet as of December 31, 2020, the acquired PRA assets, including identifiable intangible assets, and liabilities assumed have been recorded at their estimated fair values with the excess purchase price assigned to goodwill. The estimated fair values assigned in this unaudited pro forma financial information are preliminary and represent ICON’s current best estimate of fair value and are subject to revision. The unaudited pro forma financial information is provided for informational purposes only and is based on available information and assumptions that ICON believes are reasonable. It does not purport to represent what the actual consolidated results of operations or the consolidated financial position of the combined entity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6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Upon closing of the merger, each share of PRA common stock will be converted into 0.4125 of one ICON ordinary shares. This exchange ratio will not be adjusted for changes in the market price or number of shares outstanding of either ICON ordinary shares or PRA common stock between the date of signing the merger agreement and completion of the merger.</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purposes of this unaudited pro forma financial information, giving effect to the exchange ratio described above, the estimated aggregate consideration to complete the merger would have been $11.7 billion. This amount was derived based on the 64.54 million shares of PRA common stock (other than Cancelled Shares, Dissenting Shares and Subsidiary-Held Shares) outstanding on December 31, 2020, the cash consideration of $80.00 per share, the exchange ratio and a per share price of $186.00, which represents the closing price of ICON ordinary shares on March 19, 2021. The purchase price also includes the estimated fair value of $340.5 million for PRA equity awards held by employees of PRA that will be exchanged for ICON equity awards and the repayment of $1.3 billion of PRA's indebtedness.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accounting standards require that the consideration transferred be measured at the date the merger is completed at the then-current market price. This requirement will likely result in a total consideration that is different from the amount presented in this unaudited pro forma financial information. Based on the 64.54 million shares of PRA common stock outstanding as of December 31, 2020 and the exchange ratio, a 10% increase/(decrease) in the per share price of ICON ordinary shares as of March 19, 2021 would result in an $518.9 million increase/(decrease) in the total consideration for the merger, substantially all of which ICON expects would be recorded as an increase/(decrease) in the amount of goodwill. The number of outstanding shares of PRA common stock will change prior to the closing of the merger due to transactions in the normal course of business, including the vesting and/or exercise of outstanding PRA equity awards. This change is not expected to have a material effect on this unaudited pro forma financial information.</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left="300" w:right="299" w:firstLine="360"/>
        <w:spacing w:after="0" w:line="291" w:lineRule="auto"/>
        <w:rPr>
          <w:rFonts w:ascii="Arial" w:cs="Arial" w:eastAsia="Arial" w:hAnsi="Arial"/>
          <w:sz w:val="16"/>
          <w:szCs w:val="16"/>
          <w:color w:val="auto"/>
        </w:rPr>
      </w:pPr>
      <w:r>
        <w:rPr>
          <w:rFonts w:ascii="Arial" w:cs="Arial" w:eastAsia="Arial" w:hAnsi="Arial"/>
          <w:sz w:val="16"/>
          <w:szCs w:val="16"/>
          <w:color w:val="auto"/>
        </w:rPr>
        <w:t>The merger will be accounted for using the acquisition method of accounting in accordance with Accounting Standards Codification (“ASC”) Topic 805, “Business Combinations” with ICON considered the acquirer of PRA. ICON will record assets acquired, including identifiable intangible assets, and liabilities assumed from PRA at their respective fair values at the date of completion of the merger. Any excess of the purchase price (as described under note 3. Preliminary Purchase Consideration of the “</w:t>
      </w:r>
      <w:r>
        <w:rPr>
          <w:rFonts w:ascii="Arial" w:cs="Arial" w:eastAsia="Arial" w:hAnsi="Arial"/>
          <w:sz w:val="16"/>
          <w:szCs w:val="16"/>
          <w:b w:val="1"/>
          <w:bCs w:val="1"/>
          <w:color w:val="auto"/>
        </w:rPr>
        <w:t>ICON Unaudited Pro Forma Condensed Combined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 — Notes to Unaudited Pro Forma Condensed Combined Financial 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on page [</w:t>
      </w:r>
      <w:hyperlink w:anchor="page163">
        <w:r>
          <w:rPr>
            <w:rFonts w:ascii="Arial" w:cs="Arial" w:eastAsia="Arial" w:hAnsi="Arial"/>
            <w:sz w:val="16"/>
            <w:szCs w:val="16"/>
            <w:u w:val="single" w:color="auto"/>
            <w:color w:val="0000EE"/>
          </w:rPr>
          <w:t>146</w:t>
        </w:r>
      </w:hyperlink>
      <w:r>
        <w:rPr>
          <w:rFonts w:ascii="Arial" w:cs="Arial" w:eastAsia="Arial" w:hAnsi="Arial"/>
          <w:sz w:val="16"/>
          <w:szCs w:val="16"/>
          <w:color w:val="auto"/>
        </w:rPr>
        <w:t>]) over the net fair value of such assets and liabilities will be recorded as goodwill.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UNAUDITED PRO FORMA CONDENSED COMBINED BALANCE SHEET AT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vMerge w:val="restart"/>
          </w:tcPr>
          <w:p>
            <w:pPr>
              <w:jc w:val="center"/>
              <w:ind w:right="14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ICON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PRA</w:t>
            </w: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9"/>
              </w:rPr>
              <w:t>Reclassifications</w:t>
            </w:r>
          </w:p>
        </w:tc>
        <w:tc>
          <w:tcPr>
            <w:tcW w:w="10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 xml:space="preserve">(See </w:t>
            </w:r>
            <w:r>
              <w:rPr>
                <w:rFonts w:ascii="Arial" w:cs="Arial" w:eastAsia="Arial" w:hAnsi="Arial"/>
                <w:sz w:val="14"/>
                <w:szCs w:val="14"/>
                <w:b w:val="1"/>
                <w:bCs w:val="1"/>
                <w:i w:val="1"/>
                <w:iCs w:val="1"/>
                <w:color w:val="auto"/>
              </w:rPr>
              <w:t>Section 3</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Historical</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 xml:space="preserve">(See </w:t>
            </w:r>
            <w:r>
              <w:rPr>
                <w:rFonts w:ascii="Arial" w:cs="Arial" w:eastAsia="Arial" w:hAnsi="Arial"/>
                <w:sz w:val="14"/>
                <w:szCs w:val="14"/>
                <w:b w:val="1"/>
                <w:bCs w:val="1"/>
                <w:i w:val="1"/>
                <w:iCs w:val="1"/>
                <w:color w:val="auto"/>
              </w:rPr>
              <w:t>Section 4a)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&amp; 4)</w:t>
            </w:r>
          </w:p>
        </w:tc>
        <w:tc>
          <w:tcPr>
            <w:tcW w:w="160" w:type="dxa"/>
            <w:vAlign w:val="bottom"/>
          </w:tcPr>
          <w:p>
            <w:pPr>
              <w:spacing w:after="0"/>
              <w:rPr>
                <w:sz w:val="16"/>
                <w:szCs w:val="16"/>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i w:val="1"/>
                <w:iCs w:val="1"/>
                <w:color w:val="auto"/>
              </w:rPr>
              <w:t>Notes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ind w:left="18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506,303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(523,268)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823,340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3(c),</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Available for sale investments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715,271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657,972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1,373,243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428,684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185,933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614,617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and unbilled</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net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843,905</w:t>
            </w:r>
          </w:p>
        </w:tc>
        <w:tc>
          <w:tcPr>
            <w:tcW w:w="12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(843,905)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30,262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Prepayments and other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53,477</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99,006</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(30,262)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11,300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25,974</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65,392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2,102,978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1,460,514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(497,658)</w:t>
            </w:r>
          </w:p>
        </w:tc>
        <w:tc>
          <w:tcPr>
            <w:tcW w:w="5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3,065,834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194,620</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936,257</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1,691,007</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5,544,501</w:t>
            </w:r>
          </w:p>
        </w:tc>
        <w:tc>
          <w:tcPr>
            <w:tcW w:w="160" w:type="dxa"/>
            <w:vAlign w:val="bottom"/>
          </w:tcPr>
          <w:p>
            <w:pPr>
              <w:spacing w:after="0"/>
              <w:rPr>
                <w:sz w:val="23"/>
                <w:szCs w:val="23"/>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8,171,765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84,561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178,144</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36,929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3(c)</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7"/>
              </w:rPr>
              <w:t>Non-current income taxes receivable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equity-long term</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599,885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4,584,145</w:t>
            </w:r>
          </w:p>
        </w:tc>
        <w:tc>
          <w:tcPr>
            <w:tcW w:w="16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5,250,490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3,435,606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4,178,501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9,632,734</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17,246,841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93"/>
              </w:rPr>
              <w:t>148</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-6051550</wp:posOffset>
            </wp:positionV>
            <wp:extent cx="857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-6051550</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-6051550</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-6051550</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-6051550</wp:posOffset>
            </wp:positionV>
            <wp:extent cx="857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0" w:right="639" w:hanging="66"/>
        <w:spacing w:after="0" w:line="282" w:lineRule="auto"/>
        <w:rPr>
          <w:sz w:val="20"/>
          <w:szCs w:val="20"/>
          <w:color w:val="auto"/>
        </w:rPr>
      </w:pPr>
      <w:r>
        <w:rPr>
          <w:rFonts w:ascii="Arial" w:cs="Arial" w:eastAsia="Arial" w:hAnsi="Arial"/>
          <w:sz w:val="18"/>
          <w:szCs w:val="18"/>
          <w:b w:val="1"/>
          <w:bCs w:val="1"/>
          <w:color w:val="auto"/>
        </w:rPr>
        <w:t>UNAUDITED PRO FORMA CONDENSED COMBINED BALANCE SHEET AT DECEMBER 31, 2020 (continued)</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ICON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PRA</w:t>
            </w: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2"/>
              </w:rPr>
              <w:t>Reclassifications</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 xml:space="preserve">(See </w:t>
            </w:r>
            <w:r>
              <w:rPr>
                <w:rFonts w:ascii="Arial" w:cs="Arial" w:eastAsia="Arial" w:hAnsi="Arial"/>
                <w:sz w:val="14"/>
                <w:szCs w:val="14"/>
                <w:b w:val="1"/>
                <w:bCs w:val="1"/>
                <w:i w:val="1"/>
                <w:iCs w:val="1"/>
                <w:color w:val="auto"/>
                <w:w w:val="89"/>
              </w:rPr>
              <w:t>Section 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6"/>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Historical</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 xml:space="preserve">(See </w:t>
            </w:r>
            <w:r>
              <w:rPr>
                <w:rFonts w:ascii="Arial" w:cs="Arial" w:eastAsia="Arial" w:hAnsi="Arial"/>
                <w:sz w:val="14"/>
                <w:szCs w:val="14"/>
                <w:b w:val="1"/>
                <w:bCs w:val="1"/>
                <w:i w:val="1"/>
                <w:iCs w:val="1"/>
                <w:color w:val="auto"/>
                <w:w w:val="94"/>
              </w:rPr>
              <w:t>Section 4a)</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&amp; 4)</w:t>
            </w: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i w:val="1"/>
                <w:iCs w:val="1"/>
                <w:color w:val="auto"/>
              </w:rPr>
              <w:t>Notes</w:t>
            </w:r>
          </w:p>
        </w:tc>
        <w:tc>
          <w:tcPr>
            <w:tcW w:w="1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7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108,048</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660,883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732,782</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620" w:type="dxa"/>
            <w:vAlign w:val="bottom"/>
          </w:tcPr>
          <w:p>
            <w:pPr>
              <w:jc w:val="right"/>
              <w:ind w:right="131"/>
              <w:spacing w:after="0"/>
              <w:rPr>
                <w:sz w:val="20"/>
                <w:szCs w:val="20"/>
                <w:color w:val="auto"/>
              </w:rPr>
            </w:pPr>
            <w:r>
              <w:rPr>
                <w:rFonts w:ascii="Arial" w:cs="Arial" w:eastAsia="Arial" w:hAnsi="Arial"/>
                <w:sz w:val="18"/>
                <w:szCs w:val="18"/>
                <w:b w:val="1"/>
                <w:bCs w:val="1"/>
                <w:i w:val="1"/>
                <w:iCs w:val="1"/>
                <w:color w:val="auto"/>
              </w:rPr>
              <w:t>4(e)</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1,374,665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Accrued expenses and other current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317,183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(317,183)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399,769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356,814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162,000</w:t>
            </w:r>
          </w:p>
        </w:tc>
        <w:tc>
          <w:tcPr>
            <w:tcW w:w="160" w:type="dxa"/>
            <w:vAlign w:val="bottom"/>
          </w:tcPr>
          <w:p>
            <w:pPr>
              <w:spacing w:after="0"/>
              <w:rPr>
                <w:sz w:val="23"/>
                <w:szCs w:val="23"/>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4(d)</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918,583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w w:val="99"/>
              </w:rPr>
              <w:t>Current portion of operating lease</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(39,631)</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billings</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732,782</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(732,782)</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Current portion of borrowings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under credit facilities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6,196,400</w:t>
            </w:r>
          </w:p>
        </w:tc>
        <w:tc>
          <w:tcPr>
            <w:tcW w:w="16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6,287,700</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5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1,123,943</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1,266,023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6,314,400</w:t>
            </w:r>
          </w:p>
        </w:tc>
        <w:tc>
          <w:tcPr>
            <w:tcW w:w="6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8,704,366</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Non-current bank credit lines and</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loan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348,477</w:t>
            </w:r>
          </w:p>
        </w:tc>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w w:val="99"/>
              </w:rPr>
              <w:t>$1,158,668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spacing w:after="0"/>
              <w:rPr>
                <w:sz w:val="20"/>
                <w:szCs w:val="20"/>
                <w:color w:val="auto"/>
              </w:rPr>
            </w:pPr>
            <w:r>
              <w:rPr>
                <w:rFonts w:ascii="Arial" w:cs="Arial" w:eastAsia="Arial" w:hAnsi="Arial"/>
                <w:sz w:val="18"/>
                <w:szCs w:val="18"/>
                <w:color w:val="auto"/>
                <w:w w:val="97"/>
              </w:rPr>
              <w:t>$(1,507,145)</w:t>
            </w: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operating lease</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219,784</w:t>
            </w: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74,237</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government grants</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w w:val="97"/>
              </w:rPr>
              <w:t>Non-current income taxes payable</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17,753</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1,171,654</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4(c),</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1,245,511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4(h)</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1,585,370</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2,699,316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5,978,909</w:t>
            </w:r>
          </w:p>
        </w:tc>
        <w:tc>
          <w:tcPr>
            <w:tcW w:w="62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10,263,595</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5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617,104</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1,137,028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4,153,223</w:t>
            </w:r>
          </w:p>
        </w:tc>
        <w:tc>
          <w:tcPr>
            <w:tcW w:w="160" w:type="dxa"/>
            <w:vAlign w:val="bottom"/>
          </w:tcPr>
          <w:p>
            <w:pPr>
              <w:spacing w:after="0"/>
              <w:rPr>
                <w:sz w:val="22"/>
                <w:szCs w:val="22"/>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3(b),</w:t>
            </w: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5,907,355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undenominated capital</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w w:val="95"/>
              </w:rPr>
              <w:t>Accumulated other comprehensive</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(35,477)</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(98,813)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99,703</w:t>
            </w:r>
          </w:p>
        </w:tc>
        <w:tc>
          <w:tcPr>
            <w:tcW w:w="160" w:type="dxa"/>
            <w:vAlign w:val="bottom"/>
          </w:tcPr>
          <w:p>
            <w:pPr>
              <w:spacing w:after="0"/>
              <w:rPr>
                <w:sz w:val="22"/>
                <w:szCs w:val="22"/>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(34,587)</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1,262,895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(600,407)</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1,102,813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4(g)</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1,850,236</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1,479,185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3,653,825</w:t>
            </w:r>
          </w:p>
        </w:tc>
        <w:tc>
          <w:tcPr>
            <w:tcW w:w="6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6,983,246</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3,435,606</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4,178,501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9,632,734</w:t>
            </w:r>
          </w:p>
        </w:tc>
        <w:tc>
          <w:tcPr>
            <w:tcW w:w="6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17,246,841</w:t>
            </w:r>
          </w:p>
        </w:tc>
        <w:tc>
          <w:tcPr>
            <w:tcW w:w="0" w:type="dxa"/>
            <w:vAlign w:val="bottom"/>
          </w:tcPr>
          <w:p>
            <w:pPr>
              <w:spacing w:after="0"/>
              <w:rPr>
                <w:sz w:val="1"/>
                <w:szCs w:val="1"/>
                <w:color w:val="auto"/>
              </w:rPr>
            </w:pPr>
          </w:p>
        </w:tc>
      </w:tr>
      <w:tr>
        <w:trPr>
          <w:trHeight w:val="27"/>
        </w:trPr>
        <w:tc>
          <w:tcPr>
            <w:tcW w:w="2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-8425815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-8425815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-8425815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-8425815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-8425815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655"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55" w:gutter="0" w:footer="0" w:header="0"/>
          <w:type w:val="continuous"/>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739"/>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ICON</w:t>
            </w:r>
          </w:p>
        </w:tc>
        <w:tc>
          <w:tcPr>
            <w:tcW w:w="100" w:type="dxa"/>
            <w:vAlign w:val="bottom"/>
          </w:tcPr>
          <w:p>
            <w:pPr>
              <w:spacing w:after="0"/>
              <w:rPr>
                <w:sz w:val="12"/>
                <w:szCs w:val="12"/>
                <w:color w:val="auto"/>
              </w:rPr>
            </w:pPr>
          </w:p>
        </w:tc>
        <w:tc>
          <w:tcPr>
            <w:tcW w:w="8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PRA</w:t>
            </w:r>
          </w:p>
        </w:tc>
        <w:tc>
          <w:tcPr>
            <w:tcW w:w="118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w w:val="94"/>
              </w:rPr>
              <w:t>Reclassifications</w:t>
            </w:r>
          </w:p>
        </w:tc>
        <w:tc>
          <w:tcPr>
            <w:tcW w:w="11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11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 xml:space="preserve">(See </w:t>
            </w:r>
            <w:r>
              <w:rPr>
                <w:rFonts w:ascii="Arial" w:cs="Arial" w:eastAsia="Arial" w:hAnsi="Arial"/>
                <w:sz w:val="14"/>
                <w:szCs w:val="14"/>
                <w:b w:val="1"/>
                <w:bCs w:val="1"/>
                <w:i w:val="1"/>
                <w:iCs w:val="1"/>
                <w:color w:val="auto"/>
                <w:w w:val="89"/>
              </w:rPr>
              <w:t>Section 3 &amp;</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Historical</w:t>
            </w:r>
          </w:p>
        </w:tc>
        <w:tc>
          <w:tcPr>
            <w:tcW w:w="11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7"/>
              </w:rPr>
              <w:t xml:space="preserve">(See </w:t>
            </w:r>
            <w:r>
              <w:rPr>
                <w:rFonts w:ascii="Arial" w:cs="Arial" w:eastAsia="Arial" w:hAnsi="Arial"/>
                <w:sz w:val="14"/>
                <w:szCs w:val="14"/>
                <w:b w:val="1"/>
                <w:bCs w:val="1"/>
                <w:i w:val="1"/>
                <w:iCs w:val="1"/>
                <w:color w:val="auto"/>
                <w:w w:val="97"/>
              </w:rPr>
              <w:t>Section 4a)</w:t>
            </w:r>
          </w:p>
        </w:tc>
        <w:tc>
          <w:tcPr>
            <w:tcW w:w="920" w:type="dxa"/>
            <w:vAlign w:val="bottom"/>
            <w:gridSpan w:val="2"/>
          </w:tcPr>
          <w:p>
            <w:pPr>
              <w:jc w:val="center"/>
              <w:ind w:left="115"/>
              <w:spacing w:after="0"/>
              <w:rPr>
                <w:sz w:val="20"/>
                <w:szCs w:val="20"/>
                <w:color w:val="auto"/>
              </w:rPr>
            </w:pPr>
            <w:r>
              <w:rPr>
                <w:rFonts w:ascii="Arial" w:cs="Arial" w:eastAsia="Arial" w:hAnsi="Arial"/>
                <w:sz w:val="14"/>
                <w:szCs w:val="14"/>
                <w:b w:val="1"/>
                <w:bCs w:val="1"/>
                <w:i w:val="1"/>
                <w:iCs w:val="1"/>
                <w:color w:val="auto"/>
                <w:w w:val="96"/>
              </w:rPr>
              <w:t>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2,797,288</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$3,183,365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(19,666)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5,960,987</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4(e)</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1,979,883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1,649,001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665,761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4,316,021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665,761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8"/>
                <w:szCs w:val="18"/>
                <w:color w:val="auto"/>
              </w:rPr>
              <w:t>(665,761)</w:t>
            </w: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341,690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453,032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(18,648)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234,862</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1,010,936</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w w:val="97"/>
              </w:rPr>
              <w:t>Depreciation and amortization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66,126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131,630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335,311</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533,067</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(44,465)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44,465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4(k)</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on disposal of fixed assets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2,405,788</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2,855,276</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23"/>
                <w:szCs w:val="2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$ 591,549</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5,878,113</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Income/(loss) from operations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391,500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328,089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(25,500)</w:t>
            </w:r>
          </w:p>
        </w:tc>
        <w:tc>
          <w:tcPr>
            <w:tcW w:w="11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$(611,215)</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82,874</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(13,019)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(43,130)</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1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(255,998)</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(312,921)</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Loss on modification or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losses, net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(25,499)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expense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381,205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259,009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$(867,213)</w:t>
            </w: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(226,999)</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(47,875)</w:t>
            </w: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(61,966)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172,511</w:t>
            </w:r>
          </w:p>
        </w:tc>
        <w:tc>
          <w:tcPr>
            <w:tcW w:w="20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62,670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0"/>
              </w:rPr>
              <w:t>Income before share of earnings</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equity method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(694,702)</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(164,329)</w:t>
            </w:r>
          </w:p>
        </w:tc>
        <w:tc>
          <w:tcPr>
            <w:tcW w:w="0" w:type="dxa"/>
            <w:vAlign w:val="bottom"/>
          </w:tcPr>
          <w:p>
            <w:pPr>
              <w:spacing w:after="0"/>
              <w:rPr>
                <w:sz w:val="1"/>
                <w:szCs w:val="1"/>
                <w:color w:val="auto"/>
              </w:rPr>
            </w:pPr>
          </w:p>
        </w:tc>
      </w:tr>
      <w:tr>
        <w:trPr>
          <w:trHeight w:val="61"/>
        </w:trPr>
        <w:tc>
          <w:tcPr>
            <w:tcW w:w="2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tcPr>
          <w:p>
            <w:pPr>
              <w:spacing w:after="0"/>
              <w:rPr>
                <w:sz w:val="20"/>
                <w:szCs w:val="20"/>
                <w:color w:val="auto"/>
              </w:rPr>
            </w:pPr>
            <w:r>
              <w:rPr>
                <w:rFonts w:ascii="Arial" w:cs="Arial" w:eastAsia="Arial" w:hAnsi="Arial"/>
                <w:sz w:val="18"/>
                <w:szCs w:val="18"/>
                <w:color w:val="auto"/>
              </w:rPr>
              <w:t>Share of equity method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36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332,964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$(694,702)</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(164,695)</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income/(loss) attributable to</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Group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332,331</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(694,702)</w:t>
            </w:r>
          </w:p>
        </w:tc>
        <w:tc>
          <w:tcPr>
            <w:tcW w:w="5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(165,328)</w:t>
            </w:r>
          </w:p>
        </w:tc>
        <w:tc>
          <w:tcPr>
            <w:tcW w:w="0" w:type="dxa"/>
            <w:vAlign w:val="bottom"/>
          </w:tcPr>
          <w:p>
            <w:pPr>
              <w:spacing w:after="0"/>
              <w:rPr>
                <w:sz w:val="1"/>
                <w:szCs w:val="1"/>
                <w:color w:val="auto"/>
              </w:rPr>
            </w:pPr>
          </w:p>
        </w:tc>
      </w:tr>
      <w:tr>
        <w:trPr>
          <w:trHeight w:val="296"/>
        </w:trPr>
        <w:tc>
          <w:tcPr>
            <w:tcW w:w="236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5"/>
              </w:rPr>
              <w:t>Net income/(loss) per Ordinary</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Share attributable to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Group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ordinary shares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52,859,911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040" w:type="dxa"/>
            <w:vAlign w:val="bottom"/>
            <w:gridSpan w:val="6"/>
          </w:tcPr>
          <w:p>
            <w:pPr>
              <w:jc w:val="right"/>
              <w:ind w:right="80"/>
              <w:spacing w:after="0"/>
              <w:rPr>
                <w:sz w:val="20"/>
                <w:szCs w:val="20"/>
                <w:color w:val="auto"/>
              </w:rPr>
            </w:pPr>
            <w:r>
              <w:rPr>
                <w:rFonts w:ascii="Arial" w:cs="Arial" w:eastAsia="Arial" w:hAnsi="Arial"/>
                <w:sz w:val="18"/>
                <w:szCs w:val="18"/>
                <w:color w:val="auto"/>
              </w:rPr>
              <w:t>78,992,611</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53,283,585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0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78,992,611</w:t>
            </w:r>
          </w:p>
        </w:tc>
        <w:tc>
          <w:tcPr>
            <w:tcW w:w="0" w:type="dxa"/>
            <w:vAlign w:val="bottom"/>
          </w:tcPr>
          <w:p>
            <w:pPr>
              <w:spacing w:after="0"/>
              <w:rPr>
                <w:sz w:val="1"/>
                <w:szCs w:val="1"/>
                <w:color w:val="auto"/>
              </w:rPr>
            </w:pPr>
          </w:p>
        </w:tc>
      </w:tr>
      <w:tr>
        <w:trPr>
          <w:trHeight w:val="54"/>
        </w:trPr>
        <w:tc>
          <w:tcPr>
            <w:tcW w:w="2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-8100060</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-8100060</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-8100060</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-8100060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-8100060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 Description of Merger</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February 24, 2021, ICON entered into a merger agreement with PRA, US HoldCo, and Merger Sub. Upon the terms and subject to the conditions of the merger agreement, Merger Sub will merge with and into PRA, with PRA surviving as a subsidiary of ICON and US HoldCo.</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Pursuant to the merger agreement, at the effective time of the merger (the “effective time”), each share of PRA common stock issued and outstanding immediately prior to the effective time (other than any cancelled shares, any dissenting shares and any subsidiary-held shares), will be converted into the right to receive (i) from ICON, 0.4125 of one ICON ordinary share (the “share consideration”) and (ii) from ICON and US HoldCo, $80.00 in cash, without any interest thereon (the “cash consideration”, together with the share consideration, the “merger consideration”).</w:t>
      </w:r>
    </w:p>
    <w:p>
      <w:pPr>
        <w:spacing w:after="0" w:line="53"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February 24, 2021, ICON also entered into a commitment letter for commitments of up to $6.06 billion of loans from certain financial institutions for the purposes of funding a portion of the consideration for the merger, repaying certain indebtedness of PRA and its subsidiaries and paying all or a portion of the transaction costs.</w:t>
      </w:r>
    </w:p>
    <w:p>
      <w:pPr>
        <w:spacing w:after="0" w:line="41" w:lineRule="exact"/>
        <w:rPr>
          <w:sz w:val="20"/>
          <w:szCs w:val="20"/>
          <w:color w:val="auto"/>
        </w:rPr>
      </w:pPr>
    </w:p>
    <w:p>
      <w:pPr>
        <w:jc w:val="both"/>
        <w:ind w:left="300" w:right="29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Furthermore, all of PRA’s outstanding share-based compensation will be replaced with similar ICON awards as described in the introductory note to section beginning on page [</w:t>
      </w:r>
      <w:hyperlink w:anchor="page163">
        <w:r>
          <w:rPr>
            <w:rFonts w:ascii="Arial" w:cs="Arial" w:eastAsia="Arial" w:hAnsi="Arial"/>
            <w:sz w:val="18"/>
            <w:szCs w:val="18"/>
            <w:u w:val="single" w:color="auto"/>
            <w:color w:val="0000EE"/>
          </w:rPr>
          <w:t>146</w:t>
        </w:r>
      </w:hyperlink>
      <w:r>
        <w:rPr>
          <w:rFonts w:ascii="Arial" w:cs="Arial" w:eastAsia="Arial" w:hAnsi="Arial"/>
          <w:sz w:val="18"/>
          <w:szCs w:val="18"/>
          <w:color w:val="auto"/>
        </w:rPr>
        <w:t>] and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Agreement—Treatment of PRA Equity Awards</w:t>
      </w:r>
      <w:r>
        <w:rPr>
          <w:rFonts w:ascii="Arial" w:cs="Arial" w:eastAsia="Arial" w:hAnsi="Arial"/>
          <w:sz w:val="18"/>
          <w:szCs w:val="18"/>
          <w:color w:val="auto"/>
        </w:rPr>
        <w:t>” beginning on page [</w:t>
      </w:r>
      <w:hyperlink w:anchor="page32">
        <w:r>
          <w:rPr>
            <w:rFonts w:ascii="Arial" w:cs="Arial" w:eastAsia="Arial" w:hAnsi="Arial"/>
            <w:sz w:val="18"/>
            <w:szCs w:val="18"/>
            <w:u w:val="single" w:color="auto"/>
            <w:color w:val="0000EE"/>
          </w:rPr>
          <w:t>15</w:t>
        </w:r>
      </w:hyperlink>
      <w:r>
        <w:rPr>
          <w:rFonts w:ascii="Arial" w:cs="Arial" w:eastAsia="Arial" w:hAnsi="Arial"/>
          <w:sz w:val="18"/>
          <w:szCs w:val="18"/>
          <w:color w:val="auto"/>
        </w:rPr>
        <w:t>].</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unaudited pro forma financial information was prepared by accounting for the merger using the acquisition method of accounting in accordance with Accounting Standards Codification (“ASC”) Topic 805, “Business Combinations,” which is referred to as ASC 805, and is derived from the audited historical financial statements of ICON and PRA.</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unaudited pro forma financial information has been prepared by ICON in accordance with SEC Regulation S-X Article 11. The unaudited pro forma financial information is not necessarily indicative of what ICON’s consolidated statements of operations or consolidated balance sheet would have been had the merger been completed as of the dates indicated or will be for any future periods. The unaudited pro forma financial statements do not purport to project the future financial position or results of operations of ICON following the completion of the merger. The unaudited pro forma financial information reflects transaction adjustments management believes are necessary to present fairly ICON’s pro forma results of operations and financial position following the closing of the merger as of and for the periods indicated. The transaction adjustments are based on currently available information and assumptions management believes are, under the circumstances and given the information available at this time, reasonable, and reflective of adjustments necessary to report ICON’s financial condition and results of operations as if the merger was completed.</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acquisition method of accounting uses the fair value concepts defined in ASC 820, “Fair Value Measurements and Disclosures,” which is referred to as ASC 820. Fair value is defined in ASC 820 as “the price that would be received to sell an asset or paid to transfer a liability in an orderly transaction between market participants at the measurement date.” Fair value measurements can be highly subjective and can involve a high degree of estimation.</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determination of the fair value of the identifiable assets of PRA and the allocation of the estimated consideration to these identifiable assets and liabilities is preliminary and is pending finalization of various estimates, inputs and analyses. Since this unaudited pro forma financial information has been prepared based on preliminary estimates of consideration and fair values attributable to the merger, the actual amounts eventually recorded for the purchase accounting, including the identifiable intangibles and goodwill, may differ materially from the information presented.</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initial allocation of the preliminary estimated consideration in this unaudited pro forma financial information is based upon the estimated value of the consideration as of March 19, 2021.</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this preliminary stage, the estimated identifiable finite lived intangible assets include customer relationships, order backlog, tradenames, database and technology assets. Goodwill represents the excess of the estimated purchase price over the estimated fair value of PRA’s identifiable assets and liabilities, including the fair value of the estimated identifiable finite assets described above. Goodwill will not be amortized but will be subject to periodic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testing. The goodwill balance shown in the unaudited pro forma financial information is preliminary and subject to change as a result of the same factors affecting both the estimated consideration and the estimated fair value of identifiable assets and liabilities acquired. The goodwill balance represents the combined company’s expectations of the strategic opportunities available to it as a result of the merger, as well as other synergies that will be derived from the merger.</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consummation of the merger and the completion of a formal valuation study, the estimated fair value of the employee equity awards replaced, and fair value of the acquired assets and liabilities will be updated, including the estimated fair value and useful lives of the identifiable intangible assets and allocation of the excess purchase price, if any, to goodwill. The calculation of goodwill and other identifiable intangible assets could be materially impacted by changing fair value measurements caused by the volatility in the current market environment. Under ASC 805, transaction costs related to the merger are expensed in the period they are incurred. Total transaction related costs incurred by ICON and PRA in connection with the merger are estimated to be approximately $137.0 million. The transaction costs incurred by ICON and PRA are reflected as a liability in the Unaudited Pro Forma Condensed Combined Balance Sheet. The total amount is reflected as an expense in the Unaudited Condensed Combined Statement of Operations for the year ended December 31, 2020. These costs are non-recurring.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financial information does not reflect the following items:</w:t>
      </w:r>
    </w:p>
    <w:p>
      <w:pPr>
        <w:spacing w:after="0" w:line="117" w:lineRule="exact"/>
        <w:rPr>
          <w:sz w:val="20"/>
          <w:szCs w:val="20"/>
          <w:color w:val="auto"/>
        </w:rPr>
      </w:pPr>
    </w:p>
    <w:p>
      <w:pPr>
        <w:ind w:left="1000" w:right="319" w:hanging="348"/>
        <w:spacing w:after="0" w:line="308" w:lineRule="auto"/>
        <w:tabs>
          <w:tab w:leader="none" w:pos="100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impact of any potential revenues, benefits or synergies that may be achievable in connection with the merger or related costs that may be required to achieve such revenues, benefits or synergies;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changes in cost structure or any restructuring activities as such changes, if any, have yet to be determined;</w:t>
      </w:r>
    </w:p>
    <w:p>
      <w:pPr>
        <w:spacing w:after="0" w:line="140" w:lineRule="exact"/>
        <w:rPr>
          <w:rFonts w:ascii="Arial" w:cs="Arial" w:eastAsia="Arial" w:hAnsi="Arial"/>
          <w:sz w:val="16"/>
          <w:szCs w:val="16"/>
          <w:color w:val="auto"/>
        </w:rPr>
      </w:pPr>
    </w:p>
    <w:p>
      <w:pPr>
        <w:jc w:val="both"/>
        <w:ind w:left="1000" w:right="319" w:hanging="348"/>
        <w:spacing w:after="0" w:line="301" w:lineRule="auto"/>
        <w:tabs>
          <w:tab w:leader="none" w:pos="10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expenses related to those employees and executives who may not be retained in the same roles after the merger, where such agreements have not been reached at the date of this joint proxy statement/prospectus. These expenses may include both cash and equity payments, and which amounts could be substantial. These amounts will be reflected once agreements are reached with those employees or executives; and</w:t>
      </w:r>
    </w:p>
    <w:p>
      <w:pPr>
        <w:spacing w:after="0" w:line="49"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expenses related to equity awards with triggers that accelerate vesting upon termination of the relevant employee where contractual arrangements for termination with said employees have not been reached at the date of this joint proxy statement/prospectus. Such expenses may be incurred in future periods and could be material.</w:t>
      </w:r>
    </w:p>
    <w:p>
      <w:pPr>
        <w:spacing w:after="0" w:line="223" w:lineRule="exact"/>
        <w:rPr>
          <w:rFonts w:ascii="Arial" w:cs="Arial" w:eastAsia="Arial" w:hAnsi="Arial"/>
          <w:sz w:val="18"/>
          <w:szCs w:val="18"/>
          <w:color w:val="auto"/>
        </w:rPr>
      </w:pPr>
    </w:p>
    <w:p>
      <w:pPr>
        <w:ind w:left="480" w:hanging="188"/>
        <w:spacing w:after="0"/>
        <w:tabs>
          <w:tab w:leader="none" w:pos="4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Purchase Consideration</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fair value of the merger consideration, or the purchase price, in the unaudited pro forma financial information is estimated to be approximately $11.7 billion. This amount was derived based on the 64.54 million shares of PRA common stock (other than cancelled shares, dissenting shares and subsidiary-held shares) outstanding on December 31, 2020, the cash consideration of $80.00 per share, the exchange ratio and a per share price of $186.00, which represents the closing price of ICON ordinary shares on March 19, 2021. The actual number of ICON ordinary shares issued to PRA stockholders upon closing of the merger will be based on the actual number of shares of PRA common stock outstanding when the merger closes, and the valuation of those shares will be based on the per share price of ICON ordinary shares at that time. PRA equity awards outstanding whether or not vested or exercisable will be converted into ICON equity awards after giving effect to the exchange ratio. The terms of these awards, including vesting provisions, will be consistent to those of the historical PRA equity awards. The fair value of PRA equity awards attributable to pre-combination service that will be assumed by ICON upon completion of the merger will be considered part of the purchase price. Accordingly, the purchase price includes estimated fair values for PRA equity awards of $340.5 million.</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the closing date, certain existing indebtedness of PRA or its subsidiaries shall be repaid in connection with the merger. For purposes of the Unaudited Pro Forma Condensed Combined Balance Sheet, based on the amounts of PRA debt reflected as outstanding on the PRA balance sheet as of December 31, 2020, which is assumed to be the closing date for the unaudited pro forma condensed combined balance sheet, a total of $1,278.8 million was estimated to be repaid, comprising short-term debt of $116.3 million and long-term debt of $1,162.5 million (as adjusted for deferred financing fees). Amounts outstanding under the various PRA financing arrangements could change between the date of the PRA balance sheet as of December 31, 2020 used for purposes of these unaudited pro forma condensed combined financial information and the closing date. Accordingly, the amount of PRA debt actually repaid on the closing date could be different from the amount estimated to be repaid as of December 31,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preliminary purchase price is calculated as follows (all amounts in USD millions, except per share data):</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Outstanding shares of PRA common stock as at December 31, 2020 (shares in millions)</w:t>
            </w: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Exchange ratio</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0.4125</w:t>
            </w:r>
          </w:p>
        </w:tc>
        <w:tc>
          <w:tcPr>
            <w:tcW w:w="20" w:type="dxa"/>
            <w:vAlign w:val="bottom"/>
          </w:tcPr>
          <w:p>
            <w:pPr>
              <w:spacing w:after="0"/>
              <w:rPr>
                <w:sz w:val="22"/>
                <w:szCs w:val="22"/>
                <w:color w:val="auto"/>
              </w:rPr>
            </w:pPr>
          </w:p>
        </w:tc>
      </w:tr>
      <w:tr>
        <w:trPr>
          <w:trHeight w:val="40"/>
        </w:trPr>
        <w:tc>
          <w:tcPr>
            <w:tcW w:w="7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ICON ordinary shares to be issued (shares in millions)</w:t>
            </w: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Price per share as of March 19, 2021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186.00</w:t>
            </w:r>
          </w:p>
        </w:tc>
      </w:tr>
      <w:tr>
        <w:trPr>
          <w:trHeight w:val="40"/>
        </w:trPr>
        <w:tc>
          <w:tcPr>
            <w:tcW w:w="7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ICON ordinary shares to be issued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4,951.7</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Fair value of PRA equity awards exchanged for ICON equity awards ($’millions)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340.5</w:t>
            </w:r>
          </w:p>
        </w:tc>
        <w:tc>
          <w:tcPr>
            <w:tcW w:w="20" w:type="dxa"/>
            <w:vAlign w:val="bottom"/>
          </w:tcPr>
          <w:p>
            <w:pPr>
              <w:spacing w:after="0"/>
              <w:rPr>
                <w:sz w:val="21"/>
                <w:szCs w:val="21"/>
                <w:color w:val="auto"/>
              </w:rPr>
            </w:pPr>
          </w:p>
        </w:tc>
      </w:tr>
      <w:tr>
        <w:trPr>
          <w:trHeight w:val="48"/>
        </w:trPr>
        <w:tc>
          <w:tcPr>
            <w:tcW w:w="7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consideration (including exchange of equity awards)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5,292.2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PRA stockholders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5,163.1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Estimated repayment of PRA’s debt as of December 31, 2020 ($’millions)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1,278.8</w:t>
            </w:r>
          </w:p>
        </w:tc>
        <w:tc>
          <w:tcPr>
            <w:tcW w:w="20" w:type="dxa"/>
            <w:vAlign w:val="bottom"/>
          </w:tcPr>
          <w:p>
            <w:pPr>
              <w:spacing w:after="0"/>
              <w:rPr>
                <w:sz w:val="21"/>
                <w:szCs w:val="21"/>
                <w:color w:val="auto"/>
              </w:rPr>
            </w:pPr>
          </w:p>
        </w:tc>
      </w:tr>
      <w:tr>
        <w:trPr>
          <w:trHeight w:val="48"/>
        </w:trPr>
        <w:tc>
          <w:tcPr>
            <w:tcW w:w="7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 (including debt repayment)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6,441.9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Merger consideration ($’millions)</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$11,734.1</w:t>
            </w:r>
          </w:p>
        </w:tc>
      </w:tr>
      <w:tr>
        <w:trPr>
          <w:trHeight w:val="54"/>
        </w:trPr>
        <w:tc>
          <w:tcPr>
            <w:tcW w:w="70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 increase of 10% in the price of ICON ordinary shares would result in a $518.9 million increase in the estimated value of the consideration, and correspondingly, in the estimated value of goodwill. A decrease of 10% in the price of ICON ordinary shares would result in a $518.9 million decrease in the estimated value of the consideration, and correspondingly, in the estimated value of goodwill.</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3a. Cash consideration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cash consideration to acquire PRA is estimated at $5,163.1 million. This represents the cash element of the total purchase price being $80.00 per share based on 64.54 million shares of PRA common stock (other than cancelled shares, dissenting shares and subsidiary-held shares) outstanding on December 31, 2020.</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3b. Share consideration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share consideration to acquire PRA is estimated at $4,951.7 million. This represents the share based element of the total purchase price based on 64.54 million shares of PRA common stock (other than cancelled shares, dissenting shares and subsidiary-held shares) outstanding on December 31, 2020, the exchange ratio of 0.4125 and a per share price of $186.00, which represents the closing price of ICON ordinary shares on March 19, 2021.</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3c. Other consideration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additional consideration to acquire PRA represents the estimated fair value of PRA equity awards at December 31, 2020 exchanged for ICON equity awards of $340.5 million and the estimated costs of $1,278.8 million associated with the repayment of PRA’s debt (as adjusted for deferred financing costs) as of December 31, 2020.</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Preliminary allocation of the purchase price</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presents the preliminary allocation of the purchase price to the assets to be acquired and liabilities to be assumed in the merger:</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344"/>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506,303</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and unbilled services, net</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843,905</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current assets and receivables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115,246</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194,620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178,144</w:t>
            </w:r>
          </w:p>
        </w:tc>
      </w:tr>
      <w:tr>
        <w:trPr>
          <w:trHeight w:val="40"/>
        </w:trPr>
        <w:tc>
          <w:tcPr>
            <w:tcW w:w="5440" w:type="dxa"/>
            <w:vAlign w:val="bottom"/>
          </w:tcPr>
          <w:p>
            <w:pPr>
              <w:spacing w:after="0"/>
              <w:rPr>
                <w:sz w:val="3"/>
                <w:szCs w:val="3"/>
                <w:color w:val="auto"/>
              </w:rPr>
            </w:pPr>
          </w:p>
        </w:tc>
        <w:tc>
          <w:tcPr>
            <w:tcW w:w="2980" w:type="dxa"/>
            <w:vAlign w:val="bottom"/>
            <w:gridSpan w:val="2"/>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7,235,508</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identifiable intangibles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5,184,030</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53,346</w:t>
            </w:r>
          </w:p>
        </w:tc>
      </w:tr>
      <w:tr>
        <w:trPr>
          <w:trHeight w:val="256"/>
        </w:trPr>
        <w:tc>
          <w:tcPr>
            <w:tcW w:w="544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1"/>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(360,006)</w:t>
            </w:r>
          </w:p>
        </w:tc>
      </w:tr>
      <w:tr>
        <w:trPr>
          <w:trHeight w:val="41"/>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2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(713,782)</w:t>
            </w:r>
          </w:p>
        </w:tc>
      </w:tr>
      <w:tr>
        <w:trPr>
          <w:trHeight w:val="54"/>
        </w:trPr>
        <w:tc>
          <w:tcPr>
            <w:tcW w:w="5440" w:type="dxa"/>
            <w:vAlign w:val="bottom"/>
            <w:shd w:val="clear" w:color="auto" w:fill="CCEEFF"/>
          </w:tcPr>
          <w:p>
            <w:pPr>
              <w:spacing w:after="0"/>
              <w:rPr>
                <w:sz w:val="4"/>
                <w:szCs w:val="4"/>
                <w:color w:val="auto"/>
              </w:rPr>
            </w:pPr>
          </w:p>
        </w:tc>
        <w:tc>
          <w:tcPr>
            <w:tcW w:w="2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43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39" w:gutter="0" w:footer="0" w:header="0"/>
          <w:type w:val="continuous"/>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3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(158,983)</w:t>
            </w:r>
          </w:p>
        </w:tc>
      </w:tr>
      <w:tr>
        <w:trPr>
          <w:trHeight w:val="257"/>
        </w:trPr>
        <w:tc>
          <w:tcPr>
            <w:tcW w:w="746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(52,191)</w:t>
            </w:r>
          </w:p>
        </w:tc>
      </w:tr>
      <w:tr>
        <w:trPr>
          <w:trHeight w:val="41"/>
        </w:trPr>
        <w:tc>
          <w:tcPr>
            <w:tcW w:w="7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(1,235,105)</w:t>
            </w:r>
          </w:p>
        </w:tc>
      </w:tr>
      <w:tr>
        <w:trPr>
          <w:trHeight w:val="270"/>
        </w:trPr>
        <w:tc>
          <w:tcPr>
            <w:tcW w:w="7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assets acquired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11,734,100</w:t>
            </w:r>
          </w:p>
        </w:tc>
        <w:tc>
          <w:tcPr>
            <w:tcW w:w="80" w:type="dxa"/>
            <w:vAlign w:val="bottom"/>
            <w:tcBorders>
              <w:top w:val="single" w:sz="8" w:color="CCEEFF"/>
            </w:tcBorders>
          </w:tcPr>
          <w:p>
            <w:pPr>
              <w:spacing w:after="0"/>
              <w:rPr>
                <w:sz w:val="23"/>
                <w:szCs w:val="23"/>
                <w:color w:val="auto"/>
              </w:rPr>
            </w:pPr>
          </w:p>
        </w:tc>
      </w:tr>
    </w:tbl>
    <w:p>
      <w:pPr>
        <w:spacing w:after="0" w:line="13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Upon completion of the fair value assessment following the merger, ICON anticipates the finalized fair values of the net assets acquired will differ from the preliminary assessment outlined above. Generally, changes to the initial estimates of the fair value of the assets acquired and liabilities assumed within a one year measurement period from the acquisition date will be recorded as adjustments to those assets and liabilities and residual amounts will be allocated to goodwill, which could be material.</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With the exception of the fair value adjustments detailed in </w:t>
      </w:r>
      <w:r>
        <w:rPr>
          <w:rFonts w:ascii="Arial" w:cs="Arial" w:eastAsia="Arial" w:hAnsi="Arial"/>
          <w:sz w:val="18"/>
          <w:szCs w:val="18"/>
          <w:i w:val="1"/>
          <w:iCs w:val="1"/>
          <w:color w:val="auto"/>
        </w:rPr>
        <w:t>Section 4. Merger-related Transaction Adjustments</w:t>
      </w:r>
      <w:r>
        <w:rPr>
          <w:rFonts w:ascii="Arial" w:cs="Arial" w:eastAsia="Arial" w:hAnsi="Arial"/>
          <w:sz w:val="18"/>
          <w:szCs w:val="18"/>
          <w:color w:val="auto"/>
        </w:rPr>
        <w:t>, the fair value of assets acquired and liabilities assumed is deemed to equal PRA’s historical carrying value due to either the liquid nature or short duration of the asset or liability, or based upon overall immateriality to the purchase price allocation.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Merger-related Transaction Adjustments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merger:</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 Forma Unaudited Condensed Combined Balance Sheet as of December 31, 2020</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PPA</w:t>
            </w: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9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Financing</w:t>
            </w:r>
          </w:p>
        </w:tc>
        <w:tc>
          <w:tcPr>
            <w:tcW w:w="5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Notes</w:t>
            </w:r>
          </w:p>
        </w:tc>
        <w:tc>
          <w:tcPr>
            <w:tcW w:w="6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2"/>
          </w:tcPr>
          <w:p>
            <w:pPr>
              <w:ind w:left="60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$(6,441,898)</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3(a),</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3"/>
              </w:rPr>
              <w:t>$5,918,630</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(523,268)</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3(c)</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Available for sale investments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Unbilled revenue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and unbilled services,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Other receivables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88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3"/>
                <w:szCs w:val="23"/>
                <w:color w:val="auto"/>
              </w:rPr>
            </w:pP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4(e)</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25,974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$(6,436,958)</w:t>
            </w: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$5,918,266</w:t>
            </w:r>
          </w:p>
        </w:tc>
        <w:tc>
          <w:tcPr>
            <w:tcW w:w="5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$21,034</w:t>
            </w: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(497,658)</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5,544,501</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5,544,501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(2,677)</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3(c)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Non-current income taxes receivable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4(g)</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2,731</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equity-long term</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Intangible assets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4,584,145</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4,584,145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$ 3,690,703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3"/>
              </w:rPr>
              <w:t>$5,920,997</w:t>
            </w:r>
          </w:p>
        </w:tc>
        <w:tc>
          <w:tcPr>
            <w:tcW w:w="5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$21,034</w:t>
            </w:r>
          </w:p>
        </w:tc>
        <w:tc>
          <w:tcPr>
            <w:tcW w:w="4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$9,632,734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-5236845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-5236845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-5236845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-5236845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-5236845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-5236845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1" w:name="page172"/>
    <w:bookmarkEnd w:id="171"/>
    <w:tbl>
      <w:tblPr>
        <w:tblLayout w:type="fixed"/>
        <w:tblInd w:w="30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PPA</w:t>
            </w:r>
          </w:p>
        </w:tc>
        <w:tc>
          <w:tcPr>
            <w:tcW w:w="5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Financing</w:t>
            </w:r>
          </w:p>
        </w:tc>
        <w:tc>
          <w:tcPr>
            <w:tcW w:w="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ind w:left="500"/>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(19,000)</w:t>
            </w:r>
          </w:p>
        </w:tc>
        <w:tc>
          <w:tcPr>
            <w:tcW w:w="58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4(e)</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162,000</w:t>
            </w:r>
          </w:p>
        </w:tc>
        <w:tc>
          <w:tcPr>
            <w:tcW w:w="14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Current portion of operating lease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billings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Current portion of borrowings under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 facilities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(91,300)</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6,287,700</w:t>
            </w:r>
          </w:p>
        </w:tc>
        <w:tc>
          <w:tcPr>
            <w:tcW w:w="12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6,196,400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(135,300)</w:t>
            </w:r>
          </w:p>
        </w:tc>
        <w:tc>
          <w:tcPr>
            <w:tcW w:w="58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$6,287,700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162,000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$ 6,314,400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bank credit lines and loan</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(1,158,668)</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(348,477)</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(1,507,145)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government grants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income taxes payable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4(c),</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1,171,654</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4(h)</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1,171,654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(122,314)</w:t>
            </w:r>
          </w:p>
        </w:tc>
        <w:tc>
          <w:tcPr>
            <w:tcW w:w="5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$5,939,223</w:t>
            </w:r>
          </w:p>
        </w:tc>
        <w:tc>
          <w:tcPr>
            <w:tcW w:w="560" w:type="dxa"/>
            <w:vAlign w:val="bottom"/>
            <w:tcBorders>
              <w:top w:val="single" w:sz="8" w:color="CCEEFF"/>
            </w:tcBorders>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162,000</w:t>
            </w:r>
          </w:p>
        </w:tc>
        <w:tc>
          <w:tcPr>
            <w:tcW w:w="1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8"/>
              </w:rPr>
              <w:t>$ 5,978,909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3(b),</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4,153,223</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4,153,223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Other undenominated capital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Accumulated other comprehensive loss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4(i)</w:t>
            </w: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(440,325)</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(19,116)</w:t>
            </w:r>
          </w:p>
        </w:tc>
        <w:tc>
          <w:tcPr>
            <w:tcW w:w="130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rPr>
              <w:t xml:space="preserve">4(f), </w:t>
            </w:r>
            <w:r>
              <w:rPr>
                <w:rFonts w:ascii="Arial" w:cs="Arial" w:eastAsia="Arial" w:hAnsi="Arial"/>
                <w:sz w:val="18"/>
                <w:szCs w:val="18"/>
                <w:color w:val="auto"/>
              </w:rPr>
              <w:t>(140,966)</w:t>
            </w:r>
          </w:p>
        </w:tc>
        <w:tc>
          <w:tcPr>
            <w:tcW w:w="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4(d),</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(600,407)</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120"/>
              <w:spacing w:after="0" w:line="182" w:lineRule="exact"/>
              <w:rPr>
                <w:sz w:val="20"/>
                <w:szCs w:val="20"/>
                <w:color w:val="auto"/>
              </w:rPr>
            </w:pPr>
            <w:r>
              <w:rPr>
                <w:rFonts w:ascii="Arial" w:cs="Arial" w:eastAsia="Arial" w:hAnsi="Arial"/>
                <w:sz w:val="18"/>
                <w:szCs w:val="18"/>
                <w:b w:val="1"/>
                <w:bCs w:val="1"/>
                <w:i w:val="1"/>
                <w:iCs w:val="1"/>
                <w:color w:val="auto"/>
              </w:rPr>
              <w:t>4(i)</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100"/>
              <w:spacing w:after="0" w:line="182" w:lineRule="exact"/>
              <w:rPr>
                <w:sz w:val="20"/>
                <w:szCs w:val="20"/>
                <w:color w:val="auto"/>
              </w:rPr>
            </w:pPr>
            <w:r>
              <w:rPr>
                <w:rFonts w:ascii="Arial" w:cs="Arial" w:eastAsia="Arial" w:hAnsi="Arial"/>
                <w:sz w:val="18"/>
                <w:szCs w:val="18"/>
                <w:b w:val="1"/>
                <w:bCs w:val="1"/>
                <w:i w:val="1"/>
                <w:iCs w:val="1"/>
                <w:color w:val="auto"/>
              </w:rPr>
              <w:t>4(g),</w:t>
            </w: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6"/>
              </w:rPr>
              <w:t>4(i)</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3,813,017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(18,226)</w:t>
            </w:r>
          </w:p>
        </w:tc>
        <w:tc>
          <w:tcPr>
            <w:tcW w:w="1300" w:type="dxa"/>
            <w:vAlign w:val="bottom"/>
            <w:gridSpan w:val="5"/>
            <w:shd w:val="clear" w:color="auto" w:fill="CCEEFF"/>
          </w:tcPr>
          <w:p>
            <w:pPr>
              <w:ind w:left="4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(140,966)</w:t>
            </w:r>
          </w:p>
        </w:tc>
        <w:tc>
          <w:tcPr>
            <w:tcW w:w="5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$ 3,653,825</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3,690,703</w:t>
            </w:r>
          </w:p>
        </w:tc>
        <w:tc>
          <w:tcPr>
            <w:tcW w:w="58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5,920,997</w:t>
            </w:r>
          </w:p>
        </w:tc>
        <w:tc>
          <w:tcPr>
            <w:tcW w:w="56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21,034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8"/>
              </w:rPr>
              <w:t>$ 9,632,734</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-7649210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-7649210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-7649210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-7649210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-7649210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-7649210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72" w:name="page173"/>
    <w:bookmarkEnd w:id="172"/>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Pro Forma Unaudited Condensed Combined Statement of Operations for the year ended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PPA</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0"/>
              </w:rPr>
              <w:t>Financing</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Notes</w:t>
            </w: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Other</w:t>
            </w: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Notes</w:t>
            </w:r>
          </w:p>
        </w:tc>
        <w:tc>
          <w:tcPr>
            <w:tcW w:w="80" w:type="dxa"/>
            <w:vAlign w:val="bottom"/>
          </w:tcPr>
          <w:p>
            <w:pPr>
              <w:spacing w:after="0"/>
              <w:rPr>
                <w:sz w:val="12"/>
                <w:szCs w:val="12"/>
                <w:color w:val="auto"/>
              </w:rPr>
            </w:pPr>
          </w:p>
        </w:tc>
        <w:tc>
          <w:tcPr>
            <w:tcW w:w="2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(19,000)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7"/>
              </w:rPr>
              <w:t>4(e)</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4(b)</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(19,666)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and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21,376</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99"/>
              </w:rPr>
              <w:t>4(b),</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2"/>
              </w:rPr>
              <w:t>234,862</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99"/>
              </w:rPr>
              <w:t>4(d),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234,862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335,311</w:t>
            </w:r>
          </w:p>
        </w:tc>
        <w:tc>
          <w:tcPr>
            <w:tcW w:w="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4(c)</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335,311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73"/>
              <w:spacing w:after="0"/>
              <w:rPr>
                <w:sz w:val="20"/>
                <w:szCs w:val="20"/>
                <w:color w:val="auto"/>
              </w:rPr>
            </w:pPr>
            <w:r>
              <w:rPr>
                <w:rFonts w:ascii="Arial" w:cs="Arial" w:eastAsia="Arial" w:hAnsi="Arial"/>
                <w:sz w:val="18"/>
                <w:szCs w:val="18"/>
                <w:b w:val="1"/>
                <w:bCs w:val="1"/>
                <w:color w:val="auto"/>
                <w:w w:val="92"/>
              </w:rPr>
              <w:t>335,311</w:t>
            </w:r>
          </w:p>
        </w:tc>
        <w:tc>
          <w:tcPr>
            <w:tcW w:w="4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b w:val="1"/>
                <w:bCs w:val="1"/>
                <w:color w:val="auto"/>
                <w:w w:val="92"/>
              </w:rPr>
              <w:t>256,238</w:t>
            </w:r>
          </w:p>
        </w:tc>
        <w:tc>
          <w:tcPr>
            <w:tcW w:w="46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591,549</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Income/(loss) from operations</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$(354,311)</w:t>
            </w:r>
          </w:p>
        </w:tc>
        <w:tc>
          <w:tcPr>
            <w:tcW w:w="44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$(256,904)</w:t>
            </w:r>
          </w:p>
        </w:tc>
        <w:tc>
          <w:tcPr>
            <w:tcW w:w="460" w:type="dxa"/>
            <w:vAlign w:val="bottom"/>
          </w:tcPr>
          <w:p>
            <w:pPr>
              <w:spacing w:after="0"/>
              <w:rPr>
                <w:sz w:val="22"/>
                <w:szCs w:val="22"/>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6"/>
              </w:rPr>
              <w:t>$(611,215)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(255,998)</w:t>
            </w: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rPr>
              <w:t>4(f)</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(255,998)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modification or extinguishment of</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losses,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w w:val="89"/>
              </w:rPr>
              <w:t>Income/(loss) before income taxes expense</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$(354,311)</w:t>
            </w: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$(255,998)</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$(256,904)</w:t>
            </w:r>
          </w:p>
        </w:tc>
        <w:tc>
          <w:tcPr>
            <w:tcW w:w="46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$(867,213)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92,120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0"/>
              </w:rPr>
              <w:t>4(g)</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48,824</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i w:val="1"/>
                <w:iCs w:val="1"/>
                <w:color w:val="auto"/>
              </w:rPr>
              <w:t>4(g)</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31,567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172,511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Income/(loss) before share of earnings from</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$(262,191)</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4"/>
              </w:rPr>
              <w:t>$(207,174)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$(225,337)</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$(694,702)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Income/(loss)</w:t>
            </w: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$(262,191)</w:t>
            </w: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4"/>
              </w:rPr>
              <w:t>$(207,174)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$(225,337)</w:t>
            </w:r>
          </w:p>
        </w:tc>
        <w:tc>
          <w:tcPr>
            <w:tcW w:w="46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8"/>
              </w:rPr>
              <w:t>$(694,702)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attributable to</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$(262,191)</w:t>
            </w:r>
          </w:p>
        </w:tc>
        <w:tc>
          <w:tcPr>
            <w:tcW w:w="44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$(207,174)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$(225,337)</w:t>
            </w:r>
          </w:p>
        </w:tc>
        <w:tc>
          <w:tcPr>
            <w:tcW w:w="46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$(694,702)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-6720205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-6720205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-6720205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-6720205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-6720205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-6720205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4a. Reclassifications and conforming accounting policies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6"/>
          <w:szCs w:val="16"/>
          <w:color w:val="auto"/>
        </w:rPr>
        <w:t>ICON reviewed the significant accounting policies between ICON and PRA, and identified accounting adjustments that would be required in connection with adopting uniform policies. The review performed by ICON involved a review of PRA’s publicly disclosed summary of significant accounting policies, including those disclosed in PRA’s Annual Report on Form 10-K for the year ended December 31, 2020 and preliminary discussion with PRA management regarding PRA’s significant accounting policies to identify material adjustments. While ICON expects to engage in additional discussion with PRA’s management and continues to evaluate the impact of PRA’s accounting policies on its historical results after completion of the merger, ICON’s management does not believe there are any differences in the accounting policies of PRA and ICON that will result in material adjustments to ICON’s consolidated financial statements as a result of conforming PRA’s accounting policies to those of ICON.</w:t>
      </w:r>
    </w:p>
    <w:p>
      <w:pPr>
        <w:spacing w:after="0" w:line="61"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Certain reclassifications have been made to amounts in the PRA statement of operations and balance sheet to conform to ICON’s presentation: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 Forma Unaudited Condensed Combined Balance Sheet as of December 31, 2020:</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Reclassification of $658.0 million from </w:t>
      </w:r>
      <w:r>
        <w:rPr>
          <w:rFonts w:ascii="Arial" w:cs="Arial" w:eastAsia="Arial" w:hAnsi="Arial"/>
          <w:sz w:val="16"/>
          <w:szCs w:val="16"/>
          <w:i w:val="1"/>
          <w:iCs w:val="1"/>
          <w:color w:val="auto"/>
        </w:rPr>
        <w:t>Accounts receivable and unbilled services, net</w:t>
      </w:r>
      <w:r>
        <w:rPr>
          <w:rFonts w:ascii="Arial" w:cs="Arial" w:eastAsia="Arial" w:hAnsi="Arial"/>
          <w:sz w:val="16"/>
          <w:szCs w:val="16"/>
          <w:color w:val="auto"/>
        </w:rPr>
        <w:t xml:space="preserve"> to </w:t>
      </w:r>
      <w:r>
        <w:rPr>
          <w:rFonts w:ascii="Arial" w:cs="Arial" w:eastAsia="Arial" w:hAnsi="Arial"/>
          <w:sz w:val="16"/>
          <w:szCs w:val="16"/>
          <w:i w:val="1"/>
          <w:iCs w:val="1"/>
          <w:color w:val="auto"/>
        </w:rPr>
        <w:t>Accounts receivable, net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$185.9 million from </w:t>
      </w:r>
      <w:r>
        <w:rPr>
          <w:rFonts w:ascii="Arial" w:cs="Arial" w:eastAsia="Arial" w:hAnsi="Arial"/>
          <w:sz w:val="18"/>
          <w:szCs w:val="18"/>
          <w:i w:val="1"/>
          <w:iCs w:val="1"/>
          <w:color w:val="auto"/>
        </w:rPr>
        <w:t>Accounts receivable and unbilled services, net</w:t>
      </w:r>
      <w:r>
        <w:rPr>
          <w:rFonts w:ascii="Arial" w:cs="Arial" w:eastAsia="Arial" w:hAnsi="Arial"/>
          <w:sz w:val="18"/>
          <w:szCs w:val="18"/>
          <w:color w:val="auto"/>
        </w:rPr>
        <w:t xml:space="preserve"> to </w:t>
      </w:r>
      <w:r>
        <w:rPr>
          <w:rFonts w:ascii="Arial" w:cs="Arial" w:eastAsia="Arial" w:hAnsi="Arial"/>
          <w:sz w:val="18"/>
          <w:szCs w:val="18"/>
          <w:i w:val="1"/>
          <w:iCs w:val="1"/>
          <w:color w:val="auto"/>
        </w:rPr>
        <w:t>Unbilled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$30.3 million from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receivables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$1.8 million from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income taxes receivable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$732.8 million from </w:t>
      </w:r>
      <w:r>
        <w:rPr>
          <w:rFonts w:ascii="Arial" w:cs="Arial" w:eastAsia="Arial" w:hAnsi="Arial"/>
          <w:sz w:val="18"/>
          <w:szCs w:val="18"/>
          <w:i w:val="1"/>
          <w:iCs w:val="1"/>
          <w:color w:val="auto"/>
        </w:rPr>
        <w:t>Advance billings</w:t>
      </w:r>
      <w:r>
        <w:rPr>
          <w:rFonts w:ascii="Arial" w:cs="Arial" w:eastAsia="Arial" w:hAnsi="Arial"/>
          <w:sz w:val="18"/>
          <w:szCs w:val="18"/>
          <w:color w:val="auto"/>
        </w:rPr>
        <w:t xml:space="preserve"> to </w:t>
      </w:r>
      <w:r>
        <w:rPr>
          <w:rFonts w:ascii="Arial" w:cs="Arial" w:eastAsia="Arial" w:hAnsi="Arial"/>
          <w:sz w:val="18"/>
          <w:szCs w:val="18"/>
          <w:i w:val="1"/>
          <w:iCs w:val="1"/>
          <w:color w:val="auto"/>
        </w:rPr>
        <w:t>Unearned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$39.6 million from </w:t>
      </w:r>
      <w:r>
        <w:rPr>
          <w:rFonts w:ascii="Arial" w:cs="Arial" w:eastAsia="Arial" w:hAnsi="Arial"/>
          <w:sz w:val="18"/>
          <w:szCs w:val="18"/>
          <w:i w:val="1"/>
          <w:iCs w:val="1"/>
          <w:color w:val="auto"/>
        </w:rPr>
        <w:t>Current portion of operating lease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$317.2 million from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$2.7 million from </w:t>
      </w:r>
      <w:r>
        <w:rPr>
          <w:rFonts w:ascii="Arial" w:cs="Arial" w:eastAsia="Arial" w:hAnsi="Arial"/>
          <w:sz w:val="18"/>
          <w:szCs w:val="18"/>
          <w:i w:val="1"/>
          <w:iCs w:val="1"/>
          <w:color w:val="auto"/>
        </w:rPr>
        <w:t>Deferred financing fees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non-current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$1.1 million from </w:t>
      </w:r>
      <w:r>
        <w:rPr>
          <w:rFonts w:ascii="Arial" w:cs="Arial" w:eastAsia="Arial" w:hAnsi="Arial"/>
          <w:sz w:val="18"/>
          <w:szCs w:val="18"/>
          <w:i w:val="1"/>
          <w:iCs w:val="1"/>
          <w:color w:val="auto"/>
        </w:rPr>
        <w:t>Non-current other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government grants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$3.2 million from </w:t>
      </w:r>
      <w:r>
        <w:rPr>
          <w:rFonts w:ascii="Arial" w:cs="Arial" w:eastAsia="Arial" w:hAnsi="Arial"/>
          <w:sz w:val="18"/>
          <w:szCs w:val="18"/>
          <w:i w:val="1"/>
          <w:iCs w:val="1"/>
          <w:color w:val="auto"/>
        </w:rPr>
        <w:t>Non-current other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income taxes payable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 Forma Unaudited Condensed Combined Statement of Operations for the year ended December 31, 2020: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$665.8 million from </w:t>
      </w:r>
      <w:r>
        <w:rPr>
          <w:rFonts w:ascii="Arial" w:cs="Arial" w:eastAsia="Arial" w:hAnsi="Arial"/>
          <w:sz w:val="18"/>
          <w:szCs w:val="18"/>
          <w:i w:val="1"/>
          <w:iCs w:val="1"/>
          <w:color w:val="auto"/>
        </w:rPr>
        <w:t>Reimbursable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Direct costs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$44.5 million from </w:t>
      </w:r>
      <w:r>
        <w:rPr>
          <w:rFonts w:ascii="Arial" w:cs="Arial" w:eastAsia="Arial" w:hAnsi="Arial"/>
          <w:sz w:val="18"/>
          <w:szCs w:val="18"/>
          <w:i w:val="1"/>
          <w:iCs w:val="1"/>
          <w:color w:val="auto"/>
        </w:rPr>
        <w:t>Transaction related costs</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$0.3 million from </w:t>
      </w:r>
      <w:r>
        <w:rPr>
          <w:rFonts w:ascii="Arial" w:cs="Arial" w:eastAsia="Arial" w:hAnsi="Arial"/>
          <w:sz w:val="18"/>
          <w:szCs w:val="18"/>
          <w:i w:val="1"/>
          <w:iCs w:val="1"/>
          <w:color w:val="auto"/>
        </w:rPr>
        <w:t>Loss on disposal of fixed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$0.8 million from </w:t>
      </w:r>
      <w:r>
        <w:rPr>
          <w:rFonts w:ascii="Arial" w:cs="Arial" w:eastAsia="Arial" w:hAnsi="Arial"/>
          <w:sz w:val="18"/>
          <w:szCs w:val="18"/>
          <w:i w:val="1"/>
          <w:iCs w:val="1"/>
          <w:color w:val="auto"/>
        </w:rPr>
        <w:t>Loss on modification or extinguishment of debt</w:t>
      </w:r>
      <w:r>
        <w:rPr>
          <w:rFonts w:ascii="Arial" w:cs="Arial" w:eastAsia="Arial" w:hAnsi="Arial"/>
          <w:sz w:val="18"/>
          <w:szCs w:val="18"/>
          <w:color w:val="auto"/>
        </w:rPr>
        <w:t xml:space="preserve"> to </w:t>
      </w:r>
      <w:r>
        <w:rPr>
          <w:rFonts w:ascii="Arial" w:cs="Arial" w:eastAsia="Arial" w:hAnsi="Arial"/>
          <w:sz w:val="18"/>
          <w:szCs w:val="18"/>
          <w:i w:val="1"/>
          <w:iCs w:val="1"/>
          <w:color w:val="auto"/>
        </w:rPr>
        <w:t>Interest expense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$0.3 million from </w:t>
      </w:r>
      <w:r>
        <w:rPr>
          <w:rFonts w:ascii="Arial" w:cs="Arial" w:eastAsia="Arial" w:hAnsi="Arial"/>
          <w:sz w:val="18"/>
          <w:szCs w:val="18"/>
          <w:i w:val="1"/>
          <w:iCs w:val="1"/>
          <w:color w:val="auto"/>
        </w:rPr>
        <w:t>Loss on modification or extinguishment of debt</w:t>
      </w:r>
      <w:r>
        <w:rPr>
          <w:rFonts w:ascii="Arial" w:cs="Arial" w:eastAsia="Arial" w:hAnsi="Arial"/>
          <w:sz w:val="18"/>
          <w:szCs w:val="18"/>
          <w:color w:val="auto"/>
        </w:rPr>
        <w:t xml:space="preserve"> to </w:t>
      </w:r>
      <w:r>
        <w:rPr>
          <w:rFonts w:ascii="Arial" w:cs="Arial" w:eastAsia="Arial" w:hAnsi="Arial"/>
          <w:sz w:val="18"/>
          <w:szCs w:val="18"/>
          <w:i w:val="1"/>
          <w:iCs w:val="1"/>
          <w:color w:val="auto"/>
        </w:rPr>
        <w:t>Interest income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$25.5 million from </w:t>
      </w:r>
      <w:r>
        <w:rPr>
          <w:rFonts w:ascii="Arial" w:cs="Arial" w:eastAsia="Arial" w:hAnsi="Arial"/>
          <w:sz w:val="18"/>
          <w:szCs w:val="18"/>
          <w:i w:val="1"/>
          <w:iCs w:val="1"/>
          <w:color w:val="auto"/>
        </w:rPr>
        <w:t>Foreign currency losses, net</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$1.0 thousand from </w:t>
      </w:r>
      <w:r>
        <w:rPr>
          <w:rFonts w:ascii="Arial" w:cs="Arial" w:eastAsia="Arial" w:hAnsi="Arial"/>
          <w:sz w:val="18"/>
          <w:szCs w:val="18"/>
          <w:i w:val="1"/>
          <w:iCs w:val="1"/>
          <w:color w:val="auto"/>
        </w:rPr>
        <w:t>Other (expense) income, net</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4b. Eliminations</w:t>
      </w:r>
    </w:p>
    <w:p>
      <w:pPr>
        <w:spacing w:after="0" w:line="121"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color w:val="auto"/>
        </w:rPr>
        <w:t>Adjustment of $0.7 million reduction to revenues and direct costs to eliminate transactions between ICON and PRA for the year ended December 31, 2020. These transactions occurred in the normal course of business at market equivalent terms.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4c. Intangible assets and goodwill</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ICON PLC</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PRA</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Historical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$ 66,460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599,885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$4,584,145</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(i)</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$5,250,490</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ind w:left="20"/>
              <w:spacing w:after="0"/>
              <w:rPr>
                <w:sz w:val="20"/>
                <w:szCs w:val="20"/>
                <w:color w:val="auto"/>
              </w:rPr>
            </w:pPr>
            <w:r>
              <w:rPr>
                <w:rFonts w:ascii="Arial" w:cs="Arial" w:eastAsia="Arial" w:hAnsi="Arial"/>
                <w:sz w:val="18"/>
                <w:szCs w:val="18"/>
                <w:color w:val="auto"/>
                <w:w w:val="87"/>
              </w:rPr>
              <w:t>$936,257</w:t>
            </w:r>
          </w:p>
        </w:tc>
        <w:tc>
          <w:tcPr>
            <w:tcW w:w="14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w w:val="95"/>
              </w:rPr>
              <w:t>$1,691,007</w:t>
            </w:r>
          </w:p>
        </w:tc>
        <w:tc>
          <w:tcPr>
            <w:tcW w:w="1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$5,544,501</w:t>
            </w:r>
          </w:p>
        </w:tc>
        <w:tc>
          <w:tcPr>
            <w:tcW w:w="480" w:type="dxa"/>
            <w:vAlign w:val="bottom"/>
            <w:gridSpan w:val="2"/>
          </w:tcPr>
          <w:p>
            <w:pPr>
              <w:ind w:left="120"/>
              <w:spacing w:after="0"/>
              <w:rPr>
                <w:sz w:val="20"/>
                <w:szCs w:val="20"/>
                <w:color w:val="auto"/>
              </w:rPr>
            </w:pPr>
            <w:r>
              <w:rPr>
                <w:rFonts w:ascii="Arial" w:cs="Arial" w:eastAsia="Arial" w:hAnsi="Arial"/>
                <w:sz w:val="18"/>
                <w:szCs w:val="18"/>
                <w:b w:val="1"/>
                <w:bCs w:val="1"/>
                <w:color w:val="auto"/>
              </w:rPr>
              <w:t>(ii)</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$8,171,765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$ 19,234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76,300</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335,311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(iii)</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  430,845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299" w:hanging="348"/>
        <w:spacing w:after="0" w:line="247" w:lineRule="auto"/>
        <w:tabs>
          <w:tab w:leader="none" w:pos="6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Reflects the adjustment of historical intangible assets acquired by ICON to their estimated fair values. As part of the preliminary valuation analysis, ICON identified intangible assets, including technology, trade names, order backlog, customer relationships and database assets. The fair value of identifiable intangible assets (excluding the technology assets) is determined primarily using the “income approach,” which requires a forecast of all of the expected future cash flows. The fair value of the technology assets were determined using a “replacement cost” approach. Since all information required to perform a detailed valuation analysis of PRA’s intangible assets could not be obtained as of the date of this filing, for purposes of these unaudited pro forma condensed combined financial statements, ICON used certain assumptions based on publicly available transaction data for the industry.</w:t>
      </w:r>
    </w:p>
    <w:p>
      <w:pPr>
        <w:spacing w:after="0" w:line="1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Reflects adjustment to remove PRA’s historical goodwill of $1,691.0 million and record goodwill resulting from the acquisition of $7,235.5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53" w:lineRule="auto"/>
        <w:tabs>
          <w:tab w:leader="none" w:pos="6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following table summarizes the estimated fair values of PRA’s identifiable intangible assets and their estimated useful lives. ICON uses a straight-line method of amortization:</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Estimated fair</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1000" w:type="dxa"/>
            <w:vAlign w:val="bottom"/>
            <w:gridSpan w:val="5"/>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useful life in</w:t>
            </w: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expense</w:t>
            </w:r>
          </w:p>
        </w:tc>
        <w:tc>
          <w:tcPr>
            <w:tcW w:w="0" w:type="dxa"/>
            <w:vAlign w:val="bottom"/>
          </w:tcPr>
          <w:p>
            <w:pPr>
              <w:spacing w:after="0"/>
              <w:rPr>
                <w:sz w:val="1"/>
                <w:szCs w:val="1"/>
                <w:color w:val="auto"/>
              </w:rPr>
            </w:pPr>
          </w:p>
        </w:tc>
      </w:tr>
      <w:tr>
        <w:trPr>
          <w:trHeight w:val="53"/>
        </w:trPr>
        <w:tc>
          <w:tcPr>
            <w:tcW w:w="5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$’000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0"/>
              </w:rPr>
              <w:t>$4,156,030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8"/>
              </w:rPr>
              <w:t>$180,697</w:t>
            </w: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483,000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820" w:type="dxa"/>
            <w:vAlign w:val="bottom"/>
            <w:gridSpan w:val="4"/>
          </w:tcPr>
          <w:p>
            <w:pPr>
              <w:ind w:left="60"/>
              <w:spacing w:after="0"/>
              <w:rPr>
                <w:sz w:val="20"/>
                <w:szCs w:val="20"/>
                <w:color w:val="auto"/>
              </w:rPr>
            </w:pPr>
            <w:r>
              <w:rPr>
                <w:rFonts w:ascii="Arial" w:cs="Arial" w:eastAsia="Arial" w:hAnsi="Arial"/>
                <w:sz w:val="18"/>
                <w:szCs w:val="18"/>
                <w:color w:val="auto"/>
                <w:w w:val="98"/>
              </w:rPr>
              <w:t>$161,000</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288,000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94"/>
              </w:rPr>
              <w:t>$ 28,800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Database</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180,000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w w:val="94"/>
              </w:rPr>
              <w:t>$ 25,714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Assets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2"/>
                <w:szCs w:val="22"/>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0"/>
              </w:rPr>
              <w:t>$5,184,030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7"/>
              </w:rPr>
              <w:t>$411,611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amortization expense</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0"/>
              </w:rPr>
              <w:t>$ (76,300)</w:t>
            </w:r>
          </w:p>
        </w:tc>
        <w:tc>
          <w:tcPr>
            <w:tcW w:w="0" w:type="dxa"/>
            <w:vAlign w:val="bottom"/>
          </w:tcPr>
          <w:p>
            <w:pPr>
              <w:spacing w:after="0"/>
              <w:rPr>
                <w:sz w:val="1"/>
                <w:szCs w:val="1"/>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Transaction accounting adjustments to amortization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$335,311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These preliminary estimates of fair value and estimated useful lives will likely differ from final amounts ICON will calculate after completing a detailed valuation analysis, and the difference could have a material effect on the accompanying unaudited pro forma condensed combined financial statements. A 10% change in the valuation of intangible assets would result in a corresponding increase or decrease in the balance of goodwill and annual amortization expense of approximately $41.2 million, assuming an overall weighted average useful life of 12.6 years.</w:t>
      </w:r>
    </w:p>
    <w:p>
      <w:pPr>
        <w:spacing w:after="0" w:line="8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Based on the estimated respective fair values of identified intangible assets and the weighted average estimated useful lives, an adjustment to amortization expense of $335.3 million has been included in the Unaudited Pro Forma Condensed Statement of Operations, being the annual amortization charge above less $76.3 million amortization of purchased intangible assets expensed in the year ended December 31, 2020. The related estimated net decrease to income tax expense for the Unaudited Pro Forma Condensed Statement of Operations is $87.2 million. This adjustment will recur for the life of the underlying assets.</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step up in value of intangible assets of $4,584.1 million has also resulted in the recognition of additional deferred tax liabilities of $1,197.0 million.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4d. Merger related costs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It has been estimated that total transaction and related costs of $137.0 million will be incurred collectively by ICON and PRA in connection with the transaction, which include advisory, legal, valuation and other professional fees. ICON and PRA have not incurred any of these costs in the year ended December 31, 2020. As a result, an adjustment of $120.4 million (net of estimated associated tax benefit of $16.6 million) has been presented in the Unaudited Pro Forma Condensed Statement of Operations within selling, general and administrative expenses/income tax expense and in the Unaudited Pro Forma Condensed Combined Balance Sheet within other liabilities and income taxes receivable. These one-off costs will not have a continuing impact on the results of the combined company.</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and PRA have negotiated the terms of a retention/transaction bonus plan whereby up to $25.0 million may be used for retention bonus awards to employees. Up to 50% of these bonuses may be paid at close and the remaining 50% will vest and be payable 6 months or later after the consummation of the transaction (or the employee recipient’s earlier termination without cause). As a result, an adjustment of $20.6 million (net of estimated associated tax benefit of $4.4 million) has been presented in the Unaudited Pro Forma Condensed Statement of Operations within selling, general and administrative expenses/income tax expense and in the Unaudited Pro Forma Condensed Combined Balance Sheet within other liabilities and income taxes receivable. These one-off costs will not have a continuing impact on the results of the combined company.</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4e. Unearned revenue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Unearned revenue is adjusted by $19.0 million to reflect the fair value of the assumed performance obligation. The fair value of the assumed performance obligation was estimated using a cost build-up approach. The cost build-up approach is based on a market participant‘s estimate of the costs that will be incurred to fulfill the obligation</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plus a normal profit margin for the level of effort or assumption of risk by the acquirer after the acquisition date. The unearned revenue adjustment will be recorded as a reduction to revenues over the period that the underlying performance obligation is satisfied which is expected to be less than 12 months. The transaction accounting adjustments to reduce revenue by $19.0 million for the year ended December 31, 2020 reflect the difference between the book value of unearned revenue and the fair value of the assumed performance obligations as they are satisfied, assuming the transaction was consummated on January 1, 2020. The adjustment to unearned revenue also results in a tax benefit of $4.9 million. This one-off adjustment will not have a continuing impact on the results of the combined company.</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4f. Financing</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fund transaction-related items, the cash portion of the merger consideration, repayment of existing debt facilities and other one-time costs, ICON is expected to enter into:</w:t>
      </w:r>
    </w:p>
    <w:p>
      <w:pPr>
        <w:spacing w:after="0" w:line="62" w:lineRule="exact"/>
        <w:rPr>
          <w:sz w:val="20"/>
          <w:szCs w:val="20"/>
          <w:color w:val="auto"/>
        </w:rPr>
      </w:pPr>
    </w:p>
    <w:p>
      <w:pPr>
        <w:jc w:val="both"/>
        <w:ind w:left="1000" w:right="319" w:hanging="348"/>
        <w:spacing w:after="0" w:line="254" w:lineRule="auto"/>
        <w:tabs>
          <w:tab w:leader="none" w:pos="10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senior secured bridge facility (the “Bridge Facility”) in aggregate principal amount of $6.06 billion, maturing on the date that is 12 months after the earlier of (x) the date that is six months after the date the Commitment Letter is countersigned by ICON and (y) the closing date of such Bridge Facility (the “Initial Maturity Date”); provided that the Initial Maturity Date may be extended by ICON. At the option of ICON, prior to the closing date, the Bridge Facility may be divided into two or more tranches of bridge loans, each allocated to one or more wholly-owned subsidiaries of ICON in either Luxembourg or United States.</w:t>
      </w:r>
    </w:p>
    <w:p>
      <w:pPr>
        <w:spacing w:after="0" w:line="8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senior secured revolving credit facility (the “Revolving Facility”) in aggregate principal amount of $300.0 million, also available in Euros and other currencies to be agreed. The Revolving Facility will mature on the date that is five years after the closing date of such Revolving Facility.</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proceeds of the bridge loans will be used to finance in part the acquisition, the debt repayment of the Series A and B Senior Notes, any financial indebtedness of PRA and the transaction costs. The proceeds of Revolving Facility will be used by the borrowers for working capital and other general corporate purposes, including the financing of permitted acquisitions and other permitted investments. Revolving facilities may be drawn by way of letters of credit.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Current and non-current interest bearing loans and borrowings have been adjusted as follows based on the sources of funding described above:</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(in $ thousands)</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Financing adjustment</w:t>
            </w:r>
          </w:p>
        </w:tc>
      </w:tr>
      <w:tr>
        <w:trPr>
          <w:trHeight w:val="53"/>
        </w:trPr>
        <w:tc>
          <w:tcPr>
            <w:tcW w:w="6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the Bridge Facility</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$6,060,000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Proceeds from the Revolving Facility</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300,000</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(72,300)</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83"/>
        </w:trPr>
        <w:tc>
          <w:tcPr>
            <w:tcW w:w="6600" w:type="dxa"/>
            <w:vAlign w:val="bottom"/>
            <w:gridSpan w:val="2"/>
          </w:tcPr>
          <w:p>
            <w:pPr>
              <w:spacing w:after="0"/>
              <w:rPr>
                <w:sz w:val="20"/>
                <w:szCs w:val="20"/>
                <w:color w:val="auto"/>
              </w:rPr>
            </w:pPr>
            <w:r>
              <w:rPr>
                <w:rFonts w:ascii="Arial" w:cs="Arial" w:eastAsia="Arial" w:hAnsi="Arial"/>
                <w:sz w:val="18"/>
                <w:szCs w:val="18"/>
                <w:color w:val="auto"/>
              </w:rPr>
              <w:t>Total sources of funding, net of debt issuance costs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$6,287,700</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Series A and B Senior notes</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(350,000)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Elimination of historical unamortized debt issuance costs</w:t>
            </w:r>
          </w:p>
        </w:tc>
        <w:tc>
          <w:tcPr>
            <w:tcW w:w="460" w:type="dxa"/>
            <w:vAlign w:val="bottom"/>
            <w:gridSpan w:val="2"/>
          </w:tcPr>
          <w:p>
            <w:pPr>
              <w:ind w:left="180"/>
              <w:spacing w:after="0"/>
              <w:rPr>
                <w:sz w:val="20"/>
                <w:szCs w:val="20"/>
                <w:color w:val="auto"/>
              </w:rPr>
            </w:pPr>
            <w:r>
              <w:rPr>
                <w:rFonts w:ascii="Arial" w:cs="Arial" w:eastAsia="Arial" w:hAnsi="Arial"/>
                <w:sz w:val="13"/>
                <w:szCs w:val="13"/>
                <w:b w:val="1"/>
                <w:bCs w:val="1"/>
                <w:color w:val="auto"/>
              </w:rPr>
              <w:t>(ii)</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1,523</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debt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$5,939,223</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Presented as:</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debt adjustment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$6,287,700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Non-current portion of debt adjustment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 (348,477)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-2056765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-2056765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 relation to the two facilities, total debt issuance costs amount to $68.5 million and $3.8 million respectively, all payable when signing the facilities.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ICON’s unamortized debt issuance costs as at December 31, 2020 were $1.5 million in relation to the repaid Senior Notes.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Cash reconciliation</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(in $ thousands)</w:t>
            </w:r>
          </w:p>
        </w:tc>
      </w:tr>
      <w:tr>
        <w:trPr>
          <w:trHeight w:val="52"/>
        </w:trPr>
        <w:tc>
          <w:tcPr>
            <w:tcW w:w="71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311"/>
        </w:trPr>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sources of funding, net of debt issuance costs (see above)</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$6,287,700</w:t>
            </w:r>
          </w:p>
        </w:tc>
      </w:tr>
      <w:tr>
        <w:trPr>
          <w:trHeight w:val="270"/>
        </w:trPr>
        <w:tc>
          <w:tcPr>
            <w:tcW w:w="7420" w:type="dxa"/>
            <w:vAlign w:val="bottom"/>
            <w:gridSpan w:val="2"/>
          </w:tcPr>
          <w:p>
            <w:pPr>
              <w:spacing w:after="0"/>
              <w:rPr>
                <w:sz w:val="20"/>
                <w:szCs w:val="20"/>
                <w:color w:val="auto"/>
              </w:rPr>
            </w:pPr>
            <w:r>
              <w:rPr>
                <w:rFonts w:ascii="Arial" w:cs="Arial" w:eastAsia="Arial" w:hAnsi="Arial"/>
                <w:sz w:val="18"/>
                <w:szCs w:val="18"/>
                <w:color w:val="auto"/>
              </w:rPr>
              <w:t>Breakage Fee on ICON’s Senior Notes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(19,070)</w:t>
            </w:r>
          </w:p>
        </w:tc>
      </w:tr>
      <w:tr>
        <w:trPr>
          <w:trHeight w:val="54"/>
        </w:trPr>
        <w:tc>
          <w:tcPr>
            <w:tcW w:w="7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70"/>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ICON Senior Notes</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48"/>
        </w:trPr>
        <w:tc>
          <w:tcPr>
            <w:tcW w:w="7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$5,918,630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-822325</wp:posOffset>
            </wp:positionV>
            <wp:extent cx="1797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adjustment to retained earnings of $19.1 million in the Pro Forma Condensed Combined Balance Sheet reflects the release of the historical unamortized debt issuance costs for ICON, the release of the existing cash flow hedge reserve and the breakage fee payable upon repayment of the Senior Notes.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Adjustment to retained earnings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As at 31 December 2020</w:t>
            </w:r>
          </w:p>
        </w:tc>
      </w:tr>
      <w:tr>
        <w:trPr>
          <w:trHeight w:val="39"/>
        </w:trPr>
        <w:tc>
          <w:tcPr>
            <w:tcW w:w="60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11"/>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 thousands)</w:t>
            </w:r>
          </w:p>
        </w:tc>
      </w:tr>
      <w:tr>
        <w:trPr>
          <w:trHeight w:val="39"/>
        </w:trPr>
        <w:tc>
          <w:tcPr>
            <w:tcW w:w="60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71"/>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Breakage Fee on ICON’s Senior Notes</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$19,070</w:t>
            </w:r>
          </w:p>
        </w:tc>
      </w:tr>
      <w:tr>
        <w:trPr>
          <w:trHeight w:val="243"/>
        </w:trPr>
        <w:tc>
          <w:tcPr>
            <w:tcW w:w="6300" w:type="dxa"/>
            <w:vAlign w:val="bottom"/>
            <w:gridSpan w:val="2"/>
          </w:tcPr>
          <w:p>
            <w:pPr>
              <w:spacing w:after="0"/>
              <w:rPr>
                <w:sz w:val="20"/>
                <w:szCs w:val="20"/>
                <w:color w:val="auto"/>
              </w:rPr>
            </w:pPr>
            <w:r>
              <w:rPr>
                <w:rFonts w:ascii="Arial" w:cs="Arial" w:eastAsia="Arial" w:hAnsi="Arial"/>
                <w:sz w:val="18"/>
                <w:szCs w:val="18"/>
                <w:color w:val="auto"/>
              </w:rPr>
              <w:t>Release of debt issuance costs</w:t>
            </w:r>
          </w:p>
        </w:tc>
        <w:tc>
          <w:tcPr>
            <w:tcW w:w="600" w:type="dxa"/>
            <w:vAlign w:val="bottom"/>
            <w:gridSpan w:val="2"/>
          </w:tcPr>
          <w:p>
            <w:pPr>
              <w:ind w:left="180"/>
              <w:spacing w:after="0"/>
              <w:rPr>
                <w:sz w:val="20"/>
                <w:szCs w:val="20"/>
                <w:color w:val="auto"/>
              </w:rPr>
            </w:pPr>
            <w:r>
              <w:rPr>
                <w:rFonts w:ascii="Arial" w:cs="Arial" w:eastAsia="Arial" w:hAnsi="Arial"/>
                <w:sz w:val="13"/>
                <w:szCs w:val="13"/>
                <w:b w:val="1"/>
                <w:bCs w:val="1"/>
                <w:color w:val="auto"/>
              </w:rPr>
              <w:t>(i)</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1,887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Release of Cash Flow Hedge reserve</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(ii)</w:t>
            </w:r>
          </w:p>
        </w:tc>
        <w:tc>
          <w:tcPr>
            <w:tcW w:w="15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890</w:t>
            </w:r>
          </w:p>
        </w:tc>
      </w:tr>
      <w:tr>
        <w:trPr>
          <w:trHeight w:val="229"/>
        </w:trPr>
        <w:tc>
          <w:tcPr>
            <w:tcW w:w="6300" w:type="dxa"/>
            <w:vAlign w:val="bottom"/>
            <w:gridSpan w:val="2"/>
          </w:tcPr>
          <w:p>
            <w:pPr>
              <w:spacing w:after="0"/>
              <w:rPr>
                <w:sz w:val="20"/>
                <w:szCs w:val="20"/>
                <w:color w:val="auto"/>
              </w:rPr>
            </w:pPr>
            <w:r>
              <w:rPr>
                <w:rFonts w:ascii="Arial" w:cs="Arial" w:eastAsia="Arial" w:hAnsi="Arial"/>
                <w:sz w:val="18"/>
                <w:szCs w:val="18"/>
                <w:color w:val="auto"/>
              </w:rPr>
              <w:t>Tax impact of adjustments outlined above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(2,731)</w:t>
            </w:r>
          </w:p>
        </w:tc>
      </w:tr>
      <w:tr>
        <w:trPr>
          <w:trHeight w:val="48"/>
        </w:trPr>
        <w:tc>
          <w:tcPr>
            <w:tcW w:w="6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$19,116</w:t>
            </w:r>
          </w:p>
        </w:tc>
      </w:tr>
      <w:tr>
        <w:trPr>
          <w:trHeight w:val="54"/>
        </w:trPr>
        <w:tc>
          <w:tcPr>
            <w:tcW w:w="60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-934085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8" w:lineRule="auto"/>
        <w:tabs>
          <w:tab w:leader="none" w:pos="6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As mentioned in the table above, unamortized loan fees worth $1.5 million were shown as a reduction to non-current loan facilities. Furthermore, $0.4 million worth of fees had been capitalized under prepayments and other current assets in relation to the undrawn Multicurrency Revolving Facility Agreement, discharged when entering into the Revolving Facility.</w:t>
      </w:r>
    </w:p>
    <w:p>
      <w:pPr>
        <w:spacing w:after="0" w:line="20"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ICON had entered into an interest rate hedge in respect of the planned issuance of the 2020 Senior Notes in June 2020. The interest rate hedge matured in July 2020 when the interest rates on the 2020 Senior Notes were fixed. The interest rate hedge was effective in accordance with ASC 815 ‘Derivatives and Hedging’. There was a cash outflow of $0.9 million on maturity in July 2020, representing the realized loss on the interest rate hedge. This had been recorded within Other Comprehensive Income and the unamortized realized loss as at December 31, 2020 was still $0.9 million.</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ICON expects to replace some or all of the Bridge Facility prior to the completion of the transaction with longer term financing. There can be no assurance that the permanent financing will be obtained prior to the completion of the transaction and the terms of expected permanent financing are uncertain at this time.</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Year ended 31 December 2020</w:t>
            </w:r>
          </w:p>
        </w:tc>
      </w:tr>
      <w:tr>
        <w:trPr>
          <w:trHeight w:val="53"/>
        </w:trPr>
        <w:tc>
          <w:tcPr>
            <w:tcW w:w="4860" w:type="dxa"/>
            <w:vAlign w:val="bottom"/>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(in $ thousands)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Average principal</w:t>
            </w:r>
          </w:p>
        </w:tc>
        <w:tc>
          <w:tcPr>
            <w:tcW w:w="10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Interest expense</w:t>
            </w:r>
          </w:p>
        </w:tc>
      </w:tr>
      <w:tr>
        <w:trPr>
          <w:trHeight w:val="53"/>
        </w:trPr>
        <w:tc>
          <w:tcPr>
            <w:tcW w:w="4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Bridge Facility</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6,060,000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2.195% - 2.945%</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$186,042</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Revolving Facility</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300,000</w:t>
            </w: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3"/>
                <w:szCs w:val="2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6,590</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 of interest on ICON’s Series A and B Notes</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(13,405)</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Elimination of interest on PRA’s debt</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(28,990)</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24"/>
        </w:trPr>
        <w:tc>
          <w:tcPr>
            <w:tcW w:w="4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Debt issuance cost amortization:</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ICON Multicurrency Revolving facility</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ICON Series A and B Senior Notes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1,523</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PRA First Lien Term Loan and Revolving Facility</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6,509</w:t>
            </w:r>
          </w:p>
        </w:tc>
      </w:tr>
      <w:tr>
        <w:trPr>
          <w:trHeight w:val="324"/>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Other fees arising on refinancing (incl. discontinuation of hedge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7"/>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97,365</w:t>
            </w:r>
          </w:p>
        </w:tc>
        <w:tc>
          <w:tcPr>
            <w:tcW w:w="160" w:type="dxa"/>
            <w:vAlign w:val="bottom"/>
            <w:shd w:val="clear" w:color="auto" w:fill="CCEEFF"/>
          </w:tcPr>
          <w:p>
            <w:pPr>
              <w:spacing w:after="0"/>
              <w:rPr>
                <w:sz w:val="18"/>
                <w:szCs w:val="18"/>
                <w:color w:val="auto"/>
              </w:rPr>
            </w:pP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84"/>
        </w:trPr>
        <w:tc>
          <w:tcPr>
            <w:tcW w:w="4860" w:type="dxa"/>
            <w:vAlign w:val="bottom"/>
            <w:gridSpan w:val="2"/>
          </w:tcPr>
          <w:p>
            <w:pPr>
              <w:spacing w:after="0"/>
              <w:rPr>
                <w:sz w:val="20"/>
                <w:szCs w:val="20"/>
                <w:color w:val="auto"/>
              </w:rPr>
            </w:pPr>
            <w:r>
              <w:rPr>
                <w:rFonts w:ascii="Arial" w:cs="Arial" w:eastAsia="Arial" w:hAnsi="Arial"/>
                <w:sz w:val="18"/>
                <w:szCs w:val="18"/>
                <w:color w:val="auto"/>
              </w:rPr>
              <w:t>Total interest expense adjustment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$255,998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-2605405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-2605405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-2605405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interest rate under the Bridge Facility will be Adjusted LIBOR plus 2.00%. Such margin will be subject to an increase of 25.0 basis points on each three month anniversary of the closing date of the Bridge Facility. “Adjusted LIBOR” is the London interbank offered rate for dollars, adjusted for statutory reserve requirements for Eurodollar deposits, appearing on the LIBOR01 Page published by Reuters (or otherwise on the Reuters screen) two business days prior to such date, as set at the beginning of each applicable interest period, but in no event less than zero. Additionally, two duration fees equaling to 0.25% of the principal amount outstanding (each) will be due during the course of the bridge loan.</w:t>
      </w:r>
    </w:p>
    <w:p>
      <w:pPr>
        <w:spacing w:after="0" w:line="12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variable interest rate under the Revolving Facility is the same, with an applicable margin of 200 basis points.</w:t>
      </w:r>
    </w:p>
    <w:p>
      <w:pPr>
        <w:spacing w:after="0" w:line="62"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For the purpose of calculating the above interest expense, a three-month U.S. dollar adjusted LIBOR rate of 0.195% estimated as of February 4, 2021 has been assumed, which may differ from the rates in place when actually utilizing the facilities. A hypothetical change in interest rates of 0.125% would increase or decrease total interest expense for the Pro Forma Income Statement by approximately $7.9 million.</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to incremental interest charges, ICON has also recorded a transaction adjustment for debt issuance cost amortization for the Bridge Facility, which is expected to take place over the initial 12 months of the borrowing.</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related estimated net decrease to income tax expense for the Unaudited Pro Forma Condensed Combined Statement of Operations is $48.8 million. The actual tax benefit on interest expenses may differ depending on the final allocation of drawdowns among borrower entities in the group, as well as any internal financing required to ensure borrowings are in the appropriate subsidiaries to enable transactions costs to be met as required. Management estimate that a weighted tax benefit of 19% of the total interest expense adjustment reflects a conservative estimate of the value of the tax deductions that will be available in respect of transaction financing. The final tax benefit for such costs may be higher once pre-closing structuring has been finalized.</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4g. Income Taxes</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Adjustments to record the deferred income tax impact of acquisition accounting adjustments primarily related to intangible assets and to record the current and deferred tax impact of other transaction adjustments.</w:t>
      </w:r>
    </w:p>
    <w:p>
      <w:pPr>
        <w:spacing w:after="0" w:line="3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incremental deferred income tax liabilities in respect of intangible assets were calculated based on the income tax effect of the step-up in book basis of the net assets of PRA, excluding the amount attributable to goodwill, using an estimated statutory tax rate of 26%.</w:t>
      </w:r>
    </w:p>
    <w:p>
      <w:pPr>
        <w:spacing w:after="0" w:line="76"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income tax expense impact of the transaction adjustments was determined by tax effecting the expected tax treatment of the individual elements of the transaction adjustments in the jurisdictions they are expected to be incurred in, at the estimated statutory tax rate in those jurisdictions. The tax adjustments could change based upon ICON’s final determination of the tax treatment of the individual items and the statutory tax rate in the jurisdictions where the fair values are expected to occur and/or as a result of any changes in legislation prior to closing.</w:t>
      </w:r>
    </w:p>
    <w:p>
      <w:pPr>
        <w:spacing w:after="0" w:line="53"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Excluding the impact of all merger accounting, transaction related costs and interest expense adjustments related to the transaction, the underlying effective tax rate of the combined group for the year-ended December 31, 2020 would have been circa 17.2%. Excluding the impact of all adjustments, other than interest expense adjustments, the underlying effective tax rate of the combined group for the year-ended December 31, 2020 would have been circa 15.9%.</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4h. Share based compensation</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Upon closing of the transaction, each restricted share of PRA common stock that is issued and outstanding will be converted into the right to receive the merger consideration for each such share.</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Upon closing of the transaction, each award of time-based restricted stock units that corresponds to a number of shares of PRA common stock (each, a “PRA RSU award”) granted under any PRA equity plan, whether vested or unvested, that is outstanding will be converted into a restricted share unit award corresponding to ICON ordinary shares equal to (i) the number of such PRA restricted stock units, multiplied by (ii) the equity award conversion ratio, rounding down to the nearest whole number of ICON restricted share units. Each PRA RSU award so assumed and converted will continue to have, and will be subject to, the same terms and conditions as applied to the corresponding PRA RSU award as of immediately prior to the effective time.</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Upon closing of the transaction, each option to purchase shares of PRA common stock (each, a “PRA stock option”) granted under any PRA equity plan, whether vested or unvested, that is outstanding and unexercised will be converted into an ICON stock option to acquire a number of ICON ordinary shares equal to (i) the number of shares of PRA common stock subject to such PRA stock option as of immediately prior to the effective time, multiplied by</w:t>
      </w:r>
    </w:p>
    <w:p>
      <w:pPr>
        <w:spacing w:after="0" w:line="1" w:lineRule="exact"/>
        <w:rPr>
          <w:sz w:val="20"/>
          <w:szCs w:val="20"/>
          <w:color w:val="auto"/>
        </w:rPr>
      </w:pPr>
    </w:p>
    <w:p>
      <w:pPr>
        <w:jc w:val="both"/>
        <w:ind w:left="300" w:right="299" w:hanging="8"/>
        <w:spacing w:after="0" w:line="292" w:lineRule="auto"/>
        <w:tabs>
          <w:tab w:leader="none" w:pos="57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equity award conversion ratio, rounding down to the nearest whole number of ICON ordinary shares, at an exercise price per ICON ordinary share equal to (x) the exercise price per share of PRA common stock subject to such PRA stock option, divided by (y) the equity award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5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The portion of the fair value of PRA’s equity awards attributable to pre-combination service that will be assumed by ICON upon completion of the transaction amounts to $340.5 million. An incremental stock-based compensation expense resulting from the step up to fair value of PRA’s share-based compensation instruments which will be replaced with ICON instruments upon consummation of the transaction has been recorded. In addition, in certain situations executives are entitled to acceleration of vesting of their awards. An additional charge of $94.9 million has been recorded in respect of both of these events ($22.0 million recorded in the </w:t>
      </w:r>
      <w:r>
        <w:rPr>
          <w:rFonts w:ascii="Arial" w:cs="Arial" w:eastAsia="Arial" w:hAnsi="Arial"/>
          <w:sz w:val="17"/>
          <w:szCs w:val="17"/>
          <w:i w:val="1"/>
          <w:iCs w:val="1"/>
          <w:color w:val="auto"/>
        </w:rPr>
        <w:t>Direct cost</w:t>
      </w:r>
      <w:r>
        <w:rPr>
          <w:rFonts w:ascii="Arial" w:cs="Arial" w:eastAsia="Arial" w:hAnsi="Arial"/>
          <w:sz w:val="17"/>
          <w:szCs w:val="17"/>
          <w:color w:val="auto"/>
        </w:rPr>
        <w:t xml:space="preserve"> line and $72.9 million recorded in the S</w:t>
      </w:r>
      <w:r>
        <w:rPr>
          <w:rFonts w:ascii="Arial" w:cs="Arial" w:eastAsia="Arial" w:hAnsi="Arial"/>
          <w:sz w:val="17"/>
          <w:szCs w:val="17"/>
          <w:i w:val="1"/>
          <w:iCs w:val="1"/>
          <w:color w:val="auto"/>
        </w:rPr>
        <w:t>elling, general and administrative</w:t>
      </w:r>
      <w:r>
        <w:rPr>
          <w:rFonts w:ascii="Arial" w:cs="Arial" w:eastAsia="Arial" w:hAnsi="Arial"/>
          <w:sz w:val="17"/>
          <w:szCs w:val="17"/>
          <w:color w:val="auto"/>
        </w:rPr>
        <w:t xml:space="preserve"> 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 deferred tax asset of $25.3 million has been recorded in respect of this step up to fair value. This amount is presented net of related deferred tax liabilities in the Unaudited Pro Forma Condensed Combined Balance Sheet and $10.5 million has been presented in the Unaudited Pro Forma Condensed Combined Statement of Operations as a net decrease to the income tax expense. This tax benefit is lower than the statutory tax rate in the jurisdictions where the employees are located primarily due to the non-deductible nature of certain once off adjustments.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4i. Stockholders' equity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adjustments to stockholders' equity reflects the following:</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issuance of 26.62 million ICON ordinary shares to PRA stockholders with a fair value of $4,951.7 million and the fair value of PRA equity awards exchanged for ICON equity awards of $340.5 million (recorded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elimination of the historical equity balances of PRA including share capital, additional paid-in capital, accumulated other comprehensive loss and retained earnings;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 forma reduction in retained earnings of $120.4 million to reflect the estimated merger related fees and expenses expected to be incurred upon completion of the merger ($137.0 million expected to be expensed, net of $16.6 million tax benefit);</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pro forma reduction in retained earnings of $20.6 million to reflect the estimated retention bonuses expected to be incurred upon completion, and in the 6 month period following the consummation, of the merger ($25.0 million expected to be expensed, net of $4.4 million tax benefit); and</w:t>
      </w:r>
    </w:p>
    <w:p>
      <w:pPr>
        <w:spacing w:after="0" w:line="57"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 forma reduction in retained earnings of $18.2 million to reflect the estimated post-combination settlement of existing debt facilities.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4j. Earnings/(loss) per share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pro forma combined basic and diluted earnings / (loss) per share for the year ended December 31, 2020, are calculated as follows (in millions, except per share data):</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r>
      <w:tr>
        <w:trPr>
          <w:trHeight w:val="186"/>
        </w:trPr>
        <w:tc>
          <w:tcPr>
            <w:tcW w:w="7240" w:type="dxa"/>
            <w:vAlign w:val="bottom"/>
          </w:tcPr>
          <w:p>
            <w:pPr>
              <w:spacing w:after="0"/>
              <w:rPr>
                <w:sz w:val="16"/>
                <w:szCs w:val="16"/>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52"/>
        </w:trPr>
        <w:tc>
          <w:tcPr>
            <w:tcW w:w="7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5"/>
        </w:trPr>
        <w:tc>
          <w:tcPr>
            <w:tcW w:w="7240" w:type="dxa"/>
            <w:vAlign w:val="bottom"/>
          </w:tcPr>
          <w:p>
            <w:pPr>
              <w:spacing w:after="0"/>
              <w:rPr>
                <w:sz w:val="19"/>
                <w:szCs w:val="19"/>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(in $’millions)</w:t>
            </w:r>
          </w:p>
        </w:tc>
      </w:tr>
      <w:tr>
        <w:trPr>
          <w:trHeight w:val="53"/>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r>
      <w:tr>
        <w:trPr>
          <w:trHeight w:val="33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the Group</w:t>
            </w:r>
            <w:r>
              <w:rPr>
                <w:rFonts w:ascii="Arial" w:cs="Arial" w:eastAsia="Arial" w:hAnsi="Arial"/>
                <w:sz w:val="29"/>
                <w:szCs w:val="29"/>
                <w:color w:val="auto"/>
                <w:vertAlign w:val="superscript"/>
              </w:rPr>
              <w:t>(1)</w:t>
            </w: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$(169.85)</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Basic weighted average ICON shares outstanding</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52.86</w:t>
            </w:r>
          </w:p>
        </w:tc>
        <w:tc>
          <w:tcPr>
            <w:tcW w:w="280" w:type="dxa"/>
            <w:vAlign w:val="bottom"/>
          </w:tcPr>
          <w:p>
            <w:pPr>
              <w:spacing w:after="0"/>
              <w:rPr>
                <w:sz w:val="23"/>
                <w:szCs w:val="23"/>
                <w:color w:val="auto"/>
              </w:rPr>
            </w:pPr>
          </w:p>
        </w:tc>
      </w:tr>
      <w:tr>
        <w:trPr>
          <w:trHeight w:val="54"/>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23"/>
        </w:trPr>
        <w:tc>
          <w:tcPr>
            <w:tcW w:w="724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PRA shares converted to ICON shares</w:t>
            </w:r>
            <w:r>
              <w:rPr>
                <w:rFonts w:ascii="Arial" w:cs="Arial" w:eastAsia="Arial" w:hAnsi="Arial"/>
                <w:sz w:val="29"/>
                <w:szCs w:val="29"/>
                <w:color w:val="auto"/>
                <w:vertAlign w:val="superscript"/>
              </w:rPr>
              <w:t>(2)</w:t>
            </w: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26.13</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83"/>
        </w:trPr>
        <w:tc>
          <w:tcPr>
            <w:tcW w:w="7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 basic weighted average shares outstanding</w:t>
            </w: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7"/>
              </w:rPr>
              <w:t>78.99</w:t>
            </w:r>
          </w:p>
        </w:tc>
        <w:tc>
          <w:tcPr>
            <w:tcW w:w="280" w:type="dxa"/>
            <w:vAlign w:val="bottom"/>
            <w:tcBorders>
              <w:top w:val="single" w:sz="8" w:color="CCEEFF"/>
            </w:tcBorders>
          </w:tcPr>
          <w:p>
            <w:pPr>
              <w:spacing w:after="0"/>
              <w:rPr>
                <w:sz w:val="24"/>
                <w:szCs w:val="24"/>
                <w:color w:val="auto"/>
              </w:rPr>
            </w:pPr>
          </w:p>
        </w:tc>
      </w:tr>
      <w:tr>
        <w:trPr>
          <w:trHeight w:val="54"/>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basic earnings / (loss) per share</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r>
      <w:tr>
        <w:trPr>
          <w:trHeight w:val="420"/>
        </w:trPr>
        <w:tc>
          <w:tcPr>
            <w:tcW w:w="7240" w:type="dxa"/>
            <w:vAlign w:val="bottom"/>
          </w:tcPr>
          <w:p>
            <w:pPr>
              <w:spacing w:after="0"/>
              <w:rPr>
                <w:sz w:val="20"/>
                <w:szCs w:val="20"/>
                <w:color w:val="auto"/>
              </w:rPr>
            </w:pPr>
            <w:r>
              <w:rPr>
                <w:rFonts w:ascii="Arial" w:cs="Arial" w:eastAsia="Arial" w:hAnsi="Arial"/>
                <w:sz w:val="18"/>
                <w:szCs w:val="18"/>
                <w:color w:val="auto"/>
              </w:rPr>
              <w:t>Pro forma diluted earnings / (loss) per share</w:t>
            </w:r>
            <w:r>
              <w:rPr>
                <w:rFonts w:ascii="Arial" w:cs="Arial" w:eastAsia="Arial" w:hAnsi="Arial"/>
                <w:sz w:val="29"/>
                <w:szCs w:val="29"/>
                <w:color w:val="auto"/>
                <w:vertAlign w:val="superscript"/>
              </w:rPr>
              <w:t>(3)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jc w:val="both"/>
        <w:ind w:left="640" w:right="299" w:hanging="348"/>
        <w:spacing w:after="0" w:line="231" w:lineRule="auto"/>
        <w:tabs>
          <w:tab w:leader="none" w:pos="6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Net income / (loss) attributable to the Group reflects the loss as presented in the Unaudited Pro Forma Condensed Combined Statement of Operations of $165.3 million for the combined company and also includes ICON's historical adjustment to reflect changes in the redemption amount of ICON’s noncontrolling interest (as required by GAAP) in its subsidiary, MeDiNova, of $4.5 million. This adjustment was only required until the redemption of the noncontrolling interest on March 9, 2020 and will not impact the future earnings per share of the combined company.</w:t>
      </w:r>
    </w:p>
    <w:p>
      <w:pPr>
        <w:spacing w:after="0" w:line="2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Represents the estimated number of ICON ordinary shares to be issued to PRA stockholders based on PRA’s historical basic and diluted shares outstanding, after giving effect to the exchange ratio, for the year ended December 31, 2020.</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unaudited pro forma diluted earnings per share for the year ended December 31, 2020 is equal to the unaudited pro forma basic earnings per share due to the pro forma net loss for the combined company, which would cause the impact of share-based awards to be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equity awards were excluded from the pro forma combined diluted earnings/ (loss) per share computation as their inclusion would have been anti-dilutive due to the reporting of a pro forma net loss for the combined company:</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86"/>
        </w:trPr>
        <w:tc>
          <w:tcPr>
            <w:tcW w:w="7240" w:type="dxa"/>
            <w:vAlign w:val="bottom"/>
          </w:tcPr>
          <w:p>
            <w:pPr>
              <w:spacing w:after="0"/>
              <w:rPr>
                <w:sz w:val="16"/>
                <w:szCs w:val="16"/>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53"/>
        </w:trPr>
        <w:tc>
          <w:tcPr>
            <w:tcW w:w="72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4"/>
        </w:trPr>
        <w:tc>
          <w:tcPr>
            <w:tcW w:w="724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 $'millions)</w:t>
            </w:r>
          </w:p>
        </w:tc>
      </w:tr>
      <w:tr>
        <w:trPr>
          <w:trHeight w:val="53"/>
        </w:trPr>
        <w:tc>
          <w:tcPr>
            <w:tcW w:w="7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318"/>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ICON equity awards</w:t>
            </w:r>
          </w:p>
        </w:tc>
        <w:tc>
          <w:tcPr>
            <w:tcW w:w="760" w:type="dxa"/>
            <w:vAlign w:val="bottom"/>
            <w:tcBorders>
              <w:bottom w:val="single" w:sz="8" w:color="CCEEFF"/>
            </w:tcBorders>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1"/>
              </w:rPr>
              <w:t>0.42</w:t>
            </w:r>
          </w:p>
        </w:tc>
        <w:tc>
          <w:tcPr>
            <w:tcW w:w="420" w:type="dxa"/>
            <w:vAlign w:val="bottom"/>
            <w:tcBorders>
              <w:bottom w:val="single" w:sz="8" w:color="CCEEFF"/>
            </w:tcBorders>
            <w:shd w:val="clear" w:color="auto" w:fill="CCEEFF"/>
          </w:tcPr>
          <w:p>
            <w:pPr>
              <w:spacing w:after="0"/>
              <w:rPr>
                <w:sz w:val="24"/>
                <w:szCs w:val="24"/>
                <w:color w:val="auto"/>
              </w:rPr>
            </w:pPr>
          </w:p>
        </w:tc>
      </w:tr>
      <w:tr>
        <w:trPr>
          <w:trHeight w:val="257"/>
        </w:trPr>
        <w:tc>
          <w:tcPr>
            <w:tcW w:w="7240" w:type="dxa"/>
            <w:vAlign w:val="bottom"/>
          </w:tcPr>
          <w:p>
            <w:pPr>
              <w:spacing w:after="0"/>
              <w:rPr>
                <w:sz w:val="20"/>
                <w:szCs w:val="20"/>
                <w:color w:val="auto"/>
              </w:rPr>
            </w:pPr>
            <w:r>
              <w:rPr>
                <w:rFonts w:ascii="Arial" w:cs="Arial" w:eastAsia="Arial" w:hAnsi="Arial"/>
                <w:sz w:val="18"/>
                <w:szCs w:val="18"/>
                <w:color w:val="auto"/>
              </w:rPr>
              <w:t>PRA equity awards converted to ICON equity awards</w:t>
            </w:r>
          </w:p>
        </w:tc>
        <w:tc>
          <w:tcPr>
            <w:tcW w:w="760" w:type="dxa"/>
            <w:vAlign w:val="bottom"/>
            <w:gridSpan w:val="2"/>
          </w:tcPr>
          <w:p>
            <w:pPr>
              <w:jc w:val="center"/>
              <w:ind w:left="359"/>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59</w:t>
            </w:r>
          </w:p>
        </w:tc>
        <w:tc>
          <w:tcPr>
            <w:tcW w:w="420" w:type="dxa"/>
            <w:vAlign w:val="bottom"/>
          </w:tcPr>
          <w:p>
            <w:pPr>
              <w:spacing w:after="0"/>
              <w:rPr>
                <w:sz w:val="22"/>
                <w:szCs w:val="22"/>
                <w:color w:val="auto"/>
              </w:rPr>
            </w:pPr>
          </w:p>
        </w:tc>
      </w:tr>
      <w:tr>
        <w:trPr>
          <w:trHeight w:val="61"/>
        </w:trPr>
        <w:tc>
          <w:tcPr>
            <w:tcW w:w="7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r>
      <w:tr>
        <w:trPr>
          <w:trHeight w:val="284"/>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equity awards excluded from diluted earnings/ (loss) per share computation</w:t>
            </w:r>
          </w:p>
        </w:tc>
        <w:tc>
          <w:tcPr>
            <w:tcW w:w="76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1"/>
              </w:rPr>
              <w:t>1.01</w:t>
            </w:r>
          </w:p>
        </w:tc>
        <w:tc>
          <w:tcPr>
            <w:tcW w:w="420" w:type="dxa"/>
            <w:vAlign w:val="bottom"/>
            <w:shd w:val="clear" w:color="auto" w:fill="CCEEFF"/>
          </w:tcPr>
          <w:p>
            <w:pPr>
              <w:spacing w:after="0"/>
              <w:rPr>
                <w:sz w:val="24"/>
                <w:szCs w:val="24"/>
                <w:color w:val="auto"/>
              </w:rPr>
            </w:pPr>
          </w:p>
        </w:tc>
      </w:tr>
      <w:tr>
        <w:trPr>
          <w:trHeight w:val="54"/>
        </w:trPr>
        <w:tc>
          <w:tcPr>
            <w:tcW w:w="72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weighted average number of ICON ordinary shares used in computing basic earnings per share has been calculated using the weighted average number of ICON ordinary shares issued and outstanding during the period and the number of shares of PRA common stock issued and outstanding as at the period end, giving effect to the exchange ratio established in the merger agreement. For the year ended December 31, 2020, the ICON pro forma basic earnings per share was calculated using 79.0 million weighted average shares, which reflects the 52.9 million weighted average of ICON ordinary shares issued and outstanding for the period and the 63.4 million weighted average of PRA common stock outstanding at December 31, 2020, converted to 26.1 million shares per the merger agreement.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4k. Other non-recurring transactions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in the Unaudited Pro Forma Condensed Combined Statement of Operations is $44.5 million relating to the release of previously accrued contingent consideration associated with PRA’s acquisition of Care Innovations. This one-off release to the Unaudited Pro Forma Condensed Combined Statement of Operations will not have a continuing impact on the results of the combined company.</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4l. Other management adjustments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consummation of the merger of ICON and PRA, the combined company expect to achieve run-rate cost synergies of $150.0 million. The full phasing of these synergies remains under review and, as such, no management adjustment for synergies has been reflected in the Unaudited Pro Forma Condensed Combined Statement of Operations or Unaudited Pro Forma Condensed Combined Balance sheet. Once the full amount of these synergies are achieved, they are expected to have a continuing impact on the results of the combined company. The achievement of the full amount of the stated synergies is dependent on a number of judgements and assumptions and it has yet to be fully determined whether all of the synergies identified by management can be achieved. Management has made their best estimate of the expected synergies to be achieved on consummation of the merger but actual synergies may significantly differ from those stated above.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Comparative Stock Prices and Dividends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Prices</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ICON ordinary shares is currently traded on the Nasdaq under the symbol “ICLR” and PRA common stock is currently listed on Nasdaq under the ticker symbol “PRAH”. The table below sets forth, for the periods indicated, the per share high and low sales prices for ICON and PRA as reported on Nasdaq. Numbers have been rounded to the nearest whole cent.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information for the past five calendar years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80" w:type="dxa"/>
            <w:vAlign w:val="bottom"/>
            <w:gridSpan w:val="6"/>
          </w:tcPr>
          <w:p>
            <w:pPr>
              <w:ind w:left="240"/>
              <w:spacing w:after="0"/>
              <w:rPr>
                <w:sz w:val="20"/>
                <w:szCs w:val="20"/>
                <w:color w:val="auto"/>
              </w:rPr>
            </w:pPr>
            <w:r>
              <w:rPr>
                <w:rFonts w:ascii="Arial" w:cs="Arial" w:eastAsia="Arial" w:hAnsi="Arial"/>
                <w:sz w:val="14"/>
                <w:szCs w:val="14"/>
                <w:b w:val="1"/>
                <w:bCs w:val="1"/>
                <w:color w:val="auto"/>
              </w:rPr>
              <w:t>ICON (in US$)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rPr>
              <w:t>PRA (in US$)</w:t>
            </w:r>
          </w:p>
        </w:tc>
      </w:tr>
      <w:tr>
        <w:trPr>
          <w:trHeight w:val="53"/>
        </w:trPr>
        <w:tc>
          <w:tcPr>
            <w:tcW w:w="55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556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Low</w:t>
            </w:r>
          </w:p>
        </w:tc>
      </w:tr>
      <w:tr>
        <w:trPr>
          <w:trHeight w:val="53"/>
        </w:trPr>
        <w:tc>
          <w:tcPr>
            <w:tcW w:w="5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$215.29</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$104.28</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$126.66</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$172.45</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$118.10</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$115.50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$82.12</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$155.33</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$101.22</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$121.98</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2017</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$124.48</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93"/>
              </w:rPr>
              <w:t>$ 74.30</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93"/>
              </w:rPr>
              <w:t>$ 92.00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$ 85.74</w:t>
            </w:r>
          </w:p>
        </w:tc>
        <w:tc>
          <w:tcPr>
            <w:tcW w:w="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$ 62.31</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$ 60.96</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$35.60</w:t>
            </w:r>
          </w:p>
        </w:tc>
      </w:tr>
      <w:tr>
        <w:trPr>
          <w:trHeight w:val="540"/>
        </w:trPr>
        <w:tc>
          <w:tcPr>
            <w:tcW w:w="5560" w:type="dxa"/>
            <w:vAlign w:val="bottom"/>
          </w:tcPr>
          <w:p>
            <w:pPr>
              <w:spacing w:after="0"/>
              <w:rPr>
                <w:sz w:val="20"/>
                <w:szCs w:val="20"/>
                <w:color w:val="auto"/>
              </w:rPr>
            </w:pPr>
            <w:r>
              <w:rPr>
                <w:rFonts w:ascii="Arial" w:cs="Arial" w:eastAsia="Arial" w:hAnsi="Arial"/>
                <w:sz w:val="18"/>
                <w:szCs w:val="18"/>
                <w:b w:val="1"/>
                <w:bCs w:val="1"/>
                <w:color w:val="auto"/>
                <w:w w:val="93"/>
              </w:rPr>
              <w:t>Quarterly information for the past two years and subsequent quarters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3"/>
        </w:trPr>
        <w:tc>
          <w:tcPr>
            <w:tcW w:w="5560" w:type="dxa"/>
            <w:vAlign w:val="bottom"/>
          </w:tcPr>
          <w:p>
            <w:pPr>
              <w:spacing w:after="0"/>
              <w:rPr>
                <w:sz w:val="24"/>
                <w:szCs w:val="24"/>
                <w:color w:val="auto"/>
              </w:rPr>
            </w:pPr>
          </w:p>
        </w:tc>
        <w:tc>
          <w:tcPr>
            <w:tcW w:w="1380" w:type="dxa"/>
            <w:vAlign w:val="bottom"/>
            <w:gridSpan w:val="6"/>
          </w:tcPr>
          <w:p>
            <w:pPr>
              <w:ind w:left="200"/>
              <w:spacing w:after="0"/>
              <w:rPr>
                <w:sz w:val="20"/>
                <w:szCs w:val="20"/>
                <w:color w:val="auto"/>
              </w:rPr>
            </w:pPr>
            <w:r>
              <w:rPr>
                <w:rFonts w:ascii="Arial" w:cs="Arial" w:eastAsia="Arial" w:hAnsi="Arial"/>
                <w:sz w:val="14"/>
                <w:szCs w:val="14"/>
                <w:b w:val="1"/>
                <w:bCs w:val="1"/>
                <w:color w:val="auto"/>
              </w:rPr>
              <w:t>ICON (in US$)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PRA (in US$)</w:t>
            </w:r>
          </w:p>
        </w:tc>
      </w:tr>
      <w:tr>
        <w:trPr>
          <w:trHeight w:val="53"/>
        </w:trPr>
        <w:tc>
          <w:tcPr>
            <w:tcW w:w="5560" w:type="dxa"/>
            <w:vAlign w:val="bottom"/>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5560" w:type="dxa"/>
            <w:vAlign w:val="bottom"/>
          </w:tcPr>
          <w:p>
            <w:pPr>
              <w:spacing w:after="0"/>
              <w:rPr>
                <w:sz w:val="19"/>
                <w:szCs w:val="19"/>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b w:val="1"/>
                <w:bCs w:val="1"/>
                <w:color w:val="auto"/>
              </w:rPr>
              <w:t>Low</w:t>
            </w:r>
          </w:p>
        </w:tc>
      </w:tr>
      <w:tr>
        <w:trPr>
          <w:trHeight w:val="53"/>
        </w:trPr>
        <w:tc>
          <w:tcPr>
            <w:tcW w:w="5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First Quarter (through March 19)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$223.62</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$168.76</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$155.00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$119.90</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$215.29</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$177.52</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$126.66</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$ 95.84</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$199.83</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$166.66</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2"/>
              </w:rPr>
              <w:t>$109.52</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$ 93.00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$173.77</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$127.00</w:t>
            </w:r>
          </w:p>
        </w:tc>
        <w:tc>
          <w:tcPr>
            <w:tcW w:w="40" w:type="dxa"/>
            <w:vAlign w:val="bottom"/>
          </w:tcPr>
          <w:p>
            <w:pPr>
              <w:spacing w:after="0"/>
              <w:rPr>
                <w:sz w:val="23"/>
                <w:szCs w:val="23"/>
                <w:color w:val="auto"/>
              </w:rPr>
            </w:pP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$113.32</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$ 71.46</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$178.99</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$104.28</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$113.10</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$ 58.67</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$172.45</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$138.50</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$112.13</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$ 92.13</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Third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$165.14</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$145.33</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$107.40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$ 92.16</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$154.40</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$128.52</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$112.18</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$ 85.00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$147.31</w:t>
            </w:r>
          </w:p>
        </w:tc>
        <w:tc>
          <w:tcPr>
            <w:tcW w:w="20" w:type="dxa"/>
            <w:vAlign w:val="bottom"/>
          </w:tcPr>
          <w:p>
            <w:pPr>
              <w:spacing w:after="0"/>
              <w:rPr>
                <w:sz w:val="23"/>
                <w:szCs w:val="23"/>
                <w:color w:val="auto"/>
              </w:rPr>
            </w:pPr>
          </w:p>
        </w:tc>
        <w:tc>
          <w:tcPr>
            <w:tcW w:w="740" w:type="dxa"/>
            <w:vAlign w:val="bottom"/>
            <w:gridSpan w:val="3"/>
          </w:tcPr>
          <w:p>
            <w:pPr>
              <w:jc w:val="center"/>
              <w:ind w:left="50"/>
              <w:spacing w:after="0"/>
              <w:rPr>
                <w:sz w:val="20"/>
                <w:szCs w:val="20"/>
                <w:color w:val="auto"/>
              </w:rPr>
            </w:pPr>
            <w:r>
              <w:rPr>
                <w:rFonts w:ascii="Arial" w:cs="Arial" w:eastAsia="Arial" w:hAnsi="Arial"/>
                <w:sz w:val="18"/>
                <w:szCs w:val="18"/>
                <w:color w:val="auto"/>
                <w:w w:val="86"/>
              </w:rPr>
              <w:t>$118.10</w:t>
            </w:r>
          </w:p>
        </w:tc>
        <w:tc>
          <w:tcPr>
            <w:tcW w:w="40" w:type="dxa"/>
            <w:vAlign w:val="bottom"/>
          </w:tcPr>
          <w:p>
            <w:pPr>
              <w:spacing w:after="0"/>
              <w:rPr>
                <w:sz w:val="23"/>
                <w:szCs w:val="23"/>
                <w:color w:val="auto"/>
              </w:rPr>
            </w:pP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$115.50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$ 82.12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-4285615</wp:posOffset>
            </wp:positionV>
            <wp:extent cx="120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-4285615</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-4285615</wp:posOffset>
            </wp:positionV>
            <wp:extent cx="1200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-4285615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-2451100</wp:posOffset>
            </wp:positionV>
            <wp:extent cx="102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-2451100</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-2451100</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-2451100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above table shows only historical data. The data may not provide meaningful information to PRA stockholders in determining whether to adopt the merger agreement. PRA stockholders are urged to obtain current market quotations for PRA common stock and ICON ordinary shares and to review carefully the other information contained in, or incorporated by reference into, this proxy statement/prospectus, when considering whether to adopt the merger agreement.</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following table presents the closing price per share of ICON ordinary shares and of PRA common stock on Nasdaq on (i) February 23, 2021, the last full trading day prior to the public announcement of the signing of the definitive agreement, and (ii) April 26, 2021, the last practicable trading day prior to the mailing of this proxy statement/prospectus. This table also shows the implied value of the merger consideration payable for each share of PRA common stock, which was calculated by multiplying the closing price of ICON on Nasdaq on those dates by the exchange ratio and adding the cash consideration.</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Equivalent value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merger consideration per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ICON (in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 of PRA common stock based</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7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PRA (in US$)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price of ICON on</w:t>
            </w:r>
          </w:p>
        </w:tc>
        <w:tc>
          <w:tcPr>
            <w:tcW w:w="0" w:type="dxa"/>
            <w:vAlign w:val="bottom"/>
          </w:tcPr>
          <w:p>
            <w:pPr>
              <w:spacing w:after="0"/>
              <w:rPr>
                <w:sz w:val="1"/>
                <w:szCs w:val="1"/>
                <w:color w:val="auto"/>
              </w:rPr>
            </w:pPr>
          </w:p>
        </w:tc>
      </w:tr>
      <w:tr>
        <w:trPr>
          <w:trHeight w:val="186"/>
        </w:trPr>
        <w:tc>
          <w:tcPr>
            <w:tcW w:w="4860" w:type="dxa"/>
            <w:vAlign w:val="bottom"/>
            <w:gridSpan w:val="2"/>
            <w:vMerge w:val="continue"/>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w:t>
            </w:r>
          </w:p>
        </w:tc>
        <w:tc>
          <w:tcPr>
            <w:tcW w:w="960" w:type="dxa"/>
            <w:vAlign w:val="bottom"/>
            <w:gridSpan w:val="2"/>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Nasdaq (in US$)</w:t>
            </w:r>
          </w:p>
        </w:tc>
        <w:tc>
          <w:tcPr>
            <w:tcW w:w="0" w:type="dxa"/>
            <w:vAlign w:val="bottom"/>
          </w:tcPr>
          <w:p>
            <w:pPr>
              <w:spacing w:after="0"/>
              <w:rPr>
                <w:sz w:val="1"/>
                <w:szCs w:val="1"/>
                <w:color w:val="auto"/>
              </w:rPr>
            </w:pPr>
          </w:p>
        </w:tc>
      </w:tr>
      <w:tr>
        <w:trPr>
          <w:trHeight w:val="52"/>
        </w:trPr>
        <w:tc>
          <w:tcPr>
            <w:tcW w:w="4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23, 2021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8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April 26, 2021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$217.88</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$167.11</w:t>
            </w:r>
          </w:p>
        </w:tc>
        <w:tc>
          <w:tcPr>
            <w:tcW w:w="8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$169.88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-393700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-393700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-393700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will not receive the merger consideration until the transaction is completed, which may occur a substantial period of time after the PRA special meeting, or not at all. There can be no assurance as to the trading prices of PRA common stock or ICON ordinary shares at the time of the completion of the transaction. The market prices of PRA common stock and ICON ordinary shares are likely to fluctuate prior to completion of the transaction and cannot be predicted. We urge you to obtain current market quotations for both PRA common stock and ICON ordinary shares.</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ICON currently does not expect to declare dividends on its common stock and have not done so in the past. ICON continues to anticipate that their earnings will be used to provide working capital, to support operations and to finance the growth and development of their business. They may also be used to continue its share repurchase program. Any determination to declare or pay dividends in the future will be at the discretion of its board of directors, subject to relevant laws and dependent on several factors, including its earnings, capital requirements and overall financial condition.</w:t>
      </w:r>
    </w:p>
    <w:p>
      <w:pPr>
        <w:spacing w:after="0" w:line="8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PRA has not declared or paid dividends during 2020, 2019, and 2018. Declaration and payment of any dividend will be subject to the discretion of PRA’s board of directors. The time and amount of dividends will be dependent upon its financial condition, operations, cash requirements and availability, debt repayment obligations, capital expenditure needs and restrictions in its debt instruments, industry trends, the provisions of Delaware law affecting the payment of dividends to stockholders and any other factors its board of directors may consider relevant.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ICON’S DIRECTORS AND EXECUTIVE OFFICERS IN THE MERGER</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considering the recommendation of the ICON board of directors to vote for the ICON share issuance proposal, ICON shareholders should be aware that ICON’s directors and executive officers may have interests in the merger that are different from, or in addition to, the interests of ICON shareholders generally and that may create potential conflicts of interest. The ICON board of directors was aware of these interests and considered them, among other matters, in evaluating and negotiating the merger agreement and approving the merger agreement, and in recommending to ICON shareholders that they vote for the ICON share issuance proposal.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of the Combined Company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combined company will be headquartered in Dublin, Ireland. Following completion of the merger, Dr. Steve Cutler, the current Chief Executive Officer of ICON, will continue to serve as Chief Executive Officer of ICON, and Brendan Brennan, the current Chief Financial Officer of ICON, will continue to serve as Chief Financial Officer of ICON. Dr. Cutler holds 1,750 shares of PRA common stock and, upon completion of the merger, will be entitled to receive merger consideration in respect of such shares.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of the Combined Company</w:t>
      </w:r>
    </w:p>
    <w:p>
      <w:pPr>
        <w:spacing w:after="0" w:line="121"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ICON’s constitution provides that, unless otherwise determined by ICON at a general meeting, the number of directors shall not be more than fifteen (15) nor less than three (3). ICON’s board of directors comprises one</w:t>
      </w:r>
    </w:p>
    <w:p>
      <w:pPr>
        <w:jc w:val="both"/>
        <w:ind w:left="300" w:right="299" w:hanging="8"/>
        <w:spacing w:after="0" w:line="253" w:lineRule="auto"/>
        <w:tabs>
          <w:tab w:leader="none" w:pos="6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executive director and nine (9) outside or non-executive directors at the date of this joint proxy statement/prospectus. Following completion of the merger, Ciaran Murray, the current Chairman of the Board of Directors of ICON, will continue to serve as the Chairman of the Board of Directors, and each of the other current directors of ICON will continue serving as ICON directors immediately after the merger.</w:t>
      </w:r>
    </w:p>
    <w:p>
      <w:pPr>
        <w:spacing w:after="0" w:line="85"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by ICON’s Directors and Executive Officers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At the close of business on April 26, 2021, directors and executive officers of ICON beneficially owned and were entitled to vote approximately 638,389 ICON ordinary shares, collectively representing 1.21% of the ICON ordinary shares outstanding on April 26, 2021. Although none of them has entered into any agreement obligating them to do so, ICON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ICON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ICON adjournment proposal.</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more information regarding the security ownership of ICON directors and executive officers, see Item 6 in ICON’s Annual Report on Form 20-F filed with the SEC on February 24, 2021, which is incorporated into this joint proxy statement/prospectus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PRA’S DIRECTORS AND EXECUTIVE OFFICERS IN THE MERGER</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considering the recommendation of the PRA board with respect to the merger proposal and the non-binding compensation advisory proposal, PRA stockholders should be aware that the directors and executive officers of PRA have interests in the merger that may be different from, or in addition to, the interests of PRA stockholders generally. The members of the PRA board were aware of and considered these interests, among other matters, in evaluating and negotiating the merger agreement, in approving the merger agreement and in determining to recommend that PRA stockholders approve the merger proposal.</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PRA Equity Awards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Restricted Stock Awards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each outstanding restricted share of PRA common stock will vest at closing and be converted automatically into the right to receive the merger consideration for each such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Restricted Stock Unit Awards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2" w:lineRule="exact"/>
        <w:rPr>
          <w:sz w:val="20"/>
          <w:szCs w:val="20"/>
          <w:color w:val="auto"/>
        </w:rPr>
      </w:pPr>
    </w:p>
    <w:p>
      <w:pPr>
        <w:jc w:val="both"/>
        <w:ind w:left="300" w:right="299" w:hanging="8"/>
        <w:spacing w:after="0" w:line="252" w:lineRule="auto"/>
        <w:tabs>
          <w:tab w:leader="none" w:pos="56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 Consistent with the terms of the PRA restricted stock unit awards for PRA executive officers, such ICON restricted share unit awards will be subject to accelerated vesting upon a “qualifying termination” (as defined in the PRA 2020 Stock Incentive Plan including termination without “Cause” or resignation for enumerated reasons) within 18 months following the effective time of the merger.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Stock Option Awards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w:t>
      </w:r>
    </w:p>
    <w:p>
      <w:pPr>
        <w:spacing w:after="0" w:line="4" w:lineRule="exact"/>
        <w:rPr>
          <w:sz w:val="20"/>
          <w:szCs w:val="20"/>
          <w:color w:val="auto"/>
        </w:rPr>
      </w:pPr>
    </w:p>
    <w:p>
      <w:pPr>
        <w:jc w:val="both"/>
        <w:ind w:left="300" w:right="299" w:hanging="8"/>
        <w:spacing w:after="0" w:line="252" w:lineRule="auto"/>
        <w:tabs>
          <w:tab w:leader="none" w:pos="55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equity award conversion ratio (rounded up to the nearest whole cent), in each case, subject to the same terms and conditions as were applicable to such PRA stock option immediately prior to the effective time (including applicable vesting conditions). Consistent with the terms of the PRA stock option awards for PRA executive officers, these options to purchase ICON ordinary shares will be subject to accelerated vesting upon a “qualifying termination” (as defined in the PRA 2020 Stock Incentive Plan including termination without “Cause” or resignation for enumerated reasons) within 18 months following closing, and will remain exercisable for a period of one (1) year after termination.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Quantification of Payments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For an estimate of the amounts that would be payable to each of PRA’s named executive officers on settlement of their unvested PRA equity awards, see the section entitled “</w:t>
      </w:r>
      <w:r>
        <w:rPr>
          <w:rFonts w:ascii="Arial" w:cs="Arial" w:eastAsia="Arial" w:hAnsi="Arial"/>
          <w:sz w:val="17"/>
          <w:szCs w:val="17"/>
          <w:b w:val="1"/>
          <w:bCs w:val="1"/>
          <w:color w:val="auto"/>
        </w:rPr>
        <w:t>Merger-Related Compensation—Golden</w:t>
      </w:r>
      <w:r>
        <w:rPr>
          <w:rFonts w:ascii="Arial" w:cs="Arial" w:eastAsia="Arial" w:hAnsi="Arial"/>
          <w:sz w:val="17"/>
          <w:szCs w:val="17"/>
          <w:color w:val="auto"/>
        </w:rPr>
        <w:t xml:space="preserve"> </w:t>
      </w:r>
      <w:r>
        <w:rPr>
          <w:rFonts w:ascii="Arial" w:cs="Arial" w:eastAsia="Arial" w:hAnsi="Arial"/>
          <w:sz w:val="17"/>
          <w:szCs w:val="17"/>
          <w:b w:val="1"/>
          <w:bCs w:val="1"/>
          <w:color w:val="auto"/>
        </w:rPr>
        <w:t>Parachute Compensation</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below. The estimated aggregate amount that would be payable to PRA’s six (6) non-employee directors in settlement of their PRA restricted stock awards based on their 7,843 currently outstanding unvested awards is $1,142,647. The amount in this paragraph is determined assuming a per share price of PRA common stock of $145.69 (which represents the average closing price of a share of PRA common stock over the first five (5) business days following the first public announcement of the merger).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 Executive Employment Agreements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of PRA’s executive officers is party to an employment agreement with PRA that provides for enhanced severance benefits in the event that, within 12 months following a “change in control,” the executive officer is terminated without “cause” or resigns for “good reason” (each as defined in the employment agreements), which we refer to as a qualifying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employment agreements provide that, in the event of a qualifying termination, the executive officer will be entitled to:</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cash severance in an amount equal to two (2) times the sum of (a) the executive officer’s annual base salary and (b) the executive officer’s “bonus”, payable in a cash lump sum following the qualifying termination on the schedule set forth in the applicable employment agreement;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24 months of company-paid COBRA coverage.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Under the merger agreement, PRA may amend (and is expected to amend) each employment agreement with an executive officer to provide: (i) if ICON does not make an offer of continuing employment to each executive officer on or prior to the earlier of July 1, 2021 and the day that is ten (10) days prior to the closing date on the same terms and conditions as such executive officer’s employment with PRA (including but not limited to annual salary, cash bonus opportunities, long-term incentive opportunities, role/title at ICON and work location), then the executive officer shall have grounds to terminate his employment with PRA for “good reason” under his or her employment agreement and experience a “qualifying termination” for purposes of his outstanding PRA equity awards at closing and (ii) the “bonus” component of any cash severance payable to an executive officer pursuant to his employment agreement in respect of a termination of employment during the one-year period following the merger effective time shall be based on such executive officer’s 2021 target bonus.</w:t>
      </w:r>
    </w:p>
    <w:p>
      <w:pPr>
        <w:spacing w:after="0" w:line="6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severance payments under the employment agreements are conditioned upon the executive officer executing a general release of claims in favor of PRA. In addition, any payments or benefits payable to the executive officer will be reduced to the extent that such payments or benefits would result in the imposition of excise taxes under Section 4999 of the Code, unless the executive officer would be better off on an after-tax basis receiving all such payments or benefits. Each employment agreement also contains (i) a confidentiality covenant, (ii) non-competition and non-solicitation covenants that apply during the executive officer’s employment with PRA and for one year thereafter, and (iii) for Messrs. Shannon and Bonello, a non-disparagement covenant in favor of PRA, and for Mr. Gaenzle, a mutual non-disparagement covenant.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an estimate of the value of the payments and benefits described above that would be payable to PRA’s named executive officers upon a qualifying termination in connection with the merger, see the section entitled “</w:t>
      </w:r>
      <w:r>
        <w:rPr>
          <w:rFonts w:ascii="Arial" w:cs="Arial" w:eastAsia="Arial" w:hAnsi="Arial"/>
          <w:sz w:val="18"/>
          <w:szCs w:val="18"/>
          <w:b w:val="1"/>
          <w:bCs w:val="1"/>
          <w:color w:val="auto"/>
        </w:rPr>
        <w:t>Merger-Related Compensation—Golden Parachute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below.</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Section 280G Golden Parachute Excise Tax Gross-Ups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Neither the executives’ employment agreements, nor any other PRA plan, policy, agreement or arrangement provides any employee, officer or director with the right to a tax “gross-up” payment in connection with any “golden parachute” or other tax liability triggered in connection with the merger.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Long-Term Incentive Awards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the earlier of June 1, 2021 and the day immediately prior to the closing date, PRA may make grants of PRA restricted stock units (or with the written consent of ICON, grants part in stock options and part in restricted stock units) to its officers in amounts not to exceed certain individual and aggregate limits agreed by the parties under the merger agreement. These awards, which we refer to as the 2021 LTI awards, will have terms and conditions (including vesting and exercisability provisions) that are consistent with the terms and conditions of equity awards historically granted by PRA to its executive officers, including ratable vesting in three (3) annual installments and double trigger accelerated vesting upon a “qualifying termination” (as defined in the PRA 2020 Stock Incentive Plan including termination without “Cause” or resignation for enumerated reasons) within three (3) months prior to and 18 months following the merger effective time. However, the number of restricted stock units granted to a given employee (including the executive officers) will be determined by dividing the total value of the grant in U.S. dollars by $124.9285, which is the volume weighted average price per share of PRA common stock from January 26, 2021 to February 22, 2021. At the effective time of the merger, the restricted stock units granted pursuant to the 2021 LTI awards will convert into ICON restricted share unit awards subject to the same terms and conditions (including vesting) as applied to the PRA 2021 LTI awards. The maximum grant date value of the 2021 LTI awards that may be granted by PRA to each of the named executive officers is as follows: Mr. Shannon, $6,500,000; Mr. Bonello, $1,750,000; and Mr. Gaenzle, $1,750,000.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Compensation Increases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PRA may make base salary and corresponding target cash bonus increases for PRA employees in connection with annual merit increases and promotions in the ordinary course of business substantially consistent with past practice, including the following increased annual base salaries for PRA’s executive officers: Mr. Shannon, $1,150,000; Mr. Bonello, $525,000, and Mr. Gaenzle, $550,000. The target cash bonus opportunities (as a percentage of base salary) remained unchanged for each executive officer from the prior year.</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terms of the merger agreement, PRA’s directors and executive officers will be entitled to certain ongoing indemnification and insurance coverage for a period of six (6) years following the effective time of the merger under directors’ and officers’ liability insurance policies from the surviving corporation. This indemnification and insurance coverage is further described in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Indemnification; Directors’ and Officers’ Insurance</w:t>
      </w:r>
      <w:r>
        <w:rPr>
          <w:rFonts w:ascii="Arial" w:cs="Arial" w:eastAsia="Arial" w:hAnsi="Arial"/>
          <w:sz w:val="18"/>
          <w:szCs w:val="18"/>
          <w:color w:val="auto"/>
        </w:rPr>
        <w:t>” beginning on page [</w:t>
      </w:r>
      <w:hyperlink w:anchor="page155">
        <w:r>
          <w:rPr>
            <w:rFonts w:ascii="Arial" w:cs="Arial" w:eastAsia="Arial" w:hAnsi="Arial"/>
            <w:sz w:val="18"/>
            <w:szCs w:val="18"/>
            <w:u w:val="single" w:color="auto"/>
            <w:color w:val="0000EE"/>
          </w:rPr>
          <w:t>138</w:t>
        </w:r>
      </w:hyperlink>
      <w:r>
        <w:rPr>
          <w:rFonts w:ascii="Arial" w:cs="Arial" w:eastAsia="Arial" w:hAnsi="Arial"/>
          <w:sz w:val="18"/>
          <w:szCs w:val="18"/>
          <w:color w:val="auto"/>
        </w:rPr>
        <w:t>].</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Continued Directorship</w:t>
      </w:r>
    </w:p>
    <w:p>
      <w:pPr>
        <w:spacing w:after="0" w:line="121" w:lineRule="exact"/>
        <w:rPr>
          <w:sz w:val="20"/>
          <w:szCs w:val="20"/>
          <w:color w:val="auto"/>
        </w:rPr>
      </w:pPr>
    </w:p>
    <w:p>
      <w:pPr>
        <w:jc w:val="both"/>
        <w:ind w:left="300" w:right="299" w:firstLine="360"/>
        <w:spacing w:after="0" w:line="255" w:lineRule="auto"/>
        <w:rPr>
          <w:rFonts w:ascii="Arial" w:cs="Arial" w:eastAsia="Arial" w:hAnsi="Arial"/>
          <w:sz w:val="18"/>
          <w:szCs w:val="18"/>
          <w:color w:val="auto"/>
        </w:rPr>
      </w:pPr>
      <w:r>
        <w:rPr>
          <w:rFonts w:ascii="Arial" w:cs="Arial" w:eastAsia="Arial" w:hAnsi="Arial"/>
          <w:sz w:val="18"/>
          <w:szCs w:val="18"/>
          <w:color w:val="auto"/>
        </w:rPr>
        <w:t>Pursuant to the terms of the merger agreement, ICON has agreed to take all reasonably necessary action to cause, as of the closing, Mr. Shannon and one additional current member of PRA’s board of directors to be mutually agreed to be appointed to ICON’s board of directors until the next annual general meeting of ICON, and to nominate such two (2) new directors for re-election to the ICON board at such next general annual meeting of ICON, as further described in the section entitled “</w:t>
      </w:r>
      <w:r>
        <w:rPr>
          <w:rFonts w:ascii="Arial" w:cs="Arial" w:eastAsia="Arial" w:hAnsi="Arial"/>
          <w:sz w:val="18"/>
          <w:szCs w:val="18"/>
          <w:b w:val="1"/>
          <w:bCs w:val="1"/>
          <w:color w:val="auto"/>
        </w:rPr>
        <w:t>The Merger—Governance of ICON After the Merger</w:t>
      </w:r>
      <w:r>
        <w:rPr>
          <w:rFonts w:ascii="Arial" w:cs="Arial" w:eastAsia="Arial" w:hAnsi="Arial"/>
          <w:sz w:val="18"/>
          <w:szCs w:val="18"/>
          <w:color w:val="auto"/>
        </w:rPr>
        <w:t>” beginning on page [</w:t>
      </w:r>
      <w:hyperlink w:anchor="page136">
        <w:r>
          <w:rPr>
            <w:rFonts w:ascii="Arial" w:cs="Arial" w:eastAsia="Arial" w:hAnsi="Arial"/>
            <w:sz w:val="18"/>
            <w:szCs w:val="18"/>
            <w:u w:val="single" w:color="auto"/>
            <w:color w:val="0000EE"/>
          </w:rPr>
          <w:t>119</w:t>
        </w:r>
      </w:hyperlink>
      <w:r>
        <w:rPr>
          <w:rFonts w:ascii="Arial" w:cs="Arial" w:eastAsia="Arial" w:hAnsi="Arial"/>
          <w:sz w:val="18"/>
          <w:szCs w:val="18"/>
          <w:color w:val="auto"/>
        </w:rPr>
        <w:t>].</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Merger-Related Compensation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This section sets forth the information required by Item 402(t) of Regulation S-K regarding the compensation of each of PRA’s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and in this section we use such term to describe the merger-related compensation payable to the PRA named executive officers. The “golden parachute” compensation payable to these individuals is subject to a non-binding advisory vote of PRA stockholders.</w:t>
      </w:r>
    </w:p>
    <w:p>
      <w:pPr>
        <w:spacing w:after="0" w:line="58"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table below sets forth, for the purposes of this golden parachute disclosure, the amount of payments and benefits (on a pre-tax basis) that each of PRA’s named executive officers would receive based on the following:</w:t>
      </w:r>
    </w:p>
    <w:p>
      <w:pPr>
        <w:jc w:val="both"/>
        <w:ind w:left="300" w:right="299" w:hanging="8"/>
        <w:spacing w:after="0" w:line="285" w:lineRule="auto"/>
        <w:tabs>
          <w:tab w:leader="none" w:pos="532"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the effective time of the merger occurs on September 1, 2021, (ii) each named executive officer experiences a qualifying termination at such time, (iii) the named executive officer’s base salary rate and annual target bonus remain unchanged from that in effect or approved to take effect during 2021 as of the date of this filing, (iv) the PRA equity awards outstanding as of the date hereof (and taking into account any vesting that would occur between the date hereof and September 1, 2021), (v) the closing price of a share of PRA common stock on the completion of the merger is $145.69 (which represents the average closing market price of PRA common stock over the first five (5) business days following the first public announcement of the transaction) and (vi) each named executive officer has properly executed any required releases and complied with all requirements (including any applicable restrictive covenants) necessary in order to receive the payments and benefits. Some of the assumptions used in the table below are based upon information not currently available and, as a result, the actual amounts to be received by any of the individuals below may materially differ from the amounts set forth below. Additional detail regarding the named executive officers’ interests in the merger is provided above under the heading “</w:t>
      </w:r>
      <w:r>
        <w:rPr>
          <w:rFonts w:ascii="Arial" w:cs="Arial" w:eastAsia="Arial" w:hAnsi="Arial"/>
          <w:sz w:val="16"/>
          <w:szCs w:val="16"/>
          <w:b w:val="1"/>
          <w:bCs w:val="1"/>
          <w:color w:val="auto"/>
        </w:rPr>
        <w:t>—Interests of PRA’s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and Executive Officers in the Merger</w:t>
      </w:r>
      <w:r>
        <w:rPr>
          <w:rFonts w:ascii="Arial" w:cs="Arial" w:eastAsia="Arial" w:hAnsi="Arial"/>
          <w:sz w:val="16"/>
          <w:szCs w:val="16"/>
          <w:color w:val="auto"/>
        </w:rPr>
        <w:t>” beginning on page [</w:t>
      </w:r>
      <w:hyperlink w:anchor="page184">
        <w:r>
          <w:rPr>
            <w:rFonts w:ascii="Arial" w:cs="Arial" w:eastAsia="Arial" w:hAnsi="Arial"/>
            <w:sz w:val="16"/>
            <w:szCs w:val="16"/>
            <w:u w:val="single" w:color="auto"/>
            <w:color w:val="0000EE"/>
          </w:rPr>
          <w:t>167</w:t>
        </w:r>
      </w:hyperlink>
      <w:r>
        <w:rPr>
          <w:rFonts w:ascii="Arial" w:cs="Arial" w:eastAsia="Arial" w:hAnsi="Arial"/>
          <w:sz w:val="16"/>
          <w:szCs w:val="16"/>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42"/>
        </w:trPr>
        <w:tc>
          <w:tcPr>
            <w:tcW w:w="53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(1)</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(3)</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31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Shannon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4,600,000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8,265,701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29,620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12,895,320</w:t>
            </w: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Michael Bonello</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1,785,000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3,535,763</w:t>
            </w:r>
          </w:p>
        </w:tc>
        <w:tc>
          <w:tcPr>
            <w:tcW w:w="1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42,264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5,363,028</w:t>
            </w:r>
          </w:p>
        </w:tc>
      </w:tr>
      <w:tr>
        <w:trPr>
          <w:trHeight w:val="54"/>
        </w:trPr>
        <w:tc>
          <w:tcPr>
            <w:tcW w:w="5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Chris Gaenzle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1,870,000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2,792,846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4,702,974</w:t>
            </w:r>
          </w:p>
        </w:tc>
      </w:tr>
      <w:tr>
        <w:trPr>
          <w:trHeight w:val="54"/>
        </w:trPr>
        <w:tc>
          <w:tcPr>
            <w:tcW w:w="53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-633730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-633730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-633730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34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3" w:lineRule="auto"/>
        <w:tabs>
          <w:tab w:leader="none" w:pos="6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amount shown for each named executive officer consists of a lump sum cash severance payment equal to two (2) times the sum of the executive officer’s annual base salary and target bonus for the 2021 calendar year. Such severance payments are considered to be double-trigger payments, which means that both a change in control, such as the merger, and a qualifying termination of employment must occur prior to any payment being provided to the named executive officer.</w:t>
      </w:r>
    </w:p>
    <w:p>
      <w:pPr>
        <w:spacing w:after="0" w:line="18" w:lineRule="exact"/>
        <w:rPr>
          <w:rFonts w:ascii="Arial" w:cs="Arial" w:eastAsia="Arial" w:hAnsi="Arial"/>
          <w:sz w:val="14"/>
          <w:szCs w:val="14"/>
          <w:color w:val="auto"/>
        </w:rPr>
      </w:pPr>
    </w:p>
    <w:p>
      <w:pPr>
        <w:jc w:val="both"/>
        <w:ind w:left="640" w:right="299" w:hanging="348"/>
        <w:spacing w:after="0" w:line="250" w:lineRule="auto"/>
        <w:tabs>
          <w:tab w:leader="none" w:pos="640" w:val="left"/>
        </w:tabs>
        <w:numPr>
          <w:ilvl w:val="0"/>
          <w:numId w:val="187"/>
        </w:numPr>
        <w:rPr>
          <w:rFonts w:ascii="Arial" w:cs="Arial" w:eastAsia="Arial" w:hAnsi="Arial"/>
          <w:sz w:val="13"/>
          <w:szCs w:val="13"/>
          <w:b w:val="1"/>
          <w:bCs w:val="1"/>
          <w:color w:val="auto"/>
        </w:rPr>
      </w:pPr>
      <w:r>
        <w:rPr>
          <w:rFonts w:ascii="Arial" w:cs="Arial" w:eastAsia="Arial" w:hAnsi="Arial"/>
          <w:sz w:val="13"/>
          <w:szCs w:val="13"/>
          <w:color w:val="auto"/>
        </w:rPr>
        <w:t>As described above under the heading “</w:t>
      </w:r>
      <w:r>
        <w:rPr>
          <w:rFonts w:ascii="Arial" w:cs="Arial" w:eastAsia="Arial" w:hAnsi="Arial"/>
          <w:sz w:val="13"/>
          <w:szCs w:val="13"/>
          <w:b w:val="1"/>
          <w:bCs w:val="1"/>
          <w:color w:val="auto"/>
        </w:rPr>
        <w:t>Interests of PRA’s Directors and Executive Officers in the Merger—PRA Executive</w:t>
      </w:r>
      <w:r>
        <w:rPr>
          <w:rFonts w:ascii="Arial" w:cs="Arial" w:eastAsia="Arial" w:hAnsi="Arial"/>
          <w:sz w:val="13"/>
          <w:szCs w:val="13"/>
          <w:color w:val="auto"/>
        </w:rPr>
        <w:t xml:space="preserve"> </w:t>
      </w:r>
      <w:r>
        <w:rPr>
          <w:rFonts w:ascii="Arial" w:cs="Arial" w:eastAsia="Arial" w:hAnsi="Arial"/>
          <w:sz w:val="13"/>
          <w:szCs w:val="13"/>
          <w:b w:val="1"/>
          <w:bCs w:val="1"/>
          <w:color w:val="auto"/>
        </w:rPr>
        <w:t>Employment Agreements</w:t>
      </w:r>
      <w:r>
        <w:rPr>
          <w:rFonts w:ascii="Arial" w:cs="Arial" w:eastAsia="Arial" w:hAnsi="Arial"/>
          <w:sz w:val="13"/>
          <w:szCs w:val="13"/>
          <w:color w:val="auto"/>
        </w:rPr>
        <w:t>” beginning on page [</w:t>
      </w:r>
      <w:hyperlink w:anchor="page184">
        <w:r>
          <w:rPr>
            <w:rFonts w:ascii="Arial" w:cs="Arial" w:eastAsia="Arial" w:hAnsi="Arial"/>
            <w:sz w:val="13"/>
            <w:szCs w:val="13"/>
            <w:u w:val="single" w:color="auto"/>
            <w:color w:val="0000EE"/>
          </w:rPr>
          <w:t>167</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PRA stock options and restricted stock units held by the named executive officers are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double-trigger vesting and would accelerate and vest upon a qualifying termination under the applicable award agreements. In addition, as described above under the heading “</w:t>
      </w:r>
      <w:r>
        <w:rPr>
          <w:rFonts w:ascii="Arial" w:cs="Arial" w:eastAsia="Arial" w:hAnsi="Arial"/>
          <w:sz w:val="13"/>
          <w:szCs w:val="13"/>
          <w:b w:val="1"/>
          <w:bCs w:val="1"/>
          <w:color w:val="auto"/>
        </w:rPr>
        <w:t>Interests of PRA’s Directors and Executive Officers in the Merger—Treatment of</w:t>
      </w:r>
      <w:r>
        <w:rPr>
          <w:rFonts w:ascii="Arial" w:cs="Arial" w:eastAsia="Arial" w:hAnsi="Arial"/>
          <w:sz w:val="13"/>
          <w:szCs w:val="13"/>
          <w:color w:val="auto"/>
        </w:rPr>
        <w:t xml:space="preserve"> </w:t>
      </w:r>
      <w:r>
        <w:rPr>
          <w:rFonts w:ascii="Arial" w:cs="Arial" w:eastAsia="Arial" w:hAnsi="Arial"/>
          <w:sz w:val="13"/>
          <w:szCs w:val="13"/>
          <w:b w:val="1"/>
          <w:bCs w:val="1"/>
          <w:color w:val="auto"/>
        </w:rPr>
        <w:t>PRA Equity Awards</w:t>
      </w:r>
      <w:r>
        <w:rPr>
          <w:rFonts w:ascii="Arial" w:cs="Arial" w:eastAsia="Arial" w:hAnsi="Arial"/>
          <w:sz w:val="13"/>
          <w:szCs w:val="13"/>
          <w:color w:val="auto"/>
        </w:rPr>
        <w:t>” beginning on page [</w:t>
      </w:r>
      <w:hyperlink w:anchor="page184">
        <w:r>
          <w:rPr>
            <w:rFonts w:ascii="Arial" w:cs="Arial" w:eastAsia="Arial" w:hAnsi="Arial"/>
            <w:sz w:val="13"/>
            <w:szCs w:val="13"/>
            <w:u w:val="single" w:color="auto"/>
            <w:color w:val="0000EE"/>
          </w:rPr>
          <w:t>167</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shares of PRA restricted stock (including those held by the PRA named executive officers)</w:t>
      </w:r>
      <w:r>
        <w:rPr>
          <w:rFonts w:ascii="Arial" w:cs="Arial" w:eastAsia="Arial" w:hAnsi="Arial"/>
          <w:sz w:val="13"/>
          <w:szCs w:val="13"/>
          <w:b w:val="1"/>
          <w:bCs w:val="1"/>
          <w:color w:val="auto"/>
        </w:rPr>
        <w:t xml:space="preserve"> </w:t>
      </w:r>
      <w:r>
        <w:rPr>
          <w:rFonts w:ascii="Arial" w:cs="Arial" w:eastAsia="Arial" w:hAnsi="Arial"/>
          <w:sz w:val="13"/>
          <w:szCs w:val="13"/>
          <w:color w:val="auto"/>
        </w:rPr>
        <w:t>will single-trigger vest at the effective time of the merger and holders will receive the cash- and stock-based consideration.</w:t>
      </w:r>
    </w:p>
    <w:p>
      <w:pPr>
        <w:spacing w:after="0" w:line="120" w:lineRule="exact"/>
        <w:rPr>
          <w:rFonts w:ascii="Arial" w:cs="Arial" w:eastAsia="Arial" w:hAnsi="Arial"/>
          <w:sz w:val="13"/>
          <w:szCs w:val="13"/>
          <w:color w:val="auto"/>
        </w:rPr>
      </w:pPr>
    </w:p>
    <w:tbl>
      <w:tblPr>
        <w:tblLayout w:type="fixed"/>
        <w:tblInd w:w="6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PRA</w:t>
            </w:r>
          </w:p>
        </w:tc>
        <w:tc>
          <w:tcPr>
            <w:tcW w:w="2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520" w:type="dxa"/>
            <w:vAlign w:val="bottom"/>
            <w:gridSpan w:val="3"/>
          </w:tcPr>
          <w:p>
            <w:pPr>
              <w:jc w:val="center"/>
              <w:ind w:left="1268"/>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Unit</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Unit Awards*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24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58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Colin Shannon</w:t>
            </w:r>
          </w:p>
        </w:tc>
        <w:tc>
          <w:tcPr>
            <w:tcW w:w="2240" w:type="dxa"/>
            <w:vAlign w:val="bottom"/>
            <w:tcBorders>
              <w:bottom w:val="single" w:sz="8" w:color="CCEEFF"/>
            </w:tcBorders>
            <w:gridSpan w:val="2"/>
            <w:shd w:val="clear" w:color="auto" w:fill="CCEEFF"/>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3,055,848</w:t>
            </w:r>
          </w:p>
        </w:tc>
        <w:tc>
          <w:tcPr>
            <w:tcW w:w="8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3"/>
              </w:rPr>
              <w:t>5,209,853</w:t>
            </w:r>
          </w:p>
        </w:tc>
        <w:tc>
          <w:tcPr>
            <w:tcW w:w="88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8,265,701</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Arial" w:cs="Arial" w:eastAsia="Arial" w:hAnsi="Arial"/>
                <w:sz w:val="14"/>
                <w:szCs w:val="14"/>
                <w:color w:val="auto"/>
              </w:rPr>
              <w:t>Michael Bonello</w:t>
            </w:r>
          </w:p>
        </w:tc>
        <w:tc>
          <w:tcPr>
            <w:tcW w:w="2240" w:type="dxa"/>
            <w:vAlign w:val="bottom"/>
            <w:gridSpan w:val="2"/>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1,114,091</w:t>
            </w:r>
          </w:p>
        </w:tc>
        <w:tc>
          <w:tcPr>
            <w:tcW w:w="860" w:type="dxa"/>
            <w:vAlign w:val="bottom"/>
            <w:gridSpan w:val="2"/>
          </w:tcPr>
          <w:p>
            <w:pPr>
              <w:jc w:val="center"/>
              <w:ind w:left="168"/>
              <w:spacing w:after="0"/>
              <w:rPr>
                <w:sz w:val="20"/>
                <w:szCs w:val="20"/>
                <w:color w:val="auto"/>
              </w:rPr>
            </w:pPr>
            <w:r>
              <w:rPr>
                <w:rFonts w:ascii="Arial" w:cs="Arial" w:eastAsia="Arial" w:hAnsi="Arial"/>
                <w:sz w:val="14"/>
                <w:szCs w:val="14"/>
                <w:color w:val="auto"/>
                <w:w w:val="93"/>
              </w:rPr>
              <w:t>2,421,672</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3,535,763</w:t>
            </w:r>
          </w:p>
        </w:tc>
        <w:tc>
          <w:tcPr>
            <w:tcW w:w="0" w:type="dxa"/>
            <w:vAlign w:val="bottom"/>
          </w:tcPr>
          <w:p>
            <w:pPr>
              <w:spacing w:after="0"/>
              <w:rPr>
                <w:sz w:val="1"/>
                <w:szCs w:val="1"/>
                <w:color w:val="auto"/>
              </w:rPr>
            </w:pPr>
          </w:p>
        </w:tc>
      </w:tr>
      <w:tr>
        <w:trPr>
          <w:trHeight w:val="39"/>
        </w:trPr>
        <w:tc>
          <w:tcPr>
            <w:tcW w:w="2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Chris Gaenzle</w:t>
            </w:r>
          </w:p>
        </w:tc>
        <w:tc>
          <w:tcPr>
            <w:tcW w:w="2240" w:type="dxa"/>
            <w:vAlign w:val="bottom"/>
            <w:gridSpan w:val="2"/>
            <w:shd w:val="clear" w:color="auto" w:fill="CCEEFF"/>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822,711</w:t>
            </w:r>
          </w:p>
        </w:tc>
        <w:tc>
          <w:tcPr>
            <w:tcW w:w="86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3"/>
              </w:rPr>
              <w:t>1,970,134</w:t>
            </w:r>
          </w:p>
        </w:tc>
        <w:tc>
          <w:tcPr>
            <w:tcW w:w="8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2,792,846</w:t>
            </w:r>
          </w:p>
        </w:tc>
        <w:tc>
          <w:tcPr>
            <w:tcW w:w="0" w:type="dxa"/>
            <w:vAlign w:val="bottom"/>
          </w:tcPr>
          <w:p>
            <w:pPr>
              <w:spacing w:after="0"/>
              <w:rPr>
                <w:sz w:val="1"/>
                <w:szCs w:val="1"/>
                <w:color w:val="auto"/>
              </w:rPr>
            </w:pPr>
          </w:p>
        </w:tc>
      </w:tr>
      <w:tr>
        <w:trPr>
          <w:trHeight w:val="39"/>
        </w:trPr>
        <w:tc>
          <w:tcPr>
            <w:tcW w:w="258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4754245</wp:posOffset>
            </wp:positionH>
            <wp:positionV relativeFrom="paragraph">
              <wp:posOffset>-505460</wp:posOffset>
            </wp:positionV>
            <wp:extent cx="1714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-505460</wp:posOffset>
            </wp:positionV>
            <wp:extent cx="1714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-505460</wp:posOffset>
            </wp:positionV>
            <wp:extent cx="1714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-505460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rFonts w:ascii="Arial" w:cs="Arial" w:eastAsia="Arial" w:hAnsi="Arial"/>
          <w:sz w:val="13"/>
          <w:szCs w:val="13"/>
          <w:color w:val="auto"/>
        </w:rPr>
      </w:pPr>
    </w:p>
    <w:p>
      <w:pPr>
        <w:jc w:val="both"/>
        <w:ind w:left="640" w:right="319" w:hanging="348"/>
        <w:spacing w:after="0" w:line="238" w:lineRule="auto"/>
        <w:tabs>
          <w:tab w:leader="none" w:pos="64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Restricted stock unit amounts do not include any long-term incentive awards to be granted in respect of fiscal year 2021, as discussed further under the heading “</w:t>
      </w:r>
      <w:r>
        <w:rPr>
          <w:rFonts w:ascii="Arial" w:cs="Arial" w:eastAsia="Arial" w:hAnsi="Arial"/>
          <w:sz w:val="14"/>
          <w:szCs w:val="14"/>
          <w:b w:val="1"/>
          <w:bCs w:val="1"/>
          <w:color w:val="auto"/>
        </w:rPr>
        <w:t>Interests of PRA’s Directors and Executive Officers in the Merger—2021 Long-Term Incentive Awards</w:t>
      </w:r>
      <w:r>
        <w:rPr>
          <w:rFonts w:ascii="Arial" w:cs="Arial" w:eastAsia="Arial" w:hAnsi="Arial"/>
          <w:sz w:val="14"/>
          <w:szCs w:val="14"/>
          <w:color w:val="auto"/>
        </w:rPr>
        <w:t>” beginning on page [</w:t>
      </w:r>
      <w:hyperlink w:anchor="page185">
        <w:r>
          <w:rPr>
            <w:rFonts w:ascii="Arial" w:cs="Arial" w:eastAsia="Arial" w:hAnsi="Arial"/>
            <w:sz w:val="14"/>
            <w:szCs w:val="14"/>
            <w:u w:val="single" w:color="auto"/>
            <w:color w:val="0000EE"/>
          </w:rPr>
          <w:t>168</w:t>
        </w:r>
      </w:hyperlink>
      <w:r>
        <w:rPr>
          <w:rFonts w:ascii="Arial" w:cs="Arial" w:eastAsia="Arial" w:hAnsi="Arial"/>
          <w:sz w:val="14"/>
          <w:szCs w:val="14"/>
          <w:color w:val="auto"/>
        </w:rPr>
        <w:t>].</w:t>
      </w:r>
    </w:p>
    <w:p>
      <w:pPr>
        <w:spacing w:after="0" w:line="21"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amounts shown in this column include twenty-four (24) months of continued coverage for each eligible named executive officer and his dependents. Along with the cash payments noted in the first column and the equity award benefits in the second column, these COBRA benefits would be considered double-trigger benefits.</w:t>
      </w:r>
    </w:p>
    <w:p>
      <w:pPr>
        <w:spacing w:after="0" w:line="187"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following is a discussion of certain U.S. federal income tax considerations for beneficial owners of PRA common stock relating to the merger and the ownership and disposition of ICON ordinary shares acquired pursuant to the merger. This discussion applies only to PRA common stock, and ICON ordinary shares received as merger consideration, that is held as a capital asset for U.S. federal income tax purposes (generally, property held for investment), and does not describe all of the U.S. federal income tax consequences that may be relevant to beneficial owners of PRA common stock and ICON ordinary shares in light of their particular circumstances, including alternative minimum tax and Medicare contribution tax consequences, or to beneficial owners who are subject to special rules, such as:</w:t>
      </w:r>
    </w:p>
    <w:p>
      <w:pPr>
        <w:spacing w:after="0" w:line="84" w:lineRule="exact"/>
        <w:rPr>
          <w:sz w:val="20"/>
          <w:szCs w:val="20"/>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tax accounting with respect to their PRA common stock or ICON ordinary shares;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persons holding PRA common stock or ICON ordinary shares as part of a “straddle,” hedge, integrated transaction or similar transaction, or persons deemed to sell such common stock under constructive sale provisions of the Code;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or investors therein;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holders who are controlled foreign corporations or passive foreign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U.S. Holders (as defined below) that hold their PRA common stock or ICON ordinary shares through a non-U.S. broker or other non-U.S. intermediary;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persons required to recognized any item of gross income with respect to PRA common stock or ICON ordinary shares as a result of it being recognized on an applicable financial statement;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persons who are subject to the expatriation provisions of the Code;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persons who received their PRA common stock in a compensatory transaction;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persons who actually and/or constructively own more than 5% of the outstanding PRA common stock at any time during their holding period;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pension funds;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U.S. federal income tax treatment of partners in a partnership generally will depend on the status of the partners and the activities of the partnership.</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This discussion is based on the Code, administrative pronouncements, judicial decisions and final, temporary and proposed U.S. Treasury regulations, all as of the date hereof. Each of the foregoing is subject to change or differing interpretation, possibly with retroactive effect. This discussion does not take into account any proposed changes in such tax laws and does not address any aspect of state, local or non-U.S. taxation, or any U.S. federal taxes other than income taxes (such as estate or gift taxes). Beneficial owners of PRA common stock should consult their tax advisors with respect to the application of U.S. federal tax laws to their particular situation, as well as any tax consequences arising under the laws of any state, local or non-U.S. jurisdiction.</w:t>
      </w:r>
    </w:p>
    <w:p>
      <w:pPr>
        <w:spacing w:after="0" w:line="6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PRA common stock, and/or ICON ordinary shares received as merger consideration, that is, for U.S. federal income tax purposes:</w:t>
      </w:r>
    </w:p>
    <w:p>
      <w:pPr>
        <w:spacing w:after="0" w:line="62" w:lineRule="exact"/>
        <w:rPr>
          <w:sz w:val="20"/>
          <w:szCs w:val="20"/>
          <w:color w:val="auto"/>
        </w:rPr>
      </w:pPr>
    </w:p>
    <w:p>
      <w:pPr>
        <w:ind w:left="4360" w:right="3579" w:hanging="3708"/>
        <w:spacing w:after="0" w:line="527" w:lineRule="auto"/>
        <w:tabs>
          <w:tab w:leader="none" w:pos="99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 corporation organized under the laws of the United States, any state thereof or the District of Columbia;</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Section 7701(a)(30) of the Code (“U.S. Persons”) have the authority to control all substantial decisions of the trust, or (ii) the trust has a valid election in effect to be treated as a U.S. Person for U.S. federal income tax purposes.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“Non-U.S. Holder” is a beneficial owner of PRA common stock, and/or ICON ordinary shares received as merger consideration, that is, for U.S. federal income tax purposes, an individual, corporation, estate or trust that is not a U.S. Holder.</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HOLDERS OF PRA COMMON STOCK SHOULD CONSULT THEIR TAX ADVISORS WITH RESPECT TO THE APPLICATION OF THE U.S. FEDERAL INCOME TAX LAWS TO THEIR PARTICULAR SITUATIONS AS WELL AS ANY TAX CONSEQUENCES OF THE MERGER AND OWNERSHIP AND DISPOSITION OF ICON ORDINARY SHARES ARISING UNDER U.S. FEDERAL TAX LAWS (INCLUDING ESTATE AND GIFT TAX LAWS), UNDER THE LAWS OF ANY STATE, LOCAL OR NON-U.S. TAXING JURISDICTION OR UNDER ANY APPLICABLE TAX TREATY.</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U.S. Federal Income Tax Considerations Related to the Merger</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Characterization of the Merger</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merger generally is intended to be treated for U.S. federal income tax purposes: (1) to the extent the merger consideration consists of ICON ordinary shares and cash in lieu of fractional shares (such shares and such cash, the “Equity Consideration”), as a taxable purchase by ICON of a portion of each share of outstanding PRA common stock (the “ICON Purchase”), (2) to the extent of the cash consideration deemed to have been received from US HoldCo (the “US HoldCo Cash Consideration”), as an acquisition by US HoldCo of a portion of each share of outstanding PRA common stock (the “US HoldCo Acquisition”); and (3) to the extent of any cash consideration deemed to have been funded by indebtedness incurred by the surviving corporation (the “Redemption Cash Consideration”), as a taxable redemption by PRA of the remaining portion of each share of outstanding PRA common stock (the “Deemed PRA Redemption”).</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ICON believes that the intended tax treatment discussed above (i.e., a partial purchase of the PRA common stock by ICON (for ICON ordinary shares) and a partial purchase of PRA common stock by US HoldCo (for cash)) should be respected, this position is not entirely free from doubt and the IRS could assert that all of the outstanding common stock of PRA (other than the portion deemed to have been redeemed by PRA) was acquired solely by US HoldCo or, alternatively, solely by ICON. If the IRS were to successfully recharacterize the merger as an acquisition solely by US HoldCo, all of the merger consideration (i.e., the ICON ordinary shares and the cash, as opposed to only the cash) would be subject to possible deemed dividend treatment under Section 304 (as described below under “</w:t>
      </w:r>
      <w:r>
        <w:rPr>
          <w:rFonts w:ascii="Arial" w:cs="Arial" w:eastAsia="Arial" w:hAnsi="Arial"/>
          <w:sz w:val="16"/>
          <w:szCs w:val="16"/>
          <w:b w:val="1"/>
          <w:bCs w:val="1"/>
          <w:color w:val="auto"/>
        </w:rPr>
        <w:t>—The US HoldCo Acquisition</w:t>
      </w:r>
      <w:r>
        <w:rPr>
          <w:rFonts w:ascii="Arial" w:cs="Arial" w:eastAsia="Arial" w:hAnsi="Arial"/>
          <w:sz w:val="16"/>
          <w:szCs w:val="16"/>
          <w:color w:val="auto"/>
        </w:rPr>
        <w:t>”). If the IRS were to successfully recharacterize the merger as an acquisition solely by ICON, a “U.S. Holder” (as defined under “</w:t>
      </w:r>
      <w:r>
        <w:rPr>
          <w:rFonts w:ascii="Arial" w:cs="Arial" w:eastAsia="Arial" w:hAnsi="Arial"/>
          <w:sz w:val="16"/>
          <w:szCs w:val="16"/>
          <w:b w:val="1"/>
          <w:bCs w:val="1"/>
          <w:color w:val="auto"/>
        </w:rPr>
        <w:t>Certain United States Federal Income Tax</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Considerations</w:t>
      </w:r>
      <w:r>
        <w:rPr>
          <w:rFonts w:ascii="Arial" w:cs="Arial" w:eastAsia="Arial" w:hAnsi="Arial"/>
          <w:sz w:val="16"/>
          <w:szCs w:val="16"/>
          <w:color w:val="auto"/>
        </w:rPr>
        <w:t>”) would be treated as having transferred a portion of each share of its PRA common stock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to ICON (a non-U.S. corporation) as opposed to US HoldCo (a U.S. corporation), which recharacterized transfer could, under Section 367(a) of the Code, cause U.S. Holders to recognize gain on such transfer as a taxable sale of such stock in addition to being subject to dividend treatment under Section 304 with respect to the same transfer, resulting in a greater total tax on the merger than if the intended tax treatment were respected.</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remainder of this discussion assumes that the tax characterization of the merger for U.S. federal income tax purposes (as a partial acquisition by ICON, a partial acquisition by US HoldCo and a partial redemption by PRA) will be respected.</w:t>
      </w:r>
    </w:p>
    <w:p>
      <w:pPr>
        <w:spacing w:after="0" w:line="76" w:lineRule="exact"/>
        <w:rPr>
          <w:sz w:val="20"/>
          <w:szCs w:val="20"/>
          <w:color w:val="auto"/>
        </w:rPr>
      </w:pPr>
    </w:p>
    <w:p>
      <w:pPr>
        <w:ind w:left="1000" w:hanging="348"/>
        <w:spacing w:after="0"/>
        <w:tabs>
          <w:tab w:leader="none" w:pos="1000" w:val="left"/>
        </w:tabs>
        <w:numPr>
          <w:ilvl w:val="0"/>
          <w:numId w:val="193"/>
        </w:numPr>
        <w:rPr>
          <w:rFonts w:ascii="Arial" w:cs="Arial" w:eastAsia="Arial" w:hAnsi="Arial"/>
          <w:sz w:val="18"/>
          <w:szCs w:val="18"/>
          <w:i w:val="1"/>
          <w:iCs w:val="1"/>
          <w:color w:val="auto"/>
        </w:rPr>
      </w:pPr>
      <w:r>
        <w:rPr>
          <w:rFonts w:ascii="Arial" w:cs="Arial" w:eastAsia="Arial" w:hAnsi="Arial"/>
          <w:sz w:val="18"/>
          <w:szCs w:val="18"/>
          <w:i w:val="1"/>
          <w:iCs w:val="1"/>
          <w:color w:val="auto"/>
        </w:rPr>
        <w:t>The ICON Purchase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With respect to the Equity Consideration, each PRA stockholder should be treated as having sold a portion of each share of PRA common stock held by such PRA stockholder in a taxable sale in which any gain or loss will be recognized.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4"/>
        </w:numPr>
        <w:rPr>
          <w:rFonts w:ascii="Arial" w:cs="Arial" w:eastAsia="Arial" w:hAnsi="Arial"/>
          <w:sz w:val="18"/>
          <w:szCs w:val="18"/>
          <w:i w:val="1"/>
          <w:iCs w:val="1"/>
          <w:color w:val="auto"/>
        </w:rPr>
      </w:pPr>
      <w:r>
        <w:rPr>
          <w:rFonts w:ascii="Arial" w:cs="Arial" w:eastAsia="Arial" w:hAnsi="Arial"/>
          <w:sz w:val="18"/>
          <w:szCs w:val="18"/>
          <w:i w:val="1"/>
          <w:iCs w:val="1"/>
          <w:color w:val="auto"/>
        </w:rPr>
        <w:t>The US HoldCo Acquisition</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U.S. federal income tax treatment of the US HoldCo Acquisition depends on whether Section 304 of the Code (“Section 304”) applies to the merger. Section 304 will apply to the merger if PRA stockholders are deemed, immediately after the merger to own collectively 50% or more (by vote or value) of the outstanding stock of ICON (taking into account the Equity Consideration issued in the merger).</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Section 304 applies to the merger, certain PRA stockholders that own ICON ordinary shares at the time of the merger (taking into account certain constructive ownership rules under Section 304 and Section 318 of the Code) may be required to treat the US HoldCo Cash Consideration, in its entirety, as a deemed distribution with respect to US HoldCo common stock rather than as the proceeds of a sale or exchange of PRA common stock, regardless of the amount of such PRA stockholder’s gain recognized in the merger. Even if Section 304 were to apply, such dividend treatment generally should apply to any particular PRA stockholder only if the percentage of PRA’s outstanding common stock constructively owned by such stockholder immediately after the merger (through such stockholder’s actual and constructive ownership of ICON ordinary shares immediately after the merger) does not represent a meaningful reduction relative to such stockholder’s actual and constructive equity ownership percentage in PRA’s outstanding common stock immediately prior to the merger. In this regard, as discussed in more detail below, a PRA stockholder generally will be treated as having experienced a meaningful reduction in its percentage ownership of PRA common stock if its percentage ownership (actual and constructive) of PRA common stock decreases by an amount that satisfies either the “substantially disproportionate” test or “not essentially equivalent to a dividend” test under Section 302 of the Code (as modified by Section 304) and the Treasury regulations thereunder.</w:t>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However, because it is generally impracticable to ascertain the identity of all of the stockholders of a publicly-traded corporation (or the extent to which any identified stockholder constructively owns additional shares under the Code), it will be impracticable to determine whether Section 304 will actually apply to the merger or whether, if Section 304 were to apply, any particular PRA stockholder would qualify for sale (as opposed to dividend) treatment with respect to the cash consideration. Accordingly, ICON intends to assume (both for purposes of withholding (with respect to non-U.S. PRA stockholders) and information reporting to the IRS (with respect to all PRA stockholders)), and other applicable withholding agents are likely to assume (for such purposes) that (1) Section 304 will apply to the merger and (2) dividend treatment (as opposed to sale treatment) will apply with respect to the US HoldCo Cash Consideration received by each PRA stockholder.</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deemed distribution treatment applies, a deemed distribution would be treated as a dividend to the extent of the current and accumulated earnings and profits of US HoldCo and PRA. PRA stockholders and ICON will not be able to determine the extent to which any such dividend will be made out of current and accumulated earnings and profits. Accordingly, PRA stockholders should assume for this purpose that there will be sufficient earnings and profits to treat any deemed distribution in its entirety as a dividend.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should consult their tax advisors about Section 304, including the possibility of avoiding any adverse tax consequences under Section 304 by selling their PRA common stock in advance of the merger and, if a PRA stockholder decides not to sell its PRA common stock in advance of the merger,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purposes of determining whether sale (as opposed to dividend) treatment is appropriate with respect to a particular PRA stockholder, the receipt of the US HoldCo Cash Consideration generally will satisfy the “substantially disproportionate” test if the percentage of the outstanding PRA common stock that is actually and constructively owned by such PRA stockholder immediately after the merger (including indirectly as a result of owning stock in ICON and taking into account any ICON ordinary shares actually and constructively owned by such holder prior to the merger, or otherwise acquired in connection with the transaction) is less than 80% of the percentage of the outstanding PRA common stock that such PRA stockholder is deemed actually and constructively to have owned immediately before the merger. Whether the US HoldCo Cash Consideration qualifies for sale treatment under the “not essentially equivalent to a dividend” test will depend on such holder’s particular circumstances. Generally, if there is a “meaningful reduction” in the PRA stockholder’s actual and constructive percentage stock ownership of PRA, the “not essentially equivalent to a dividend” test should be deemed satisfied. The IRS has indicated in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revenue ruling that a minority stockholder in a publicly traded corporation will experience a “meaningful reduction” if the minority stockholder (i) has a minimal percentage stock interest, (ii) exercises no control over corporate affairs and (iii) experiences any reduction in its percentage stock interest.</w:t>
      </w:r>
    </w:p>
    <w:p>
      <w:pPr>
        <w:spacing w:after="0" w:line="76" w:lineRule="exact"/>
        <w:rPr>
          <w:sz w:val="20"/>
          <w:szCs w:val="20"/>
          <w:color w:val="auto"/>
        </w:rPr>
      </w:pPr>
    </w:p>
    <w:p>
      <w:pPr>
        <w:ind w:left="1000" w:hanging="348"/>
        <w:spacing w:after="0"/>
        <w:tabs>
          <w:tab w:leader="none" w:pos="1000" w:val="left"/>
        </w:tabs>
        <w:numPr>
          <w:ilvl w:val="0"/>
          <w:numId w:val="195"/>
        </w:numPr>
        <w:rPr>
          <w:rFonts w:ascii="Arial" w:cs="Arial" w:eastAsia="Arial" w:hAnsi="Arial"/>
          <w:sz w:val="18"/>
          <w:szCs w:val="18"/>
          <w:i w:val="1"/>
          <w:iCs w:val="1"/>
          <w:color w:val="auto"/>
        </w:rPr>
      </w:pPr>
      <w:r>
        <w:rPr>
          <w:rFonts w:ascii="Arial" w:cs="Arial" w:eastAsia="Arial" w:hAnsi="Arial"/>
          <w:sz w:val="18"/>
          <w:szCs w:val="18"/>
          <w:i w:val="1"/>
          <w:iCs w:val="1"/>
          <w:color w:val="auto"/>
        </w:rPr>
        <w:t>The Deemed PRA Redemption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Deemed PRA Redemption should be treated as a redemption by PRA of a portion of each share of PRA common stock. As a technical matter each PRA stockholder should be entitled to treat such redemption as a sale of the portion of each share being redeemed (as opposed to a dividend) because, under the attribution rules of Section 318 of the Code, no PRA stockholder should be treated as continuing to own any PRA common stock after the merger.</w:t>
      </w:r>
    </w:p>
    <w:p>
      <w:pPr>
        <w:spacing w:after="0" w:line="8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However, ICON is not yet able to allocate the cash consideration between the Redemption Cash Consideration and the US HoldCo Cash Consideration, and may not be able to do so prior to closing. Accordingly, ICON intends to treat (both for purposes of withholding (with respect to non-U.S. PRA stockholders) and information reporting to the IRS (with respect to all PRA stockholders)), and other applicable withholding agents are likely to treat (for such purposes), all of the cash consideration (other cash in lieu of fractional ICON ordinary shares), including the Redemption Cash Consideration, as subject to dividend treatment.</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Following completion of the merger, ICON will disclose on its website (or otherwise make publicly available) ICON’s estimate of the portions of each share of PRA common stock that should be deemed to have been acquired pursuant to the ICON Purchase, the US HoldCo Acquisition and the Deemed PRA Redemption, respectively, and the merger consideration attributable to each such component.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stockholders should consult their tax advisors about the foregoing issues, including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the Merger to U.S. Holders of PRA Common Stock</w:t>
      </w:r>
    </w:p>
    <w:p>
      <w:pPr>
        <w:spacing w:after="0" w:line="121" w:lineRule="exact"/>
        <w:rPr>
          <w:sz w:val="20"/>
          <w:szCs w:val="20"/>
          <w:color w:val="auto"/>
        </w:rPr>
      </w:pPr>
    </w:p>
    <w:p>
      <w:pPr>
        <w:ind w:left="1000" w:hanging="348"/>
        <w:spacing w:after="0"/>
        <w:tabs>
          <w:tab w:leader="none" w:pos="1000"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that Qualifies for Sale Treatment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With respect to each portion of the merger consideration that qualifies for sale treatment (as described in the preceding section), a U.S. Holder generally will recognize taxable gain or loss equal to the difference, if any, between (i) the amount realized with respect to each portion of a share of PRA common stock deemed exchanged therefor and (ii) the U.S. Holder’s adjusted tax basis in such portion (in each case, determined separately for each portion of a share deemed sold).</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Any gain or loss described in the preceding paragraph generally will be capital gain or loss, and will be long-term capital gain or loss if the U.S. Holder’s holding period in its PRA common stock is more than one year on the closing date of the merger. Long-term capital gains of non-corporate U.S. Holders (including individuals) generally are eligible for preferential U.S. federal income tax rates. The deductibility of capital losses is subject to limitations.</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U.S. Holder’s initial tax basis in the ICON ordinary shares it receives in the merger will equal the fair market value of such shares on the date of the merger. A U.S. Holder’s holding period in the ICON ordinary shares it receives in the merger will begin on the day following the merger.</w:t>
      </w:r>
    </w:p>
    <w:p>
      <w:pPr>
        <w:spacing w:after="0" w:line="76" w:lineRule="exact"/>
        <w:rPr>
          <w:sz w:val="20"/>
          <w:szCs w:val="20"/>
          <w:color w:val="auto"/>
        </w:rPr>
      </w:pPr>
    </w:p>
    <w:p>
      <w:pPr>
        <w:ind w:left="1000" w:hanging="348"/>
        <w:spacing w:after="0"/>
        <w:tabs>
          <w:tab w:leader="none" w:pos="1000" w:val="left"/>
        </w:tabs>
        <w:numPr>
          <w:ilvl w:val="0"/>
          <w:numId w:val="197"/>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Subkect to Dividend Treatment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Except as noted below in this section, any portion of the merger consideration subject to dividend treatment (as described above in the preceding section) will be taxable as ordinary income. Although it is unclear what happens to a PRA stockholder’s adjusted tax basis in any portion of a share of PRA common stock the disposition of which is subject to dividend treatment, it is possible that such adjusted tax basis is added to such PRA stockholder’s basis in its ICON ordinary shares received in the merger.</w:t>
      </w:r>
    </w:p>
    <w:p>
      <w:pPr>
        <w:spacing w:after="0" w:line="8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portion of the merger consideration treated as a dividend that is received by a corporate U.S. Holder will generally qualify for a 50% dividends received deduction (if certain holding period and other requirements are met), but will also constitute an “extraordinary dividend” within the meaning of Section 1059 of the Code. U.S. Holders of PRA common stock should consult their tax advisors as to the consequences (including basis reduction or immediate gain recognition) of receiving such an “extraordinary dividend” in light of their particular circumstances.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Non-corporate U.S. Holders (including individuals) generally should be eligible for a reduced rate of taxation on any portion of the merger consideration that is treated as a dividend for U.S. federal income taxes (if certain holding period and other requirements are met), but may also be subject to special rules applicable to “extraordinary dividends” under Section 1(h)(11)(D)(ii) of the Code.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to Non-U.S. Holders of PRA Common Stock</w:t>
      </w:r>
    </w:p>
    <w:p>
      <w:pPr>
        <w:spacing w:after="0" w:line="121" w:lineRule="exact"/>
        <w:rPr>
          <w:sz w:val="20"/>
          <w:szCs w:val="20"/>
          <w:color w:val="auto"/>
        </w:rPr>
      </w:pPr>
    </w:p>
    <w:p>
      <w:pPr>
        <w:ind w:left="1000" w:hanging="348"/>
        <w:spacing w:after="0"/>
        <w:tabs>
          <w:tab w:leader="none" w:pos="1000"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that Qualifies for Sale Treatment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With respect to any portion of the merger consideration that qualifies for sale treatment (as described above in the preceding section), any gain recognized by a Non-U.S. Holder will not be subject to U.S. federal income or withholding tax unless:</w:t>
      </w:r>
    </w:p>
    <w:p>
      <w:pPr>
        <w:spacing w:after="0" w:line="76" w:lineRule="exact"/>
        <w:rPr>
          <w:sz w:val="20"/>
          <w:szCs w:val="20"/>
          <w:color w:val="auto"/>
        </w:rPr>
      </w:pPr>
    </w:p>
    <w:p>
      <w:pPr>
        <w:ind w:left="1000" w:right="319" w:hanging="348"/>
        <w:spacing w:after="0" w:line="277" w:lineRule="auto"/>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in the United States;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such Non-U.S. Holder is a nonresident alien individual who is present in the United States for 183 days or more during the taxable year in which the merger occurs, and certain other requirements are met; or</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PRA has been a United States real property holding corporation (“USRPHC”) at any time during the lesser of the 5-year period ending on the date of the merger or the applicable Non-U.S. Holder’s holding period in the applicable portion of such share (the “Applicable FIRPTA Period”).</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an applicable treaty provides otherwise, any gain described in the first bullet point above generally will be subject to U.S. federal income tax in the same manner as if such Non-U.S. Holder were a U.S. Holder, as described above under “</w:t>
      </w:r>
      <w:r>
        <w:rPr>
          <w:rFonts w:ascii="Arial" w:cs="Arial" w:eastAsia="Arial" w:hAnsi="Arial"/>
          <w:sz w:val="18"/>
          <w:szCs w:val="18"/>
          <w:b w:val="1"/>
          <w:bCs w:val="1"/>
          <w:color w:val="auto"/>
        </w:rPr>
        <w:t>—Consequences to U.S. Holders of PRA Common Stock—Merger Consideration that</w:t>
      </w:r>
      <w:r>
        <w:rPr>
          <w:rFonts w:ascii="Arial" w:cs="Arial" w:eastAsia="Arial" w:hAnsi="Arial"/>
          <w:sz w:val="18"/>
          <w:szCs w:val="18"/>
          <w:color w:val="auto"/>
        </w:rPr>
        <w:t xml:space="preserve"> </w:t>
      </w:r>
      <w:r>
        <w:rPr>
          <w:rFonts w:ascii="Arial" w:cs="Arial" w:eastAsia="Arial" w:hAnsi="Arial"/>
          <w:sz w:val="18"/>
          <w:szCs w:val="18"/>
          <w:b w:val="1"/>
          <w:bCs w:val="1"/>
          <w:color w:val="auto"/>
        </w:rPr>
        <w:t>Qualifies for Sale Treatment</w:t>
      </w:r>
      <w:r>
        <w:rPr>
          <w:rFonts w:ascii="Arial" w:cs="Arial" w:eastAsia="Arial" w:hAnsi="Arial"/>
          <w:sz w:val="18"/>
          <w:szCs w:val="18"/>
          <w:color w:val="auto"/>
        </w:rPr>
        <w:t>.” A Non-U.S. Holder that is a corporation also may be subject to a branch profits tax</w:t>
      </w:r>
      <w:r>
        <w:rPr>
          <w:rFonts w:ascii="Arial" w:cs="Arial" w:eastAsia="Arial" w:hAnsi="Arial"/>
          <w:sz w:val="18"/>
          <w:szCs w:val="18"/>
          <w:b w:val="1"/>
          <w:bCs w:val="1"/>
          <w:color w:val="auto"/>
        </w:rPr>
        <w:t xml:space="preserve"> </w:t>
      </w:r>
      <w:r>
        <w:rPr>
          <w:rFonts w:ascii="Arial" w:cs="Arial" w:eastAsia="Arial" w:hAnsi="Arial"/>
          <w:sz w:val="18"/>
          <w:szCs w:val="18"/>
          <w:color w:val="auto"/>
        </w:rPr>
        <w:t>at a rate of 30% (or lower applicable treaty rate) on its effectively connected earnings and profits for the taxable year, as adjusted for certain items. Non-U.S. Holders should consult their tax advisors regarding any applicable tax treaties that may provide for different rules.</w:t>
      </w:r>
    </w:p>
    <w:p>
      <w:pPr>
        <w:spacing w:after="0" w:line="8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gain described in the second bullet point above generally will be subject to U.S. federal income tax at a rate of 30% (or lower applicable treaty rate), but may be offset by certain U.S. source capital losses of the Non-U.S. Holder, if any, provided that the holder has timely filed U.S. federal income tax returns with respect to such losses.</w:t>
      </w:r>
    </w:p>
    <w:p>
      <w:pPr>
        <w:spacing w:after="0" w:line="4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While not free from doubt, PRA believes that it has not been and will not be a USRPHC at any time during the Applicable FIRPTA Period. Moreover, even if PRA were a USPRHC at some time during the Applicable FIRPTA Period, because the PRA common stock is traded on an established securities market, any gain would be taxable only in the case of a Non-U.S. Holder that actually or constructively owned more than 5% of the outstanding PRA common stock at some time during the Applicable FIRPTA Period.</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Non-U.S. Holder’s initial tax basis in the ICON ordinary shares received in the merger will equal the fair market value of such shares on the date of the merger. A Non-U.S. Holder’s holding period in the ICON ordinary shares received in the merger will begin on the day after the merger.</w:t>
      </w:r>
    </w:p>
    <w:p>
      <w:pPr>
        <w:spacing w:after="0" w:line="76" w:lineRule="exact"/>
        <w:rPr>
          <w:sz w:val="20"/>
          <w:szCs w:val="20"/>
          <w:color w:val="auto"/>
        </w:rPr>
      </w:pPr>
    </w:p>
    <w:p>
      <w:pPr>
        <w:ind w:left="1000" w:hanging="348"/>
        <w:spacing w:after="0"/>
        <w:tabs>
          <w:tab w:leader="none" w:pos="1000"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Subject to Dividend Treatment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With respect to any portion of the merger consideration that is subject to dividend treatment (as described above in the preceding section), unless such merger consideration is considered to be effectively connected with the conduct of a trade or business in the United States, U.S. federal withholding tax will apply at a rate of 30% (or a lower applicable treaty rate).</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Unless an applicable tax treaty provides otherwise, any dividend considered to be effectively connected with a Non-U.S. Holder’s conduct of a trade or business in the United States generally will be subject to U.S. federal income tax in the same manner as if such Non-U.S. Holder were a U.S. Holder, as described above under “</w:t>
      </w:r>
      <w:r>
        <w:rPr>
          <w:rFonts w:ascii="Arial" w:cs="Arial" w:eastAsia="Arial" w:hAnsi="Arial"/>
          <w:sz w:val="16"/>
          <w:szCs w:val="16"/>
          <w:b w:val="1"/>
          <w:bCs w:val="1"/>
          <w:color w:val="auto"/>
        </w:rPr>
        <w:t>—</w:t>
      </w:r>
    </w:p>
    <w:p>
      <w:pPr>
        <w:spacing w:after="0" w:line="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color w:val="auto"/>
        </w:rPr>
        <w:t>Consequences to U.S. Holders of PRA Common Stock—Merger Consideration Eligible for Sale or Exchange Treatment</w:t>
      </w:r>
      <w:r>
        <w:rPr>
          <w:rFonts w:ascii="Arial" w:cs="Arial" w:eastAsia="Arial" w:hAnsi="Arial"/>
          <w:sz w:val="18"/>
          <w:szCs w:val="18"/>
          <w:color w:val="auto"/>
        </w:rPr>
        <w:t>.” A Non-U.S. Holder that is a corporation also may be subject to a branch profits tax at a rate of 30% (or</w:t>
      </w:r>
      <w:r>
        <w:rPr>
          <w:rFonts w:ascii="Arial" w:cs="Arial" w:eastAsia="Arial" w:hAnsi="Arial"/>
          <w:sz w:val="18"/>
          <w:szCs w:val="18"/>
          <w:b w:val="1"/>
          <w:bCs w:val="1"/>
          <w:color w:val="auto"/>
        </w:rPr>
        <w:t xml:space="preserve"> </w:t>
      </w:r>
      <w:r>
        <w:rPr>
          <w:rFonts w:ascii="Arial" w:cs="Arial" w:eastAsia="Arial" w:hAnsi="Arial"/>
          <w:sz w:val="18"/>
          <w:szCs w:val="18"/>
          <w:color w:val="auto"/>
        </w:rPr>
        <w:t>lower applicable treaty rate) on its effectively connected earnings and profits for the taxable year, as adjusted for certain items.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Sections 1471 to 1474 of the Code and the Treasury regulations thereunder (commonly referred to and referred to herein as “FATCA”) potentially impose a withholding tax of 30% on any payments treated as U.S. source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dividends payable to (a) a foreign financial institution (as a beneficial owner or as an intermediary), unless such institution (i) enters into an agreement with the U.S. government (or is required by applicable local law under an intergovernmental agreement with the U.S. government) to collect and provide to the U.S. or other relevant tax authorities certain information regarding U.S. account holders of such institution and, in some cases, to withhold tax in respect of such payments or (ii) is otherwise exempt from FATCA or (b) a foreign entity (as a beneficial owner or as an intermediary) that is not a financial institution unless such entity (i) provides the withholding agent with a certification that it does not have any substantial U.S. owners or that identifies its substantial U.S. owners or (ii) is otherwise exempt from FATCA. Non-U.S. Holders, and any U.S. Holders that own PRA common stock through a non-U.S. intermediary, should consult their tax advisors regarding the potential applicability of FATCA to them as a result of the merger.</w:t>
      </w:r>
    </w:p>
    <w:p>
      <w:pPr>
        <w:spacing w:after="0" w:line="194"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b w:val="1"/>
          <w:bCs w:val="1"/>
          <w:i w:val="1"/>
          <w:iCs w:val="1"/>
          <w:color w:val="auto"/>
        </w:rPr>
        <w:t>Certain U.S. Federal Income Tax Considerations Related to the Ownership and Disposition of ICON Ordinary Shares Received in the Merger</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Application of Section 7874 to ICON</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 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7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While ICON believes that Section 7874 should not apply to ICON as a result of the merger, due to the factual and legal complexity of Section 7874 and the limited authority interpreting it, there can be no assurance that ICON’s view, if challenged, would be sustained. Moreover, it is possible that a future change in law could expand the scope of Section 7874 on a retroactive basis. The application of Section 7874 to ICON could have a materially adverse impact on the value of (and the U.S. federal income tax consequences of owning) ICON ordinary shares.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Under Section 7874, ICON would be treated, as a result of the merger, as having become a U.S. corporation for U.S. federal income tax purposes only if (1) the PRA stockholders actually or constructively own 80% or more (by vote or value) of the common stock of ICON immediately after the merger by reason of owning PRA common stock prior to the merger (the “80% Ownership Test”) and (2) ICON’s “expanded affiliated group” does not have “substantial business activities” in Ireland.</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the 80% Ownership Test were met and ICON became a U.S. corporation for U.S. federal income tax purposes, ICON would be subject to substantial additional U.S. federal income tax liability. Additionally, in such case, non-U.S. shareholders of ICON would be subject to U.S. federal withholding tax at a rate of 30% (or a lower applicable treaty rate) on any dividends paid by ICON to such shareholders. Regardless of whether Section 7874 applies, ICON would continue to be treated as an Irish tax resident for Irish income tax purposes. Consequently, if ICON were to be treated as a U.S. corporation for U.S. federal income tax purposes under Section 7874, ICON could be liable for both U.S. and Irish income taxes, which could have a material adverse effect on its financial condition and results of operations.</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the 80% Ownership Test were not met but a “60% Ownership Test” (applied in the same manner as the 80% Ownership Test, but substituting “60%” for “80%”) were met, ICON would continue to be treated as a non-U.S. corporation for U.S. federal income tax purposes, but ICON and its affiliates would become subject to certain adverse U.S. federal income tax rules. For example, PRA and its U.S. affiliates, as well as U.S. entities historically owned by ICON, would be prohibited from using their net operating losses, foreign tax credits or other tax attributes to offset any income or gain recognized by reason of the transfer of property to a foreign related person during the 10-year period following the merger or any income received or accrued during such period by reason of a license of any property to a foreign related person. In addition, certain restructuring undertaken by ICON or its affiliates that might otherwise reduce the U.S. federal income tax liability of such entities could be disregarded. Other provisions would require recapture of any transition tax benefits under Section 965 of the Code, expand the application of the base erosion and anti-abuse tax under Section 59A of the Code and prevent any dividend payable to shareholders from qualifying as qualified dividend income under Section 1(h) of the Code. Moreover, Section 4985 of the Code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rules related thereto would impose an excise tax on the value of certain PRA equity compensation held directly or indirectly by certain “disqualified individuals” (including officers and directors of PRA) at a rate equal to 20%.</w:t>
      </w:r>
    </w:p>
    <w:p>
      <w:pPr>
        <w:spacing w:after="0" w:line="3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determination of whether the 80% Ownership Test or the 60% Ownership Test will be satisfied is complex and is subject to many factual and legal uncertainties. For example, in determining the percentage of ICON’s outstanding common stock deemed to be owned (actually or constructively) by PRA stockholders immediately after the merger for purposes of Section 7874, several adjustments will be required that will deem the PRA stockholders to have received more ICON ordinary shares than such stockholders actually received, including (1) disregarding any “non-ordinary course distributions” (within the meaning of the applicable regulations) made by PRA during the thirty-six (36) months preceding the merger, including certain dividends and share repurchases, (2) treating any cash consideration received by the PRA stockholders in the merger as if such cash were ICON ordinary shares, to the extent such cash is deemed, directly or indirectly, to have been provided by PRA and (3) disregarding certain ICON ordinary shares held by persons other than the PRA stockholders that were issued during the thirty-six (36)-month period ending on the signing date of the merger.</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As noted above, while ICON believes that Section 7874 should not apply to ICON as a result of the merger, there can be no assurance that such view is correct or that a future change in law could not expand the scope of Section 7874 on a retroactive basis. In this regard, (1) a bill recently introduced in Congress (entitled the “No Tax Breaks for Outsourcing Act”) proposes a change to the anti-inversion rules that would, if enacted in its current form, retroactively pose a significant risk that Section 7874 would cause ICON to become a U.S. corporation as a result of the merger (by reducing the 80% Ownership Test to a 50% ownership test), which risk would depend on factors outside of ICON’s control, including the trading price of ICON common stock on the closing date and (2) on April 7, 2021, the U.S. Treasury Department released the “Made in America Tax Plan,” which announced President Biden’s proposal to adopt such change, but was silent on whether such change would apply retroactively. ICON believes that, based on the current facts (including the current trading price of ICON common stock), Section 7874, as amended by the proposed bill in its current form, would not apply, but due to the factual and legal uncertainty with respect to Section 7874, there can be no assurance that ICON’s view, if challenged, would be sustained. The application of Section 7874 to ICON could have a materially adverse impact on the value of (and the U.S. federal income tax consequences of owning) ICON ordinary shares.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remainder of this discussion assumes that Section 7874 will not apply to ICON as a result of the merger.</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000" w:hanging="348"/>
        <w:spacing w:after="0"/>
        <w:tabs>
          <w:tab w:leader="none" w:pos="1000" w:val="left"/>
        </w:tabs>
        <w:numPr>
          <w:ilvl w:val="0"/>
          <w:numId w:val="201"/>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with Respect to ICON Ordinary Shares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passive foreign investment company (“PFIC”) rules discussed below:</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gross amount of any distribution with respect to ICON ordinary shares that is made out of ICON’s current or accumulated earnings and profits (as determined for U.S. federal income tax purposes) generally will be taxable to a U.S. Holder as a dividend on the date such distribution is actually or constructively received. Any dividends paid to a corporate U.S. Holder generally will not qualify for the dividends-received deduction that may otherwise be allowed under the Code.</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Any distributions in excess of ICON's current and accumulated earnings and profits will be treated first as a nontaxable return of capital to the extent of the U.S. Holder's basis in its ICON ordinary shares (determined separately for each share), and thereafter as capital gain recognized on a sale or exchange, as described below under “</w:t>
      </w:r>
      <w:r>
        <w:rPr>
          <w:rFonts w:ascii="Arial" w:cs="Arial" w:eastAsia="Arial" w:hAnsi="Arial"/>
          <w:sz w:val="18"/>
          <w:szCs w:val="18"/>
          <w:b w:val="1"/>
          <w:bCs w:val="1"/>
          <w:color w:val="auto"/>
        </w:rPr>
        <w:t>—Sale, Exchange, Redemption or Other Taxable Disposition of ICON Ordinary Shares</w:t>
      </w:r>
      <w:r>
        <w:rPr>
          <w:rFonts w:ascii="Arial" w:cs="Arial" w:eastAsia="Arial" w:hAnsi="Arial"/>
          <w:sz w:val="18"/>
          <w:szCs w:val="18"/>
          <w:color w:val="auto"/>
        </w:rPr>
        <w:t>.” ICON does not maintain calculations of its earnings and profits in accordance with U.S. federal income tax principles, and U.S. Holders should therefore assume that any distribution by ICON with respect to its common stock will constitute dividend income.</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(such as ICON) will be treated as a qualified foreign corporation if it is eligible for the benefits of a comprehensive income tax treaty with the United States which is determined by the U.S. Treasury Department to be satisfactory for purposes of these rules and which includes an exchange of information provision. The U.S. Treasury Department has determined that the Ireland-U.S. tax treaty meets these requirements. A non-U.S. corporation is also treated as a qualified foreign corporation with respect to dividends paid by that corporation on shares that are readily tradable on an established securities market in the United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States. U.S. Treasury Department guidance indicates that shares listed on Nasdaq (on which ICON ordinary shares are listed) will be considered readily tradable on an established securities market in the United States. However, there can be no assurance that ICON ordinary shares will be considered readily tradable on an established securities market in future years.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Subject to certain conditions and limitations, non-U.S. withholding taxes, if any, on dividends paid by ICON may be treated as foreign income taxes eligible for credit against a U.S. Holder’s U.S. federal income tax liability under the U.S. foreign tax credit rules. For purposes of calculating the U.S. foreign tax credit, dividends paid by ICON on its ordinary shares generally would be treated as income from sources outside the United States and generally will constitute passive category income. However, because more than 50% of the total combined voting power of all classes of ICON shares entitled to vote or the total value of ICON’s shares may be owned by U.S. Persons (a scenario made more likely by the issuance of the Equity Consideration in the merger), a portion of any dividends received by a U.S. Holder of ICON ordinary shares may be treated as U.S. source dividend income under Section 904(h) of the Code for purposes of calculating a U.S. Holder’s entitlement to U.S. foreign tax credits. However, a U.S. Holder entitled to benefits under the Ireland-U.S. income tax treaty may elect to treat as foreign source income any portion of ICON’s dividends that otherwise would be treated as U.S. source pursuant to the rule described in the preceding sentence, in which event such portion of the ICON dividend must be separated from other income items for purposes of calculating the U.S. Holder’s foreign tax credit.</w:t>
      </w:r>
    </w:p>
    <w:p>
      <w:pPr>
        <w:spacing w:after="0" w:line="7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rules governing the U.S. foreign tax credit are complex. U.S. Holders should consult their tax advisors about the desirability of making an election described in the preceding paragraph and regarding the availability of the U.S. foreign tax credit under their particular circumstances.</w:t>
      </w:r>
    </w:p>
    <w:p>
      <w:pPr>
        <w:spacing w:after="0" w:line="76" w:lineRule="exact"/>
        <w:rPr>
          <w:sz w:val="20"/>
          <w:szCs w:val="20"/>
          <w:color w:val="auto"/>
        </w:rPr>
      </w:pPr>
    </w:p>
    <w:p>
      <w:pPr>
        <w:ind w:left="1000" w:hanging="348"/>
        <w:spacing w:after="0"/>
        <w:tabs>
          <w:tab w:leader="none" w:pos="1000"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Sale, Exchange, Redemption or Other Taxable Disposition of ICON Ordinary Shares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Subject to the PFIC rules discussed below, a U.S. Holder generally will recognize gain or loss on any sale or other disposition of a share of ICON ordinary shares in an amount equal to the difference, if any, between (i) the amount realized on the disposition and (ii) such U.S. Holder’s adjusted tax basis in such share. Any gain or loss recognized by a U.S. Holder on a taxable disposition of ICON ordinary shares generally will be capital gain or loss and will be long-term capital gain or loss if such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a taxable disposition of ICON ordinary shares generally will be treated as U.S. source gain or loss for purposes of the foreign tax credit rules.</w:t>
      </w:r>
    </w:p>
    <w:p>
      <w:pPr>
        <w:spacing w:after="0" w:line="73" w:lineRule="exact"/>
        <w:rPr>
          <w:sz w:val="20"/>
          <w:szCs w:val="20"/>
          <w:color w:val="auto"/>
        </w:rPr>
      </w:pPr>
    </w:p>
    <w:p>
      <w:pPr>
        <w:ind w:left="1000" w:hanging="348"/>
        <w:spacing w:after="0"/>
        <w:tabs>
          <w:tab w:leader="none" w:pos="1000" w:val="left"/>
        </w:tabs>
        <w:numPr>
          <w:ilvl w:val="0"/>
          <w:numId w:val="203"/>
        </w:numPr>
        <w:rPr>
          <w:rFonts w:ascii="Arial" w:cs="Arial" w:eastAsia="Arial" w:hAnsi="Arial"/>
          <w:sz w:val="18"/>
          <w:szCs w:val="18"/>
          <w:i w:val="1"/>
          <w:iCs w:val="1"/>
          <w:color w:val="auto"/>
        </w:rPr>
      </w:pPr>
      <w:r>
        <w:rPr>
          <w:rFonts w:ascii="Arial" w:cs="Arial" w:eastAsia="Arial" w:hAnsi="Arial"/>
          <w:sz w:val="18"/>
          <w:szCs w:val="18"/>
          <w:i w:val="1"/>
          <w:iCs w:val="1"/>
          <w:color w:val="auto"/>
        </w:rPr>
        <w:t>PFIC Status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 non-U.S. corporation generally will be considered a PFIC with respect to a taxable year if either 75% or more of its gross income for such year is “passive income” (generally including (without limitation) dividends, interest, certain royalties, certain rents and annuities) or the average percentage of its assets that produce passive income or are held for the production of passive income for such year is at least 50%. We believe that ICON is not currently a PFIC and, based on management’s current projections of ICON’s future income and assets and the manner in which ICON currently intends to manage and conduct its business in the future, that ICON will not become a PFIC in the foreseeable future. However, the PFIC rules are complex and subject to uncertainty (given the limited amount of authority interpreting such rules) and, thus, there can be no assurance that ICON is not currently a PFIC or will not become one in the future. If ICON were treated as a PFIC for any taxable year in which a U.S. Holder held ICON ordinary shares, certain adverse consequences could apply, including a material increase in the amount of U.S. federal income tax that the U.S. Holder would owe, an imposition of U.S. federal income tax earlier than would otherwise be imposed, interest charges and additional tax form filing requirements. Moreover, any dividends received by a non-corporate U.S. Holder in any taxable year of ICON in which ICON were determined to be a PFIC or any immediately subsequent taxable year would be ineligible for the preferential tax rate applicable to dividends received from qualified foreign corporations (as described above). U.S. Holders should consult with their tax advisors as to the effect of these rules.</w:t>
      </w:r>
    </w:p>
    <w:p>
      <w:pPr>
        <w:spacing w:after="0" w:line="72" w:lineRule="exact"/>
        <w:rPr>
          <w:sz w:val="20"/>
          <w:szCs w:val="20"/>
          <w:color w:val="auto"/>
        </w:rPr>
      </w:pPr>
    </w:p>
    <w:p>
      <w:pPr>
        <w:ind w:left="1000" w:hanging="348"/>
        <w:spacing w:after="0"/>
        <w:tabs>
          <w:tab w:leader="none" w:pos="1000"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Foreign Asset Reporting</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Section 6038D of the Code generally requires individuals who are U.S. residents or citizens (as well as certain entities) to file IRS Form 8938 with their U.S. federal income tax return for each taxable year in which they hold certain specified foreign financial assets, the aggregate value of which exceeds certain thresholds. The definition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“specified foreign financial assets” includes not only financial accounts maintained in foreign financial institutions, but would also, unless held in accounts maintained by a U.S. financial institution, include ICON ordinary shares. If a U.S. Holder does not file a required IRS Form 8938, such holder may be subject to substantial penalties and the statute of limitations on the assessment and collection of all U.S. federal income taxes of such U.S. Holder for the related tax year may not close before the date which is three years after the date on which such form is filed. U.S. Holders should discuss these reporting obligations, and the substantial penalties for non-compliance, with their tax advisors.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general, a Non-U.S. Holder of ICON ordinary shares will not be subject to U.S. federal income tax or, subject to the discussion below under “</w:t>
      </w:r>
      <w:r>
        <w:rPr>
          <w:rFonts w:ascii="Arial" w:cs="Arial" w:eastAsia="Arial" w:hAnsi="Arial"/>
          <w:sz w:val="18"/>
          <w:szCs w:val="18"/>
          <w:b w:val="1"/>
          <w:bCs w:val="1"/>
          <w:color w:val="auto"/>
        </w:rPr>
        <w:t>—Information Reporting and Backup Withholding</w:t>
      </w:r>
      <w:r>
        <w:rPr>
          <w:rFonts w:ascii="Arial" w:cs="Arial" w:eastAsia="Arial" w:hAnsi="Arial"/>
          <w:sz w:val="18"/>
          <w:szCs w:val="18"/>
          <w:color w:val="auto"/>
        </w:rPr>
        <w:t>,” U.S. federal withholding tax on any dividends received with respect to ICON ordinary shares or any gain recognized on a sale or other disposition of ICON ordinary shares unless:</w:t>
      </w:r>
    </w:p>
    <w:p>
      <w:pPr>
        <w:spacing w:after="0" w:line="79" w:lineRule="exact"/>
        <w:rPr>
          <w:sz w:val="20"/>
          <w:szCs w:val="20"/>
          <w:color w:val="auto"/>
        </w:rPr>
      </w:pPr>
    </w:p>
    <w:p>
      <w:pPr>
        <w:ind w:left="1000" w:right="319" w:hanging="348"/>
        <w:spacing w:after="0" w:line="277" w:lineRule="auto"/>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dividend or gain is effectively connected with such Non-U.S. Holder’s conduct of a trade or business in the United States;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case of gain only, such Non-U.S. Holder is a nonresident alien individual present in the United States for 183 days or more during the taxable year of the sale or disposition, and certain other requirements are met.</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Unless an applicable treaty provides otherwise, any dividend or gain described in the first bullet point above generally will be subject to U.S. federal income tax in the same manner as if such holder were a U.S. Holder, as described above under “</w:t>
      </w:r>
      <w:r>
        <w:rPr>
          <w:rFonts w:ascii="Arial" w:cs="Arial" w:eastAsia="Arial" w:hAnsi="Arial"/>
          <w:sz w:val="18"/>
          <w:szCs w:val="18"/>
          <w:b w:val="1"/>
          <w:bCs w:val="1"/>
          <w:color w:val="auto"/>
        </w:rPr>
        <w:t>—U.S. Holders</w:t>
      </w:r>
      <w:r>
        <w:rPr>
          <w:rFonts w:ascii="Arial" w:cs="Arial" w:eastAsia="Arial" w:hAnsi="Arial"/>
          <w:sz w:val="18"/>
          <w:szCs w:val="18"/>
          <w:color w:val="auto"/>
        </w:rPr>
        <w:t>.” A Non-U.S. Holder that is a corporation also may be subject to a branch profits tax equal to 30% (or a lower applicable treaty rate) on its effectively connected earnings and profits for the taxable year, as adjusted for certain items. Non-U.S. Holders should consult their tax advisors regarding any applicable tax treaties that may provide for different rules.</w:t>
      </w:r>
    </w:p>
    <w:p>
      <w:pPr>
        <w:spacing w:after="0" w:line="8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gain described in the second bullet point above generally will be subject to U.S. federal income tax at a rate of 30% (or a lower applicable treaty rate), but may be offset by certain U.S. source capital losses of the non-U.S. Holder, if any, provided that the holder has timely filed U.S. federal income tax returns with respect to such losses.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general, information reporting requirements may apply to U.S. Holders (other than exempt holders, such as corporations) with respect to merger consideration, dividends received with respect to ICON ordinary shares, and the proceeds of a disposition of ICON ordinary shares effected within the United States (and, in certain cases, outside the United States). Backup withholding (currently at a rate of 24%) may apply to such amounts if the U.S. Holder fails to provide an accurate taxpayer identification number and certify that such holder is not subject to backup withholding (generally on an IRS Form W-9 provided to the applicable withholding agent).</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Information returns may be filed with the IRS in connection with, and a Non-U.S. Holder may be subject to backup withholding on, merger consideration, unless such Non-U.S. Holder furnishes the applicable withholding agent with the required certification as to its non-U.S. status, such as by providing a valid IRS Form W-8BEN, IRS Form W-8BEN-E or IRS Form W-8ECI, or otherwise establishes an exemption. Dividends paid with respect to ICON ordinary shares and proceeds from the sale or other disposition of ICON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credit against a holder’s U.S. federal income tax liability, if any, provided that the required information is timely furnished to the IRS.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IRISH TAX CONSEQUENCES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following is a summary of the material Irish tax consequences of the merger to certain beneficial owners of PRA common stock and the ownership and disposal of ICON ordinary shares received upon the consummation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of the merger by such owners. The summary does not purport to be a comprehensive description of all of the tax considerations that may be relevant to each of the PRA stockholders or ICON shareholders. The summary is based upon Irish tax laws and the practice of the Irish Revenue Commissioners in effect on the date of this joint proxy statement/prospectus and correspondence with the Irish Revenue Commissioners. Changes in law and/or administrative practice may result in alteration of the tax considerations described below, possibly with retrospective effect.</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summary does not constitute tax advice and is intended only as a general guide. The summary is not exhaustive and PRA stockholders or ICON shareholders should consult their tax advisors about the Irish tax consequences (and tax consequences under the laws of other relevant jurisdictions) of the merger and of the acquisition, ownership and disposal of ICON ordinary shares. The summary applies only to PRA stockholders or ICON shareholders who hold their PRA common stock, and will own ICON ordinary shares, as capital assets and does not apply to other categories of stockholders or shareholders, such as dealers in securities, trustees, insurance companies, collective investment schemes and stockholders or shareholders who acquired their PRA common stock or who have, or who are deemed to have, acquired their ICON ordinary shares by virtue of an Irish office or employment (performed or carried on in Ireland).</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on Chargeable Gains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rate of tax on chargeable gains (where applicable) in Ireland is 33%.</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stockholders that are not resident or ordinarily resident in Ireland for Irish tax purposes and do not hold their PRA common stock in connection with a trade carried on by such stockholders through an Irish branch or agency will not be within the charge to Irish tax on chargeable gains on the cancellation of their PRA common stock, or on the receipt of ICON ordinary shares and/or cash pursuant to the merger.</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subsequent disposal of ICON ordinary shares will not be within the charge to Irish chargeable gains tax provided the holder of such shares is not resident or ordinarily resident in Ireland for Irish tax purposes and does not hold his or her shares in connection with a trade carried on by such shareholder through an Irish branch or agency.</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An ICON shareholder who is an individual and who is temporarily non-resident in Ireland may, under Irish anti-avoidance legislation, be liable to Irish tax on any chargeable gain realized on a disposal of ICON ordinary shares during the period in which such individual is non-resident.</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Stamp Duty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stamp duty should be payable on the cancellation of the PRA common stock or the issue of ICON ordinary shares pursuant to the merger.</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Irish stamp duty may, depending on the manner in which ICON ordinary shares are held, be payable in respect of transfers of ICON ordinary shares.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Shares held through the Depositary Trust Company (DTC)</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A transfer of ICON ordinary shares effected by means of the transfer of book-entry interests in DTC will not be subject to Irish stamp duty. On the basis that most ICON ordinary shares are expected to be held through DTC, it is anticipated that most transfers of ICON ordinary shares will be exempt from Irish stamp duty.</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transfer of ICON ordinary shares where any party to the transfer holds such shares outside of DTC may be subject to Irish stamp duty. Shareholders wishing to transfer their shares into (or out of) DTC may do so without giving rise to Irish stamp duty provided that:</w:t>
      </w:r>
    </w:p>
    <w:p>
      <w:pPr>
        <w:spacing w:after="0" w:line="76" w:lineRule="exact"/>
        <w:rPr>
          <w:sz w:val="20"/>
          <w:szCs w:val="20"/>
          <w:color w:val="auto"/>
        </w:rPr>
      </w:pPr>
    </w:p>
    <w:p>
      <w:pPr>
        <w:ind w:left="1000" w:hanging="348"/>
        <w:spacing w:after="0"/>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sale of such shares by a beneficial owner to a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Due to the potential Irish stamp charge on transfers of ICON ordinary shares held outside of DTC, those PRA stockholders who do not hold their PRA common stock through DTC (or through a broker who in turn holds such shares through DTC) may wish to consult their own tax advisor as to whether they should arrange for the transfer of their PRA common stock into DTC before the merger is consummated.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Withholding Tax on Dividends Paid on ICON Ordinary Shares</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As noted elsewhere in this joint proxy statement/prospectus, ICON does not expect to pay any cash dividends for the foreseeable future. To the extent that ICON does make dividend payments (or other returns to shareholders that are treated as “distributions” for Irish tax purposes), it should be noted that such distributions made by ICON will, in the absence of one of many exemptions, be subject to Irish dividend withholding tax, which is referred to in this joint proxy statement/prospectus as “DWT”, currently at a rate of 25%.</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DWT purposes, a distribution includes any distribution that may be made by ICON to its shareholders, including cash dividends, non-cash dividends and additional shares taken in lieu of a cash dividend. Where an exemption does not apply in respect of a distribution made to a particular shareholder, ICON is responsible for withholding DWT prior to making such distribution.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General Exemptions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is a general overview of the scenarios where it will be possible for ICON to make payments of dividends without deduction of DWT.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Irish domestic law provides that a non-Irish resident shareholder is not subject to DWT on dividends received from ICON if such shareholder is beneficially entitled to the dividend and is either:</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Relevant Territory (including the U.S.) and is neither resident nor ordinarily resident in Ireland (for a list of Relevant Territories for DWT purposes, see below);</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company resident for tax purposes in a Relevant Territory, provided such company is not under the control, whether directly or indirectly, of a person or persons who is or are resident in Ireland;</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57"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(2)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and provided, in all cases noted above, ICON has received from the shareholder, where required, the relevant Irish Revenue Commissioners DWT Form(s) prior to the payment of the dividend and such DWT Form(s) remain valid.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non-Irish resident ICON shareholders that cannot avail themselves of one of Ireland’s domestic law exemptions from DWT, it may be possible for such shareholders to rely on the provisions of a double tax treaty to which Ireland is party to reduce the rate of DWT.</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ICON shareholders that do not fall within any of the categories specifically referred to above may nonetheless fall within other exemptions from DWT. If any ICON shareholders are exempt from DWT, but receive dividends subject to DWT, such shareholders may apply for refunds of such DWT from the Irish Revenue Commissioners.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LIST OF RELEVANT TERRITORIES FOR THE PURPOSES OF</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IRISH DIVIDEND WITHHOLDING TAX (AS OF APRIL 26, 2021)</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Albania</w:t>
            </w:r>
          </w:p>
        </w:tc>
        <w:tc>
          <w:tcPr>
            <w:tcW w:w="1820" w:type="dxa"/>
            <w:vAlign w:val="bottom"/>
          </w:tcPr>
          <w:p>
            <w:pPr>
              <w:ind w:left="260"/>
              <w:spacing w:after="0"/>
              <w:rPr>
                <w:sz w:val="20"/>
                <w:szCs w:val="20"/>
                <w:color w:val="auto"/>
              </w:rPr>
            </w:pPr>
            <w:r>
              <w:rPr>
                <w:rFonts w:ascii="Arial" w:cs="Arial" w:eastAsia="Arial" w:hAnsi="Arial"/>
                <w:sz w:val="18"/>
                <w:szCs w:val="18"/>
                <w:color w:val="auto"/>
              </w:rPr>
              <w:t>Finland</w:t>
            </w:r>
          </w:p>
        </w:tc>
        <w:tc>
          <w:tcPr>
            <w:tcW w:w="2280" w:type="dxa"/>
            <w:vAlign w:val="bottom"/>
          </w:tcPr>
          <w:p>
            <w:pPr>
              <w:ind w:left="620"/>
              <w:spacing w:after="0"/>
              <w:rPr>
                <w:sz w:val="20"/>
                <w:szCs w:val="20"/>
                <w:color w:val="auto"/>
              </w:rPr>
            </w:pPr>
            <w:r>
              <w:rPr>
                <w:rFonts w:ascii="Arial" w:cs="Arial" w:eastAsia="Arial" w:hAnsi="Arial"/>
                <w:sz w:val="18"/>
                <w:szCs w:val="18"/>
                <w:color w:val="auto"/>
              </w:rPr>
              <w:t>Malaysia</w:t>
            </w:r>
          </w:p>
        </w:tc>
        <w:tc>
          <w:tcPr>
            <w:tcW w:w="2240" w:type="dxa"/>
            <w:vAlign w:val="bottom"/>
          </w:tcPr>
          <w:p>
            <w:pPr>
              <w:ind w:left="480"/>
              <w:spacing w:after="0"/>
              <w:rPr>
                <w:sz w:val="20"/>
                <w:szCs w:val="20"/>
                <w:color w:val="auto"/>
              </w:rPr>
            </w:pPr>
            <w:r>
              <w:rPr>
                <w:rFonts w:ascii="Arial" w:cs="Arial" w:eastAsia="Arial" w:hAnsi="Arial"/>
                <w:sz w:val="18"/>
                <w:szCs w:val="18"/>
                <w:color w:val="auto"/>
              </w:rPr>
              <w:t>Slovenia</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Armenia</w:t>
            </w:r>
          </w:p>
        </w:tc>
        <w:tc>
          <w:tcPr>
            <w:tcW w:w="1820" w:type="dxa"/>
            <w:vAlign w:val="bottom"/>
          </w:tcPr>
          <w:p>
            <w:pPr>
              <w:ind w:left="260"/>
              <w:spacing w:after="0"/>
              <w:rPr>
                <w:sz w:val="20"/>
                <w:szCs w:val="20"/>
                <w:color w:val="auto"/>
              </w:rPr>
            </w:pPr>
            <w:r>
              <w:rPr>
                <w:rFonts w:ascii="Arial" w:cs="Arial" w:eastAsia="Arial" w:hAnsi="Arial"/>
                <w:sz w:val="18"/>
                <w:szCs w:val="18"/>
                <w:color w:val="auto"/>
              </w:rPr>
              <w:t>France</w:t>
            </w:r>
          </w:p>
        </w:tc>
        <w:tc>
          <w:tcPr>
            <w:tcW w:w="2280" w:type="dxa"/>
            <w:vAlign w:val="bottom"/>
          </w:tcPr>
          <w:p>
            <w:pPr>
              <w:ind w:left="620"/>
              <w:spacing w:after="0"/>
              <w:rPr>
                <w:sz w:val="20"/>
                <w:szCs w:val="20"/>
                <w:color w:val="auto"/>
              </w:rPr>
            </w:pPr>
            <w:r>
              <w:rPr>
                <w:rFonts w:ascii="Arial" w:cs="Arial" w:eastAsia="Arial" w:hAnsi="Arial"/>
                <w:sz w:val="18"/>
                <w:szCs w:val="18"/>
                <w:color w:val="auto"/>
              </w:rPr>
              <w:t>Malta</w:t>
            </w:r>
          </w:p>
        </w:tc>
        <w:tc>
          <w:tcPr>
            <w:tcW w:w="2240" w:type="dxa"/>
            <w:vAlign w:val="bottom"/>
          </w:tcPr>
          <w:p>
            <w:pPr>
              <w:ind w:left="480"/>
              <w:spacing w:after="0"/>
              <w:rPr>
                <w:sz w:val="20"/>
                <w:szCs w:val="20"/>
                <w:color w:val="auto"/>
              </w:rPr>
            </w:pPr>
            <w:r>
              <w:rPr>
                <w:rFonts w:ascii="Arial" w:cs="Arial" w:eastAsia="Arial" w:hAnsi="Arial"/>
                <w:sz w:val="18"/>
                <w:szCs w:val="18"/>
                <w:color w:val="auto"/>
              </w:rPr>
              <w:t>South Africa</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Australia</w:t>
            </w:r>
          </w:p>
        </w:tc>
        <w:tc>
          <w:tcPr>
            <w:tcW w:w="1820" w:type="dxa"/>
            <w:vAlign w:val="bottom"/>
          </w:tcPr>
          <w:p>
            <w:pPr>
              <w:ind w:left="260"/>
              <w:spacing w:after="0"/>
              <w:rPr>
                <w:sz w:val="20"/>
                <w:szCs w:val="20"/>
                <w:color w:val="auto"/>
              </w:rPr>
            </w:pPr>
            <w:r>
              <w:rPr>
                <w:rFonts w:ascii="Arial" w:cs="Arial" w:eastAsia="Arial" w:hAnsi="Arial"/>
                <w:sz w:val="18"/>
                <w:szCs w:val="18"/>
                <w:color w:val="auto"/>
              </w:rPr>
              <w:t>Georgia</w:t>
            </w:r>
          </w:p>
        </w:tc>
        <w:tc>
          <w:tcPr>
            <w:tcW w:w="2280" w:type="dxa"/>
            <w:vAlign w:val="bottom"/>
          </w:tcPr>
          <w:p>
            <w:pPr>
              <w:ind w:left="620"/>
              <w:spacing w:after="0"/>
              <w:rPr>
                <w:sz w:val="20"/>
                <w:szCs w:val="20"/>
                <w:color w:val="auto"/>
              </w:rPr>
            </w:pPr>
            <w:r>
              <w:rPr>
                <w:rFonts w:ascii="Arial" w:cs="Arial" w:eastAsia="Arial" w:hAnsi="Arial"/>
                <w:sz w:val="18"/>
                <w:szCs w:val="18"/>
                <w:color w:val="auto"/>
              </w:rPr>
              <w:t>Mexico</w:t>
            </w:r>
          </w:p>
        </w:tc>
        <w:tc>
          <w:tcPr>
            <w:tcW w:w="2240" w:type="dxa"/>
            <w:vAlign w:val="bottom"/>
          </w:tcPr>
          <w:p>
            <w:pPr>
              <w:ind w:left="480"/>
              <w:spacing w:after="0"/>
              <w:rPr>
                <w:sz w:val="20"/>
                <w:szCs w:val="20"/>
                <w:color w:val="auto"/>
              </w:rPr>
            </w:pPr>
            <w:r>
              <w:rPr>
                <w:rFonts w:ascii="Arial" w:cs="Arial" w:eastAsia="Arial" w:hAnsi="Arial"/>
                <w:sz w:val="18"/>
                <w:szCs w:val="18"/>
                <w:color w:val="auto"/>
              </w:rPr>
              <w:t>Spain</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Austria</w:t>
            </w:r>
          </w:p>
        </w:tc>
        <w:tc>
          <w:tcPr>
            <w:tcW w:w="1820" w:type="dxa"/>
            <w:vAlign w:val="bottom"/>
          </w:tcPr>
          <w:p>
            <w:pPr>
              <w:ind w:left="260"/>
              <w:spacing w:after="0"/>
              <w:rPr>
                <w:sz w:val="20"/>
                <w:szCs w:val="20"/>
                <w:color w:val="auto"/>
              </w:rPr>
            </w:pPr>
            <w:r>
              <w:rPr>
                <w:rFonts w:ascii="Arial" w:cs="Arial" w:eastAsia="Arial" w:hAnsi="Arial"/>
                <w:sz w:val="18"/>
                <w:szCs w:val="18"/>
                <w:color w:val="auto"/>
              </w:rPr>
              <w:t>Germany</w:t>
            </w:r>
          </w:p>
        </w:tc>
        <w:tc>
          <w:tcPr>
            <w:tcW w:w="2280" w:type="dxa"/>
            <w:vAlign w:val="bottom"/>
          </w:tcPr>
          <w:p>
            <w:pPr>
              <w:ind w:left="620"/>
              <w:spacing w:after="0"/>
              <w:rPr>
                <w:sz w:val="20"/>
                <w:szCs w:val="20"/>
                <w:color w:val="auto"/>
              </w:rPr>
            </w:pPr>
            <w:r>
              <w:rPr>
                <w:rFonts w:ascii="Arial" w:cs="Arial" w:eastAsia="Arial" w:hAnsi="Arial"/>
                <w:sz w:val="18"/>
                <w:szCs w:val="18"/>
                <w:color w:val="auto"/>
              </w:rPr>
              <w:t>Moldova</w:t>
            </w:r>
          </w:p>
        </w:tc>
        <w:tc>
          <w:tcPr>
            <w:tcW w:w="2240" w:type="dxa"/>
            <w:vAlign w:val="bottom"/>
          </w:tcPr>
          <w:p>
            <w:pPr>
              <w:ind w:left="480"/>
              <w:spacing w:after="0"/>
              <w:rPr>
                <w:sz w:val="20"/>
                <w:szCs w:val="20"/>
                <w:color w:val="auto"/>
              </w:rPr>
            </w:pPr>
            <w:r>
              <w:rPr>
                <w:rFonts w:ascii="Arial" w:cs="Arial" w:eastAsia="Arial" w:hAnsi="Arial"/>
                <w:sz w:val="18"/>
                <w:szCs w:val="18"/>
                <w:color w:val="auto"/>
              </w:rPr>
              <w:t>Sweden</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Bahrain</w:t>
            </w:r>
          </w:p>
        </w:tc>
        <w:tc>
          <w:tcPr>
            <w:tcW w:w="1820" w:type="dxa"/>
            <w:vAlign w:val="bottom"/>
          </w:tcPr>
          <w:p>
            <w:pPr>
              <w:ind w:left="260"/>
              <w:spacing w:after="0"/>
              <w:rPr>
                <w:sz w:val="20"/>
                <w:szCs w:val="20"/>
                <w:color w:val="auto"/>
              </w:rPr>
            </w:pPr>
            <w:r>
              <w:rPr>
                <w:rFonts w:ascii="Arial" w:cs="Arial" w:eastAsia="Arial" w:hAnsi="Arial"/>
                <w:sz w:val="18"/>
                <w:szCs w:val="18"/>
                <w:color w:val="auto"/>
              </w:rPr>
              <w:t>Ghana</w:t>
            </w:r>
          </w:p>
        </w:tc>
        <w:tc>
          <w:tcPr>
            <w:tcW w:w="2280" w:type="dxa"/>
            <w:vAlign w:val="bottom"/>
          </w:tcPr>
          <w:p>
            <w:pPr>
              <w:ind w:left="620"/>
              <w:spacing w:after="0"/>
              <w:rPr>
                <w:sz w:val="20"/>
                <w:szCs w:val="20"/>
                <w:color w:val="auto"/>
              </w:rPr>
            </w:pPr>
            <w:r>
              <w:rPr>
                <w:rFonts w:ascii="Arial" w:cs="Arial" w:eastAsia="Arial" w:hAnsi="Arial"/>
                <w:sz w:val="18"/>
                <w:szCs w:val="18"/>
                <w:color w:val="auto"/>
              </w:rPr>
              <w:t>Montenegro</w:t>
            </w:r>
          </w:p>
        </w:tc>
        <w:tc>
          <w:tcPr>
            <w:tcW w:w="2240" w:type="dxa"/>
            <w:vAlign w:val="bottom"/>
          </w:tcPr>
          <w:p>
            <w:pPr>
              <w:ind w:left="480"/>
              <w:spacing w:after="0"/>
              <w:rPr>
                <w:sz w:val="20"/>
                <w:szCs w:val="20"/>
                <w:color w:val="auto"/>
              </w:rPr>
            </w:pPr>
            <w:r>
              <w:rPr>
                <w:rFonts w:ascii="Arial" w:cs="Arial" w:eastAsia="Arial" w:hAnsi="Arial"/>
                <w:sz w:val="18"/>
                <w:szCs w:val="18"/>
                <w:color w:val="auto"/>
              </w:rPr>
              <w:t>Switzerland</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Belarus</w:t>
            </w:r>
          </w:p>
        </w:tc>
        <w:tc>
          <w:tcPr>
            <w:tcW w:w="1820" w:type="dxa"/>
            <w:vAlign w:val="bottom"/>
          </w:tcPr>
          <w:p>
            <w:pPr>
              <w:ind w:left="260"/>
              <w:spacing w:after="0"/>
              <w:rPr>
                <w:sz w:val="20"/>
                <w:szCs w:val="20"/>
                <w:color w:val="auto"/>
              </w:rPr>
            </w:pPr>
            <w:r>
              <w:rPr>
                <w:rFonts w:ascii="Arial" w:cs="Arial" w:eastAsia="Arial" w:hAnsi="Arial"/>
                <w:sz w:val="18"/>
                <w:szCs w:val="18"/>
                <w:color w:val="auto"/>
              </w:rPr>
              <w:t>Greece</w:t>
            </w:r>
          </w:p>
        </w:tc>
        <w:tc>
          <w:tcPr>
            <w:tcW w:w="2280" w:type="dxa"/>
            <w:vAlign w:val="bottom"/>
          </w:tcPr>
          <w:p>
            <w:pPr>
              <w:ind w:left="620"/>
              <w:spacing w:after="0"/>
              <w:rPr>
                <w:sz w:val="20"/>
                <w:szCs w:val="20"/>
                <w:color w:val="auto"/>
              </w:rPr>
            </w:pPr>
            <w:r>
              <w:rPr>
                <w:rFonts w:ascii="Arial" w:cs="Arial" w:eastAsia="Arial" w:hAnsi="Arial"/>
                <w:sz w:val="18"/>
                <w:szCs w:val="18"/>
                <w:color w:val="auto"/>
              </w:rPr>
              <w:t>Morocco</w:t>
            </w:r>
          </w:p>
        </w:tc>
        <w:tc>
          <w:tcPr>
            <w:tcW w:w="2240" w:type="dxa"/>
            <w:vAlign w:val="bottom"/>
          </w:tcPr>
          <w:p>
            <w:pPr>
              <w:ind w:left="480"/>
              <w:spacing w:after="0"/>
              <w:rPr>
                <w:sz w:val="20"/>
                <w:szCs w:val="20"/>
                <w:color w:val="auto"/>
              </w:rPr>
            </w:pPr>
            <w:r>
              <w:rPr>
                <w:rFonts w:ascii="Arial" w:cs="Arial" w:eastAsia="Arial" w:hAnsi="Arial"/>
                <w:sz w:val="18"/>
                <w:szCs w:val="18"/>
                <w:color w:val="auto"/>
              </w:rPr>
              <w:t>Thailand</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Belgium</w:t>
            </w:r>
          </w:p>
        </w:tc>
        <w:tc>
          <w:tcPr>
            <w:tcW w:w="1820" w:type="dxa"/>
            <w:vAlign w:val="bottom"/>
          </w:tcPr>
          <w:p>
            <w:pPr>
              <w:ind w:left="260"/>
              <w:spacing w:after="0"/>
              <w:rPr>
                <w:sz w:val="20"/>
                <w:szCs w:val="20"/>
                <w:color w:val="auto"/>
              </w:rPr>
            </w:pPr>
            <w:r>
              <w:rPr>
                <w:rFonts w:ascii="Arial" w:cs="Arial" w:eastAsia="Arial" w:hAnsi="Arial"/>
                <w:sz w:val="18"/>
                <w:szCs w:val="18"/>
                <w:color w:val="auto"/>
              </w:rPr>
              <w:t>Hong Kong</w:t>
            </w:r>
          </w:p>
        </w:tc>
        <w:tc>
          <w:tcPr>
            <w:tcW w:w="2280" w:type="dxa"/>
            <w:vAlign w:val="bottom"/>
          </w:tcPr>
          <w:p>
            <w:pPr>
              <w:ind w:left="620"/>
              <w:spacing w:after="0"/>
              <w:rPr>
                <w:sz w:val="20"/>
                <w:szCs w:val="20"/>
                <w:color w:val="auto"/>
              </w:rPr>
            </w:pPr>
            <w:r>
              <w:rPr>
                <w:rFonts w:ascii="Arial" w:cs="Arial" w:eastAsia="Arial" w:hAnsi="Arial"/>
                <w:sz w:val="18"/>
                <w:szCs w:val="18"/>
                <w:color w:val="auto"/>
              </w:rPr>
              <w:t>Netherlands</w:t>
            </w:r>
          </w:p>
        </w:tc>
        <w:tc>
          <w:tcPr>
            <w:tcW w:w="2240" w:type="dxa"/>
            <w:vAlign w:val="bottom"/>
          </w:tcPr>
          <w:p>
            <w:pPr>
              <w:ind w:left="480"/>
              <w:spacing w:after="0"/>
              <w:rPr>
                <w:sz w:val="20"/>
                <w:szCs w:val="20"/>
                <w:color w:val="auto"/>
              </w:rPr>
            </w:pPr>
            <w:r>
              <w:rPr>
                <w:rFonts w:ascii="Arial" w:cs="Arial" w:eastAsia="Arial" w:hAnsi="Arial"/>
                <w:sz w:val="18"/>
                <w:szCs w:val="18"/>
                <w:color w:val="auto"/>
                <w:w w:val="91"/>
              </w:rPr>
              <w:t>The Republic Of Turkey</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Bosnia &amp; Herzegovina</w:t>
            </w:r>
          </w:p>
        </w:tc>
        <w:tc>
          <w:tcPr>
            <w:tcW w:w="1820" w:type="dxa"/>
            <w:vAlign w:val="bottom"/>
          </w:tcPr>
          <w:p>
            <w:pPr>
              <w:ind w:left="260"/>
              <w:spacing w:after="0"/>
              <w:rPr>
                <w:sz w:val="20"/>
                <w:szCs w:val="20"/>
                <w:color w:val="auto"/>
              </w:rPr>
            </w:pPr>
            <w:r>
              <w:rPr>
                <w:rFonts w:ascii="Arial" w:cs="Arial" w:eastAsia="Arial" w:hAnsi="Arial"/>
                <w:sz w:val="18"/>
                <w:szCs w:val="18"/>
                <w:color w:val="auto"/>
              </w:rPr>
              <w:t>Hungary</w:t>
            </w:r>
          </w:p>
        </w:tc>
        <w:tc>
          <w:tcPr>
            <w:tcW w:w="2280" w:type="dxa"/>
            <w:vAlign w:val="bottom"/>
          </w:tcPr>
          <w:p>
            <w:pPr>
              <w:ind w:left="620"/>
              <w:spacing w:after="0"/>
              <w:rPr>
                <w:sz w:val="20"/>
                <w:szCs w:val="20"/>
                <w:color w:val="auto"/>
              </w:rPr>
            </w:pPr>
            <w:r>
              <w:rPr>
                <w:rFonts w:ascii="Arial" w:cs="Arial" w:eastAsia="Arial" w:hAnsi="Arial"/>
                <w:sz w:val="18"/>
                <w:szCs w:val="18"/>
                <w:color w:val="auto"/>
              </w:rPr>
              <w:t>New Zealand</w:t>
            </w:r>
          </w:p>
        </w:tc>
        <w:tc>
          <w:tcPr>
            <w:tcW w:w="2240" w:type="dxa"/>
            <w:vAlign w:val="bottom"/>
          </w:tcPr>
          <w:p>
            <w:pPr>
              <w:ind w:left="480"/>
              <w:spacing w:after="0"/>
              <w:rPr>
                <w:sz w:val="20"/>
                <w:szCs w:val="20"/>
                <w:color w:val="auto"/>
              </w:rPr>
            </w:pPr>
            <w:r>
              <w:rPr>
                <w:rFonts w:ascii="Arial" w:cs="Arial" w:eastAsia="Arial" w:hAnsi="Arial"/>
                <w:sz w:val="18"/>
                <w:szCs w:val="18"/>
                <w:color w:val="auto"/>
              </w:rPr>
              <w:t>Ukraine</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Botswana</w:t>
            </w:r>
          </w:p>
        </w:tc>
        <w:tc>
          <w:tcPr>
            <w:tcW w:w="1820" w:type="dxa"/>
            <w:vAlign w:val="bottom"/>
          </w:tcPr>
          <w:p>
            <w:pPr>
              <w:ind w:left="260"/>
              <w:spacing w:after="0"/>
              <w:rPr>
                <w:sz w:val="20"/>
                <w:szCs w:val="20"/>
                <w:color w:val="auto"/>
              </w:rPr>
            </w:pPr>
            <w:r>
              <w:rPr>
                <w:rFonts w:ascii="Arial" w:cs="Arial" w:eastAsia="Arial" w:hAnsi="Arial"/>
                <w:sz w:val="18"/>
                <w:szCs w:val="18"/>
                <w:color w:val="auto"/>
              </w:rPr>
              <w:t>Iceland</w:t>
            </w:r>
          </w:p>
        </w:tc>
        <w:tc>
          <w:tcPr>
            <w:tcW w:w="2280" w:type="dxa"/>
            <w:vAlign w:val="bottom"/>
          </w:tcPr>
          <w:p>
            <w:pPr>
              <w:ind w:left="620"/>
              <w:spacing w:after="0"/>
              <w:rPr>
                <w:sz w:val="20"/>
                <w:szCs w:val="20"/>
                <w:color w:val="auto"/>
              </w:rPr>
            </w:pPr>
            <w:r>
              <w:rPr>
                <w:rFonts w:ascii="Arial" w:cs="Arial" w:eastAsia="Arial" w:hAnsi="Arial"/>
                <w:sz w:val="18"/>
                <w:szCs w:val="18"/>
                <w:color w:val="auto"/>
              </w:rPr>
              <w:t>Norway</w:t>
            </w:r>
          </w:p>
        </w:tc>
        <w:tc>
          <w:tcPr>
            <w:tcW w:w="2240" w:type="dxa"/>
            <w:vAlign w:val="bottom"/>
          </w:tcPr>
          <w:p>
            <w:pPr>
              <w:ind w:left="480"/>
              <w:spacing w:after="0"/>
              <w:rPr>
                <w:sz w:val="20"/>
                <w:szCs w:val="20"/>
                <w:color w:val="auto"/>
              </w:rPr>
            </w:pPr>
            <w:r>
              <w:rPr>
                <w:rFonts w:ascii="Arial" w:cs="Arial" w:eastAsia="Arial" w:hAnsi="Arial"/>
                <w:sz w:val="18"/>
                <w:szCs w:val="18"/>
                <w:color w:val="auto"/>
              </w:rPr>
              <w:t>United Arab Emirates</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Bulgaria</w:t>
            </w:r>
          </w:p>
        </w:tc>
        <w:tc>
          <w:tcPr>
            <w:tcW w:w="1820" w:type="dxa"/>
            <w:vAlign w:val="bottom"/>
          </w:tcPr>
          <w:p>
            <w:pPr>
              <w:ind w:left="260"/>
              <w:spacing w:after="0"/>
              <w:rPr>
                <w:sz w:val="20"/>
                <w:szCs w:val="20"/>
                <w:color w:val="auto"/>
              </w:rPr>
            </w:pPr>
            <w:r>
              <w:rPr>
                <w:rFonts w:ascii="Arial" w:cs="Arial" w:eastAsia="Arial" w:hAnsi="Arial"/>
                <w:sz w:val="18"/>
                <w:szCs w:val="18"/>
                <w:color w:val="auto"/>
              </w:rPr>
              <w:t>India</w:t>
            </w:r>
          </w:p>
        </w:tc>
        <w:tc>
          <w:tcPr>
            <w:tcW w:w="2280" w:type="dxa"/>
            <w:vAlign w:val="bottom"/>
          </w:tcPr>
          <w:p>
            <w:pPr>
              <w:ind w:left="620"/>
              <w:spacing w:after="0"/>
              <w:rPr>
                <w:sz w:val="20"/>
                <w:szCs w:val="20"/>
                <w:color w:val="auto"/>
              </w:rPr>
            </w:pPr>
            <w:r>
              <w:rPr>
                <w:rFonts w:ascii="Arial" w:cs="Arial" w:eastAsia="Arial" w:hAnsi="Arial"/>
                <w:sz w:val="18"/>
                <w:szCs w:val="18"/>
                <w:color w:val="auto"/>
              </w:rPr>
              <w:t>Pakistan</w:t>
            </w:r>
          </w:p>
        </w:tc>
        <w:tc>
          <w:tcPr>
            <w:tcW w:w="2240" w:type="dxa"/>
            <w:vAlign w:val="bottom"/>
          </w:tcPr>
          <w:p>
            <w:pPr>
              <w:ind w:left="480"/>
              <w:spacing w:after="0"/>
              <w:rPr>
                <w:sz w:val="20"/>
                <w:szCs w:val="20"/>
                <w:color w:val="auto"/>
              </w:rPr>
            </w:pPr>
            <w:r>
              <w:rPr>
                <w:rFonts w:ascii="Arial" w:cs="Arial" w:eastAsia="Arial" w:hAnsi="Arial"/>
                <w:sz w:val="18"/>
                <w:szCs w:val="18"/>
                <w:color w:val="auto"/>
              </w:rPr>
              <w:t>United Kingdom</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Canada</w:t>
            </w:r>
          </w:p>
        </w:tc>
        <w:tc>
          <w:tcPr>
            <w:tcW w:w="1820" w:type="dxa"/>
            <w:vAlign w:val="bottom"/>
          </w:tcPr>
          <w:p>
            <w:pPr>
              <w:ind w:left="260"/>
              <w:spacing w:after="0"/>
              <w:rPr>
                <w:sz w:val="20"/>
                <w:szCs w:val="20"/>
                <w:color w:val="auto"/>
              </w:rPr>
            </w:pPr>
            <w:r>
              <w:rPr>
                <w:rFonts w:ascii="Arial" w:cs="Arial" w:eastAsia="Arial" w:hAnsi="Arial"/>
                <w:sz w:val="18"/>
                <w:szCs w:val="18"/>
                <w:color w:val="auto"/>
              </w:rPr>
              <w:t>Israel</w:t>
            </w:r>
          </w:p>
        </w:tc>
        <w:tc>
          <w:tcPr>
            <w:tcW w:w="2280" w:type="dxa"/>
            <w:vAlign w:val="bottom"/>
          </w:tcPr>
          <w:p>
            <w:pPr>
              <w:ind w:left="620"/>
              <w:spacing w:after="0"/>
              <w:rPr>
                <w:sz w:val="20"/>
                <w:szCs w:val="20"/>
                <w:color w:val="auto"/>
              </w:rPr>
            </w:pPr>
            <w:r>
              <w:rPr>
                <w:rFonts w:ascii="Arial" w:cs="Arial" w:eastAsia="Arial" w:hAnsi="Arial"/>
                <w:sz w:val="18"/>
                <w:szCs w:val="18"/>
                <w:color w:val="auto"/>
              </w:rPr>
              <w:t>Panama</w:t>
            </w:r>
          </w:p>
        </w:tc>
        <w:tc>
          <w:tcPr>
            <w:tcW w:w="2240" w:type="dxa"/>
            <w:vAlign w:val="bottom"/>
          </w:tcPr>
          <w:p>
            <w:pPr>
              <w:ind w:left="480"/>
              <w:spacing w:after="0"/>
              <w:rPr>
                <w:sz w:val="20"/>
                <w:szCs w:val="20"/>
                <w:color w:val="auto"/>
              </w:rPr>
            </w:pPr>
            <w:r>
              <w:rPr>
                <w:rFonts w:ascii="Arial" w:cs="Arial" w:eastAsia="Arial" w:hAnsi="Arial"/>
                <w:sz w:val="18"/>
                <w:szCs w:val="18"/>
                <w:color w:val="auto"/>
              </w:rPr>
              <w:t>United States</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Chile</w:t>
            </w:r>
          </w:p>
        </w:tc>
        <w:tc>
          <w:tcPr>
            <w:tcW w:w="1820" w:type="dxa"/>
            <w:vAlign w:val="bottom"/>
          </w:tcPr>
          <w:p>
            <w:pPr>
              <w:ind w:left="260"/>
              <w:spacing w:after="0"/>
              <w:rPr>
                <w:sz w:val="20"/>
                <w:szCs w:val="20"/>
                <w:color w:val="auto"/>
              </w:rPr>
            </w:pPr>
            <w:r>
              <w:rPr>
                <w:rFonts w:ascii="Arial" w:cs="Arial" w:eastAsia="Arial" w:hAnsi="Arial"/>
                <w:sz w:val="18"/>
                <w:szCs w:val="18"/>
                <w:color w:val="auto"/>
              </w:rPr>
              <w:t>Italy</w:t>
            </w:r>
          </w:p>
        </w:tc>
        <w:tc>
          <w:tcPr>
            <w:tcW w:w="2280" w:type="dxa"/>
            <w:vAlign w:val="bottom"/>
          </w:tcPr>
          <w:p>
            <w:pPr>
              <w:ind w:left="620"/>
              <w:spacing w:after="0"/>
              <w:rPr>
                <w:sz w:val="20"/>
                <w:szCs w:val="20"/>
                <w:color w:val="auto"/>
              </w:rPr>
            </w:pPr>
            <w:r>
              <w:rPr>
                <w:rFonts w:ascii="Arial" w:cs="Arial" w:eastAsia="Arial" w:hAnsi="Arial"/>
                <w:sz w:val="18"/>
                <w:szCs w:val="18"/>
                <w:color w:val="auto"/>
              </w:rPr>
              <w:t>Poland</w:t>
            </w:r>
          </w:p>
        </w:tc>
        <w:tc>
          <w:tcPr>
            <w:tcW w:w="2240" w:type="dxa"/>
            <w:vAlign w:val="bottom"/>
          </w:tcPr>
          <w:p>
            <w:pPr>
              <w:ind w:left="480"/>
              <w:spacing w:after="0"/>
              <w:rPr>
                <w:sz w:val="20"/>
                <w:szCs w:val="20"/>
                <w:color w:val="auto"/>
              </w:rPr>
            </w:pPr>
            <w:r>
              <w:rPr>
                <w:rFonts w:ascii="Arial" w:cs="Arial" w:eastAsia="Arial" w:hAnsi="Arial"/>
                <w:sz w:val="18"/>
                <w:szCs w:val="18"/>
                <w:color w:val="auto"/>
              </w:rPr>
              <w:t>Uzbekistan</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China</w:t>
            </w:r>
          </w:p>
        </w:tc>
        <w:tc>
          <w:tcPr>
            <w:tcW w:w="1820" w:type="dxa"/>
            <w:vAlign w:val="bottom"/>
          </w:tcPr>
          <w:p>
            <w:pPr>
              <w:ind w:left="260"/>
              <w:spacing w:after="0"/>
              <w:rPr>
                <w:sz w:val="20"/>
                <w:szCs w:val="20"/>
                <w:color w:val="auto"/>
              </w:rPr>
            </w:pPr>
            <w:r>
              <w:rPr>
                <w:rFonts w:ascii="Arial" w:cs="Arial" w:eastAsia="Arial" w:hAnsi="Arial"/>
                <w:sz w:val="18"/>
                <w:szCs w:val="18"/>
                <w:color w:val="auto"/>
              </w:rPr>
              <w:t>Japan</w:t>
            </w:r>
          </w:p>
        </w:tc>
        <w:tc>
          <w:tcPr>
            <w:tcW w:w="2280" w:type="dxa"/>
            <w:vAlign w:val="bottom"/>
          </w:tcPr>
          <w:p>
            <w:pPr>
              <w:ind w:left="620"/>
              <w:spacing w:after="0"/>
              <w:rPr>
                <w:sz w:val="20"/>
                <w:szCs w:val="20"/>
                <w:color w:val="auto"/>
              </w:rPr>
            </w:pPr>
            <w:r>
              <w:rPr>
                <w:rFonts w:ascii="Arial" w:cs="Arial" w:eastAsia="Arial" w:hAnsi="Arial"/>
                <w:sz w:val="18"/>
                <w:szCs w:val="18"/>
                <w:color w:val="auto"/>
              </w:rPr>
              <w:t>Portugal</w:t>
            </w:r>
          </w:p>
        </w:tc>
        <w:tc>
          <w:tcPr>
            <w:tcW w:w="2240" w:type="dxa"/>
            <w:vAlign w:val="bottom"/>
          </w:tcPr>
          <w:p>
            <w:pPr>
              <w:ind w:left="480"/>
              <w:spacing w:after="0"/>
              <w:rPr>
                <w:sz w:val="20"/>
                <w:szCs w:val="20"/>
                <w:color w:val="auto"/>
              </w:rPr>
            </w:pPr>
            <w:r>
              <w:rPr>
                <w:rFonts w:ascii="Arial" w:cs="Arial" w:eastAsia="Arial" w:hAnsi="Arial"/>
                <w:sz w:val="18"/>
                <w:szCs w:val="18"/>
                <w:color w:val="auto"/>
              </w:rPr>
              <w:t>Vietnam</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Croatia</w:t>
            </w:r>
          </w:p>
        </w:tc>
        <w:tc>
          <w:tcPr>
            <w:tcW w:w="1820" w:type="dxa"/>
            <w:vAlign w:val="bottom"/>
          </w:tcPr>
          <w:p>
            <w:pPr>
              <w:ind w:left="260"/>
              <w:spacing w:after="0"/>
              <w:rPr>
                <w:sz w:val="20"/>
                <w:szCs w:val="20"/>
                <w:color w:val="auto"/>
              </w:rPr>
            </w:pPr>
            <w:r>
              <w:rPr>
                <w:rFonts w:ascii="Arial" w:cs="Arial" w:eastAsia="Arial" w:hAnsi="Arial"/>
                <w:sz w:val="18"/>
                <w:szCs w:val="18"/>
                <w:color w:val="auto"/>
              </w:rPr>
              <w:t>Kazakhstan</w:t>
            </w:r>
          </w:p>
        </w:tc>
        <w:tc>
          <w:tcPr>
            <w:tcW w:w="2280" w:type="dxa"/>
            <w:vAlign w:val="bottom"/>
          </w:tcPr>
          <w:p>
            <w:pPr>
              <w:ind w:left="620"/>
              <w:spacing w:after="0"/>
              <w:rPr>
                <w:sz w:val="20"/>
                <w:szCs w:val="20"/>
                <w:color w:val="auto"/>
              </w:rPr>
            </w:pPr>
            <w:r>
              <w:rPr>
                <w:rFonts w:ascii="Arial" w:cs="Arial" w:eastAsia="Arial" w:hAnsi="Arial"/>
                <w:sz w:val="18"/>
                <w:szCs w:val="18"/>
                <w:color w:val="auto"/>
              </w:rPr>
              <w:t>Qatar</w:t>
            </w:r>
          </w:p>
        </w:tc>
        <w:tc>
          <w:tcPr>
            <w:tcW w:w="2240" w:type="dxa"/>
            <w:vAlign w:val="bottom"/>
          </w:tcPr>
          <w:p>
            <w:pPr>
              <w:ind w:left="480"/>
              <w:spacing w:after="0"/>
              <w:rPr>
                <w:sz w:val="20"/>
                <w:szCs w:val="20"/>
                <w:color w:val="auto"/>
              </w:rPr>
            </w:pPr>
            <w:r>
              <w:rPr>
                <w:rFonts w:ascii="Arial" w:cs="Arial" w:eastAsia="Arial" w:hAnsi="Arial"/>
                <w:sz w:val="18"/>
                <w:szCs w:val="18"/>
                <w:color w:val="auto"/>
              </w:rPr>
              <w:t>Zambia</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Cyprus</w:t>
            </w:r>
          </w:p>
        </w:tc>
        <w:tc>
          <w:tcPr>
            <w:tcW w:w="1820" w:type="dxa"/>
            <w:vAlign w:val="bottom"/>
          </w:tcPr>
          <w:p>
            <w:pPr>
              <w:ind w:left="260"/>
              <w:spacing w:after="0"/>
              <w:rPr>
                <w:sz w:val="20"/>
                <w:szCs w:val="20"/>
                <w:color w:val="auto"/>
              </w:rPr>
            </w:pPr>
            <w:r>
              <w:rPr>
                <w:rFonts w:ascii="Arial" w:cs="Arial" w:eastAsia="Arial" w:hAnsi="Arial"/>
                <w:sz w:val="18"/>
                <w:szCs w:val="18"/>
                <w:color w:val="auto"/>
              </w:rPr>
              <w:t>Korea</w:t>
            </w:r>
          </w:p>
        </w:tc>
        <w:tc>
          <w:tcPr>
            <w:tcW w:w="2280" w:type="dxa"/>
            <w:vAlign w:val="bottom"/>
          </w:tcPr>
          <w:p>
            <w:pPr>
              <w:ind w:left="620"/>
              <w:spacing w:after="0"/>
              <w:rPr>
                <w:sz w:val="20"/>
                <w:szCs w:val="20"/>
                <w:color w:val="auto"/>
              </w:rPr>
            </w:pPr>
            <w:r>
              <w:rPr>
                <w:rFonts w:ascii="Arial" w:cs="Arial" w:eastAsia="Arial" w:hAnsi="Arial"/>
                <w:sz w:val="18"/>
                <w:szCs w:val="18"/>
                <w:color w:val="auto"/>
              </w:rPr>
              <w:t>Romania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Czech Republic</w:t>
            </w:r>
          </w:p>
        </w:tc>
        <w:tc>
          <w:tcPr>
            <w:tcW w:w="1820" w:type="dxa"/>
            <w:vAlign w:val="bottom"/>
          </w:tcPr>
          <w:p>
            <w:pPr>
              <w:ind w:left="260"/>
              <w:spacing w:after="0"/>
              <w:rPr>
                <w:sz w:val="20"/>
                <w:szCs w:val="20"/>
                <w:color w:val="auto"/>
              </w:rPr>
            </w:pPr>
            <w:r>
              <w:rPr>
                <w:rFonts w:ascii="Arial" w:cs="Arial" w:eastAsia="Arial" w:hAnsi="Arial"/>
                <w:sz w:val="18"/>
                <w:szCs w:val="18"/>
                <w:color w:val="auto"/>
              </w:rPr>
              <w:t>Kuwait</w:t>
            </w:r>
          </w:p>
        </w:tc>
        <w:tc>
          <w:tcPr>
            <w:tcW w:w="2280" w:type="dxa"/>
            <w:vAlign w:val="bottom"/>
          </w:tcPr>
          <w:p>
            <w:pPr>
              <w:ind w:left="620"/>
              <w:spacing w:after="0"/>
              <w:rPr>
                <w:sz w:val="20"/>
                <w:szCs w:val="20"/>
                <w:color w:val="auto"/>
              </w:rPr>
            </w:pPr>
            <w:r>
              <w:rPr>
                <w:rFonts w:ascii="Arial" w:cs="Arial" w:eastAsia="Arial" w:hAnsi="Arial"/>
                <w:sz w:val="18"/>
                <w:szCs w:val="18"/>
                <w:color w:val="auto"/>
              </w:rPr>
              <w:t>Russia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Denmark</w:t>
            </w:r>
          </w:p>
        </w:tc>
        <w:tc>
          <w:tcPr>
            <w:tcW w:w="1820" w:type="dxa"/>
            <w:vAlign w:val="bottom"/>
          </w:tcPr>
          <w:p>
            <w:pPr>
              <w:ind w:left="260"/>
              <w:spacing w:after="0"/>
              <w:rPr>
                <w:sz w:val="20"/>
                <w:szCs w:val="20"/>
                <w:color w:val="auto"/>
              </w:rPr>
            </w:pPr>
            <w:r>
              <w:rPr>
                <w:rFonts w:ascii="Arial" w:cs="Arial" w:eastAsia="Arial" w:hAnsi="Arial"/>
                <w:sz w:val="18"/>
                <w:szCs w:val="18"/>
                <w:color w:val="auto"/>
              </w:rPr>
              <w:t>Latvia</w:t>
            </w:r>
          </w:p>
        </w:tc>
        <w:tc>
          <w:tcPr>
            <w:tcW w:w="2280" w:type="dxa"/>
            <w:vAlign w:val="bottom"/>
          </w:tcPr>
          <w:p>
            <w:pPr>
              <w:ind w:left="620"/>
              <w:spacing w:after="0"/>
              <w:rPr>
                <w:sz w:val="20"/>
                <w:szCs w:val="20"/>
                <w:color w:val="auto"/>
              </w:rPr>
            </w:pPr>
            <w:r>
              <w:rPr>
                <w:rFonts w:ascii="Arial" w:cs="Arial" w:eastAsia="Arial" w:hAnsi="Arial"/>
                <w:sz w:val="18"/>
                <w:szCs w:val="18"/>
                <w:color w:val="auto"/>
              </w:rPr>
              <w:t>Saudi Arabia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Egypt</w:t>
            </w:r>
          </w:p>
        </w:tc>
        <w:tc>
          <w:tcPr>
            <w:tcW w:w="1820" w:type="dxa"/>
            <w:vAlign w:val="bottom"/>
          </w:tcPr>
          <w:p>
            <w:pPr>
              <w:ind w:left="260"/>
              <w:spacing w:after="0"/>
              <w:rPr>
                <w:sz w:val="20"/>
                <w:szCs w:val="20"/>
                <w:color w:val="auto"/>
              </w:rPr>
            </w:pPr>
            <w:r>
              <w:rPr>
                <w:rFonts w:ascii="Arial" w:cs="Arial" w:eastAsia="Arial" w:hAnsi="Arial"/>
                <w:sz w:val="18"/>
                <w:szCs w:val="18"/>
                <w:color w:val="auto"/>
              </w:rPr>
              <w:t>Lithuania</w:t>
            </w:r>
          </w:p>
        </w:tc>
        <w:tc>
          <w:tcPr>
            <w:tcW w:w="2280" w:type="dxa"/>
            <w:vAlign w:val="bottom"/>
          </w:tcPr>
          <w:p>
            <w:pPr>
              <w:ind w:left="620"/>
              <w:spacing w:after="0"/>
              <w:rPr>
                <w:sz w:val="20"/>
                <w:szCs w:val="20"/>
                <w:color w:val="auto"/>
              </w:rPr>
            </w:pPr>
            <w:r>
              <w:rPr>
                <w:rFonts w:ascii="Arial" w:cs="Arial" w:eastAsia="Arial" w:hAnsi="Arial"/>
                <w:sz w:val="18"/>
                <w:szCs w:val="18"/>
                <w:color w:val="auto"/>
              </w:rPr>
              <w:t>Serbia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Estonia</w:t>
            </w:r>
          </w:p>
        </w:tc>
        <w:tc>
          <w:tcPr>
            <w:tcW w:w="1820" w:type="dxa"/>
            <w:vAlign w:val="bottom"/>
          </w:tcPr>
          <w:p>
            <w:pPr>
              <w:ind w:left="260"/>
              <w:spacing w:after="0"/>
              <w:rPr>
                <w:sz w:val="20"/>
                <w:szCs w:val="20"/>
                <w:color w:val="auto"/>
              </w:rPr>
            </w:pPr>
            <w:r>
              <w:rPr>
                <w:rFonts w:ascii="Arial" w:cs="Arial" w:eastAsia="Arial" w:hAnsi="Arial"/>
                <w:sz w:val="18"/>
                <w:szCs w:val="18"/>
                <w:color w:val="auto"/>
              </w:rPr>
              <w:t>Luxembourg</w:t>
            </w:r>
          </w:p>
        </w:tc>
        <w:tc>
          <w:tcPr>
            <w:tcW w:w="2280" w:type="dxa"/>
            <w:vAlign w:val="bottom"/>
          </w:tcPr>
          <w:p>
            <w:pPr>
              <w:ind w:left="620"/>
              <w:spacing w:after="0"/>
              <w:rPr>
                <w:sz w:val="20"/>
                <w:szCs w:val="20"/>
                <w:color w:val="auto"/>
              </w:rPr>
            </w:pPr>
            <w:r>
              <w:rPr>
                <w:rFonts w:ascii="Arial" w:cs="Arial" w:eastAsia="Arial" w:hAnsi="Arial"/>
                <w:sz w:val="18"/>
                <w:szCs w:val="18"/>
                <w:color w:val="auto"/>
              </w:rPr>
              <w:t>Singapore</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Ethiopia</w:t>
            </w:r>
          </w:p>
        </w:tc>
        <w:tc>
          <w:tcPr>
            <w:tcW w:w="1820" w:type="dxa"/>
            <w:vAlign w:val="bottom"/>
          </w:tcPr>
          <w:p>
            <w:pPr>
              <w:ind w:left="260"/>
              <w:spacing w:after="0"/>
              <w:rPr>
                <w:sz w:val="20"/>
                <w:szCs w:val="20"/>
                <w:color w:val="auto"/>
              </w:rPr>
            </w:pPr>
            <w:r>
              <w:rPr>
                <w:rFonts w:ascii="Arial" w:cs="Arial" w:eastAsia="Arial" w:hAnsi="Arial"/>
                <w:sz w:val="18"/>
                <w:szCs w:val="18"/>
                <w:color w:val="auto"/>
              </w:rPr>
              <w:t>Macedonia</w:t>
            </w:r>
          </w:p>
        </w:tc>
        <w:tc>
          <w:tcPr>
            <w:tcW w:w="2280" w:type="dxa"/>
            <w:vAlign w:val="bottom"/>
          </w:tcPr>
          <w:p>
            <w:pPr>
              <w:ind w:left="620"/>
              <w:spacing w:after="0"/>
              <w:rPr>
                <w:sz w:val="20"/>
                <w:szCs w:val="20"/>
                <w:color w:val="auto"/>
              </w:rPr>
            </w:pPr>
            <w:r>
              <w:rPr>
                <w:rFonts w:ascii="Arial" w:cs="Arial" w:eastAsia="Arial" w:hAnsi="Arial"/>
                <w:sz w:val="18"/>
                <w:szCs w:val="18"/>
                <w:color w:val="auto"/>
              </w:rPr>
              <w:t>Slovak Republic</w:t>
            </w:r>
          </w:p>
        </w:tc>
        <w:tc>
          <w:tcPr>
            <w:tcW w:w="2240" w:type="dxa"/>
            <w:vAlign w:val="bottom"/>
          </w:tcPr>
          <w:p>
            <w:pPr>
              <w:spacing w:after="0"/>
              <w:rPr>
                <w:sz w:val="24"/>
                <w:szCs w:val="24"/>
                <w:color w:val="auto"/>
              </w:rPr>
            </w:pPr>
          </w:p>
        </w:tc>
      </w:tr>
    </w:tbl>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 on Dividends Paid on ICON Ordinary Shares</w:t>
      </w:r>
    </w:p>
    <w:p>
      <w:pPr>
        <w:spacing w:after="0" w:line="14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Irish income tax may arise for certain persons in respect of distributions received from Irish resident companies.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 ICON shareholder that is not resident or ordinarily resident in Ireland and that is entitled to an exemption from DWT generally has no liability for Irish income tax or the universal social charge on a dividend received from ICON. An exception to this position may apply where such shareholder holds ICON ordinary shares through a branch or agency in Ireland through which a trade is carried on.</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 ICON shareholder that is not resident or ordinarily resident in Ireland and that is not entitled to an exemption from DWT generally has no additional Irish income tax liability or liability for the universal social charge. The DWT deducted by ICON discharges the liability to income tax. An exception to this position may apply where the shareholder holds ICON ordinary shares through a branch or agency in Ireland through which a trade is carried on.</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 Acquisitions Tax (CAT)</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CAT comprises principally gift tax and inheritance tax. CAT could apply to a gift or inheritance of ICON ordinary shares irrespective of the place of residence, ordinary residence or domicile of the parties. This is because ICON ordinary shares are regarded as property situated in Ireland for Irish CAT purposes as the share register of ICON must be held in Ireland. The person who receives the gift or inheritance has primary liability for CAT.</w:t>
      </w:r>
    </w:p>
    <w:p>
      <w:pPr>
        <w:spacing w:after="0" w:line="4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of the same marriage or civil partners of the same civil partnership are exempt from CAT. Children currently have a tax-free threshold of €335,000 in respect of taxable gifts or inheritances received from their parents. ICON shareholders should consult their own tax advisors as to whether CAT is creditable or deductible in computing any domestic tax liabilities.</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ectPr>
          <w:pgSz w:w="11900" w:h="16838" w:orient="portrait"/>
          <w:cols w:equalWidth="0" w:num="1">
            <w:col w:w="9019"/>
          </w:cols>
          <w:pgMar w:left="1440" w:top="265" w:right="1440" w:bottom="106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60" w:gutter="0" w:footer="0" w:header="0"/>
          <w:type w:val="continuous"/>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IRISH TAX CONSEQUENCES SUMMARIZED ABOVE ARE FOR GENERAL INFORMATION ONLY. PRA STOCKHOLDERS AND ICON SHAREHOLDERS SHOULD CONSULT WITH THEIR TAX ADVISORS REGARDING THE TAX CONSEQUENCES OF THE MERGER AND OF THE ACQUISITION, OWNERSHIP AND DISPOSAL OF ICON ORDINARY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STOCKHOLDERS’ RIGHTS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is incorporated in the State of Delaware and the rights of PRA stockholders are governed by the laws of the State of Delaware, including the Delaware General Corporation Law (the “DGCL”), and by PRA’s certificate of incorporation and bylaws. Upon completion of the merger, PRA stockholders immediately prior to the effective time of the merger will receive ICON ordinary shares and become ICON shareholders.</w:t>
      </w:r>
    </w:p>
    <w:p>
      <w:pPr>
        <w:spacing w:after="0" w:line="6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ICON is a public limited company incorporated under the laws of Ireland, and the rights of the shareholders of ICON are governed by applicable Irish law, including the Irish Companies Act, and by the ICON constitution. Each ICON ordinary share issued to PRA stockholders in connection with the merger will be issued in accordance with, and will carry with it the rights and obligations set forth in, the ICON constitution.</w:t>
      </w:r>
    </w:p>
    <w:p>
      <w:pPr>
        <w:spacing w:after="0" w:line="63"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The following is a summary comparison of certain differences between the rights of PRA stockholders under the DGCL, the PRA certificate of incorporation and the PRA bylaws, on the one hand, and the rights that PRA stockholders will have as shareholders of ICON under the Irish Companies Act and the ICON constitution, on the other hand.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statements in this section are qualified in their entirety by reference to, and are subject to, the provisions of the PRA certificate of incorporation and PRA bylaws, which have been filed by PRA with the SEC, and the ICON constitution, which has been filed by ICON with the SEC. You are also urged to carefully read the relevant provisions of the DGCL and the Irish Companies Act for a more complete understanding of the differences between being a stockholder of PRA and a shareholder of ICON. Copies of the documents referred to in this summary may be obtained as described under the section entitled “</w:t>
      </w:r>
      <w:r>
        <w:rPr>
          <w:rFonts w:ascii="Arial" w:cs="Arial" w:eastAsia="Arial" w:hAnsi="Arial"/>
          <w:sz w:val="17"/>
          <w:szCs w:val="17"/>
          <w:b w:val="1"/>
          <w:bCs w:val="1"/>
          <w:color w:val="auto"/>
        </w:rPr>
        <w:t>Where You Can Find More Information</w:t>
      </w:r>
      <w:r>
        <w:rPr>
          <w:rFonts w:ascii="Arial" w:cs="Arial" w:eastAsia="Arial" w:hAnsi="Arial"/>
          <w:sz w:val="17"/>
          <w:szCs w:val="17"/>
          <w:color w:val="auto"/>
        </w:rPr>
        <w:t>” beginning on page [</w:t>
      </w:r>
      <w:hyperlink w:anchor="page235">
        <w:r>
          <w:rPr>
            <w:rFonts w:ascii="Arial" w:cs="Arial" w:eastAsia="Arial" w:hAnsi="Arial"/>
            <w:sz w:val="17"/>
            <w:szCs w:val="17"/>
            <w:u w:val="single" w:color="auto"/>
            <w:color w:val="0000EE"/>
          </w:rPr>
          <w:t>218</w:t>
        </w:r>
      </w:hyperlink>
      <w:r>
        <w:rPr>
          <w:rFonts w:ascii="Arial" w:cs="Arial" w:eastAsia="Arial" w:hAnsi="Arial"/>
          <w:sz w:val="17"/>
          <w:szCs w:val="17"/>
          <w:color w:val="auto"/>
        </w:rPr>
        <w:t>].</w:t>
      </w:r>
    </w:p>
    <w:p>
      <w:pPr>
        <w:spacing w:after="0" w:line="71" w:lineRule="exact"/>
        <w:rPr>
          <w:sz w:val="20"/>
          <w:szCs w:val="20"/>
          <w:color w:val="auto"/>
        </w:rPr>
      </w:pPr>
    </w:p>
    <w:p>
      <w:pPr>
        <w:jc w:val="both"/>
        <w:ind w:left="300" w:right="299" w:firstLine="360"/>
        <w:spacing w:after="0" w:line="255" w:lineRule="auto"/>
        <w:rPr>
          <w:rFonts w:ascii="Arial" w:cs="Arial" w:eastAsia="Arial" w:hAnsi="Arial"/>
          <w:sz w:val="18"/>
          <w:szCs w:val="18"/>
          <w:color w:val="auto"/>
        </w:rPr>
      </w:pPr>
      <w:r>
        <w:rPr>
          <w:rFonts w:ascii="Arial" w:cs="Arial" w:eastAsia="Arial" w:hAnsi="Arial"/>
          <w:sz w:val="18"/>
          <w:szCs w:val="18"/>
          <w:color w:val="auto"/>
        </w:rPr>
        <w:t>The discussion in this section does not include a description of rights or obligations under the U.S. federal securities laws or Nasdaq listing requirements. Rights and obligations under U.S. federal securities laws generally apply equally to PRA common stock and ICON ordinary shares. See “</w:t>
      </w:r>
      <w:r>
        <w:rPr>
          <w:rFonts w:ascii="Arial" w:cs="Arial" w:eastAsia="Arial" w:hAnsi="Arial"/>
          <w:sz w:val="18"/>
          <w:szCs w:val="18"/>
          <w:b w:val="1"/>
          <w:bCs w:val="1"/>
          <w:color w:val="auto"/>
        </w:rPr>
        <w:t>The Merger Proposal – Governance of</w:t>
      </w:r>
      <w:r>
        <w:rPr>
          <w:rFonts w:ascii="Arial" w:cs="Arial" w:eastAsia="Arial" w:hAnsi="Arial"/>
          <w:sz w:val="18"/>
          <w:szCs w:val="18"/>
          <w:color w:val="auto"/>
        </w:rPr>
        <w:t xml:space="preserve"> </w:t>
      </w:r>
      <w:r>
        <w:rPr>
          <w:rFonts w:ascii="Arial" w:cs="Arial" w:eastAsia="Arial" w:hAnsi="Arial"/>
          <w:sz w:val="18"/>
          <w:szCs w:val="18"/>
          <w:b w:val="1"/>
          <w:bCs w:val="1"/>
          <w:color w:val="auto"/>
        </w:rPr>
        <w:t>ICON after the Merger — Certain exemptions from Nasdaq corporate governance requirements</w:t>
      </w:r>
      <w:r>
        <w:rPr>
          <w:rFonts w:ascii="Arial" w:cs="Arial" w:eastAsia="Arial" w:hAnsi="Arial"/>
          <w:sz w:val="18"/>
          <w:szCs w:val="18"/>
          <w:color w:val="auto"/>
        </w:rPr>
        <w:t>”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on page [</w:t>
      </w:r>
      <w:hyperlink w:anchor="page129">
        <w:r>
          <w:rPr>
            <w:rFonts w:ascii="Arial" w:cs="Arial" w:eastAsia="Arial" w:hAnsi="Arial"/>
            <w:sz w:val="18"/>
            <w:szCs w:val="18"/>
            <w:u w:val="single" w:color="auto"/>
            <w:color w:val="0000EE"/>
          </w:rPr>
          <w:t>112</w:t>
        </w:r>
      </w:hyperlink>
      <w:r>
        <w:rPr>
          <w:rFonts w:ascii="Arial" w:cs="Arial" w:eastAsia="Arial" w:hAnsi="Arial"/>
          <w:sz w:val="18"/>
          <w:szCs w:val="18"/>
          <w:color w:val="auto"/>
        </w:rPr>
        <w:t>] for a discussion of certain exemptions from Nasdaq corporate governance requirement that are available to foreign private issuers.</w:t>
      </w:r>
    </w:p>
    <w:p>
      <w:pPr>
        <w:spacing w:after="0" w:line="157"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Authorized Capital Stock</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The aggregate number of shares that PRA has the authority to issue is 1,100,000,000 shares, consisting of</w:t>
      </w:r>
    </w:p>
    <w:p>
      <w:pPr>
        <w:jc w:val="both"/>
        <w:ind w:left="300" w:hanging="8"/>
        <w:spacing w:after="0" w:line="277" w:lineRule="auto"/>
        <w:tabs>
          <w:tab w:leader="none" w:pos="56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1,000,000,000 shares of PRA common stock, par value $0.01 per share and (ii) 100,000,000 shares of preferred stock, par value $0.01 per share.</w:t>
      </w:r>
    </w:p>
    <w:p>
      <w:pPr>
        <w:spacing w:after="0" w:line="173"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As of the close of business on the PRA record date, there were 64,795,400 shares of PRA common stock issued and outstanding and there were no shares of PRA preferred stock issued and outstanding.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ICON’s authorized share capital is €6,000,000 divided into 100,000,000 ordinary shares with a par value of €0.06 per share.</w:t>
      </w:r>
    </w:p>
    <w:p>
      <w:pPr>
        <w:spacing w:after="0" w:line="184" w:lineRule="exact"/>
        <w:rPr>
          <w:sz w:val="20"/>
          <w:szCs w:val="20"/>
          <w:color w:val="auto"/>
        </w:rPr>
      </w:pPr>
    </w:p>
    <w:p>
      <w:pPr>
        <w:jc w:val="both"/>
        <w:ind w:right="299"/>
        <w:spacing w:after="0" w:line="296" w:lineRule="auto"/>
        <w:rPr>
          <w:sz w:val="20"/>
          <w:szCs w:val="20"/>
          <w:color w:val="auto"/>
        </w:rPr>
      </w:pPr>
      <w:r>
        <w:rPr>
          <w:rFonts w:ascii="Arial" w:cs="Arial" w:eastAsia="Arial" w:hAnsi="Arial"/>
          <w:sz w:val="16"/>
          <w:szCs w:val="16"/>
          <w:color w:val="auto"/>
        </w:rPr>
        <w:t>The authorized share capital may be increased or reduced (but not below the number of issued shares) by a simple majority of the votes cast at a general meeting of the shareholders at which a quorum is present (referred to under Irish law as an “ordinary resolution”).</w:t>
      </w:r>
    </w:p>
    <w:p>
      <w:pPr>
        <w:spacing w:after="0" w:line="161"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Under Irish law, the directors of a company may issue new shares without shareholder approval once authorized to do so by its constitution or by an ordinary resolution adopted by the shareholders at a general meeting. ICON seeks, and has secured, approval for an ordinary resolution each year at its annual general meeting to issue shares up to an amount equal to 20% of its then issued and outstanding share capital. As of the close of business on the ICON record date, ICON had 52,860,690 shares issued and outstanding.</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Rights of Preferred Stock</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The PRA certificate of incorporation adopts the provisions under the DGCL which provide that the PRA board of directors may provide, out of the unissued shares of PRA preferred stock, for one or more series of PRA preferred stock and, with respect to each such series of PRA preferred stock, for the PRA board of directors to fix, without approval of PRA stockholders, the designation, powers (including voting powers), preferences and relative, participating, optional and other special rights, and the qualifications, limitations or restrictions thereof.</w:t>
      </w:r>
    </w:p>
    <w:p>
      <w:pPr>
        <w:spacing w:after="0" w:line="182"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Additionally, the number of authorized shares of PRA stock may be increased or decreased (but not lowered below the number of shares then outstanding) and subject to the powers, preferences and rights, and the qualifications, limitations and restrictions for such shares stated in the PRA certificate of incorporation or the certificate of designations relating to a series of preferred stock, may be changed by the affirmative vote of a majority in voting power of the stock of PRA entitled to vote thereon.</w:t>
      </w:r>
    </w:p>
    <w:p>
      <w:pPr>
        <w:spacing w:after="0" w:line="185"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No shares of PRA preferred stock were outstanding as of the date of this joint proxy statement/prospectus.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ICON may, by special resolution of its shareholders (a special resolution being one that requires a majority of not less than 75% of the votes cast), create a class of preferred shares.</w:t>
      </w:r>
    </w:p>
    <w:p>
      <w:pPr>
        <w:spacing w:after="0" w:line="187"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As of the date of this joint proxy statement/prospectus, there were no ICON preferred shares authorized, issued or outstanding.</w:t>
      </w:r>
    </w:p>
    <w:p>
      <w:pPr>
        <w:spacing w:after="0" w:line="372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Preemption Rights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PRA stockholders do not have preemptive rights to acquire newly issued shares.</w:t>
      </w:r>
    </w:p>
    <w:p>
      <w:pPr>
        <w:spacing w:after="0" w:line="170"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color w:val="auto"/>
        </w:rPr>
        <w:t>Under the DGCL and the PRA certificate of incorporation, capital stock issued by PRA may be paid for in such form and manner as the board of directors determines, such payment to consist of cash, any tangible or intangible property or any benefit to the corporation, in each case, having a value not less than the par value or stated capital of the shares so issued, as determined by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such that shares issued for cash must be offered to existing shareholders of ICON on a pro rata basis to their existing shareholding before shares may be issued to any new shareholders.</w:t>
      </w:r>
    </w:p>
    <w:p>
      <w:pPr>
        <w:spacing w:after="0" w:line="164"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ICON seeks, and has secured, approval for a special resolution each year at its annual general meeting to issue shares up to an amount equal to 5 % of its then issued and outstanding share capital without having to apply statutory preemption and for a further 5% where that is in connection with a financing for an acquisition or other capital investment.</w:t>
      </w:r>
    </w:p>
    <w:p>
      <w:pPr>
        <w:spacing w:after="0" w:line="177" w:lineRule="exact"/>
        <w:rPr>
          <w:sz w:val="20"/>
          <w:szCs w:val="20"/>
          <w:color w:val="auto"/>
        </w:rPr>
      </w:pPr>
    </w:p>
    <w:p>
      <w:pPr>
        <w:jc w:val="both"/>
        <w:ind w:right="299"/>
        <w:spacing w:after="0" w:line="291" w:lineRule="auto"/>
        <w:rPr>
          <w:sz w:val="20"/>
          <w:szCs w:val="20"/>
          <w:color w:val="auto"/>
        </w:rPr>
      </w:pPr>
      <w:r>
        <w:rPr>
          <w:rFonts w:ascii="Arial" w:cs="Arial" w:eastAsia="Arial" w:hAnsi="Arial"/>
          <w:sz w:val="16"/>
          <w:szCs w:val="16"/>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Consolidation, Division and Sub-division</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Under the DGCL, the issued shares of a corporation may be combined into a smaller number of shares or split into a greater number of shares through an amendment to its certificate of incorporation.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that ICON may, by ordinary resolution of its shareholders, consolidate and divide its issued share capital into shares of a larger amount, or subdivide its issued share capital into shares of a smaller amount.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Reduction of Share Capital</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Under the DGCL, PRA, by resolution of its board of directors, may reduce its capital by reducing or eliminating the capital associated with shares of capital stock that have been retired, by applying some or all of the capital represented by shares purchased, redeemed, converted or exchanged or by transferring to surplus the capital associated with certain shares of its stock. No reduction of capital may be made unless the assets of the corporation remaining after the reduction are sufficient to pay any debts for which payment has not otherwise been provided.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308" w:lineRule="auto"/>
        <w:rPr>
          <w:sz w:val="20"/>
          <w:szCs w:val="20"/>
          <w:color w:val="auto"/>
        </w:rPr>
      </w:pPr>
      <w:r>
        <w:rPr>
          <w:rFonts w:ascii="Arial" w:cs="Arial" w:eastAsia="Arial" w:hAnsi="Arial"/>
          <w:sz w:val="17"/>
          <w:szCs w:val="17"/>
          <w:color w:val="auto"/>
        </w:rPr>
        <w:t>ICON may, by ordinary resolution of its shareholders, reduce its authorized but unissued share capital.</w:t>
      </w:r>
    </w:p>
    <w:p>
      <w:pPr>
        <w:spacing w:after="0" w:line="146"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ICON may, by special resolution of its shareholders and subject to the approval of the Irish High Court, reduce or cancel its paid in share capital, any capital redemption reserve fund, any undenominated capital and/or any share premium account in any manner.</w:t>
      </w:r>
    </w:p>
    <w:p>
      <w:pPr>
        <w:spacing w:after="0" w:line="6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Distributions and Dividends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8" w:lineRule="auto"/>
        <w:rPr>
          <w:sz w:val="20"/>
          <w:szCs w:val="20"/>
          <w:color w:val="auto"/>
        </w:rPr>
      </w:pPr>
      <w:r>
        <w:rPr>
          <w:rFonts w:ascii="Arial" w:cs="Arial" w:eastAsia="Arial" w:hAnsi="Arial"/>
          <w:sz w:val="16"/>
          <w:szCs w:val="16"/>
          <w:color w:val="auto"/>
        </w:rPr>
        <w:t>Under the DGCL, the PRA board of directors may declare and pay dividends to the holders of the PRA capital stock out of surplus or, if there is no surplus, out of net profits for the year in which the dividend is declared or the immediately preceding fiscal year, or both, provided that such payment would not reduce capital below the amount of capital represented by all classes of outstanding stock having a preference as to the distribution of assets. Dividends may be paid in cash, in shares of PRA capital stock or in other property.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Under Irish law, ICON is only permitted to make dividends and distributions from its distributable reserves. Distributable reserves means accumulated realized profits less accumulated realized losses and includes reserves created by way of capital reduction. In addition, no distribution or dividend may be made unless the net assets of ICON are equal to, or in excess of, the aggregate of ICON’s called-up share capital plus undistributable reserves and the distribution does not reduce ICON’s net assets below such aggregate.</w:t>
      </w:r>
    </w:p>
    <w:p>
      <w:pPr>
        <w:spacing w:after="0" w:line="168"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Undistributable reserves include the share premium account, the capital redemption reserve fund and the amount by which ICON’s accumulated unrealized profits, so far as not previously utilized by any capitalization, exceed ICON’s accumulated unrealized losses, so far as not previously written off in a reduction or reorganization of capital.</w:t>
      </w:r>
    </w:p>
    <w:p>
      <w:pPr>
        <w:spacing w:after="0" w:line="177"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The determination as to whether or not ICON has sufficient distributable reserves to fund a dividend or a distribution must be made by reference to the “relevant financial statements” of ICON. The “relevant financial statements” are either the last set of unconsolidated annual audited financial statements or other financial statements properly prepared in accordance with the Irish Companies Act, which give a “true and fair view” of ICON’s unconsolidated financial position and accord with accepted accounting practice. The relevant financial statements must be filed in the Irish Companies Registration Office (the official public registry for companies in Ireland with which ICON is registered).</w:t>
      </w:r>
    </w:p>
    <w:p>
      <w:pPr>
        <w:spacing w:after="0" w:line="174" w:lineRule="exact"/>
        <w:rPr>
          <w:sz w:val="20"/>
          <w:szCs w:val="20"/>
          <w:color w:val="auto"/>
        </w:rPr>
      </w:pPr>
    </w:p>
    <w:p>
      <w:pPr>
        <w:jc w:val="both"/>
        <w:ind w:right="299"/>
        <w:spacing w:after="0" w:line="308" w:lineRule="auto"/>
        <w:rPr>
          <w:sz w:val="20"/>
          <w:szCs w:val="20"/>
          <w:color w:val="auto"/>
        </w:rPr>
      </w:pPr>
      <w:r>
        <w:rPr>
          <w:rFonts w:ascii="Arial" w:cs="Arial" w:eastAsia="Arial" w:hAnsi="Arial"/>
          <w:sz w:val="17"/>
          <w:szCs w:val="17"/>
          <w:color w:val="auto"/>
        </w:rPr>
        <w:t>The ICON constitution authorizes the directors to pay interim dividends without shareholder approval to the</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extent they appear justified by profits. The ICON board</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 directors may also recommend a dividend to be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approved and declared by the shareholders at a general</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meeting and may direct that the payment be made by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distribution of assets, shares or cash. No dividend issued</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may exceed the amount recommended by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Repurchases and Redemptions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PRA certificate of incorporation does not contain restriction on repurchases or redemptions of its own shares.</w:t>
      </w:r>
    </w:p>
    <w:p>
      <w:pPr>
        <w:spacing w:after="0" w:line="184" w:lineRule="exact"/>
        <w:rPr>
          <w:sz w:val="20"/>
          <w:szCs w:val="20"/>
          <w:color w:val="auto"/>
        </w:rPr>
      </w:pPr>
    </w:p>
    <w:p>
      <w:pPr>
        <w:jc w:val="both"/>
        <w:ind w:left="300"/>
        <w:spacing w:after="0" w:line="270" w:lineRule="auto"/>
        <w:rPr>
          <w:sz w:val="20"/>
          <w:szCs w:val="20"/>
          <w:color w:val="auto"/>
        </w:rPr>
      </w:pPr>
      <w:r>
        <w:rPr>
          <w:rFonts w:ascii="Arial" w:cs="Arial" w:eastAsia="Arial" w:hAnsi="Arial"/>
          <w:sz w:val="17"/>
          <w:szCs w:val="17"/>
          <w:color w:val="auto"/>
        </w:rPr>
        <w:t>Under the DGCL, PRA may redeem or repurchase its own shares, except that generally it may not redeem or repurchase those shares if the capital of the corporation is impaired at the time or would become impaired as a result of the redemption or repurchase of such shares. If PRA were to designate and issue shares of a series of preferred stock that is redeemable in accordance with its terms, such terms would govern the redemption of such shares.</w:t>
      </w:r>
    </w:p>
    <w:p>
      <w:pPr>
        <w:spacing w:after="0" w:line="181"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Repurchased and redeemed shares may be retired or held as treasury shares. Shares that have been repurchased but have not been retired may be resold by a corporation for such consideration as the board of directors may determine in its discretion. PRA may not exercise any voting rights in respect to any shares held as treasury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that any ordinary share that ICON has agreed to acquire shall be deemed to be a redeemable share. Accordingly, for purposes of Irish law, the repurchase of shares by ICON may technically be effected as a redemption.</w:t>
      </w:r>
    </w:p>
    <w:p>
      <w:pPr>
        <w:spacing w:after="0" w:line="188"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Under Irish law, where ICON redeems its shares it must do so out of distributable reserves or, if ICON proposes to cancel the shares on redemption, the proceeds of a new issue of shares for that purpose.</w:t>
      </w:r>
    </w:p>
    <w:p>
      <w:pPr>
        <w:spacing w:after="0" w:line="187" w:lineRule="exact"/>
        <w:rPr>
          <w:sz w:val="20"/>
          <w:szCs w:val="20"/>
          <w:color w:val="auto"/>
        </w:rPr>
      </w:pPr>
    </w:p>
    <w:p>
      <w:pPr>
        <w:jc w:val="both"/>
        <w:ind w:right="299"/>
        <w:spacing w:after="0" w:line="290" w:lineRule="auto"/>
        <w:rPr>
          <w:sz w:val="20"/>
          <w:szCs w:val="20"/>
          <w:color w:val="auto"/>
        </w:rPr>
      </w:pPr>
      <w:r>
        <w:rPr>
          <w:rFonts w:ascii="Arial" w:cs="Arial" w:eastAsia="Arial" w:hAnsi="Arial"/>
          <w:sz w:val="16"/>
          <w:szCs w:val="16"/>
          <w:color w:val="auto"/>
        </w:rPr>
        <w:t>ICON may also be given authority to purchase its own shares as overseas market purchases on a recognized stock exchange such as Nasdaq or off-market purchases, with such authority to be given by its shareholders at a general meeting. ICON seeks, and has secured, approval for a special resolution each year at its annual general meeting authorizing overseas market purchases of up to 10% of its then issued and outstanding share capital.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Shares must be repurchased out of distributable reserves.</w:t>
      </w:r>
    </w:p>
    <w:p>
      <w:pPr>
        <w:spacing w:after="0" w:line="260" w:lineRule="exact"/>
        <w:rPr>
          <w:sz w:val="20"/>
          <w:szCs w:val="20"/>
          <w:color w:val="auto"/>
        </w:rPr>
      </w:pPr>
    </w:p>
    <w:p>
      <w:pPr>
        <w:jc w:val="both"/>
        <w:ind w:right="299"/>
        <w:spacing w:after="0" w:line="271" w:lineRule="auto"/>
        <w:rPr>
          <w:sz w:val="20"/>
          <w:szCs w:val="20"/>
          <w:color w:val="auto"/>
        </w:rPr>
      </w:pPr>
      <w:r>
        <w:rPr>
          <w:rFonts w:ascii="Arial" w:cs="Arial" w:eastAsia="Arial" w:hAnsi="Arial"/>
          <w:sz w:val="17"/>
          <w:szCs w:val="17"/>
          <w:color w:val="auto"/>
        </w:rPr>
        <w:t>Repurchased and redeemed shares may be canceled or held as treasury shares. The nominal value of treasury shares held by ICON at any time must not exceed 10% of the nominal value of the issued share capital of ICON. ICON may not exercise any voting rights in respect of any shares held as treasury shares. Treasury shares may be canceled by ICON or reissued subject to certain conditions.</w:t>
      </w:r>
    </w:p>
    <w:p>
      <w:pPr>
        <w:spacing w:after="0" w:line="4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Dividends in Shares / Bonus Issues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PRA may make distributions of capital stock to its stockholders in the form of a stock dividend.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Under the ICON constitution, the shareholders of ICON, on the recommendation of the directors, may resolve to capitalize any amount for the time being standing to the credit of any of ICON’s reserves accounts or to the credit of the profit and loss account which is not available for distribution by applying such sum in paying up in full unissued shares to be allotted as fully paid bonus shares to those shareholders of ICON who would have been entitled to that sum if it were distributable and had been distributed by way of dividend (and in the same proportions).</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Lien on Shares, Calls on Shares and Forfeiture of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0" w:lineRule="auto"/>
        <w:rPr>
          <w:sz w:val="20"/>
          <w:szCs w:val="20"/>
          <w:color w:val="auto"/>
        </w:rPr>
      </w:pPr>
      <w:r>
        <w:rPr>
          <w:rFonts w:ascii="Arial" w:cs="Arial" w:eastAsia="Arial" w:hAnsi="Arial"/>
          <w:sz w:val="17"/>
          <w:szCs w:val="17"/>
          <w:color w:val="auto"/>
        </w:rPr>
        <w:t>Under the DGCL, a corporation may issue the whole or any part of its shares as partly paid and subject to call for the remainder of the consideration to be paid therefor. When the whole of the consideration payable for shares of a corporation has not been paid in full, and the assets of the corporation shall be insufficient to satisfy the claims of creditors, each holder of shares not paid in full shall be bound to pay the unpaid balance due for such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The ICON constitution provides that ICON will have a first and paramount lien on every share for all moneys payable, whether presently due or not, in respect of that ICON share. Subject to the terms of their allotment, directors may call for any unpaid amounts in respect of any shares to be paid, and if payment is not made, the shares may be forfeited. These provisions are standard inclusions in the constitution of an Irish company limited by shares, such as ICON, and will only be applicable to ICON ordinary shares that have not been fully paid up. The shares to be issued to PRA stockholders in the merger will be fully paid up.</w:t>
      </w:r>
    </w:p>
    <w:p>
      <w:pPr>
        <w:spacing w:after="0" w:line="3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Voting Rights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Each holder of shares of PRA common stock is entitled to one vote for each share of PRA common stock held on all matters properly submitted on which the holders of shares of PRA common stock are entitled to vote.</w:t>
      </w:r>
    </w:p>
    <w:p>
      <w:pPr>
        <w:spacing w:after="0" w:line="157"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The PRA bylaws provide that in all matters other than the election of directors, matters presented to PRA stockholders at a meeting at which a quorum is present will be decided by an affirmative vote of a majority of the voting power of the shares present in person or represented by proxy at the meeting and entitled to vote on such matter (unless a different vote is required by law, regulation the PRA certificate of incorporation, the PRA bylaws or the rules of any stock exchange applicable to PRA). Directors are elected by a plurality of the voting power of the shares present in person or represented by proxy at the meeting and entitled to vote on the election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279" w:lineRule="auto"/>
        <w:rPr>
          <w:sz w:val="20"/>
          <w:szCs w:val="20"/>
          <w:color w:val="auto"/>
        </w:rPr>
      </w:pPr>
      <w:r>
        <w:rPr>
          <w:rFonts w:ascii="Arial" w:cs="Arial" w:eastAsia="Arial" w:hAnsi="Arial"/>
          <w:sz w:val="17"/>
          <w:szCs w:val="17"/>
          <w:color w:val="auto"/>
        </w:rPr>
        <w:t>Each holder of ICON ordinary shares is entitled to one vote for each ordinary share held by the shareholder on the applicable record date for all matters on which the shareholders are entitled to vote.</w:t>
      </w:r>
    </w:p>
    <w:p>
      <w:pPr>
        <w:spacing w:after="0" w:line="171"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Except where a greater majority is required by the Irish Companies Act, any question, business or resolution proposed at any general meeting shall be decided by way of an ordinary resolution of its shareholders. Ordinary resolutions require a simple majority of the votes of ICON shareholders cast at a general meeting at which a quorum is present.</w:t>
      </w:r>
    </w:p>
    <w:p>
      <w:pPr>
        <w:spacing w:after="0" w:line="195"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Irish law requires approval of certain matters by special resolution of the shareholders at a general meeting. Special resolutions require a majority of not less than 75% of the shareholder votes cast at a general meeting at which a quorum is present.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Quorum</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auto"/>
        </w:rPr>
        <w:t>The PRA bylaws provide that, at any meeting of the PRA stockholders, the presence in person or by proxy of the holders of record of voting power of a majority of the issued and outstanding the shares entitled to vote at the stockholders meeting constitutes a quorum. The PRA bylaws provide that, where a separate vote by a class or series or classes or series is required, a majority in voting power of the outstanding shares of such class or series or classes or series, present in person or by proxy, shall constitute a quorum entitled to take action with respect to the vote on that matter.</w:t>
      </w:r>
    </w:p>
    <w:p>
      <w:pPr>
        <w:spacing w:after="0" w:line="17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If a quorum is not present or represented at any meeting of stockholders, the PRA bylaws provide that either the chairman of the meeting or the holders of a majority in voting power of the shares of PRA stock present in person or by proxy and entitled to vote thereat may adjourn the meeting.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ICON constitution provides that a quorum for a shareholder meeting shall be three (3) or more shareholders present in person or by proxy entitled to vote upon the business that is being transacted.</w:t>
      </w:r>
    </w:p>
    <w:p>
      <w:pPr>
        <w:spacing w:after="0" w:line="3218"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Stockholder Rights Plans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PRA currently has no stockholder rights plan. If the merger is not completed, the PRA board of directors retains the right to adopt a stockholder rights plan at a future date.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ICON currently has no shareholder rights plan in place. Irish law does not expressly authorize or prohibit companies from issuing share purchase rights or adopting a shareholder rights plan as an anti-takeover measure.</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Stockholder Inspection Rights; Stockholder Lists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auto"/>
        </w:rPr>
        <w:t>Under Section 220 of the DGCL, a stockholder or its agent has a right to inspect the corporation’s stock ledger, a list of all of its stockholders and its other books and records during the usual hours of business upon written demand stating the purpose for such inspection (which must be reasonably related to such person’s interest as a stockholder). If the corporation refuses to permit such inspection or refuses to reply to such a request within five (5) business days after the demand, the stockholder may apply to the Court of Chancery of the State of Delaware for an order to compel such inspection.</w:t>
      </w:r>
    </w:p>
    <w:p>
      <w:pPr>
        <w:spacing w:after="0" w:line="200" w:lineRule="exact"/>
        <w:rPr>
          <w:sz w:val="20"/>
          <w:szCs w:val="20"/>
          <w:color w:val="auto"/>
        </w:rPr>
      </w:pPr>
    </w:p>
    <w:p>
      <w:pPr>
        <w:jc w:val="both"/>
        <w:ind w:left="300"/>
        <w:spacing w:after="0" w:line="283" w:lineRule="auto"/>
        <w:rPr>
          <w:sz w:val="20"/>
          <w:szCs w:val="20"/>
          <w:color w:val="auto"/>
        </w:rPr>
      </w:pPr>
      <w:r>
        <w:rPr>
          <w:rFonts w:ascii="Arial" w:cs="Arial" w:eastAsia="Arial" w:hAnsi="Arial"/>
          <w:sz w:val="16"/>
          <w:szCs w:val="16"/>
          <w:color w:val="auto"/>
        </w:rPr>
        <w:t>The PRA bylaws provide that a complete list of the PRA stockholders entitled to vote at each meeting of PRA stockholders, arranged in alphabetical order, and showing the address of each stockholder and the number of shares of PRA stock registered in the name of each stockholder, must be prepared and made available by PRA at least 10 days before every meeting of PRA stockholders, provided that if the record date is less than ten (10) days before the date of the meeting of PRA stockholders, the list of PRA stockholders will reflect the PRA stockholders entitled to vote as of the tenth day before the date of the meeting of PRA stockholders. The stockholder list is to be provided either: (i) on a reasonably accessible electronic network, provided that the information required to gain access to the list is provided with the notice of the PRA stockholder meeting; or (ii) during ordinary business hours at PRA’s principal place of business. If the meeting of PRA stockholders is held at a place, the stockholder list is to be kept at the place of the PRA stockholder meeting during the meeting and may be examined by any PRA stockholder who is present, and if the meeting PRA stockholders is to be held by means of remote communication, then the stockholder list must also be open to the examination of any PRA stockholder during the whole time of the meeting of PRA stockholders on a reasonably accessible electronic network, and the information required to access such list shall be provided with the notice of meeting.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shareholders have the right to:</w:t>
      </w:r>
    </w:p>
    <w:p>
      <w:pPr>
        <w:spacing w:after="0" w:line="225" w:lineRule="exact"/>
        <w:rPr>
          <w:sz w:val="20"/>
          <w:szCs w:val="20"/>
          <w:color w:val="auto"/>
        </w:rPr>
      </w:pPr>
    </w:p>
    <w:p>
      <w:pPr>
        <w:ind w:left="420" w:hanging="248"/>
        <w:spacing w:after="0"/>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receive a copy of the ICON constitution;</w:t>
      </w:r>
    </w:p>
    <w:p>
      <w:pPr>
        <w:spacing w:after="0" w:line="225" w:lineRule="exact"/>
        <w:rPr>
          <w:rFonts w:ascii="Arial" w:cs="Arial" w:eastAsia="Arial" w:hAnsi="Arial"/>
          <w:sz w:val="18"/>
          <w:szCs w:val="18"/>
          <w:color w:val="auto"/>
        </w:rPr>
      </w:pPr>
    </w:p>
    <w:p>
      <w:pPr>
        <w:ind w:left="440" w:right="299" w:hanging="268"/>
        <w:spacing w:after="0" w:line="308" w:lineRule="auto"/>
        <w:tabs>
          <w:tab w:leader="none" w:pos="4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inspect and obtain copies of the minutes of shareholder meetings and resolutions of ICON;</w:t>
      </w:r>
    </w:p>
    <w:p>
      <w:pPr>
        <w:spacing w:after="0" w:line="146" w:lineRule="exact"/>
        <w:rPr>
          <w:rFonts w:ascii="Arial" w:cs="Arial" w:eastAsia="Arial" w:hAnsi="Arial"/>
          <w:sz w:val="17"/>
          <w:szCs w:val="17"/>
          <w:color w:val="auto"/>
        </w:rPr>
      </w:pPr>
    </w:p>
    <w:p>
      <w:pPr>
        <w:jc w:val="both"/>
        <w:ind w:left="440" w:right="299" w:hanging="268"/>
        <w:spacing w:after="0" w:line="259" w:lineRule="auto"/>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maintained by ICON;</w:t>
      </w:r>
    </w:p>
    <w:p>
      <w:pPr>
        <w:spacing w:after="0" w:line="186" w:lineRule="exact"/>
        <w:rPr>
          <w:rFonts w:ascii="Arial" w:cs="Arial" w:eastAsia="Arial" w:hAnsi="Arial"/>
          <w:sz w:val="18"/>
          <w:szCs w:val="18"/>
          <w:color w:val="auto"/>
        </w:rPr>
      </w:pPr>
    </w:p>
    <w:p>
      <w:pPr>
        <w:jc w:val="both"/>
        <w:ind w:left="440" w:right="299" w:hanging="268"/>
        <w:spacing w:after="0" w:line="259" w:lineRule="auto"/>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of ICON that have previously been sent to shareholders prior to an annual general meeting; and</w:t>
      </w:r>
    </w:p>
    <w:p>
      <w:pPr>
        <w:spacing w:after="0" w:line="186" w:lineRule="exact"/>
        <w:rPr>
          <w:rFonts w:ascii="Arial" w:cs="Arial" w:eastAsia="Arial" w:hAnsi="Arial"/>
          <w:sz w:val="18"/>
          <w:szCs w:val="18"/>
          <w:color w:val="auto"/>
        </w:rPr>
      </w:pPr>
    </w:p>
    <w:p>
      <w:pPr>
        <w:jc w:val="both"/>
        <w:ind w:left="440" w:right="299" w:hanging="268"/>
        <w:spacing w:after="0" w:line="259" w:lineRule="auto"/>
        <w:tabs>
          <w:tab w:leader="none" w:pos="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receive balance sheets of any subsidiary of ICON that have previously been sent to shareholders prior to an annual general meeting for the preceding ten (10) years.</w:t>
      </w:r>
    </w:p>
    <w:p>
      <w:pPr>
        <w:spacing w:after="0" w:line="473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120"/>
        <w:spacing w:after="0"/>
        <w:tabs>
          <w:tab w:leader="none" w:pos="63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Disclosure of Interests in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Neither the DGCL nor PRA’s governing documents impose any obligation with respect to disclosure by PRA stockholders of their interests in PRA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Under the Irish Companies Act, an ICON shareholder must notify ICON if, as a result of a transaction, the shareholder will be interested in 3% or more of the relevant share capital of ICON; or if, as a result of a transaction, a shareholder who was interested in 3% or more of the relevant share capital of ICON ceases to be so interested. Where a shareholder is interested in 3% or more of the relevant share capital of ICON (i.e., voting shares), any alteration of their interest that brings their total holding through the nearest whole percentage number, whether an increase or a reduction, must be notified to ICON.</w:t>
      </w:r>
    </w:p>
    <w:p>
      <w:pPr>
        <w:spacing w:after="0" w:line="172"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The relevant percentage figure is calculated by reference to the aggregate par value of the shares in which the shareholder is interested as a proportion of the entire par value of ICON ordinary share capital. Where the percentage level of the shareholder’s interest does not amount to a whole percentage, this figure may be rounded down to the next whole number. All such disclosures should be notified to ICON within five (5) business days of the alteration of the shareholder’s interests that gave rise to the requirement to notify.</w:t>
      </w:r>
    </w:p>
    <w:p>
      <w:pPr>
        <w:spacing w:after="0" w:line="185"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shares in ICON concerned, held by such person, shall be enforceable by such person, whether directly or indirectly, by action or legal proceeding. However, such person may apply to the Irish High Court to have the rights attaching to the shares concerned reinstated.</w:t>
      </w:r>
    </w:p>
    <w:p>
      <w:pPr>
        <w:spacing w:after="0" w:line="192" w:lineRule="exact"/>
        <w:rPr>
          <w:sz w:val="20"/>
          <w:szCs w:val="20"/>
          <w:color w:val="auto"/>
        </w:rPr>
      </w:pPr>
    </w:p>
    <w:p>
      <w:pPr>
        <w:jc w:val="both"/>
        <w:ind w:right="299"/>
        <w:spacing w:after="0" w:line="268" w:lineRule="auto"/>
        <w:rPr>
          <w:sz w:val="20"/>
          <w:szCs w:val="20"/>
          <w:color w:val="auto"/>
        </w:rPr>
      </w:pPr>
      <w:r>
        <w:rPr>
          <w:rFonts w:ascii="Arial" w:cs="Arial" w:eastAsia="Arial" w:hAnsi="Arial"/>
          <w:sz w:val="17"/>
          <w:szCs w:val="17"/>
          <w:color w:val="auto"/>
        </w:rPr>
        <w:t>In addition to the above disclosure requirement, ICON, under the Irish Companies Act, may by notice in writing require a person whom ICON knows or has reasonable cause to believe to be, or at any time during the three (3) years immediately preceding the date on which such notice is issued, to have been interested in shares comprised in ICON’s relevant share capital (i) to indicate whether or not it is the case and (ii) where such person holds or has during that time held an interest in the shares of ICON, to give such further information as may be required by ICON, including particulars of such person’s own past or present interests in ICON ordinary shares. Any information given in response to the notice is required to be given in writing within such reasonable time as may be specified in the notice.</w:t>
      </w:r>
    </w:p>
    <w:p>
      <w:pPr>
        <w:spacing w:after="0" w:line="182" w:lineRule="exact"/>
        <w:rPr>
          <w:sz w:val="20"/>
          <w:szCs w:val="20"/>
          <w:color w:val="auto"/>
        </w:rPr>
      </w:pPr>
    </w:p>
    <w:p>
      <w:pPr>
        <w:jc w:val="both"/>
        <w:ind w:right="299"/>
        <w:spacing w:after="0" w:line="308" w:lineRule="auto"/>
        <w:rPr>
          <w:sz w:val="20"/>
          <w:szCs w:val="20"/>
          <w:color w:val="auto"/>
        </w:rPr>
      </w:pPr>
      <w:r>
        <w:rPr>
          <w:rFonts w:ascii="Arial" w:cs="Arial" w:eastAsia="Arial" w:hAnsi="Arial"/>
          <w:sz w:val="17"/>
          <w:szCs w:val="17"/>
          <w:color w:val="auto"/>
        </w:rPr>
        <w:t>Where such a notice is served by ICON on a person who is or was interested in shares of ICON and that person</w:t>
      </w:r>
    </w:p>
    <w:p>
      <w:pPr>
        <w:spacing w:after="0" w:line="200" w:lineRule="exact"/>
        <w:rPr>
          <w:sz w:val="20"/>
          <w:szCs w:val="20"/>
          <w:color w:val="auto"/>
        </w:rPr>
      </w:pPr>
    </w:p>
    <w:p>
      <w:pPr>
        <w:sectPr>
          <w:pgSz w:w="11900" w:h="16838" w:orient="portrait"/>
          <w:cols w:equalWidth="0" w:num="2">
            <w:col w:w="4220" w:space="200"/>
            <w:col w:w="45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fails to give ICON any of the requested information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within the reasonable time specified, ICON may apply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to the court for an order directing that the affected shares</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be  subject  to  certain  restrictions.  Under  the  Irish</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Companies Act, the restrictions that may be placed on</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shares by the court are as follows:</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a)</w:t>
        <w:tab/>
        <w:t>any transfer of those shares, or in the case of</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unissued shares, any transfer of the right to be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issued with shares and any issue of shares, shall be</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no voting rights shall be exercisable in respect of</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those shares;</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no further shares shall be issued in right of those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shares or in pursuance of any offer made to the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holder of those shares; and</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no payment shall be made of any sums due from</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ICON on those shares, whether in respect of capital</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or otherwise.</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Where the shares in ICON are subject to these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restrictions, the court may order the shares to be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sold and may also direct that the shares shall cease</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to be subject to these restrictions.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Rights of Dissenting Shareholders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Under the DGCL, a stockholder may exercise appraisal rights to receive payments in cash for the fair value of his or her shares as appraised by the Court of Chancery of the State of Delaware in the event of certain mergers and consolidations in lieu of the consideration otherwise provided thereby. However, stockholders do not have appraisal rights if the shares of stock they hold, at the record date for determination of stockholders entitled to vote at the meeting of stockholders to act upon the merger or consolidation (or, in the case of a merger pursuant to Section 251(h) of the DGCL, as of immediately prior to the execution of the agreement of merger), or on the record date with respect to action by written consent, are either (1) listed on a national securities exchange or (2) held of record by more than 2,000 holders. This is sometimes referred to as the “market out” exception to appraisal rights. Further, no appraisal rights are available to stockholders of the surviving corporation if the merger did not require the vote of the stockholders of the surviving corporation as provided in Section 251(f) of the DGCL.</w:t>
      </w:r>
    </w:p>
    <w:p>
      <w:pPr>
        <w:spacing w:after="0" w:line="18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Notwithstanding the “market out” exception described above, appraisal rights are available if stockholders are required by the terms of the merger agreement to accept for their shares anything other than (1) shares of stock of</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Generally, under Irish law, shareholders of an Irish company do not have dissenters’ or appraisal rights. Certain legislation can give dissenting shareholders rights of redress as follows: .</w:t>
      </w:r>
    </w:p>
    <w:p>
      <w:pPr>
        <w:spacing w:after="0" w:line="187"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ICON and a company incorporated in the European Economic Area (the European Economic Area includes all member states of the European Union and Norway, Iceland and Liechtenstein) where that other company is the surviving entity, a shareholder (i) who voted against the special resolution approving the merger or (ii) of a company in which 90% of the shares are held by the other party to the merger, has the right to request that the company acquire their shares for cash at a price determined in accordance with the share exchange ratio set out in the acquisition agreement.</w:t>
      </w:r>
    </w:p>
    <w:p>
      <w:pPr>
        <w:spacing w:after="0" w:line="171"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A dissenting shareholder in the event of a successful tender for ICON, could by application to the Irish High Court, object to that company using the compulsory minority squeeze out provisions of the Irish Companies Act.</w:t>
      </w:r>
    </w:p>
    <w:p>
      <w:pPr>
        <w:spacing w:after="0" w:line="44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surviving or resulting corporation in the applicable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merger or consolidation, or depositary receipts in respect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thereof, (2) shares of stock or depositary receipts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 thereof of another corporation that will either be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listed on a national securities exchange or held of record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more than 2,000 holders, (3) cash in lieu of fractional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shares or depositary receipts in respect thereof described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clauses (1)-(2) or (4) any combination of clauses (1)-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Appraisal rights are also available under the DGCL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 the certificate of incorporation so provides.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PRA certificate of incorporation does not provide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appraisal rights in any additional circumstance other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 as required by applicable law.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Shareholder Suits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Generally, PRA may be sued under federal securities law, and under the DGCL, by a stockholder, who may bring a derivative action on behalf of the corporation to enforce the rights of the corporation. Generally, a person or entity may institute and maintain such a suit only if such person or entity was a stockholder at the time of the transaction that is the subject of the suit or if his, her or its shares thereafter devolved upon him, her or it by operation of law. The DGCL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In Ireland, the decision to institute proceedings is generally taken by a company’s board of directors, who will usually be empowered to manage the company’s business. In certain limited circumstances, a shareholder may be entitled to bring a derivative action on behalf of the company. The central question at issue in deciding whether a minority shareholder may be permitted to bring a derivative action is whether, unless the action is brought, a wrong committed against the company would otherwise go unredressed.</w:t>
      </w:r>
    </w:p>
    <w:p>
      <w:pPr>
        <w:spacing w:after="0" w:line="168"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The principal case law in Ireland indicates that to bring a derivative action, a person must first establish a prima facie case (a) that the company is entitled to the relief claimed and (b) that the action falls within one of the five exceptions derived from case law, as follows:</w:t>
      </w:r>
    </w:p>
    <w:p>
      <w:pPr>
        <w:spacing w:after="0" w:line="176" w:lineRule="exact"/>
        <w:rPr>
          <w:sz w:val="20"/>
          <w:szCs w:val="20"/>
          <w:color w:val="auto"/>
        </w:rPr>
      </w:pPr>
    </w:p>
    <w:p>
      <w:pPr>
        <w:ind w:left="500" w:hanging="328"/>
        <w:spacing w:after="0"/>
        <w:tabs>
          <w:tab w:leader="none" w:pos="5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where an ultra vires or illegal act is perpetrated;</w:t>
      </w:r>
    </w:p>
    <w:p>
      <w:pPr>
        <w:spacing w:after="0" w:line="236" w:lineRule="exact"/>
        <w:rPr>
          <w:rFonts w:ascii="Arial" w:cs="Arial" w:eastAsia="Arial" w:hAnsi="Arial"/>
          <w:sz w:val="17"/>
          <w:szCs w:val="17"/>
          <w:color w:val="auto"/>
        </w:rPr>
      </w:pPr>
    </w:p>
    <w:p>
      <w:pPr>
        <w:ind w:left="500" w:right="299" w:hanging="328"/>
        <w:spacing w:after="0" w:line="277" w:lineRule="auto"/>
        <w:tabs>
          <w:tab w:leader="none" w:pos="5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where more than a bare majority is required to ratify the “wrong” complained of;</w:t>
      </w:r>
    </w:p>
    <w:p>
      <w:pPr>
        <w:spacing w:after="0" w:line="170" w:lineRule="exact"/>
        <w:rPr>
          <w:rFonts w:ascii="Arial" w:cs="Arial" w:eastAsia="Arial" w:hAnsi="Arial"/>
          <w:sz w:val="18"/>
          <w:szCs w:val="18"/>
          <w:color w:val="auto"/>
        </w:rPr>
      </w:pPr>
    </w:p>
    <w:p>
      <w:pPr>
        <w:ind w:left="500" w:right="319" w:hanging="328"/>
        <w:spacing w:after="0" w:line="277" w:lineRule="auto"/>
        <w:tabs>
          <w:tab w:leader="none" w:pos="5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where the shareholders' personal rights are infringed;</w:t>
      </w:r>
    </w:p>
    <w:p>
      <w:pPr>
        <w:spacing w:after="0" w:line="17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ind w:left="5060" w:right="319" w:hanging="268"/>
        <w:spacing w:after="0" w:line="277" w:lineRule="auto"/>
        <w:tabs>
          <w:tab w:leader="none" w:pos="50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)where a fraud has been perpetrated upon a minority by those in control; or</w:t>
      </w:r>
    </w:p>
    <w:p>
      <w:pPr>
        <w:spacing w:after="0" w:line="170" w:lineRule="exact"/>
        <w:rPr>
          <w:sz w:val="20"/>
          <w:szCs w:val="20"/>
          <w:color w:val="auto"/>
        </w:rPr>
      </w:pPr>
    </w:p>
    <w:p>
      <w:pPr>
        <w:ind w:left="5120" w:right="319" w:hanging="328"/>
        <w:spacing w:after="0" w:line="342" w:lineRule="auto"/>
        <w:tabs>
          <w:tab w:leader="none" w:pos="51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where the justice of the case requires a minority to be permitted to institute proceedings.</w:t>
      </w:r>
    </w:p>
    <w:p>
      <w:pPr>
        <w:spacing w:after="0" w:line="123" w:lineRule="exact"/>
        <w:rPr>
          <w:rFonts w:ascii="Arial" w:cs="Arial" w:eastAsia="Arial" w:hAnsi="Arial"/>
          <w:sz w:val="16"/>
          <w:szCs w:val="16"/>
          <w:color w:val="auto"/>
        </w:rPr>
      </w:pPr>
    </w:p>
    <w:p>
      <w:pPr>
        <w:jc w:val="both"/>
        <w:ind w:left="5120" w:right="299"/>
        <w:spacing w:after="0" w:line="272" w:lineRule="auto"/>
        <w:rPr>
          <w:rFonts w:ascii="Arial" w:cs="Arial" w:eastAsia="Arial" w:hAnsi="Arial"/>
          <w:sz w:val="16"/>
          <w:szCs w:val="16"/>
          <w:color w:val="auto"/>
        </w:rPr>
      </w:pPr>
      <w:r>
        <w:rPr>
          <w:rFonts w:ascii="Arial" w:cs="Arial" w:eastAsia="Arial" w:hAnsi="Arial"/>
          <w:sz w:val="17"/>
          <w:szCs w:val="17"/>
          <w:color w:val="auto"/>
        </w:rPr>
        <w:t>Shareholders may also bring proceedings against the company where the affairs of the company are being conducted, or the powers of the directors are being exercised, in a manner oppressive to the shareholders or in disregard of their interests. Oppression connotes conduct that is burdensome, harsh or wrong.</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Conduct must relate to the internal management of the</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company. This is an Irish statutory remedy, and the court</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can grant any order it sees fit, usually providing for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disposition or transfer of the shares of the relevant</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shareholder.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Variation of Rights Attaching to a Class or Series of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The PRA bylaws provide that, where a separate vote by a class or series or classes or series is required, a majority in voting power of the outstanding shares of such class or series or classes or series, present in person or by proxy, shall constitute a quorum entitled to take action with respect to the vote on that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As a matter of Irish law, any variation of class rights attaching to the issued ICON ordinary shares must be approved in writing by holders of three-quarters of the issued shares in that class or with the sanction of a special resolution passed at a separate general meeting of the holders of the shares of that class.</w:t>
      </w:r>
    </w:p>
    <w:p>
      <w:pPr>
        <w:spacing w:after="0" w:line="4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Number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PRA certificate of incorporation and the PRA bylaws provide that, subject to any rights of holders of preferred stock, and unless the PRA certificate of incorporation fixes the number of directors, the number of directors shall be determined by resolution approved by a majority members of the PRA board of directors. There are currently seven (7) members of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The ICON constitution provides that, unless otherwise determined by the shareholders in a general meeting, the number of directors shall not be more than fifteen (15) and not fewer than three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ten (10) ICON directors.</w:t>
      </w:r>
    </w:p>
    <w:p>
      <w:pPr>
        <w:spacing w:after="0" w:line="522"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Term of Office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certificate of incorporation provides that, subject to any rights of holders of preferred stock, the directors are divided into three (3) classes of nearly equal size with duly elected directors of each class holding office for three (3) years until such director’s successor is duly elected and qualified at the appropriate meeting of PRA stockholders, subject to a director’s prior resignation, death or removal. Subject to the rights of holders of preferred stock, if the number of directors is changed, any newly created directorships or decrease in directorships will be apportioned among the classes to make all classes as nearly equal in number as is practicable.</w:t>
      </w:r>
    </w:p>
    <w:p>
      <w:pPr>
        <w:spacing w:after="0" w:line="186"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certificate of incorporation provides that if the PRA board of directors designates any series of preferred stock with the power to elect member(s) of the PRA board of directors, the PRA size of the PRA board of directors shall be automatically increased to allow for the appointment of such individual(s) and that, upon the divestiture of the right to elect member(s) of the PRA board of directors, the board shall be decreased by the total number of members of the PRA board of directors such series of preferred stock had the right to appoint and the director(s) elected by the series of preferred stock shall no longer serve as a member of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The ICON constitution provides that at each annual general meeting of ICON one third of the directors who are subject to retirement by rotation, rounded down to the next whole number if it is a fractional number, shall retire from office. Retiring directors are eligible for reappointment at the annual general meeting.</w:t>
      </w:r>
    </w:p>
    <w:p>
      <w:pPr>
        <w:spacing w:after="0" w:line="164"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directors (including any directors holding executive office) to retire by rotation shall be those who have been longest in office since their last appointment or reappointment.</w:t>
      </w:r>
    </w:p>
    <w:p>
      <w:pPr>
        <w:spacing w:after="0" w:line="365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Filling Vacancies on the Board of Directors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5" w:lineRule="auto"/>
        <w:rPr>
          <w:sz w:val="20"/>
          <w:szCs w:val="20"/>
          <w:color w:val="auto"/>
        </w:rPr>
      </w:pPr>
      <w:r>
        <w:rPr>
          <w:rFonts w:ascii="Arial" w:cs="Arial" w:eastAsia="Arial" w:hAnsi="Arial"/>
          <w:sz w:val="16"/>
          <w:szCs w:val="16"/>
          <w:color w:val="auto"/>
        </w:rPr>
        <w:t>The PRA certificate of incorporation and the PRA bylaws provide that, subject to any rights of holders of preferred stock and except as otherwise provided in the DGCL, any vacancy on the PRA board of directors or any newly created directorship resulting from an increase in the authorized number of directors, will be filled only by a vote of the majority of the directors then in office, although less than a quorum, or by a sole remaining director (if applicable), and not by PRA stockholders. No decrease in the number of authorized directors constituting the PRA board of directors will shorten the term of any incumbent director. A person chosen to fill a vacancy or newly created directorship will hold office until the next election of the class containing the chosen director and until his or her successor is duly elected and qualified.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If ICON, at the annual general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195" w:lineRule="exact"/>
        <w:rPr>
          <w:sz w:val="20"/>
          <w:szCs w:val="20"/>
          <w:color w:val="auto"/>
        </w:rPr>
      </w:pPr>
    </w:p>
    <w:p>
      <w:pPr>
        <w:jc w:val="both"/>
        <w:ind w:right="299"/>
        <w:spacing w:after="0" w:line="301" w:lineRule="auto"/>
        <w:rPr>
          <w:sz w:val="20"/>
          <w:szCs w:val="20"/>
          <w:color w:val="auto"/>
        </w:rPr>
      </w:pPr>
      <w:r>
        <w:rPr>
          <w:rFonts w:ascii="Arial" w:cs="Arial" w:eastAsia="Arial" w:hAnsi="Arial"/>
          <w:sz w:val="16"/>
          <w:szCs w:val="16"/>
          <w:color w:val="auto"/>
        </w:rPr>
        <w:t>The shareholders of ICON, by ordinary resolution, may appoint a person to be a director either to fill a vacancy or as an additional director and may also determine the rotation in which any additional directors are to retire.</w:t>
      </w:r>
    </w:p>
    <w:p>
      <w:pPr>
        <w:spacing w:after="0" w:line="157"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directors of ICON may appoint an additional director (subject to the maximum number set out in the ICON constitution) and that director shall hold office until the next annual general meeting where they will be put forward for reappointment.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Cumulative Voting</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PRA certificate of incorporation and bylaws do not provide for cumulative voting.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The ICON constitution does not provide for cumulative voting in director elections or otherwise.</w:t>
      </w:r>
    </w:p>
    <w:p>
      <w:pPr>
        <w:spacing w:after="0" w:line="35"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Removal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0" w:lineRule="auto"/>
        <w:rPr>
          <w:sz w:val="20"/>
          <w:szCs w:val="20"/>
          <w:color w:val="auto"/>
        </w:rPr>
      </w:pPr>
      <w:r>
        <w:rPr>
          <w:rFonts w:ascii="Arial" w:cs="Arial" w:eastAsia="Arial" w:hAnsi="Arial"/>
          <w:sz w:val="17"/>
          <w:szCs w:val="17"/>
          <w:color w:val="auto"/>
        </w:rPr>
        <w:t>The PRA certificate of incorporation and bylaws provide that, subject to the rights of holders of preferred stock with respect to the election of directors, for so long as directors of PRA are divided into classes, a director may be removed from office by the stockholders only for cause and by the affirmative vote of the holders of at least 66 2/3</w:t>
      </w:r>
      <w:r>
        <w:rPr>
          <w:rFonts w:ascii="Arial" w:cs="Arial" w:eastAsia="Arial" w:hAnsi="Arial"/>
          <w:sz w:val="28"/>
          <w:szCs w:val="28"/>
          <w:color w:val="auto"/>
          <w:vertAlign w:val="superscript"/>
        </w:rPr>
        <w:t>rds</w:t>
      </w:r>
      <w:r>
        <w:rPr>
          <w:rFonts w:ascii="Arial" w:cs="Arial" w:eastAsia="Arial" w:hAnsi="Arial"/>
          <w:sz w:val="17"/>
          <w:szCs w:val="17"/>
          <w:color w:val="auto"/>
        </w:rPr>
        <w:t xml:space="preserve"> % in voting power of the then-outstanding shares of stock of PRA entitled to vote thereon, voting as a single class.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Under the Irish Companies Act, the shareholders may, by an ordinary resolution (with at least 28 days’ notice given to ICON), remove a director from office before the expiration of their term at a meeting held at which the director is entitled to be heard.</w:t>
      </w:r>
    </w:p>
    <w:p>
      <w:pPr>
        <w:spacing w:after="0" w:line="176"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In compliance with this provision of the Irish Companies Act, the ICON constitution provides that ICON may remove any director before the expiry of their period of office notwithstanding any other provision of the constitution or any agreement between ICON and such director and may, if thought fit, by ordinary resolution appoint another director in their place. The person appointed shall be subject to retirement at the same time as if he had become a director on the date on which the director in whose place he is appointed was last appointed a director.</w:t>
      </w:r>
    </w:p>
    <w:p>
      <w:pPr>
        <w:spacing w:after="0" w:line="47"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Director Nominations by Stockholders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The PRA certificate of incorporation provides that advance notice of stockholder nominations for election of directors to be brought by stockholders before a meeting of stockholders must be given in the manner provided by the PRA bylaws. The PRA bylaws provide that a stockholder must give advance written notice to PRA of a director nomination. The notice must be in writing and in proper form delivered to the corporate secretary by the date not later than ninety (90) days, nor earlier than one hundred twenty (120) days, prior to the anniversary date of the annual meeting for the preceding year, except, however, that if the annual meeting is not scheduled to be held within a period that commences 30 days before and ends seventy (70) days after such</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left="8" w:right="299"/>
        <w:spacing w:after="0" w:line="286" w:lineRule="auto"/>
        <w:rPr>
          <w:rFonts w:ascii="Arial" w:cs="Arial" w:eastAsia="Arial" w:hAnsi="Arial"/>
          <w:sz w:val="17"/>
          <w:szCs w:val="17"/>
          <w:color w:val="0000EE"/>
        </w:rPr>
      </w:pPr>
      <w:hyperlink w:anchor="page201">
        <w:r>
          <w:rPr>
            <w:rFonts w:ascii="Arial" w:cs="Arial" w:eastAsia="Arial" w:hAnsi="Arial"/>
            <w:sz w:val="17"/>
            <w:szCs w:val="17"/>
            <w:u w:val="single" w:color="auto"/>
            <w:color w:val="0000EE"/>
          </w:rPr>
          <w:t>The</w:t>
        </w:r>
        <w:r>
          <w:rPr>
            <w:rFonts w:ascii="Arial" w:cs="Arial" w:eastAsia="Arial" w:hAnsi="Arial"/>
            <w:sz w:val="17"/>
            <w:szCs w:val="17"/>
            <w:color w:val="0000EE"/>
          </w:rPr>
          <w:t xml:space="preserve"> </w:t>
        </w:r>
      </w:hyperlink>
      <w:r>
        <w:rPr>
          <w:rFonts w:ascii="Arial" w:cs="Arial" w:eastAsia="Arial" w:hAnsi="Arial"/>
          <w:sz w:val="17"/>
          <w:szCs w:val="17"/>
          <w:color w:val="000000"/>
        </w:rPr>
        <w:t>ICON</w:t>
      </w:r>
      <w:r>
        <w:rPr>
          <w:rFonts w:ascii="Arial" w:cs="Arial" w:eastAsia="Arial" w:hAnsi="Arial"/>
          <w:sz w:val="17"/>
          <w:szCs w:val="17"/>
          <w:color w:val="0000EE"/>
        </w:rPr>
        <w:t xml:space="preserve"> </w:t>
      </w:r>
      <w:r>
        <w:rPr>
          <w:rFonts w:ascii="Arial" w:cs="Arial" w:eastAsia="Arial" w:hAnsi="Arial"/>
          <w:sz w:val="17"/>
          <w:szCs w:val="17"/>
          <w:color w:val="000000"/>
        </w:rPr>
        <w:t>constitution provides that no person other</w:t>
      </w:r>
      <w:r>
        <w:rPr>
          <w:rFonts w:ascii="Arial" w:cs="Arial" w:eastAsia="Arial" w:hAnsi="Arial"/>
          <w:sz w:val="17"/>
          <w:szCs w:val="17"/>
          <w:color w:val="0000EE"/>
        </w:rPr>
        <w:t xml:space="preserve"> </w:t>
      </w:r>
      <w:r>
        <w:rPr>
          <w:rFonts w:ascii="Arial" w:cs="Arial" w:eastAsia="Arial" w:hAnsi="Arial"/>
          <w:sz w:val="17"/>
          <w:szCs w:val="17"/>
          <w:color w:val="000000"/>
        </w:rPr>
        <w:t>than a director retiring by rotation shall be appointed a director at any annual general meeting unless:</w:t>
      </w:r>
    </w:p>
    <w:p>
      <w:pPr>
        <w:spacing w:after="0" w:line="165" w:lineRule="exact"/>
        <w:rPr>
          <w:sz w:val="20"/>
          <w:szCs w:val="20"/>
          <w:color w:val="auto"/>
        </w:rPr>
      </w:pPr>
    </w:p>
    <w:p>
      <w:pPr>
        <w:ind w:left="328" w:hanging="328"/>
        <w:spacing w:after="0"/>
        <w:tabs>
          <w:tab w:leader="none" w:pos="32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they are recommended by the directors; or</w:t>
      </w:r>
    </w:p>
    <w:p>
      <w:pPr>
        <w:spacing w:after="0" w:line="225" w:lineRule="exact"/>
        <w:rPr>
          <w:rFonts w:ascii="Arial" w:cs="Arial" w:eastAsia="Arial" w:hAnsi="Arial"/>
          <w:sz w:val="18"/>
          <w:szCs w:val="18"/>
          <w:color w:val="auto"/>
        </w:rPr>
      </w:pPr>
    </w:p>
    <w:p>
      <w:pPr>
        <w:jc w:val="both"/>
        <w:ind w:left="328" w:right="299" w:hanging="328"/>
        <w:spacing w:after="0" w:line="290" w:lineRule="auto"/>
        <w:tabs>
          <w:tab w:leader="none" w:pos="32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 draft resolution for the appointment of such person shall have been proposed by a shareholder or shareholders holding not less than 3% of the issued share capital, representing not less than 3% of the total voting rights of all the shareholders who have a right to vote at the meeting, received by ICON in hardcopy form or in electronic form at least 42 days before the meeting to which it relates, and passed at</w:t>
      </w:r>
    </w:p>
    <w:p>
      <w:pPr>
        <w:spacing w:after="0" w:line="200" w:lineRule="exact"/>
        <w:rPr>
          <w:sz w:val="20"/>
          <w:szCs w:val="20"/>
          <w:color w:val="auto"/>
        </w:rPr>
      </w:pPr>
    </w:p>
    <w:p>
      <w:pPr>
        <w:sectPr>
          <w:pgSz w:w="11900" w:h="16838" w:orient="portrait"/>
          <w:cols w:equalWidth="0" w:num="2">
            <w:col w:w="4400" w:space="212"/>
            <w:col w:w="4407"/>
          </w:cols>
          <w:pgMar w:left="1440" w:top="265" w:right="1440"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26142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4" w:lineRule="exact"/>
        <w:rPr>
          <w:sz w:val="20"/>
          <w:szCs w:val="20"/>
          <w:color w:val="auto"/>
        </w:rPr>
      </w:pPr>
    </w:p>
    <w:p>
      <w:pPr>
        <w:jc w:val="both"/>
        <w:ind w:left="300" w:right="240"/>
        <w:spacing w:after="0" w:line="253" w:lineRule="auto"/>
        <w:rPr>
          <w:rFonts w:ascii="Arial" w:cs="Arial" w:eastAsia="Arial" w:hAnsi="Arial"/>
          <w:sz w:val="18"/>
          <w:szCs w:val="18"/>
          <w:color w:val="auto"/>
        </w:rPr>
      </w:pPr>
      <w:r>
        <w:rPr>
          <w:rFonts w:ascii="Arial" w:cs="Arial" w:eastAsia="Arial" w:hAnsi="Arial"/>
          <w:sz w:val="18"/>
          <w:szCs w:val="18"/>
          <w:color w:val="auto"/>
        </w:rPr>
        <w:t>anniversary date, notice by the stockholder must be given by no later than ninety (90) days, nor earlier than one hundred twenty (120) days, prior to such annual meeting or, if later, the 10th day following the day of public announcement of the date of such annual meeting was first made. The voting requirements for election of directors are discussed above (see the section entitled “</w:t>
      </w:r>
      <w:r>
        <w:rPr>
          <w:rFonts w:ascii="Arial" w:cs="Arial" w:eastAsia="Arial" w:hAnsi="Arial"/>
          <w:sz w:val="18"/>
          <w:szCs w:val="18"/>
          <w:b w:val="1"/>
          <w:bCs w:val="1"/>
          <w:color w:val="auto"/>
        </w:rPr>
        <w:t>—Term of Office of Directors</w:t>
      </w:r>
      <w:r>
        <w:rPr>
          <w:rFonts w:ascii="Arial" w:cs="Arial" w:eastAsia="Arial" w:hAnsi="Arial"/>
          <w:sz w:val="18"/>
          <w:szCs w:val="18"/>
          <w:color w:val="auto"/>
        </w:rPr>
        <w:t>” beginning on page [</w:t>
      </w:r>
      <w:hyperlink w:anchor="page201">
        <w:r>
          <w:rPr>
            <w:rFonts w:ascii="Arial" w:cs="Arial" w:eastAsia="Arial" w:hAnsi="Arial"/>
            <w:sz w:val="18"/>
            <w:szCs w:val="18"/>
            <w:u w:val="single" w:color="auto"/>
            <w:color w:val="0000EE"/>
          </w:rPr>
          <w:t>184</w:t>
        </w:r>
      </w:hyperlink>
      <w:r>
        <w:rPr>
          <w:rFonts w:ascii="Arial" w:cs="Arial" w:eastAsia="Arial" w:hAnsi="Arial"/>
          <w:sz w:val="18"/>
          <w:szCs w:val="18"/>
          <w:color w:val="auto"/>
        </w:rPr>
        <w:t>]).</w:t>
      </w:r>
    </w:p>
    <w:p>
      <w:pPr>
        <w:spacing w:after="0" w:line="196" w:lineRule="exact"/>
        <w:rPr>
          <w:sz w:val="20"/>
          <w:szCs w:val="20"/>
          <w:color w:val="auto"/>
        </w:rPr>
      </w:pPr>
    </w:p>
    <w:p>
      <w:pPr>
        <w:jc w:val="both"/>
        <w:ind w:left="300" w:right="240"/>
        <w:spacing w:after="0" w:line="277" w:lineRule="auto"/>
        <w:rPr>
          <w:sz w:val="20"/>
          <w:szCs w:val="20"/>
          <w:color w:val="auto"/>
        </w:rPr>
      </w:pPr>
      <w:r>
        <w:rPr>
          <w:rFonts w:ascii="Arial" w:cs="Arial" w:eastAsia="Arial" w:hAnsi="Arial"/>
          <w:sz w:val="18"/>
          <w:szCs w:val="18"/>
          <w:color w:val="auto"/>
        </w:rPr>
        <w:t>Any stockholder notice relating to the nomination of directors must contain:</w:t>
      </w:r>
    </w:p>
    <w:p>
      <w:pPr>
        <w:spacing w:after="0" w:line="170" w:lineRule="exact"/>
        <w:rPr>
          <w:sz w:val="20"/>
          <w:szCs w:val="20"/>
          <w:color w:val="auto"/>
        </w:rPr>
      </w:pPr>
    </w:p>
    <w:p>
      <w:pPr>
        <w:jc w:val="both"/>
        <w:ind w:left="560" w:right="240" w:hanging="268"/>
        <w:spacing w:after="0" w:line="263" w:lineRule="auto"/>
        <w:tabs>
          <w:tab w:leader="none" w:pos="53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made:</w:t>
      </w:r>
    </w:p>
    <w:p>
      <w:pPr>
        <w:spacing w:after="0" w:line="183" w:lineRule="exact"/>
        <w:rPr>
          <w:rFonts w:ascii="Arial" w:cs="Arial" w:eastAsia="Arial" w:hAnsi="Arial"/>
          <w:sz w:val="18"/>
          <w:szCs w:val="18"/>
          <w:color w:val="auto"/>
        </w:rPr>
      </w:pPr>
    </w:p>
    <w:p>
      <w:pPr>
        <w:jc w:val="both"/>
        <w:ind w:left="920" w:right="240" w:hanging="241"/>
        <w:spacing w:after="0" w:line="263" w:lineRule="auto"/>
        <w:tabs>
          <w:tab w:leader="none" w:pos="943" w:val="left"/>
        </w:tabs>
        <w:numPr>
          <w:ilvl w:val="2"/>
          <w:numId w:val="214"/>
        </w:numPr>
        <w:rPr>
          <w:rFonts w:ascii="Arial" w:cs="Arial" w:eastAsia="Arial" w:hAnsi="Arial"/>
          <w:sz w:val="11"/>
          <w:szCs w:val="11"/>
          <w:color w:val="auto"/>
        </w:rPr>
      </w:pPr>
      <w:r>
        <w:rPr>
          <w:rFonts w:ascii="Arial" w:cs="Arial" w:eastAsia="Arial" w:hAnsi="Arial"/>
          <w:sz w:val="18"/>
          <w:szCs w:val="18"/>
          <w:color w:val="auto"/>
        </w:rPr>
        <w:t>the name and address of such stockholder, as they appear on PRA’s books and records and of such beneficial owner;</w:t>
      </w:r>
    </w:p>
    <w:p>
      <w:pPr>
        <w:spacing w:after="0" w:line="183" w:lineRule="exact"/>
        <w:rPr>
          <w:rFonts w:ascii="Arial" w:cs="Arial" w:eastAsia="Arial" w:hAnsi="Arial"/>
          <w:sz w:val="11"/>
          <w:szCs w:val="11"/>
          <w:color w:val="auto"/>
        </w:rPr>
      </w:pPr>
    </w:p>
    <w:p>
      <w:pPr>
        <w:jc w:val="both"/>
        <w:ind w:left="920" w:right="240" w:hanging="228"/>
        <w:spacing w:after="0" w:line="279" w:lineRule="auto"/>
        <w:tabs>
          <w:tab w:leader="none" w:pos="970" w:val="left"/>
        </w:tabs>
        <w:numPr>
          <w:ilvl w:val="3"/>
          <w:numId w:val="214"/>
        </w:numPr>
        <w:rPr>
          <w:rFonts w:ascii="Arial" w:cs="Arial" w:eastAsia="Arial" w:hAnsi="Arial"/>
          <w:sz w:val="10"/>
          <w:szCs w:val="10"/>
          <w:color w:val="auto"/>
        </w:rPr>
      </w:pPr>
      <w:r>
        <w:rPr>
          <w:rFonts w:ascii="Arial" w:cs="Arial" w:eastAsia="Arial" w:hAnsi="Arial"/>
          <w:sz w:val="17"/>
          <w:szCs w:val="17"/>
          <w:color w:val="auto"/>
        </w:rPr>
        <w:t>the class or series and number of shares of capital stock of PRA which are owned, directly or indirectly, beneficially and of record by such stockholder and such beneficial owner;</w:t>
      </w:r>
    </w:p>
    <w:p>
      <w:pPr>
        <w:spacing w:after="0" w:line="171" w:lineRule="exact"/>
        <w:rPr>
          <w:rFonts w:ascii="Arial" w:cs="Arial" w:eastAsia="Arial" w:hAnsi="Arial"/>
          <w:sz w:val="10"/>
          <w:szCs w:val="10"/>
          <w:color w:val="auto"/>
        </w:rPr>
      </w:pPr>
    </w:p>
    <w:p>
      <w:pPr>
        <w:jc w:val="both"/>
        <w:ind w:left="920" w:right="240" w:hanging="261"/>
        <w:spacing w:after="0" w:line="255" w:lineRule="auto"/>
        <w:tabs>
          <w:tab w:leader="none" w:pos="903" w:val="left"/>
        </w:tabs>
        <w:numPr>
          <w:ilvl w:val="1"/>
          <w:numId w:val="214"/>
        </w:numPr>
        <w:rPr>
          <w:rFonts w:ascii="Arial" w:cs="Arial" w:eastAsia="Arial" w:hAnsi="Arial"/>
          <w:sz w:val="11"/>
          <w:szCs w:val="11"/>
          <w:color w:val="auto"/>
        </w:rPr>
      </w:pPr>
      <w:r>
        <w:rPr>
          <w:rFonts w:ascii="Arial" w:cs="Arial" w:eastAsia="Arial" w:hAnsi="Arial"/>
          <w:sz w:val="18"/>
          <w:szCs w:val="18"/>
          <w:color w:val="auto"/>
        </w:rPr>
        <w:t>a representation that the stockholder is a holder of record of the stock of PRA at the time of the giving of the notice, will be entitled to vote at such meeting and will appear in person or by proxy at the meeting to propose such nomination;</w:t>
      </w:r>
    </w:p>
    <w:p>
      <w:pPr>
        <w:spacing w:after="0" w:line="192" w:lineRule="exact"/>
        <w:rPr>
          <w:rFonts w:ascii="Arial" w:cs="Arial" w:eastAsia="Arial" w:hAnsi="Arial"/>
          <w:sz w:val="11"/>
          <w:szCs w:val="11"/>
          <w:color w:val="auto"/>
        </w:rPr>
      </w:pPr>
    </w:p>
    <w:p>
      <w:pPr>
        <w:jc w:val="both"/>
        <w:ind w:left="920" w:right="240" w:hanging="140"/>
        <w:spacing w:after="0" w:line="270" w:lineRule="auto"/>
        <w:tabs>
          <w:tab w:leader="none" w:pos="1146" w:val="left"/>
        </w:tabs>
        <w:numPr>
          <w:ilvl w:val="5"/>
          <w:numId w:val="214"/>
        </w:numPr>
        <w:rPr>
          <w:rFonts w:ascii="Arial" w:cs="Arial" w:eastAsia="Arial" w:hAnsi="Arial"/>
          <w:sz w:val="10"/>
          <w:szCs w:val="10"/>
          <w:color w:val="auto"/>
        </w:rPr>
      </w:pPr>
      <w:r>
        <w:rPr>
          <w:rFonts w:ascii="Arial" w:cs="Arial" w:eastAsia="Arial" w:hAnsi="Arial"/>
          <w:sz w:val="17"/>
          <w:szCs w:val="17"/>
          <w:color w:val="auto"/>
        </w:rPr>
        <w:t>a certification regarding whether such stockholder and beneficial owner, if any, have complied with all applicable federal, state and other legal requirements in connection with the stockholder’s and/or beneficial owner’s acquisition of shares of PRA stock or other securities of PRA and/or the stockholder’s and/or beneficial owner’s acts or omissions as a stockholder of PRA; and</w:t>
      </w:r>
    </w:p>
    <w:p>
      <w:pPr>
        <w:spacing w:after="0" w:line="180" w:lineRule="exact"/>
        <w:rPr>
          <w:rFonts w:ascii="Arial" w:cs="Arial" w:eastAsia="Arial" w:hAnsi="Arial"/>
          <w:sz w:val="10"/>
          <w:szCs w:val="10"/>
          <w:color w:val="auto"/>
        </w:rPr>
      </w:pPr>
    </w:p>
    <w:p>
      <w:pPr>
        <w:jc w:val="both"/>
        <w:ind w:left="920" w:right="240" w:hanging="160"/>
        <w:spacing w:after="0" w:line="289" w:lineRule="auto"/>
        <w:tabs>
          <w:tab w:leader="none" w:pos="1105" w:val="left"/>
        </w:tabs>
        <w:numPr>
          <w:ilvl w:val="4"/>
          <w:numId w:val="214"/>
        </w:numPr>
        <w:rPr>
          <w:rFonts w:ascii="Arial" w:cs="Arial" w:eastAsia="Arial" w:hAnsi="Arial"/>
          <w:sz w:val="10"/>
          <w:szCs w:val="10"/>
          <w:color w:val="auto"/>
        </w:rPr>
      </w:pPr>
      <w:r>
        <w:rPr>
          <w:rFonts w:ascii="Arial" w:cs="Arial" w:eastAsia="Arial" w:hAnsi="Arial"/>
          <w:sz w:val="16"/>
          <w:szCs w:val="16"/>
          <w:color w:val="auto"/>
        </w:rPr>
        <w:t>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and the rules and regulations promulgated thereunder.</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49530</wp:posOffset>
            </wp:positionV>
            <wp:extent cx="26060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jc w:val="both"/>
        <w:ind w:right="299"/>
        <w:spacing w:after="0" w:line="277" w:lineRule="auto"/>
        <w:rPr>
          <w:sz w:val="20"/>
          <w:szCs w:val="20"/>
          <w:color w:val="auto"/>
        </w:rPr>
      </w:pPr>
      <w:r>
        <w:rPr>
          <w:rFonts w:ascii="Arial" w:cs="Arial" w:eastAsia="Arial" w:hAnsi="Arial"/>
          <w:sz w:val="18"/>
          <w:szCs w:val="18"/>
          <w:color w:val="auto"/>
        </w:rPr>
        <w:t>that meeting in compliance with the Irish Companies Act and the constitution.</w:t>
      </w:r>
    </w:p>
    <w:p>
      <w:pPr>
        <w:spacing w:after="0" w:line="170"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In the case of a general meeting other than an annual general meeting, no person other than a director retiring by rotation or a person recommended by the directors shall be appointed unless not less than 14 nor more than 30 clear days before the date appointed for the meeting, a draft resolution for the appointment of such person shall have been proposed by a shareholder or shareholders holding not less than 3% of the issued share capital, representing not less than 3% of the total voting rights of all the shareholders who have a right to vote at the meeting, received by ICON in hardcopy form or in electronic form, and passed at that meeting in compliance with the Irish Companies Act and the constitution.</w:t>
      </w:r>
    </w:p>
    <w:p>
      <w:pPr>
        <w:sectPr>
          <w:pgSz w:w="11900" w:h="16838" w:orient="portrait"/>
          <w:cols w:equalWidth="0" w:num="2">
            <w:col w:w="4640" w:space="300"/>
            <w:col w:w="407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560" w:right="4619" w:hanging="268"/>
        <w:spacing w:after="0" w:line="277" w:lineRule="auto"/>
        <w:tabs>
          <w:tab w:leader="none" w:pos="53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to the person nominated for election to the PRA board of directors:</w:t>
      </w:r>
    </w:p>
    <w:p>
      <w:pPr>
        <w:spacing w:after="0" w:line="170" w:lineRule="exact"/>
        <w:rPr>
          <w:rFonts w:ascii="Arial" w:cs="Arial" w:eastAsia="Arial" w:hAnsi="Arial"/>
          <w:sz w:val="18"/>
          <w:szCs w:val="18"/>
          <w:color w:val="auto"/>
        </w:rPr>
      </w:pPr>
    </w:p>
    <w:p>
      <w:pPr>
        <w:jc w:val="both"/>
        <w:ind w:left="1020" w:right="4619" w:hanging="265"/>
        <w:spacing w:after="0" w:line="287" w:lineRule="auto"/>
        <w:tabs>
          <w:tab w:leader="none" w:pos="1030" w:val="left"/>
        </w:tabs>
        <w:numPr>
          <w:ilvl w:val="3"/>
          <w:numId w:val="215"/>
        </w:numPr>
        <w:rPr>
          <w:rFonts w:ascii="Arial" w:cs="Arial" w:eastAsia="Arial" w:hAnsi="Arial"/>
          <w:sz w:val="10"/>
          <w:szCs w:val="10"/>
          <w:color w:val="auto"/>
        </w:rPr>
      </w:pPr>
      <w:r>
        <w:rPr>
          <w:rFonts w:ascii="Arial" w:cs="Arial" w:eastAsia="Arial" w:hAnsi="Arial"/>
          <w:sz w:val="16"/>
          <w:szCs w:val="16"/>
          <w:color w:val="auto"/>
        </w:rPr>
        <w:t>all information relating to such person that is required to be disclosed in solicitations of proxies for election of directors in an election contest, or is otherwise required, in each case pursuant to Section 14(a) of the Securities Exchange Act and rules and regulations promulgated thereunder, including such person’s written consent to being named in the proxy statement relating to such meeting as a nominee and written consent to serve on the PRA board of directors if elected.</w:t>
      </w:r>
    </w:p>
    <w:p>
      <w:pPr>
        <w:spacing w:after="0" w:line="171" w:lineRule="exact"/>
        <w:rPr>
          <w:rFonts w:ascii="Arial" w:cs="Arial" w:eastAsia="Arial" w:hAnsi="Arial"/>
          <w:sz w:val="10"/>
          <w:szCs w:val="10"/>
          <w:color w:val="auto"/>
        </w:rPr>
      </w:pPr>
    </w:p>
    <w:p>
      <w:pPr>
        <w:jc w:val="both"/>
        <w:ind w:left="560" w:right="4619" w:hanging="268"/>
        <w:spacing w:after="0" w:line="257" w:lineRule="auto"/>
        <w:tabs>
          <w:tab w:leader="none" w:pos="53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to the stockholder making the nomination and, if any, the beneficial owner and any of their respective affiliates or associates and/or any others acting in concert with any of the foregoing (the “proponent persons”):</w:t>
      </w:r>
    </w:p>
    <w:p>
      <w:pPr>
        <w:spacing w:after="0" w:line="187" w:lineRule="exact"/>
        <w:rPr>
          <w:rFonts w:ascii="Arial" w:cs="Arial" w:eastAsia="Arial" w:hAnsi="Arial"/>
          <w:sz w:val="18"/>
          <w:szCs w:val="18"/>
          <w:color w:val="auto"/>
        </w:rPr>
      </w:pPr>
    </w:p>
    <w:p>
      <w:pPr>
        <w:jc w:val="both"/>
        <w:ind w:left="1020" w:right="4619" w:hanging="285"/>
        <w:spacing w:after="0" w:line="275" w:lineRule="auto"/>
        <w:tabs>
          <w:tab w:leader="none" w:pos="989" w:val="left"/>
        </w:tabs>
        <w:numPr>
          <w:ilvl w:val="2"/>
          <w:numId w:val="215"/>
        </w:numPr>
        <w:rPr>
          <w:rFonts w:ascii="Arial" w:cs="Arial" w:eastAsia="Arial" w:hAnsi="Arial"/>
          <w:sz w:val="10"/>
          <w:szCs w:val="10"/>
          <w:color w:val="auto"/>
        </w:rPr>
      </w:pPr>
      <w:r>
        <w:rPr>
          <w:rFonts w:ascii="Arial" w:cs="Arial" w:eastAsia="Arial" w:hAnsi="Arial"/>
          <w:sz w:val="17"/>
          <w:szCs w:val="17"/>
          <w:color w:val="auto"/>
        </w:rPr>
        <w:t>a description of any agreement, arrangement or understanding with respect to the nomination and/or the voting of shares of any class or series of stock of PRA between or among the proponent persons; and</w:t>
      </w:r>
    </w:p>
    <w:p>
      <w:pPr>
        <w:spacing w:after="0" w:line="176" w:lineRule="exact"/>
        <w:rPr>
          <w:rFonts w:ascii="Arial" w:cs="Arial" w:eastAsia="Arial" w:hAnsi="Arial"/>
          <w:sz w:val="10"/>
          <w:szCs w:val="10"/>
          <w:color w:val="auto"/>
        </w:rPr>
      </w:pPr>
    </w:p>
    <w:p>
      <w:pPr>
        <w:jc w:val="both"/>
        <w:ind w:left="920" w:right="4619" w:hanging="255"/>
        <w:spacing w:after="0" w:line="285" w:lineRule="auto"/>
        <w:tabs>
          <w:tab w:leader="none" w:pos="916" w:val="left"/>
        </w:tabs>
        <w:numPr>
          <w:ilvl w:val="1"/>
          <w:numId w:val="215"/>
        </w:numPr>
        <w:rPr>
          <w:rFonts w:ascii="Arial" w:cs="Arial" w:eastAsia="Arial" w:hAnsi="Arial"/>
          <w:sz w:val="10"/>
          <w:szCs w:val="10"/>
          <w:color w:val="auto"/>
        </w:rPr>
      </w:pPr>
      <w:r>
        <w:rPr>
          <w:rFonts w:ascii="Arial" w:cs="Arial" w:eastAsia="Arial" w:hAnsi="Arial"/>
          <w:sz w:val="16"/>
          <w:szCs w:val="16"/>
          <w:color w:val="auto"/>
        </w:rPr>
        <w:t>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PRA, (ii) to increase or decrease the voting power of any proponent person with respect to shares of any class or series of stock of PRA and/or (iii) to provide any proponent person, directly or indirectly, with the opportunity to profit or share in any profit derived from, or to otherwise benefit economically from, any increase or decrease in the value of any security of PRA.</w:t>
      </w:r>
    </w:p>
    <w:p>
      <w:pPr>
        <w:spacing w:after="0" w:line="171" w:lineRule="exact"/>
        <w:rPr>
          <w:rFonts w:ascii="Arial" w:cs="Arial" w:eastAsia="Arial" w:hAnsi="Arial"/>
          <w:sz w:val="10"/>
          <w:szCs w:val="10"/>
          <w:color w:val="auto"/>
        </w:rPr>
      </w:pPr>
    </w:p>
    <w:p>
      <w:pPr>
        <w:jc w:val="both"/>
        <w:ind w:left="920" w:right="4619"/>
        <w:spacing w:after="0" w:line="285" w:lineRule="auto"/>
        <w:rPr>
          <w:rFonts w:ascii="Arial" w:cs="Arial" w:eastAsia="Arial" w:hAnsi="Arial"/>
          <w:sz w:val="10"/>
          <w:szCs w:val="10"/>
          <w:color w:val="auto"/>
        </w:rPr>
      </w:pPr>
      <w:r>
        <w:rPr>
          <w:rFonts w:ascii="Arial" w:cs="Arial" w:eastAsia="Arial" w:hAnsi="Arial"/>
          <w:sz w:val="16"/>
          <w:szCs w:val="16"/>
          <w:color w:val="auto"/>
        </w:rPr>
        <w:t>Stockholders submitting notices of nomination are required to update and supplement such notice from time to time to the extent necessary so that the information provided or required to be provided in such notice is true and correct</w:t>
      </w:r>
    </w:p>
    <w:p>
      <w:pPr>
        <w:spacing w:after="0" w:line="1" w:lineRule="exact"/>
        <w:rPr>
          <w:rFonts w:ascii="Arial" w:cs="Arial" w:eastAsia="Arial" w:hAnsi="Arial"/>
          <w:sz w:val="10"/>
          <w:szCs w:val="10"/>
          <w:color w:val="auto"/>
        </w:rPr>
      </w:pPr>
    </w:p>
    <w:p>
      <w:pPr>
        <w:jc w:val="both"/>
        <w:ind w:left="920" w:right="4619" w:firstLine="8"/>
        <w:spacing w:after="0" w:line="265" w:lineRule="auto"/>
        <w:tabs>
          <w:tab w:leader="none" w:pos="1200" w:val="left"/>
        </w:tabs>
        <w:numPr>
          <w:ilvl w:val="4"/>
          <w:numId w:val="215"/>
        </w:numPr>
        <w:rPr>
          <w:rFonts w:ascii="Arial" w:cs="Arial" w:eastAsia="Arial" w:hAnsi="Arial"/>
          <w:sz w:val="17"/>
          <w:szCs w:val="17"/>
          <w:color w:val="auto"/>
        </w:rPr>
      </w:pPr>
      <w:r>
        <w:rPr>
          <w:rFonts w:ascii="Arial" w:cs="Arial" w:eastAsia="Arial" w:hAnsi="Arial"/>
          <w:sz w:val="17"/>
          <w:szCs w:val="17"/>
          <w:color w:val="auto"/>
        </w:rPr>
        <w:t>as of the record date for determining PRA stockholders entitled to notice of meeting and</w:t>
      </w:r>
    </w:p>
    <w:p>
      <w:pPr>
        <w:ind w:left="920" w:right="4619" w:firstLine="8"/>
        <w:spacing w:after="0" w:line="260" w:lineRule="auto"/>
        <w:tabs>
          <w:tab w:leader="none" w:pos="1191" w:val="left"/>
        </w:tabs>
        <w:numPr>
          <w:ilvl w:val="4"/>
          <w:numId w:val="215"/>
        </w:numPr>
        <w:rPr>
          <w:rFonts w:ascii="Arial" w:cs="Arial" w:eastAsia="Arial" w:hAnsi="Arial"/>
          <w:sz w:val="18"/>
          <w:szCs w:val="18"/>
          <w:color w:val="auto"/>
        </w:rPr>
      </w:pPr>
      <w:r>
        <w:rPr>
          <w:rFonts w:ascii="Arial" w:cs="Arial" w:eastAsia="Arial" w:hAnsi="Arial"/>
          <w:sz w:val="18"/>
          <w:szCs w:val="18"/>
          <w:color w:val="auto"/>
        </w:rPr>
        <w:t>as of the date that is fifteen (15) days prior to the meeting 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any adjournment or postponement thereof, provided that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the  record  date  for  determining  the  stockholders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entitled to vote at the meeting is less than fifteen (15)</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days  prior  to  the  meeting  or  any  adjournment  or</w:t>
      </w:r>
    </w:p>
    <w:p>
      <w:pPr>
        <w:spacing w:after="0" w:line="9" w:lineRule="exact"/>
        <w:rPr>
          <w:sz w:val="20"/>
          <w:szCs w:val="20"/>
          <w:color w:val="auto"/>
        </w:rPr>
      </w:pPr>
    </w:p>
    <w:p>
      <w:pPr>
        <w:ind w:left="300"/>
        <w:spacing w:after="0"/>
        <w:tabs>
          <w:tab w:leader="none" w:pos="1480" w:val="left"/>
          <w:tab w:leader="none" w:pos="2220" w:val="left"/>
          <w:tab w:leader="none" w:pos="2620" w:val="left"/>
          <w:tab w:leader="none" w:pos="3660" w:val="left"/>
          <w:tab w:leader="none" w:pos="4200" w:val="left"/>
        </w:tabs>
        <w:rPr>
          <w:sz w:val="20"/>
          <w:szCs w:val="20"/>
          <w:color w:val="auto"/>
        </w:rPr>
      </w:pPr>
      <w:r>
        <w:rPr>
          <w:rFonts w:ascii="Arial" w:cs="Arial" w:eastAsia="Arial" w:hAnsi="Arial"/>
          <w:sz w:val="18"/>
          <w:szCs w:val="18"/>
          <w:color w:val="auto"/>
        </w:rPr>
        <w:t>postponement</w:t>
        <w:tab/>
        <w:t>thereof,</w:t>
        <w:tab/>
        <w:t>the</w:t>
        <w:tab/>
        <w:t>information</w:t>
        <w:tab/>
        <w:t>must</w:t>
      </w:r>
      <w:r>
        <w:rPr>
          <w:sz w:val="20"/>
          <w:szCs w:val="20"/>
          <w:color w:val="auto"/>
        </w:rPr>
        <w:tab/>
      </w:r>
      <w:r>
        <w:rPr>
          <w:rFonts w:ascii="Arial" w:cs="Arial" w:eastAsia="Arial" w:hAnsi="Arial"/>
          <w:sz w:val="16"/>
          <w:szCs w:val="16"/>
          <w:color w:val="auto"/>
        </w:rPr>
        <w:t>be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supplemented and updated as of such later date.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may also require any proposed nominee to furnish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such other information, as it may reasonably require to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determine the eligibility of such proposed nominee to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serve  as  a  director  of  PRA  and  to  determine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independence  of  such  nominee  under  the  Securities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Act and rules and regulations thereunder and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applicable stock exchange rules.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Duties of Directors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Under the DGCL, a company’s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care also requires that directors exercise care in overseeing and investigating the conduct of corporate employees. The duty of loyalty may be summarized as the duty to act in good faith, not out of self-interest, and in a manner that the director reasonably believes to be in the best interests of the corporation and its stockholders. A party challenging the propriety of a decision of a board of directors typically bears the burden of rebutting the applicability of the presumptions afforded to directors by the “business judgment rule,” which presumes that the director acted in accordance with the duties of care and loyalty. If the presumption is not rebutted, the business judgment rule attaches to protect the directors and their decisions. Notwithstanding the foregoing, Delaware courts may subject directors’ conduct to enhanced scrutiny in respect of, among other matters, defensive actions taken in response to a threat to corporate control and approval of a transaction resulting in a sale of control of the corporation.</w:t>
      </w:r>
    </w:p>
    <w:p>
      <w:pPr>
        <w:spacing w:after="0" w:line="17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auto"/>
        </w:rPr>
        <w:t>Under the DGCL, a member of the board of directors, or a member of any committee designated by the board of directors, shall, in the performance of such member’s duties, be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Under Irish law the directors of ICON have certain statutory and fiduciary duties. The Irish Companies Act provides specifically for certain fiduciary duties of the directors of Irish companies, including duties:</w:t>
      </w:r>
    </w:p>
    <w:p>
      <w:pPr>
        <w:spacing w:after="0" w:line="187" w:lineRule="exact"/>
        <w:rPr>
          <w:sz w:val="20"/>
          <w:szCs w:val="20"/>
          <w:color w:val="auto"/>
        </w:rPr>
      </w:pPr>
    </w:p>
    <w:p>
      <w:pPr>
        <w:ind w:left="440" w:right="319" w:hanging="268"/>
        <w:spacing w:after="0" w:line="277" w:lineRule="auto"/>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act in good faith and in the best interests of the company;</w:t>
      </w:r>
    </w:p>
    <w:p>
      <w:pPr>
        <w:spacing w:after="0" w:line="170" w:lineRule="exact"/>
        <w:rPr>
          <w:rFonts w:ascii="Arial" w:cs="Arial" w:eastAsia="Arial" w:hAnsi="Arial"/>
          <w:sz w:val="18"/>
          <w:szCs w:val="18"/>
          <w:color w:val="auto"/>
        </w:rPr>
      </w:pPr>
    </w:p>
    <w:p>
      <w:pPr>
        <w:ind w:left="440" w:right="319" w:hanging="268"/>
        <w:spacing w:after="0" w:line="277" w:lineRule="auto"/>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act honestly and responsibly in relation to the company’s affairs;</w:t>
      </w:r>
    </w:p>
    <w:p>
      <w:pPr>
        <w:spacing w:after="0" w:line="170" w:lineRule="exact"/>
        <w:rPr>
          <w:rFonts w:ascii="Arial" w:cs="Arial" w:eastAsia="Arial" w:hAnsi="Arial"/>
          <w:sz w:val="18"/>
          <w:szCs w:val="18"/>
          <w:color w:val="auto"/>
        </w:rPr>
      </w:pPr>
    </w:p>
    <w:p>
      <w:pPr>
        <w:jc w:val="both"/>
        <w:ind w:left="440" w:right="299" w:hanging="268"/>
        <w:spacing w:after="0" w:line="263" w:lineRule="auto"/>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to exercise powers only for lawful purposes;</w:t>
      </w:r>
    </w:p>
    <w:p>
      <w:pPr>
        <w:spacing w:after="0" w:line="183" w:lineRule="exact"/>
        <w:rPr>
          <w:rFonts w:ascii="Arial" w:cs="Arial" w:eastAsia="Arial" w:hAnsi="Arial"/>
          <w:sz w:val="18"/>
          <w:szCs w:val="18"/>
          <w:color w:val="auto"/>
        </w:rPr>
      </w:pPr>
    </w:p>
    <w:p>
      <w:pPr>
        <w:ind w:left="440" w:right="319" w:hanging="268"/>
        <w:spacing w:after="0" w:line="277" w:lineRule="auto"/>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 to misuse the company’s property, information and/or opportunity;</w:t>
      </w:r>
    </w:p>
    <w:p>
      <w:pPr>
        <w:spacing w:after="0" w:line="170" w:lineRule="exact"/>
        <w:rPr>
          <w:rFonts w:ascii="Arial" w:cs="Arial" w:eastAsia="Arial" w:hAnsi="Arial"/>
          <w:sz w:val="18"/>
          <w:szCs w:val="18"/>
          <w:color w:val="auto"/>
        </w:rPr>
      </w:pPr>
    </w:p>
    <w:p>
      <w:pPr>
        <w:ind w:left="420" w:hanging="248"/>
        <w:spacing w:after="0"/>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 to fetter their independent judgment;</w:t>
      </w:r>
    </w:p>
    <w:p>
      <w:pPr>
        <w:spacing w:after="0" w:line="225" w:lineRule="exact"/>
        <w:rPr>
          <w:rFonts w:ascii="Arial" w:cs="Arial" w:eastAsia="Arial" w:hAnsi="Arial"/>
          <w:sz w:val="18"/>
          <w:szCs w:val="18"/>
          <w:color w:val="auto"/>
        </w:rPr>
      </w:pPr>
    </w:p>
    <w:p>
      <w:pPr>
        <w:ind w:left="420" w:hanging="248"/>
        <w:spacing w:after="0"/>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225" w:lineRule="exact"/>
        <w:rPr>
          <w:rFonts w:ascii="Arial" w:cs="Arial" w:eastAsia="Arial" w:hAnsi="Arial"/>
          <w:sz w:val="18"/>
          <w:szCs w:val="18"/>
          <w:color w:val="auto"/>
        </w:rPr>
      </w:pPr>
    </w:p>
    <w:p>
      <w:pPr>
        <w:ind w:left="420" w:hanging="248"/>
        <w:spacing w:after="0"/>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exercise care, skill and diligence; and</w:t>
      </w:r>
    </w:p>
    <w:p>
      <w:pPr>
        <w:spacing w:after="0" w:line="225" w:lineRule="exact"/>
        <w:rPr>
          <w:rFonts w:ascii="Arial" w:cs="Arial" w:eastAsia="Arial" w:hAnsi="Arial"/>
          <w:sz w:val="18"/>
          <w:szCs w:val="18"/>
          <w:color w:val="auto"/>
        </w:rPr>
      </w:pPr>
    </w:p>
    <w:p>
      <w:pPr>
        <w:ind w:left="440" w:right="299" w:hanging="268"/>
        <w:spacing w:after="0" w:line="277" w:lineRule="auto"/>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have regard for the interests of the company’s shareholders.</w:t>
      </w:r>
    </w:p>
    <w:p>
      <w:pPr>
        <w:spacing w:after="0" w:line="170" w:lineRule="exact"/>
        <w:rPr>
          <w:rFonts w:ascii="Arial" w:cs="Arial" w:eastAsia="Arial" w:hAnsi="Arial"/>
          <w:sz w:val="18"/>
          <w:szCs w:val="18"/>
          <w:color w:val="auto"/>
        </w:rPr>
      </w:pPr>
    </w:p>
    <w:p>
      <w:pPr>
        <w:jc w:val="both"/>
        <w:ind w:left="440" w:right="299"/>
        <w:spacing w:after="0" w:line="272" w:lineRule="auto"/>
        <w:rPr>
          <w:rFonts w:ascii="Arial" w:cs="Arial" w:eastAsia="Arial" w:hAnsi="Arial"/>
          <w:sz w:val="18"/>
          <w:szCs w:val="18"/>
          <w:color w:val="auto"/>
        </w:rPr>
      </w:pPr>
      <w:r>
        <w:rPr>
          <w:rFonts w:ascii="Arial" w:cs="Arial" w:eastAsia="Arial" w:hAnsi="Arial"/>
          <w:sz w:val="17"/>
          <w:szCs w:val="17"/>
          <w:color w:val="auto"/>
        </w:rPr>
        <w:t>There are further statutory duties under the Irish Companies Act, such as ensuring the maintenance of proper books of account, having annual accounts prepared, having an annual audit performed, and the duty to maintain certain registers and make certain filings as well as certain disclosures of personal interests.</w:t>
      </w:r>
    </w:p>
    <w:p>
      <w:pPr>
        <w:spacing w:after="0" w:line="177" w:lineRule="exact"/>
        <w:rPr>
          <w:rFonts w:ascii="Arial" w:cs="Arial" w:eastAsia="Arial" w:hAnsi="Arial"/>
          <w:sz w:val="18"/>
          <w:szCs w:val="18"/>
          <w:color w:val="auto"/>
        </w:rPr>
      </w:pPr>
    </w:p>
    <w:p>
      <w:pPr>
        <w:jc w:val="both"/>
        <w:ind w:left="440" w:right="299"/>
        <w:spacing w:after="0" w:line="257" w:lineRule="auto"/>
        <w:rPr>
          <w:rFonts w:ascii="Arial" w:cs="Arial" w:eastAsia="Arial" w:hAnsi="Arial"/>
          <w:sz w:val="18"/>
          <w:szCs w:val="18"/>
          <w:color w:val="auto"/>
        </w:rPr>
      </w:pPr>
      <w:r>
        <w:rPr>
          <w:rFonts w:ascii="Arial" w:cs="Arial" w:eastAsia="Arial" w:hAnsi="Arial"/>
          <w:sz w:val="18"/>
          <w:szCs w:val="18"/>
          <w:color w:val="auto"/>
        </w:rPr>
        <w:t>All of the directors have equal responsibility for the management of ICON (directors who also serve as employees have additional responsibilities and duties arising under their employment agreements, and it is</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4" w:name="page215"/>
    <w:bookmarkEnd w:id="2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contains certain provisions limiting the duty of loyalty owed by certain directors, including non-employee directors, regarding business opportunities brought to them outside of their capacity as a PRA director and engaging in similar business lines as PRA.</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342" w:lineRule="auto"/>
        <w:rPr>
          <w:sz w:val="20"/>
          <w:szCs w:val="20"/>
          <w:color w:val="auto"/>
        </w:rPr>
      </w:pPr>
      <w:r>
        <w:rPr>
          <w:rFonts w:ascii="Arial" w:cs="Arial" w:eastAsia="Arial" w:hAnsi="Arial"/>
          <w:sz w:val="16"/>
          <w:szCs w:val="16"/>
          <w:color w:val="auto"/>
        </w:rPr>
        <w:t>likely that more will be expected of them in compliance with their duties than non-executive directors).</w:t>
      </w:r>
    </w:p>
    <w:p>
      <w:pPr>
        <w:spacing w:after="0" w:line="124"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For public limited companies like ICON, directors are under a specific duty to ensure that the company secretary has the skills or resources and the requisite knowledge and experience to discharge the role.</w:t>
      </w:r>
    </w:p>
    <w:p>
      <w:pPr>
        <w:spacing w:after="0" w:line="3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Conflicts of Interest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Under the DGCL, a contract or transaction in which a director has an interest will not be voidable solely by reason of such interest if:</w:t>
      </w:r>
    </w:p>
    <w:p>
      <w:pPr>
        <w:spacing w:after="0" w:line="184" w:lineRule="exact"/>
        <w:rPr>
          <w:sz w:val="20"/>
          <w:szCs w:val="20"/>
          <w:color w:val="auto"/>
        </w:rPr>
      </w:pPr>
    </w:p>
    <w:p>
      <w:pPr>
        <w:jc w:val="both"/>
        <w:ind w:left="740" w:hanging="268"/>
        <w:spacing w:after="0" w:line="273" w:lineRule="auto"/>
        <w:tabs>
          <w:tab w:leader="none" w:pos="7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material facts with respect to such interested director’s relationship or interest are disclosed or are known to the board of directors, and the board of directors in good faith authorizes the transaction by the affirmative vote of a majority of the disinterested directors;</w:t>
      </w:r>
    </w:p>
    <w:p>
      <w:pPr>
        <w:spacing w:after="0" w:line="177" w:lineRule="exact"/>
        <w:rPr>
          <w:rFonts w:ascii="Arial" w:cs="Arial" w:eastAsia="Arial" w:hAnsi="Arial"/>
          <w:sz w:val="17"/>
          <w:szCs w:val="17"/>
          <w:color w:val="auto"/>
        </w:rPr>
      </w:pPr>
    </w:p>
    <w:p>
      <w:pPr>
        <w:jc w:val="both"/>
        <w:ind w:left="740" w:hanging="268"/>
        <w:spacing w:after="0" w:line="273" w:lineRule="auto"/>
        <w:tabs>
          <w:tab w:leader="none" w:pos="7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material facts with respect to such interested director’s relationship or interest are disclosed or are known to the stockholders entitled to vote on such transaction, and the transaction is specifically approved in good faith by vote of the majority of shares entitled to vote thereon; or</w:t>
      </w:r>
    </w:p>
    <w:p>
      <w:pPr>
        <w:spacing w:after="0" w:line="177" w:lineRule="exact"/>
        <w:rPr>
          <w:rFonts w:ascii="Arial" w:cs="Arial" w:eastAsia="Arial" w:hAnsi="Arial"/>
          <w:sz w:val="17"/>
          <w:szCs w:val="17"/>
          <w:color w:val="auto"/>
        </w:rPr>
      </w:pPr>
    </w:p>
    <w:p>
      <w:pPr>
        <w:jc w:val="both"/>
        <w:ind w:left="740" w:hanging="268"/>
        <w:spacing w:after="0" w:line="259"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transaction is fair to the corporation as of the time it is authorized, approved or ratified by the board of directors, a committee or the stockholders.</w:t>
      </w:r>
    </w:p>
    <w:p>
      <w:pPr>
        <w:spacing w:after="0" w:line="186" w:lineRule="exact"/>
        <w:rPr>
          <w:rFonts w:ascii="Arial" w:cs="Arial" w:eastAsia="Arial" w:hAnsi="Arial"/>
          <w:sz w:val="18"/>
          <w:szCs w:val="18"/>
          <w:color w:val="auto"/>
        </w:rPr>
      </w:pPr>
    </w:p>
    <w:p>
      <w:pPr>
        <w:jc w:val="both"/>
        <w:ind w:left="740"/>
        <w:spacing w:after="0" w:line="293" w:lineRule="auto"/>
        <w:rPr>
          <w:rFonts w:ascii="Arial" w:cs="Arial" w:eastAsia="Arial" w:hAnsi="Arial"/>
          <w:sz w:val="18"/>
          <w:szCs w:val="18"/>
          <w:color w:val="auto"/>
        </w:rPr>
      </w:pPr>
      <w:r>
        <w:rPr>
          <w:rFonts w:ascii="Arial" w:cs="Arial" w:eastAsia="Arial" w:hAnsi="Arial"/>
          <w:sz w:val="16"/>
          <w:szCs w:val="16"/>
          <w:color w:val="auto"/>
        </w:rPr>
        <w:t>The mere fact that an interested director is present and voting on a transaction in which he or she is interested will not itself make the transaction void. Under the DGCL, an interested director could be held liable for a transaction in which such director derived an improper personal benefit.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85" w:lineRule="auto"/>
        <w:rPr>
          <w:sz w:val="20"/>
          <w:szCs w:val="20"/>
          <w:color w:val="auto"/>
        </w:rPr>
      </w:pPr>
      <w:r>
        <w:rPr>
          <w:rFonts w:ascii="Arial" w:cs="Arial" w:eastAsia="Arial" w:hAnsi="Arial"/>
          <w:sz w:val="16"/>
          <w:szCs w:val="16"/>
          <w:color w:val="auto"/>
        </w:rPr>
        <w:t>As a matter of Irish law, a director is under a general fiduciary duty to avoid conflicts of interest. Under Irish law, directors who have a personal interest in a contract or proposed contract with the applicable Irish company are required to declare the nature of their interest at a meeting of the board of directors of the applicable Irish company. An Irish company is required to maintain a register of declared interests, which must be available for shareholder inspection.The ICON constitution and the Irish Companies Act, as applicable, provide that a director who is in any way, whether directly or indirectly, interested in a contract or proposed contract, transaction or arrangement with ICON and has complied with their disclosure obligations under the Irish Companies Act and the ICON constitution may be a party to that contract, transaction or arrangement with ICON or any subsidiary or associated company thereof.</w:t>
      </w:r>
    </w:p>
    <w:p>
      <w:pPr>
        <w:spacing w:after="0" w:line="174" w:lineRule="exact"/>
        <w:rPr>
          <w:sz w:val="20"/>
          <w:szCs w:val="20"/>
          <w:color w:val="auto"/>
        </w:rPr>
      </w:pPr>
    </w:p>
    <w:p>
      <w:pPr>
        <w:jc w:val="both"/>
        <w:ind w:right="299"/>
        <w:spacing w:after="0" w:line="285" w:lineRule="auto"/>
        <w:rPr>
          <w:sz w:val="20"/>
          <w:szCs w:val="20"/>
          <w:color w:val="auto"/>
        </w:rPr>
      </w:pPr>
      <w:r>
        <w:rPr>
          <w:rFonts w:ascii="Arial" w:cs="Arial" w:eastAsia="Arial" w:hAnsi="Arial"/>
          <w:sz w:val="16"/>
          <w:szCs w:val="16"/>
          <w:color w:val="auto"/>
        </w:rPr>
        <w:t>Under the ICON constitution, a director of ICON may be a director or other officer of, or employed by, or a party to any transaction or arrangement with, or otherwise interested in, any company promoted by ICON or in which ICON is interested, and such director will not be accountable to ICON for any benefit derived from such employment or from any such transaction or arrangement or from any interest in any such company. The ICON constitution further provides that (i) no director will be prevented from contracting with ICON because of their position as a director, (ii) any contract entered into between a director and ICON will not be subject to avoidance and (iii) no director will be liable to account to ICON for any profits realized by virtue of any contract between such director and ICON because the director holds such office or because of the fiduciary relationship established thereby.</w:t>
      </w:r>
    </w:p>
    <w:p>
      <w:pPr>
        <w:spacing w:after="0" w:line="3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u w:val="single" w:color="auto"/>
          <w:color w:val="auto"/>
        </w:rPr>
        <w:t>Limitation of Personal Liability of Directors</w:t>
      </w:r>
    </w:p>
    <w:p>
      <w:pPr>
        <w:sectPr>
          <w:pgSz w:w="11900" w:h="16838" w:orient="portrait"/>
          <w:cols w:equalWidth="0" w:num="1">
            <w:col w:w="9019"/>
          </w:cols>
          <w:pgMar w:left="1440" w:top="265" w:right="1440" w:bottom="1440" w:gutter="0" w:footer="0" w:header="0"/>
          <w:type w:val="continuous"/>
        </w:sectPr>
      </w:pPr>
    </w:p>
    <w:p>
      <w:pPr>
        <w:spacing w:after="0" w:line="102"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color w:val="auto"/>
        </w:rPr>
        <w:t>Under Section 102(b)(7) of the DGCL, the certificate of incorporation of a corporation may eliminate or limit the liability of a director for monetary damages for breach of fiduciary duty as a director, except that such a provision may, not eliminate or limit the liability of a director:</w:t>
      </w:r>
    </w:p>
    <w:p>
      <w:pPr>
        <w:spacing w:after="0" w:line="161" w:lineRule="exact"/>
        <w:rPr>
          <w:sz w:val="20"/>
          <w:szCs w:val="20"/>
          <w:color w:val="auto"/>
        </w:rPr>
      </w:pPr>
    </w:p>
    <w:p>
      <w:pPr>
        <w:ind w:left="740" w:hanging="268"/>
        <w:spacing w:after="0" w:line="277" w:lineRule="auto"/>
        <w:tabs>
          <w:tab w:leader="none" w:pos="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299"/>
        <w:spacing w:after="0" w:line="289" w:lineRule="auto"/>
        <w:rPr>
          <w:sz w:val="20"/>
          <w:szCs w:val="20"/>
          <w:color w:val="auto"/>
        </w:rPr>
      </w:pPr>
      <w:r>
        <w:rPr>
          <w:rFonts w:ascii="Arial" w:cs="Arial" w:eastAsia="Arial" w:hAnsi="Arial"/>
          <w:sz w:val="16"/>
          <w:szCs w:val="16"/>
          <w:color w:val="auto"/>
        </w:rPr>
        <w:t>Under Irish law, a company may not exempt its directors from liability for negligence or a breach of duty. However, where a breach of duty has been established, directors may be statutorily exempted by an Irish court from personal liability for negligence or breach of duty if, among other things, the court determines that they have acted honestly and reasonably and that they may fairly be excused as a result. Under Irish law, shareholders may not agree to exempt a director or</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740" w:hanging="268"/>
        <w:spacing w:after="0" w:line="263" w:lineRule="auto"/>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83" w:lineRule="exact"/>
        <w:rPr>
          <w:rFonts w:ascii="Arial" w:cs="Arial" w:eastAsia="Arial" w:hAnsi="Arial"/>
          <w:sz w:val="18"/>
          <w:szCs w:val="18"/>
          <w:color w:val="auto"/>
        </w:rPr>
      </w:pPr>
    </w:p>
    <w:p>
      <w:pPr>
        <w:jc w:val="both"/>
        <w:ind w:left="740" w:hanging="268"/>
        <w:spacing w:after="0" w:line="263" w:lineRule="auto"/>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under Section 174 of the DGCL (regarding unlawful payment of dividends or unlawful purchase or redemption of stock); or</w:t>
      </w:r>
    </w:p>
    <w:p>
      <w:pPr>
        <w:spacing w:after="0" w:line="183" w:lineRule="exact"/>
        <w:rPr>
          <w:rFonts w:ascii="Arial" w:cs="Arial" w:eastAsia="Arial" w:hAnsi="Arial"/>
          <w:sz w:val="18"/>
          <w:szCs w:val="18"/>
          <w:color w:val="auto"/>
        </w:rPr>
      </w:pPr>
    </w:p>
    <w:p>
      <w:pPr>
        <w:ind w:left="740" w:hanging="268"/>
        <w:spacing w:after="0" w:line="277" w:lineRule="auto"/>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0" w:lineRule="exact"/>
        <w:rPr>
          <w:rFonts w:ascii="Arial" w:cs="Arial" w:eastAsia="Arial" w:hAnsi="Arial"/>
          <w:sz w:val="18"/>
          <w:szCs w:val="18"/>
          <w:color w:val="auto"/>
        </w:rPr>
      </w:pPr>
    </w:p>
    <w:p>
      <w:pPr>
        <w:jc w:val="both"/>
        <w:ind w:left="740"/>
        <w:spacing w:after="0" w:line="289" w:lineRule="auto"/>
        <w:rPr>
          <w:rFonts w:ascii="Arial" w:cs="Arial" w:eastAsia="Arial" w:hAnsi="Arial"/>
          <w:sz w:val="18"/>
          <w:szCs w:val="18"/>
          <w:color w:val="auto"/>
        </w:rPr>
      </w:pPr>
      <w:r>
        <w:rPr>
          <w:rFonts w:ascii="Arial" w:cs="Arial" w:eastAsia="Arial" w:hAnsi="Arial"/>
          <w:sz w:val="16"/>
          <w:szCs w:val="16"/>
          <w:color w:val="auto"/>
        </w:rPr>
        <w:t>The PRA certificate of incorporation adopts the DGCL provisions (as described above) governing the limitation of personal liability of directors. In addition, the PRA certificate of incorporation provides that if the DGCL is amended further to authorize the further elimination or limitation of liability of directors, then the liability of a PRA director will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officer from any claim or right of action a shareholder may have, whether individually or in the right of a company, on account of any action taken or the failure to take any action in the performance of such director’s or officer’s duties to the company.</w:t>
      </w:r>
    </w:p>
    <w:p>
      <w:pPr>
        <w:spacing w:after="0" w:line="3281"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Indemnification of Directors and Officers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The PRA bylaws provide that each person who is made a party or is threatened to be made a party to or is otherwise involved in any action, suit or proceeding, whether civil, criminal, administrative or investigative, by reason of the fact that he or she was a director or an officer of PRA or, while a director or officer of PRA, is or was serving at the request of PRA as a director, officer, employee, agent or trustee of another corporation, partnership, joint venture, trust or other enterprise, including service with respect to an employee benefit plan (an “indemnitee”), whether the basis of such proceeding is alleged action in an official capacity as a director, officer, employee, agent or trustee or in any other capacity while serving as a director, officer, employee agent or trustee, shall be indemnified and held harmless by PRA to the fullest extent permitted by Delaware law, as the same may be amended (but, in the case of any such amendment, only to the extent that such amendment permits PRA to provide broader indemnification rights than such law permitted PRA to provide prior to such amendment), against all expense, liability and loss (including attorneys’ fees, judgments, fines, ERISA excise taxes or penalties and amounts paid in settlement) reasonably incurred or suffered by such person in connection therewith.</w:t>
      </w:r>
    </w:p>
    <w:p>
      <w:pPr>
        <w:spacing w:after="0" w:line="173"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The PRA bylaws provide that indemnitees have the right to be paid by PRA the expenses (including attorneys’ fees) incurred in appearing at, participating in or defending any such proceeding in advance of its final disposition or in connection with a proceeding brought to establish or enforce a right to indemnification or advancement of expenses under the PRA bylaws;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7" w:lineRule="auto"/>
        <w:rPr>
          <w:sz w:val="20"/>
          <w:szCs w:val="20"/>
          <w:color w:val="auto"/>
        </w:rPr>
      </w:pPr>
      <w:r>
        <w:rPr>
          <w:rFonts w:ascii="Arial" w:cs="Arial" w:eastAsia="Arial" w:hAnsi="Arial"/>
          <w:sz w:val="17"/>
          <w:szCs w:val="17"/>
          <w:color w:val="auto"/>
        </w:rPr>
        <w:t>The ICON constitution provides that, so far as may be permitted by the Irish Companies Act, every director, managing director, secretary or other officer of ICON shall be entitled to be indemnified by the Company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ICON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188"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However the Irish Companies Act only permits ICON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ICON. Any obligation of an Irish company which purports to indemnify a director or secretary of an Irish company over and above this will be void under Irish law, whether contained in its</w:t>
      </w:r>
    </w:p>
    <w:p>
      <w:pPr>
        <w:spacing w:after="0" w:line="417"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provided, however,that, if the DGCL requires or in the case of an advancemade in a proceeding brought to establish or enforce aright to indemnification or advancement, anadvancement of expenses incurred by an indemnitee inhis or her capacity as a director or officer can be madesolely upon delivery to PRA of an undertaking, by oron behalf of such indemnitee, to repay all amounts soadvanced if it shall ultimately be determined by finaljudicial decision from which there is no further rightto appeal that such indemnitee is not entitled to beindemnified or entitled to advancement of expenses.</w:t>
      </w:r>
    </w:p>
    <w:p>
      <w:pPr>
        <w:spacing w:after="0" w:line="179"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bylaws provide that the right of indemnitees indemnification or advancement of expenses under the PRA bylaws will not limit or restrict in any manner the power of PRA to indemnify or advance expenses and costs to an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the indemnitee’s capacity as an officer, director, employee, or agent of PRA and as to action in any other capacity.</w:t>
      </w:r>
    </w:p>
    <w:p>
      <w:pPr>
        <w:spacing w:after="0" w:line="186"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PRA bylaws provide that PRA may maintain insurance, at PRA’s expense, to protect itself and any director, officer, employee or agent of PRA or another corporation, partnership, joint venture, trust or other enterprise against any expense, liability or loss, whether or not PRA would have the power to indemnify such person against such expense liability or loss under the DGCL.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constitution or any contract between the director and the company.</w:t>
      </w:r>
    </w:p>
    <w:p>
      <w:pPr>
        <w:spacing w:after="0" w:line="170"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The Irish company law restrictions outlined above do not prevent ICON obtaining, and paying for, directors’ and officers’ liability insurance, as well as other types of insurance, for its directors and officers.</w:t>
      </w:r>
    </w:p>
    <w:p>
      <w:pPr>
        <w:spacing w:after="0" w:line="608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Putting Forward Stockholder Proposals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6" w:lineRule="auto"/>
        <w:rPr>
          <w:sz w:val="20"/>
          <w:szCs w:val="20"/>
          <w:color w:val="auto"/>
        </w:rPr>
      </w:pPr>
      <w:r>
        <w:rPr>
          <w:rFonts w:ascii="Arial" w:cs="Arial" w:eastAsia="Arial" w:hAnsi="Arial"/>
          <w:sz w:val="17"/>
          <w:szCs w:val="17"/>
          <w:color w:val="auto"/>
        </w:rPr>
        <w:t>The PRA certificate of incorporation provides that advance notice of stockholder nominations for election of directors and other business to be brought by stockholders before a meeting of stockholders must be given in the manner provided by the PRA bylaws. The PRA bylaws provide that a stockholder must give advance written notice to PRA of business proposed to be brought before an annual meeting of stockholders. The notice must be in writing and in proper form delivered to the corporate secretary by the date not later than 90 days, nor earlier than 120 days, prior to the anniversary date of the annual meeting for the preceding year, except, however, that if the annual meeting is not scheduled to be held within a period that commences 30 days before and ends 70 days after such anniversary date, notice by the stockholder must be given by no later than</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90 days, nor earlier than 120 days, prior to such annual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55" w:lineRule="auto"/>
        <w:rPr>
          <w:sz w:val="20"/>
          <w:szCs w:val="20"/>
          <w:color w:val="auto"/>
        </w:rPr>
      </w:pPr>
      <w:r>
        <w:rPr>
          <w:rFonts w:ascii="Arial" w:cs="Arial" w:eastAsia="Arial" w:hAnsi="Arial"/>
          <w:sz w:val="18"/>
          <w:szCs w:val="18"/>
          <w:color w:val="auto"/>
        </w:rPr>
        <w:t>As provided under Irish law, a shareholder meeting may be convened (i) by the ICON board of directors, (ii) on requisition of ICON shareholders holding not less than 10% of the paid-up voting share capital of ICON, (iii) on requisition of ICON’s auditors or (iv) in exceptional cases, by court order.</w:t>
      </w:r>
    </w:p>
    <w:p>
      <w:pPr>
        <w:spacing w:after="0" w:line="275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meeting or, if later, the 10th day following the day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public disclosure of the date of such annual meeting was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first made.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to any proposal that a stockholder proposes to bring</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before a meeting of PRA stockholders, the notice must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740" w:right="4619" w:hanging="268"/>
        <w:spacing w:after="0" w:line="342" w:lineRule="auto"/>
        <w:tabs>
          <w:tab w:leader="none" w:pos="7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of PRA stockholders;</w:t>
      </w:r>
    </w:p>
    <w:p>
      <w:pPr>
        <w:spacing w:after="0" w:line="123" w:lineRule="exact"/>
        <w:rPr>
          <w:rFonts w:ascii="Arial" w:cs="Arial" w:eastAsia="Arial" w:hAnsi="Arial"/>
          <w:sz w:val="16"/>
          <w:szCs w:val="16"/>
          <w:color w:val="auto"/>
        </w:rPr>
      </w:pPr>
    </w:p>
    <w:p>
      <w:pPr>
        <w:jc w:val="both"/>
        <w:ind w:left="740" w:right="4619" w:hanging="268"/>
        <w:spacing w:after="0" w:line="296" w:lineRule="auto"/>
        <w:tabs>
          <w:tab w:leader="none" w:pos="7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text of the proposal or business (including the text of any resolutions proposed for consideration and, in the event that such business includes a proposal to amend the bylaws, the language of the proposed amendment);</w:t>
      </w:r>
    </w:p>
    <w:p>
      <w:pPr>
        <w:spacing w:after="0" w:line="161" w:lineRule="exact"/>
        <w:rPr>
          <w:rFonts w:ascii="Arial" w:cs="Arial" w:eastAsia="Arial" w:hAnsi="Arial"/>
          <w:sz w:val="16"/>
          <w:szCs w:val="16"/>
          <w:color w:val="auto"/>
        </w:rPr>
      </w:pPr>
    </w:p>
    <w:p>
      <w:pPr>
        <w:ind w:left="740" w:right="4619" w:hanging="268"/>
        <w:spacing w:after="0" w:line="277" w:lineRule="auto"/>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reasons for conducting such business at the PRA stockholder meeting;</w:t>
      </w:r>
    </w:p>
    <w:p>
      <w:pPr>
        <w:spacing w:after="0" w:line="170" w:lineRule="exact"/>
        <w:rPr>
          <w:rFonts w:ascii="Arial" w:cs="Arial" w:eastAsia="Arial" w:hAnsi="Arial"/>
          <w:sz w:val="18"/>
          <w:szCs w:val="18"/>
          <w:color w:val="auto"/>
        </w:rPr>
      </w:pPr>
    </w:p>
    <w:p>
      <w:pPr>
        <w:jc w:val="both"/>
        <w:ind w:left="740" w:right="4619" w:hanging="268"/>
        <w:spacing w:after="0" w:line="259" w:lineRule="auto"/>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material interest in such business proposed to be brought before such meeting of such stockholder and the beneficial owner, if any, on whose behalf the proposal is made;</w:t>
      </w:r>
    </w:p>
    <w:p>
      <w:pPr>
        <w:spacing w:after="0" w:line="186" w:lineRule="exact"/>
        <w:rPr>
          <w:rFonts w:ascii="Arial" w:cs="Arial" w:eastAsia="Arial" w:hAnsi="Arial"/>
          <w:sz w:val="18"/>
          <w:szCs w:val="18"/>
          <w:color w:val="auto"/>
        </w:rPr>
      </w:pPr>
    </w:p>
    <w:p>
      <w:pPr>
        <w:jc w:val="both"/>
        <w:ind w:left="740" w:right="4619" w:hanging="268"/>
        <w:spacing w:after="0" w:line="263" w:lineRule="auto"/>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PRA’s books and records and of such beneficial owner;</w:t>
      </w:r>
    </w:p>
    <w:p>
      <w:pPr>
        <w:spacing w:after="0" w:line="183" w:lineRule="exact"/>
        <w:rPr>
          <w:rFonts w:ascii="Arial" w:cs="Arial" w:eastAsia="Arial" w:hAnsi="Arial"/>
          <w:sz w:val="18"/>
          <w:szCs w:val="18"/>
          <w:color w:val="auto"/>
        </w:rPr>
      </w:pPr>
    </w:p>
    <w:p>
      <w:pPr>
        <w:jc w:val="both"/>
        <w:ind w:left="740" w:right="4619" w:hanging="268"/>
        <w:spacing w:after="0" w:line="279" w:lineRule="auto"/>
        <w:tabs>
          <w:tab w:leader="none" w:pos="7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class or series and number of shares of capital stock of PRA which are owned, directly or indirectly, beneficially and of record by such stockholder and such beneficial owner;</w:t>
      </w:r>
    </w:p>
    <w:p>
      <w:pPr>
        <w:spacing w:after="0" w:line="171" w:lineRule="exact"/>
        <w:rPr>
          <w:rFonts w:ascii="Arial" w:cs="Arial" w:eastAsia="Arial" w:hAnsi="Arial"/>
          <w:sz w:val="17"/>
          <w:szCs w:val="17"/>
          <w:color w:val="auto"/>
        </w:rPr>
      </w:pPr>
    </w:p>
    <w:p>
      <w:pPr>
        <w:jc w:val="both"/>
        <w:ind w:left="740" w:right="4619" w:hanging="268"/>
        <w:spacing w:after="0" w:line="275" w:lineRule="auto"/>
        <w:tabs>
          <w:tab w:leader="none" w:pos="7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the stock of PRA at the time of the giving of the notice, will be entitled to vote at such meeting and will appear in person or by proxy at the meeting to propose such proposal;</w:t>
      </w:r>
    </w:p>
    <w:p>
      <w:pPr>
        <w:spacing w:after="0" w:line="176" w:lineRule="exact"/>
        <w:rPr>
          <w:rFonts w:ascii="Arial" w:cs="Arial" w:eastAsia="Arial" w:hAnsi="Arial"/>
          <w:sz w:val="17"/>
          <w:szCs w:val="17"/>
          <w:color w:val="auto"/>
        </w:rPr>
      </w:pPr>
    </w:p>
    <w:p>
      <w:pPr>
        <w:jc w:val="both"/>
        <w:ind w:left="740" w:right="4619" w:hanging="268"/>
        <w:spacing w:after="0" w:line="267" w:lineRule="auto"/>
        <w:tabs>
          <w:tab w:leader="none" w:pos="7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 representation whether the stockholder or the beneficial owner, if any, will be or is part of a group which will (x) deliver a proxy statement and/or form of proxy to holders of at least the percentage of the voting power of PRA’s outstanding capital stock required to approve or adopt the proposal or elect the nominee and/or (y) otherwise to solicit proxies or votes from stockholders in support of such proposal;</w:t>
      </w:r>
    </w:p>
    <w:p>
      <w:pPr>
        <w:spacing w:after="0" w:line="1" w:lineRule="exact"/>
        <w:rPr>
          <w:rFonts w:ascii="Arial" w:cs="Arial" w:eastAsia="Arial" w:hAnsi="Arial"/>
          <w:sz w:val="17"/>
          <w:szCs w:val="17"/>
          <w:color w:val="auto"/>
        </w:rPr>
      </w:pPr>
    </w:p>
    <w:p>
      <w:pPr>
        <w:ind w:left="740" w:right="4619" w:hanging="268"/>
        <w:spacing w:after="0" w:line="302" w:lineRule="auto"/>
        <w:tabs>
          <w:tab w:leader="none" w:pos="7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certification regarding whether such stockholder and beneficial owner, if any, have complied with all applicable federal, state and other legal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requirements in connection with the stockholder’s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and/or beneficial owner’s acquisition of shares of</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PRA stock or other securities of PRA and/or the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stockholder’s and/or beneficial owner’s acts or</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omissions as a stockholder of PRA; and</w:t>
      </w:r>
    </w:p>
    <w:p>
      <w:pPr>
        <w:spacing w:after="0" w:line="211" w:lineRule="exact"/>
        <w:rPr>
          <w:sz w:val="20"/>
          <w:szCs w:val="20"/>
          <w:color w:val="auto"/>
        </w:rPr>
      </w:pPr>
    </w:p>
    <w:p>
      <w:pPr>
        <w:jc w:val="both"/>
        <w:ind w:left="740" w:right="4619" w:hanging="268"/>
        <w:spacing w:after="0" w:line="253"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and the rules and regulations promulgated thereunder</w:t>
      </w:r>
    </w:p>
    <w:p>
      <w:pPr>
        <w:spacing w:after="0" w:line="196" w:lineRule="exact"/>
        <w:rPr>
          <w:rFonts w:ascii="Arial" w:cs="Arial" w:eastAsia="Arial" w:hAnsi="Arial"/>
          <w:sz w:val="18"/>
          <w:szCs w:val="18"/>
          <w:color w:val="auto"/>
        </w:rPr>
      </w:pPr>
    </w:p>
    <w:p>
      <w:pPr>
        <w:jc w:val="both"/>
        <w:ind w:left="740" w:right="4619" w:hanging="268"/>
        <w:spacing w:after="0" w:line="290" w:lineRule="auto"/>
        <w:tabs>
          <w:tab w:leader="none" w:pos="7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with respect to the proposal and/or the voting of shares of any class or series of stock of PRA between or among the stockholders giving the notice, the beneficial owner, if any, on whose behalf the proposal is made, any of their respective affiliates or associates and/or any others acting in concert with any of the foregoing; and</w:t>
      </w:r>
    </w:p>
    <w:p>
      <w:pPr>
        <w:spacing w:after="0" w:line="165" w:lineRule="exact"/>
        <w:rPr>
          <w:rFonts w:ascii="Arial" w:cs="Arial" w:eastAsia="Arial" w:hAnsi="Arial"/>
          <w:sz w:val="16"/>
          <w:szCs w:val="16"/>
          <w:color w:val="auto"/>
        </w:rPr>
      </w:pPr>
    </w:p>
    <w:p>
      <w:pPr>
        <w:jc w:val="both"/>
        <w:ind w:left="740" w:right="4619" w:hanging="268"/>
        <w:spacing w:after="0" w:line="284" w:lineRule="auto"/>
        <w:tabs>
          <w:tab w:leader="none" w:pos="7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without limitation any contract to purchase or sell, acquisition or grant of any option, right or warrant to purchase or sell, swap or other instrument) to which the stockholder giving the notice, the beneficial owner, if any, on whose behalf the proposal is made, any of their respective affiliates or associates and/or any others acting in concert with any of the foregoing is a party, the intent or effect of which may be (i) to transfer to or from any such person, in whole in part, any of the economic consequences of ownership of any security of PRA, (ii) to increase or decrease the voting power of any such person with respect to shares of any class or series of stock of PRA and/or (iii) to provide any such person, directly or indirectly, with the opportunity to profit or share in any profit derived from, or to otherwise benefit economically from, any increase or decrease in the value of any security of PRA.</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Stockholder Action by Written Consent</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The PRA certificate of incorporation provides that any action required or permitted to be taken by the PRA stockholders must be effected at an annual or special meeting of PRA stockholders; provided that any action required or permitted to be taken by the holders of preferred stock, voting separately as a series or separately as a class with one or more other such series,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96" w:lineRule="auto"/>
        <w:rPr>
          <w:sz w:val="20"/>
          <w:szCs w:val="20"/>
          <w:color w:val="auto"/>
        </w:rPr>
      </w:pPr>
      <w:r>
        <w:rPr>
          <w:rFonts w:ascii="Arial" w:cs="Arial" w:eastAsia="Arial" w:hAnsi="Arial"/>
          <w:sz w:val="16"/>
          <w:szCs w:val="16"/>
          <w:color w:val="auto"/>
        </w:rPr>
        <w:t>Under the Irish Companies Act, shareholders may approve an ordinary or special resolution of shareholders without a meeting only if (i) all shareholders sign a written resolution and (ii) the company’s constitution permits written resolutions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ICON constitution does not provide shareholders</w:t>
      </w:r>
    </w:p>
    <w:p>
      <w:pPr>
        <w:spacing w:after="0" w:line="27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9" w:name="page220"/>
    <w:bookmarkEnd w:id="219"/>
    <w:tbl>
      <w:tblPr>
        <w:tblLayout w:type="fixed"/>
        <w:tblInd w:w="300" w:type="dxa"/>
        <w:tblCellMar>
          <w:top w:w="0" w:type="dxa"/>
          <w:left w:w="0" w:type="dxa"/>
          <w:bottom w:w="0" w:type="dxa"/>
          <w:right w:w="0" w:type="dxa"/>
        </w:tblCellMar>
      </w:tblPr>
      <w:tr>
        <w:trPr>
          <w:trHeight w:val="161"/>
        </w:trPr>
        <w:tc>
          <w:tcPr>
            <w:tcW w:w="432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410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Arial" w:cs="Arial" w:eastAsia="Arial" w:hAnsi="Arial"/>
                <w:sz w:val="14"/>
                <w:szCs w:val="14"/>
                <w:b w:val="1"/>
                <w:bCs w:val="1"/>
                <w:color w:val="auto"/>
              </w:rPr>
              <w:t>PRA</w:t>
            </w:r>
          </w:p>
        </w:tc>
        <w:tc>
          <w:tcPr>
            <w:tcW w:w="4100" w:type="dxa"/>
            <w:vAlign w:val="bottom"/>
          </w:tcPr>
          <w:p>
            <w:pPr>
              <w:ind w:left="1860"/>
              <w:spacing w:after="0"/>
              <w:rPr>
                <w:sz w:val="20"/>
                <w:szCs w:val="20"/>
                <w:color w:val="auto"/>
              </w:rPr>
            </w:pPr>
            <w:r>
              <w:rPr>
                <w:rFonts w:ascii="Arial" w:cs="Arial" w:eastAsia="Arial" w:hAnsi="Arial"/>
                <w:sz w:val="14"/>
                <w:szCs w:val="14"/>
                <w:b w:val="1"/>
                <w:bCs w:val="1"/>
                <w:color w:val="auto"/>
              </w:rPr>
              <w:t>ICON</w:t>
            </w:r>
          </w:p>
        </w:tc>
      </w:tr>
      <w:tr>
        <w:trPr>
          <w:trHeight w:val="53"/>
        </w:trPr>
        <w:tc>
          <w:tcPr>
            <w:tcW w:w="15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4320" w:type="dxa"/>
            <w:vAlign w:val="bottom"/>
            <w:gridSpan w:val="3"/>
          </w:tcPr>
          <w:p>
            <w:pPr>
              <w:spacing w:after="0"/>
              <w:rPr>
                <w:sz w:val="20"/>
                <w:szCs w:val="20"/>
                <w:color w:val="auto"/>
              </w:rPr>
            </w:pPr>
            <w:r>
              <w:rPr>
                <w:rFonts w:ascii="Arial" w:cs="Arial" w:eastAsia="Arial" w:hAnsi="Arial"/>
                <w:sz w:val="18"/>
                <w:szCs w:val="18"/>
                <w:color w:val="auto"/>
                <w:w w:val="96"/>
              </w:rPr>
              <w:t>may be taken without a meeting, to the extent expressly</w:t>
            </w:r>
          </w:p>
        </w:tc>
        <w:tc>
          <w:tcPr>
            <w:tcW w:w="4100" w:type="dxa"/>
            <w:vAlign w:val="bottom"/>
          </w:tcPr>
          <w:p>
            <w:pPr>
              <w:spacing w:after="0"/>
              <w:rPr>
                <w:sz w:val="20"/>
                <w:szCs w:val="20"/>
                <w:color w:val="auto"/>
              </w:rPr>
            </w:pPr>
            <w:r>
              <w:rPr>
                <w:rFonts w:ascii="Arial" w:cs="Arial" w:eastAsia="Arial" w:hAnsi="Arial"/>
                <w:sz w:val="18"/>
                <w:szCs w:val="18"/>
                <w:color w:val="auto"/>
              </w:rPr>
              <w:t>with the right to take action by written consent.</w:t>
            </w: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8"/>
              </w:rPr>
              <w:t>so provided by the applicable certificate of designation.</w:t>
            </w:r>
          </w:p>
        </w:tc>
        <w:tc>
          <w:tcPr>
            <w:tcW w:w="4100" w:type="dxa"/>
            <w:vAlign w:val="bottom"/>
          </w:tcPr>
          <w:p>
            <w:pPr>
              <w:spacing w:after="0"/>
              <w:rPr>
                <w:sz w:val="20"/>
                <w:szCs w:val="20"/>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Annual General Meetings of Shareholders</w:t>
      </w:r>
    </w:p>
    <w:p>
      <w:pPr>
        <w:sectPr>
          <w:pgSz w:w="11900" w:h="16838" w:orient="portrait"/>
          <w:cols w:equalWidth="0" w:num="1">
            <w:col w:w="9019"/>
          </w:cols>
          <w:pgMar w:left="1440" w:top="262" w:right="1440" w:bottom="1440" w:gutter="0" w:footer="0" w:header="0"/>
        </w:sectPr>
      </w:pPr>
    </w:p>
    <w:p>
      <w:pPr>
        <w:spacing w:after="0" w:line="90"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DGCL provides that if a corporation has not held its annual meeting of stockholders for a period of thirty (30) days after the date designated, or if no date has been designated, for a period of thirteen (13) months after its last annual meeting, the court may summarily order a meeting to be held upon the application of any stockholders or director.</w:t>
      </w:r>
    </w:p>
    <w:p>
      <w:pPr>
        <w:spacing w:after="0" w:line="19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PRA bylaws provide that the PRA board of directors may determine the date, time and place, if any, of the annual meeting of stockholders.</w:t>
      </w:r>
    </w:p>
    <w:p>
      <w:pPr>
        <w:spacing w:after="0" w:line="184"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At any meeting of stockholders, the presiding officer of the meeting will determine the order of business and have the authority in his or her sole discretion to regulate the conduct of such meeting.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90" w:lineRule="auto"/>
        <w:rPr>
          <w:sz w:val="20"/>
          <w:szCs w:val="20"/>
          <w:color w:val="auto"/>
        </w:rPr>
      </w:pPr>
      <w:r>
        <w:rPr>
          <w:rFonts w:ascii="Arial" w:cs="Arial" w:eastAsia="Arial" w:hAnsi="Arial"/>
          <w:sz w:val="16"/>
          <w:szCs w:val="16"/>
          <w:color w:val="auto"/>
        </w:rPr>
        <w:t>As a matter of Irish law, ICON is required to hold an annual general meeting at intervals of no more than fifteen (15) months from the previous annual general meeting, provided that an annual general meeting is held in each calendar year following the first annual general meeting and no more than nine (9) months after ICON’s financial year-end. The ICON constitution includes provisions reflecting this requirement of Irish law.</w:t>
      </w:r>
    </w:p>
    <w:p>
      <w:pPr>
        <w:spacing w:after="0" w:line="1758"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Special Meetings of Stockholders (Extraordinary General Meetings)</w:t>
      </w:r>
    </w:p>
    <w:p>
      <w:pPr>
        <w:sectPr>
          <w:pgSz w:w="11900" w:h="16838" w:orient="portrait"/>
          <w:cols w:equalWidth="0" w:num="1">
            <w:col w:w="9019"/>
          </w:cols>
          <w:pgMar w:left="1440" w:top="262" w:right="1440" w:bottom="1440" w:gutter="0" w:footer="0" w:header="0"/>
          <w:type w:val="continuous"/>
        </w:sectPr>
      </w:pPr>
    </w:p>
    <w:p>
      <w:pPr>
        <w:spacing w:after="0" w:line="113" w:lineRule="exact"/>
        <w:rPr>
          <w:sz w:val="20"/>
          <w:szCs w:val="20"/>
          <w:color w:val="auto"/>
        </w:rPr>
      </w:pPr>
    </w:p>
    <w:p>
      <w:pPr>
        <w:jc w:val="both"/>
        <w:ind w:left="480" w:hanging="179"/>
        <w:spacing w:after="0" w:line="259" w:lineRule="auto"/>
        <w:rPr>
          <w:sz w:val="20"/>
          <w:szCs w:val="20"/>
          <w:color w:val="auto"/>
        </w:rPr>
      </w:pPr>
      <w:r>
        <w:rPr>
          <w:rFonts w:ascii="Arial" w:cs="Arial" w:eastAsia="Arial" w:hAnsi="Arial"/>
          <w:sz w:val="18"/>
          <w:szCs w:val="18"/>
          <w:color w:val="auto"/>
        </w:rPr>
        <w:t>The PRA certificate of incorporation provides that, except as otherwise provided by the terms of any preferred stock, a special meeting of the stockholders will be held at the request of:</w:t>
      </w:r>
    </w:p>
    <w:p>
      <w:pPr>
        <w:spacing w:after="0" w:line="187" w:lineRule="exact"/>
        <w:rPr>
          <w:sz w:val="20"/>
          <w:szCs w:val="20"/>
          <w:color w:val="auto"/>
        </w:rPr>
      </w:pPr>
    </w:p>
    <w:p>
      <w:pPr>
        <w:ind w:left="720" w:hanging="248"/>
        <w:spacing w:after="0"/>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chairman of the PRA board of directors; or</w:t>
      </w:r>
    </w:p>
    <w:p>
      <w:pPr>
        <w:spacing w:after="0" w:line="225" w:lineRule="exact"/>
        <w:rPr>
          <w:rFonts w:ascii="Arial" w:cs="Arial" w:eastAsia="Arial" w:hAnsi="Arial"/>
          <w:sz w:val="18"/>
          <w:szCs w:val="18"/>
          <w:color w:val="auto"/>
        </w:rPr>
      </w:pPr>
    </w:p>
    <w:p>
      <w:pPr>
        <w:ind w:left="720" w:hanging="248"/>
        <w:spacing w:after="0"/>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PRA board of directors.</w:t>
      </w:r>
    </w:p>
    <w:p>
      <w:pPr>
        <w:spacing w:after="0" w:line="225" w:lineRule="exact"/>
        <w:rPr>
          <w:rFonts w:ascii="Arial" w:cs="Arial" w:eastAsia="Arial" w:hAnsi="Arial"/>
          <w:sz w:val="18"/>
          <w:szCs w:val="18"/>
          <w:color w:val="auto"/>
        </w:rPr>
      </w:pPr>
    </w:p>
    <w:p>
      <w:pPr>
        <w:ind w:left="740"/>
        <w:spacing w:after="0" w:line="263" w:lineRule="auto"/>
        <w:rPr>
          <w:rFonts w:ascii="Arial" w:cs="Arial" w:eastAsia="Arial" w:hAnsi="Arial"/>
          <w:sz w:val="18"/>
          <w:szCs w:val="18"/>
          <w:color w:val="auto"/>
        </w:rPr>
      </w:pPr>
      <w:r>
        <w:rPr>
          <w:rFonts w:ascii="Arial" w:cs="Arial" w:eastAsia="Arial" w:hAnsi="Arial"/>
          <w:sz w:val="18"/>
          <w:szCs w:val="18"/>
          <w:color w:val="auto"/>
        </w:rPr>
        <w:t>No other person may call a special meeting and the ability of stockholders to call a special meeting is specifically denied.</w:t>
      </w:r>
    </w:p>
    <w:p>
      <w:pPr>
        <w:spacing w:after="0" w:line="183" w:lineRule="exact"/>
        <w:rPr>
          <w:rFonts w:ascii="Arial" w:cs="Arial" w:eastAsia="Arial" w:hAnsi="Arial"/>
          <w:sz w:val="18"/>
          <w:szCs w:val="18"/>
          <w:color w:val="auto"/>
        </w:rPr>
      </w:pPr>
    </w:p>
    <w:p>
      <w:pPr>
        <w:ind w:left="740"/>
        <w:spacing w:after="0" w:line="301" w:lineRule="auto"/>
        <w:rPr>
          <w:rFonts w:ascii="Arial" w:cs="Arial" w:eastAsia="Arial" w:hAnsi="Arial"/>
          <w:sz w:val="18"/>
          <w:szCs w:val="18"/>
          <w:color w:val="auto"/>
        </w:rPr>
      </w:pPr>
      <w:r>
        <w:rPr>
          <w:rFonts w:ascii="Arial" w:cs="Arial" w:eastAsia="Arial" w:hAnsi="Arial"/>
          <w:sz w:val="16"/>
          <w:szCs w:val="16"/>
          <w:color w:val="auto"/>
        </w:rPr>
        <w:t>The PRA board of directors may cancel, postpone or reschedule any previously scheduled meeting of PRA stockholders previously scheduled by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Extraordinary general meetings are generally held for the purpose of approving shareholder resolutions as may be required from time to time. At any extraordinary general meeting, the only business that can be conducted at that meeting is the business as set out in the notice for the meeting.</w:t>
      </w:r>
    </w:p>
    <w:p>
      <w:pPr>
        <w:spacing w:after="0" w:line="178" w:lineRule="exact"/>
        <w:rPr>
          <w:sz w:val="20"/>
          <w:szCs w:val="20"/>
          <w:color w:val="auto"/>
        </w:rPr>
      </w:pPr>
    </w:p>
    <w:p>
      <w:pPr>
        <w:jc w:val="both"/>
        <w:ind w:right="299"/>
        <w:spacing w:after="0" w:line="267" w:lineRule="auto"/>
        <w:rPr>
          <w:sz w:val="20"/>
          <w:szCs w:val="20"/>
          <w:color w:val="auto"/>
        </w:rPr>
      </w:pPr>
      <w:r>
        <w:rPr>
          <w:rFonts w:ascii="Arial" w:cs="Arial" w:eastAsia="Arial" w:hAnsi="Arial"/>
          <w:sz w:val="17"/>
          <w:szCs w:val="17"/>
          <w:color w:val="auto"/>
        </w:rPr>
        <w:t>In the case of an extraordinary general meeting requisitioned by the ICON shareholders, the proposed purpose of the meeting must be set out in the requisition notice. Upon receipt of a requisition notice, the ICON board of directors has twenty-one (21) days to convene a meeting of ICON shareholders to vote on the matters set out in the requisition notice. This meeting must be held within two (2) months of the receipt of the requisition notice. If the ICON board of directors does not convene the meeting within this 21-day period, the requisitioning shareholders, or any of them representing more than one-half of the total voting rights of all of them, may themselves convene a meeting, which must be held within three (3) months of ICON’s receipt of the requisition notice. Because of the requirements described in this paragraph, the ICON constitution includes provisions reflecting these requirements of Irish law.</w:t>
      </w:r>
    </w:p>
    <w:p>
      <w:pPr>
        <w:spacing w:after="0" w:line="55"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Notice of Meetings of Shareholders</w:t>
      </w:r>
    </w:p>
    <w:p>
      <w:pPr>
        <w:sectPr>
          <w:pgSz w:w="11900" w:h="16838" w:orient="portrait"/>
          <w:cols w:equalWidth="0" w:num="1">
            <w:col w:w="9019"/>
          </w:cols>
          <w:pgMar w:left="1440" w:top="262" w:right="1440" w:bottom="1440" w:gutter="0" w:footer="0" w:header="0"/>
          <w:type w:val="continuous"/>
        </w:sectPr>
      </w:pPr>
    </w:p>
    <w:p>
      <w:pPr>
        <w:spacing w:after="0" w:line="113" w:lineRule="exact"/>
        <w:rPr>
          <w:sz w:val="20"/>
          <w:szCs w:val="20"/>
          <w:color w:val="auto"/>
        </w:rPr>
      </w:pPr>
    </w:p>
    <w:p>
      <w:pPr>
        <w:jc w:val="both"/>
        <w:ind w:left="300"/>
        <w:spacing w:after="0" w:line="310" w:lineRule="auto"/>
        <w:rPr>
          <w:sz w:val="20"/>
          <w:szCs w:val="20"/>
          <w:color w:val="auto"/>
        </w:rPr>
      </w:pPr>
      <w:r>
        <w:rPr>
          <w:rFonts w:ascii="Arial" w:cs="Arial" w:eastAsia="Arial" w:hAnsi="Arial"/>
          <w:sz w:val="15"/>
          <w:szCs w:val="15"/>
          <w:color w:val="auto"/>
        </w:rPr>
        <w:t>The PRA bylaws provide that whenever stockholders are required or permitted to take any action at a meeting a timely notice in writing or by electronic transmission, in the manner provided in Section 232 of the DGCL, of the meeting stating the place, if any, date and time of the meeting, the means of remote communications, if any, by which PRA stockholders and proxyholders may be deemed to be present in person and vote at such meeting, the record date for determining the PRA stockholders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color w:val="auto"/>
        </w:rPr>
        <w:t>As provided under Irish law, notice of an annual or extraordinary general meeting must be given to all ICON shareholders, to the directors and to the auditors of ICON.</w:t>
      </w:r>
    </w:p>
    <w:p>
      <w:pPr>
        <w:spacing w:after="0" w:line="187"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for the minimum notice period of twenty-one (21) clear days’ notice in writing for an annual meeting or an extraordinary general meeting to approve a special resolution and fourteen (14)</w:t>
      </w:r>
    </w:p>
    <w:p>
      <w:pPr>
        <w:spacing w:after="0" w:line="200"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entitled to vote at the meeting, if such date is different from the record date for determining the PRA stockholders entitled to notice of the meeting, and, in the case of a special meeting, the purposes for which the meeting, must be given to each PRA stockholder entitled to vote at such meeting as of the record date for determining the stockholders entitled to notice of the meeting no less than ten (10) but not more than sixty</w:t>
      </w:r>
    </w:p>
    <w:p>
      <w:pPr>
        <w:spacing w:after="0" w:line="1" w:lineRule="exact"/>
        <w:rPr>
          <w:sz w:val="20"/>
          <w:szCs w:val="20"/>
          <w:color w:val="auto"/>
        </w:rPr>
      </w:pPr>
    </w:p>
    <w:p>
      <w:pPr>
        <w:jc w:val="both"/>
        <w:ind w:left="300" w:hanging="8"/>
        <w:spacing w:after="0" w:line="255" w:lineRule="auto"/>
        <w:tabs>
          <w:tab w:leader="none" w:pos="71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days prior to the date of the meeting (unless otherwise provided in the DGCL, the PRA certificate of incorporation or the bylaws).</w:t>
      </w:r>
    </w:p>
    <w:p>
      <w:pPr>
        <w:spacing w:after="0" w:line="19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At special meetings, only such business shall be conducted as shall have been brought before the meeting pursuant to PRA’s notice of meeting for the applicable special meeting.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277" w:lineRule="auto"/>
        <w:rPr>
          <w:sz w:val="20"/>
          <w:szCs w:val="20"/>
          <w:color w:val="auto"/>
        </w:rPr>
      </w:pPr>
      <w:r>
        <w:rPr>
          <w:rFonts w:ascii="Arial" w:cs="Arial" w:eastAsia="Arial" w:hAnsi="Arial"/>
          <w:sz w:val="18"/>
          <w:szCs w:val="18"/>
          <w:color w:val="auto"/>
        </w:rPr>
        <w:t>clear days’ notice in writing for a meeting to approve an ordinary resolution.</w:t>
      </w:r>
    </w:p>
    <w:p>
      <w:pPr>
        <w:spacing w:after="0" w:line="170" w:lineRule="exact"/>
        <w:rPr>
          <w:sz w:val="20"/>
          <w:szCs w:val="20"/>
          <w:color w:val="auto"/>
        </w:rPr>
      </w:pPr>
    </w:p>
    <w:p>
      <w:pPr>
        <w:jc w:val="both"/>
        <w:ind w:right="299"/>
        <w:spacing w:after="0" w:line="289" w:lineRule="auto"/>
        <w:rPr>
          <w:sz w:val="20"/>
          <w:szCs w:val="20"/>
          <w:color w:val="auto"/>
        </w:rPr>
      </w:pPr>
      <w:r>
        <w:rPr>
          <w:rFonts w:ascii="Arial" w:cs="Arial" w:eastAsia="Arial" w:hAnsi="Arial"/>
          <w:sz w:val="16"/>
          <w:szCs w:val="16"/>
          <w:color w:val="auto"/>
        </w:rPr>
        <w:t>Any notice convening a general meeting must specify the time and place of the meeting and the general nature of that business and, in reasonable prominence, that a shareholder entitled to attend and vote is entitled to appoint a proxy to attend, speak and vote in their place and that a proxy need not be a shareholder of ICON and the time by which the proxy must be received at the registered office of ICON or some other place in Ireland as is specified in the statement for that purpose.</w:t>
      </w:r>
    </w:p>
    <w:p>
      <w:pPr>
        <w:spacing w:after="0" w:line="895"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Record Date</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The PRA bylaws provide that the PRA board of directors may fix, in advance, a record date, which shall not be more than sixty (60) days nor less than ten (10) days before the date of any meeting of PRA’s stockholders. If the PRA board of directors does not fix a record date,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PRA’s bylaws also provide that the PRA board of directors may fix, in advance, a record date for purposes of determining the stockholders entitled to receive payment of any dividend or other distribution or allotment of any rights or entitlement to exercise any rights in respect of any other lawful action. Such a record date shall not be more than sixty (60) days before any such action. If the PRA board of directors does not so fix a record date, the record date for determining stockholders for any such purpose shall be at the close of business on the day on which the board adopts the applicable resolution.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1" w:lineRule="auto"/>
        <w:rPr>
          <w:sz w:val="20"/>
          <w:szCs w:val="20"/>
          <w:color w:val="auto"/>
        </w:rPr>
      </w:pPr>
      <w:r>
        <w:rPr>
          <w:rFonts w:ascii="Arial" w:cs="Arial" w:eastAsia="Arial" w:hAnsi="Arial"/>
          <w:sz w:val="17"/>
          <w:szCs w:val="17"/>
          <w:color w:val="auto"/>
        </w:rPr>
        <w:t>The ICON board of directors, or the shareholders by way of an ordinary resolution, may fix a record date for any dividend, distribution, allotment or issue of shares and for the purpose of identifying the persons entitled to receive notices of general meetings of ICON or any class of shareholders or other documents. The record date must not be more than sixty (60) days before the date of such meeting.</w:t>
      </w:r>
    </w:p>
    <w:p>
      <w:pPr>
        <w:spacing w:after="0" w:line="322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1" w:name="page222"/>
    <w:bookmarkEnd w:id="2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Adjournment of Shareholder Meetings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At any stockholders meeting at which less than a quorum of stockholders is present, the chairman of the meeting or a majority of stockholders present in person or by proxy may adjourn the meeting from time to time.</w:t>
      </w:r>
    </w:p>
    <w:p>
      <w:pPr>
        <w:spacing w:after="0" w:line="15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If the adjournment is for more than thirty (30) days, a notice of the adjourned meeting shall be given to each stockholder of record entitled to vote at the meeting.</w:t>
      </w:r>
    </w:p>
    <w:p>
      <w:pPr>
        <w:spacing w:after="0" w:line="165"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The stockholders present in person or by proxy at a duly organized meeting may continue to transact business until adjournment of any business that might have been transacted at the meeting originally noticed.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The ICON constitution provides that the chairperson may, with the consent of the meeting and shall, if so directed by the meeting, adjourn the meeting from time to time (or sine die) and from place to place. No business shall be transacted at any adjourned meeting other than the business left unfinished at the meeting at which the adjournment took place. When a meeting is adjourned for fourteen (14) days or more or sine die, at least seven (7)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3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Amendment of Governing Documents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may be amended, altered, repealed or rescinded, in whole or in part, by the affirmative vote of the holders of at least 66 2/3% in voting power of all then-outstanding shares of PRA stock entitled to vote thereon, voting together as a single class</w:t>
      </w:r>
    </w:p>
    <w:p>
      <w:pPr>
        <w:spacing w:after="0" w:line="19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and bylaws provide that the PRA bylaws may be amended, repealed or rescinded by the affirmative vote of the holders of at least 66 2/3% in voting power of all then-outstanding shares of PRA stock entitled to vote thereon, voting together as a single class</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addition, the PRA certificate of incorporation provides that the board of directors is expressly empowered to adopt, amend, alter or repeal the PRA bylaws.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Pursuant to the Irish Companies Act, the ICON constitution may only be amended by the passing of a special resolution of shareholders.</w:t>
      </w:r>
    </w:p>
    <w:p>
      <w:pPr>
        <w:spacing w:after="0" w:line="32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Change of Control Laws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Section 203 of the DGCL prohibits a Delaware corporation from engaging in a business combination with an “interested stockholder” (generally defined by the DGCL as a person who owns 15% or more of the corporation’s outstanding voting stock, together with such person’s affiliates and associates) for three (3) years following the time that person became an interested stockholder, unless (i) prior to the time the person became an interested stockholder the board of directors approved either the business combination or the transaction that resulted in the person becoming an interested stockholder, (ii) upon consummation of the transaction that resulted in the person becoming an interested stockholder, the person owned at least 85% of the corporation’s outstanding voting stock, (iii) the business combination is approved by the board of directors and by the affirmative vote of at least two-thirds of the outstanding voting stock that is not owned by the interested stockholder or (iv) certain other exceptions specified in Section 203(b) of the DGCL are met. The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A transaction in which a third party seeks to acquire 30% or more of the voting rights of ICON will be governed by the Irish Takeover Panel Act 1997 and the Takeover Rules made thereunder and will be regulated by the Panel. The “General Principles” of the Takeover Rules and certain important aspects of the Takeover Rules are described below.</w:t>
      </w:r>
    </w:p>
    <w:p>
      <w:pPr>
        <w:spacing w:after="0" w:line="17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Takeover Rules are built on the following General Principles that will apply to any transaction regulated by the Panel:</w:t>
      </w:r>
    </w:p>
    <w:p>
      <w:pPr>
        <w:spacing w:after="0" w:line="184" w:lineRule="exact"/>
        <w:rPr>
          <w:sz w:val="20"/>
          <w:szCs w:val="20"/>
          <w:color w:val="auto"/>
        </w:rPr>
      </w:pPr>
    </w:p>
    <w:p>
      <w:pPr>
        <w:jc w:val="both"/>
        <w:ind w:left="440" w:right="299" w:hanging="268"/>
        <w:spacing w:after="0" w:line="257" w:lineRule="auto"/>
        <w:tabs>
          <w:tab w:leader="none" w:pos="4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event of an offer, all holders of securities of the target company should be afforded equivalent treatment, and if a person acquires control of a company, the other holders of securities must be protected;</w:t>
      </w:r>
    </w:p>
    <w:p>
      <w:pPr>
        <w:spacing w:after="0" w:line="187" w:lineRule="exact"/>
        <w:rPr>
          <w:rFonts w:ascii="Arial" w:cs="Arial" w:eastAsia="Arial" w:hAnsi="Arial"/>
          <w:sz w:val="18"/>
          <w:szCs w:val="18"/>
          <w:color w:val="auto"/>
        </w:rPr>
      </w:pPr>
    </w:p>
    <w:p>
      <w:pPr>
        <w:ind w:left="420" w:hanging="248"/>
        <w:spacing w:after="0"/>
        <w:tabs>
          <w:tab w:leader="none" w:pos="4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w:t>
      </w:r>
    </w:p>
    <w:p>
      <w:pPr>
        <w:spacing w:after="0" w:line="69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2" w:name="page223"/>
    <w:bookmarkEnd w:id="2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DGCL allows a corporation’s certificate of incorporation or stockholder-adopted bylaw to contain a provision expressly electing not to be governed by Section 203 of the DGCL.</w:t>
      </w:r>
    </w:p>
    <w:p>
      <w:pPr>
        <w:spacing w:after="0" w:line="187"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PRA’s charter includes a provision expressly electing not to be governed by Section 203 of the DGCL. As such, Section 203 of the DGCL does not apply to PRA.</w:t>
      </w:r>
    </w:p>
    <w:p>
      <w:pPr>
        <w:spacing w:after="0" w:line="149"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PRA’s charter also includes a provision that is substantially similar to Section 203 of the DGCL, except that such provision excludes certain persons whose ownership of shares is in excess of the 15% limitation set forth in the PRA as a result of an action taken solely by PRA from the definition of “interested stockholder”. PRA’s charter requires approval by the PRA board and authorization at an annual or special meeting of PRA stockholders, and not by written consent, by a supermajority vote of at least 66 2/3% of the outstanding voting stock of PRA which is not owned by interested stockholders for any action of stockholders related to business combinations.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left="268" w:right="299"/>
        <w:spacing w:after="0" w:line="254" w:lineRule="auto"/>
        <w:rPr>
          <w:sz w:val="20"/>
          <w:szCs w:val="20"/>
          <w:color w:val="auto"/>
        </w:rPr>
      </w:pPr>
      <w:r>
        <w:rPr>
          <w:rFonts w:ascii="Arial" w:cs="Arial" w:eastAsia="Arial" w:hAnsi="Arial"/>
          <w:sz w:val="18"/>
          <w:szCs w:val="18"/>
          <w:color w:val="auto"/>
        </w:rPr>
        <w:t>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92" w:lineRule="exact"/>
        <w:rPr>
          <w:sz w:val="20"/>
          <w:szCs w:val="20"/>
          <w:color w:val="auto"/>
        </w:rPr>
      </w:pPr>
    </w:p>
    <w:p>
      <w:pPr>
        <w:jc w:val="both"/>
        <w:ind w:left="268" w:right="299" w:hanging="268"/>
        <w:spacing w:after="0" w:line="279" w:lineRule="auto"/>
        <w:tabs>
          <w:tab w:leader="none" w:pos="24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board of the target company must act in the interests of the company as a whole and must not deny the holders of securities the opportunity to decide on the merits of the offer;</w:t>
      </w:r>
    </w:p>
    <w:p>
      <w:pPr>
        <w:spacing w:after="0" w:line="171" w:lineRule="exact"/>
        <w:rPr>
          <w:rFonts w:ascii="Arial" w:cs="Arial" w:eastAsia="Arial" w:hAnsi="Arial"/>
          <w:sz w:val="17"/>
          <w:szCs w:val="17"/>
          <w:color w:val="auto"/>
        </w:rPr>
      </w:pPr>
    </w:p>
    <w:p>
      <w:pPr>
        <w:jc w:val="both"/>
        <w:ind w:left="268" w:right="299" w:hanging="268"/>
        <w:spacing w:after="0" w:line="273" w:lineRule="auto"/>
        <w:tabs>
          <w:tab w:leader="none" w:pos="24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77" w:lineRule="exact"/>
        <w:rPr>
          <w:rFonts w:ascii="Arial" w:cs="Arial" w:eastAsia="Arial" w:hAnsi="Arial"/>
          <w:sz w:val="17"/>
          <w:szCs w:val="17"/>
          <w:color w:val="auto"/>
        </w:rPr>
      </w:pPr>
    </w:p>
    <w:p>
      <w:pPr>
        <w:jc w:val="both"/>
        <w:ind w:left="268" w:right="299" w:hanging="268"/>
        <w:spacing w:after="0" w:line="296" w:lineRule="auto"/>
        <w:tabs>
          <w:tab w:leader="none" w:pos="24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61" w:lineRule="exact"/>
        <w:rPr>
          <w:rFonts w:ascii="Arial" w:cs="Arial" w:eastAsia="Arial" w:hAnsi="Arial"/>
          <w:sz w:val="16"/>
          <w:szCs w:val="16"/>
          <w:color w:val="auto"/>
        </w:rPr>
      </w:pPr>
    </w:p>
    <w:p>
      <w:pPr>
        <w:jc w:val="both"/>
        <w:ind w:left="268" w:right="299" w:hanging="268"/>
        <w:spacing w:after="0" w:line="263" w:lineRule="auto"/>
        <w:tabs>
          <w:tab w:leader="none" w:pos="24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83" w:lineRule="exact"/>
        <w:rPr>
          <w:rFonts w:ascii="Arial" w:cs="Arial" w:eastAsia="Arial" w:hAnsi="Arial"/>
          <w:sz w:val="18"/>
          <w:szCs w:val="18"/>
          <w:color w:val="auto"/>
        </w:rPr>
      </w:pPr>
    </w:p>
    <w:p>
      <w:pPr>
        <w:jc w:val="both"/>
        <w:ind w:left="268" w:right="319" w:hanging="268"/>
        <w:spacing w:after="0" w:line="296" w:lineRule="auto"/>
        <w:tabs>
          <w:tab w:leader="none" w:pos="24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6" w:lineRule="exact"/>
        <w:rPr>
          <w:sz w:val="20"/>
          <w:szCs w:val="20"/>
          <w:color w:val="auto"/>
        </w:rPr>
      </w:pPr>
    </w:p>
    <w:p>
      <w:pPr>
        <w:sectPr>
          <w:pgSz w:w="11900" w:h="16838" w:orient="portrait"/>
          <w:cols w:equalWidth="0" w:num="2">
            <w:col w:w="4400" w:space="392"/>
            <w:col w:w="4227"/>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Forum Selection</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The PRA certificate of incorporation provides that, unless PRA consents in writing to the selection of an alternative forum, the Court of Chancery of the State of Delaware will be, to the fullest extent permitted by law, the sole and exclusive forum for: (i) any derivative action or proceeding brought on behalf of PRA, (ii) any action asserting a claim of breach of a fiduciary duty owed by any director, officer or other employee of PRA to PRA or PRA’s stockholders, (iii) any action arising pursuant to any provision of the DGCL or the certificate of incorporation or the bylaws or (iv) any action asserting a claim governed by the internal affairs doctrine, provided, that, if and only if the Court of Chancery of the State of Delaware dismisses any such action for lack of subject matter jurisdiction, such action may be brought in another state court sitting in the State of Delaware.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0" w:lineRule="auto"/>
        <w:rPr>
          <w:sz w:val="20"/>
          <w:szCs w:val="20"/>
          <w:color w:val="auto"/>
        </w:rPr>
      </w:pPr>
      <w:r>
        <w:rPr>
          <w:rFonts w:ascii="Arial" w:cs="Arial" w:eastAsia="Arial" w:hAnsi="Arial"/>
          <w:sz w:val="17"/>
          <w:szCs w:val="17"/>
          <w:color w:val="auto"/>
        </w:rPr>
        <w:t>In Europe, for actions between parties domiciled in EU member states, where an exclusive jurisdiction clause has been included in a contract, Article 25 of the Recast Brussels Regulation (EU) No 1215/2012 will apply. This states that if the parties have agreed that the courts of one or more member states have jurisdiction to settle an action, then the Recast Brussels Regulation recognizes that agreement and the agreed court will have jurisdiction.</w:t>
      </w:r>
    </w:p>
    <w:p>
      <w:pPr>
        <w:spacing w:after="0" w:line="181"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For actions involving a non-EU member state but that state is a party to the Hague Convention on Choice of Court Agreements, an exclusive jurisdiction clause included in the contract between the parties will be enforceable pursuant to the terms of the Convention, provided it meets the formal requirements contained in</w:t>
      </w:r>
    </w:p>
    <w:p>
      <w:pPr>
        <w:spacing w:after="0" w:line="3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3" w:name="page224"/>
    <w:bookmarkEnd w:id="2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2 of the Convention.</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Where a contract is silent as to the governing law and</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forum for an action, the determination of the appropriate</w:t>
      </w:r>
    </w:p>
    <w:p>
      <w:pPr>
        <w:spacing w:after="0" w:line="32" w:lineRule="exact"/>
        <w:rPr>
          <w:sz w:val="20"/>
          <w:szCs w:val="20"/>
          <w:color w:val="auto"/>
        </w:rPr>
      </w:pPr>
    </w:p>
    <w:p>
      <w:pPr>
        <w:ind w:left="4620"/>
        <w:spacing w:after="0"/>
        <w:tabs>
          <w:tab w:leader="none" w:pos="5640" w:val="left"/>
          <w:tab w:leader="none" w:pos="6140" w:val="left"/>
          <w:tab w:leader="none" w:pos="6540" w:val="left"/>
          <w:tab w:leader="none" w:pos="7180" w:val="left"/>
          <w:tab w:leader="none" w:pos="7580" w:val="left"/>
          <w:tab w:leader="none" w:pos="8440" w:val="left"/>
        </w:tabs>
        <w:rPr>
          <w:sz w:val="20"/>
          <w:szCs w:val="20"/>
          <w:color w:val="auto"/>
        </w:rPr>
      </w:pPr>
      <w:r>
        <w:rPr>
          <w:rFonts w:ascii="Arial" w:cs="Arial" w:eastAsia="Arial" w:hAnsi="Arial"/>
          <w:sz w:val="18"/>
          <w:szCs w:val="18"/>
          <w:color w:val="auto"/>
        </w:rPr>
        <w:t>jurisdiction</w:t>
        <w:tab/>
        <w:t>will</w:t>
        <w:tab/>
        <w:t>be</w:t>
        <w:tab/>
        <w:t>based</w:t>
        <w:tab/>
        <w:t>on</w:t>
        <w:tab/>
        <w:t>common</w:t>
      </w:r>
      <w:r>
        <w:rPr>
          <w:sz w:val="20"/>
          <w:szCs w:val="20"/>
          <w:color w:val="auto"/>
        </w:rPr>
        <w:tab/>
      </w:r>
      <w:r>
        <w:rPr>
          <w:rFonts w:ascii="Arial" w:cs="Arial" w:eastAsia="Arial" w:hAnsi="Arial"/>
          <w:sz w:val="17"/>
          <w:szCs w:val="17"/>
          <w:color w:val="auto"/>
        </w:rPr>
        <w:t>law</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considerations. In considering whether Ireland is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most suitable forum, the court would take into account</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factors such as where the parties are domiciled,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location of the formation of the contract, the nature of</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the action, the legal and practical issues involved and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expense to the parties.</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Domicile  in  relation  to  a  company  or  other  legal</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person(s) is not determined by reference to national law,</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but is an autonomous concept which is addressed in the</w:t>
      </w:r>
    </w:p>
    <w:p>
      <w:pPr>
        <w:spacing w:after="0" w:line="32" w:lineRule="exact"/>
        <w:rPr>
          <w:sz w:val="20"/>
          <w:szCs w:val="20"/>
          <w:color w:val="auto"/>
        </w:rPr>
      </w:pPr>
    </w:p>
    <w:p>
      <w:pPr>
        <w:ind w:left="4620"/>
        <w:spacing w:after="0"/>
        <w:tabs>
          <w:tab w:leader="none" w:pos="5240" w:val="left"/>
          <w:tab w:leader="none" w:pos="6000" w:val="left"/>
          <w:tab w:leader="none" w:pos="7000" w:val="left"/>
          <w:tab w:leader="none" w:pos="7260" w:val="left"/>
          <w:tab w:leader="none" w:pos="7540" w:val="left"/>
          <w:tab w:leader="none" w:pos="8520" w:val="left"/>
        </w:tabs>
        <w:rPr>
          <w:sz w:val="20"/>
          <w:szCs w:val="20"/>
          <w:color w:val="auto"/>
        </w:rPr>
      </w:pPr>
      <w:r>
        <w:rPr>
          <w:rFonts w:ascii="Arial" w:cs="Arial" w:eastAsia="Arial" w:hAnsi="Arial"/>
          <w:sz w:val="18"/>
          <w:szCs w:val="18"/>
          <w:color w:val="auto"/>
        </w:rPr>
        <w:t>Recast</w:t>
        <w:tab/>
        <w:t>Brussels</w:t>
        <w:tab/>
        <w:t>Regulation.</w:t>
        <w:tab/>
        <w:t>It</w:t>
        <w:tab/>
        <w:t>is</w:t>
        <w:tab/>
        <w:t>determined</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4620"/>
        <w:spacing w:after="0"/>
        <w:tabs>
          <w:tab w:leader="none" w:pos="5420" w:val="left"/>
          <w:tab w:leader="none" w:pos="5740" w:val="left"/>
          <w:tab w:leader="none" w:pos="5980" w:val="left"/>
          <w:tab w:leader="none" w:pos="6900" w:val="left"/>
          <w:tab w:leader="none" w:pos="7700" w:val="left"/>
          <w:tab w:leader="none" w:pos="8200" w:val="left"/>
        </w:tabs>
        <w:rPr>
          <w:sz w:val="20"/>
          <w:szCs w:val="20"/>
          <w:color w:val="auto"/>
        </w:rPr>
      </w:pPr>
      <w:r>
        <w:rPr>
          <w:rFonts w:ascii="Arial" w:cs="Arial" w:eastAsia="Arial" w:hAnsi="Arial"/>
          <w:sz w:val="18"/>
          <w:szCs w:val="18"/>
          <w:color w:val="auto"/>
        </w:rPr>
        <w:t>reference</w:t>
        <w:tab/>
        <w:t>to</w:t>
        <w:tab/>
        <w:t>a</w:t>
        <w:tab/>
        <w:t>company's</w:t>
        <w:tab/>
        <w:t>statutory</w:t>
        <w:tab/>
        <w:t>seat,</w:t>
      </w:r>
      <w:r>
        <w:rPr>
          <w:sz w:val="20"/>
          <w:szCs w:val="20"/>
          <w:color w:val="auto"/>
        </w:rPr>
        <w:tab/>
      </w:r>
      <w:r>
        <w:rPr>
          <w:rFonts w:ascii="Arial" w:cs="Arial" w:eastAsia="Arial" w:hAnsi="Arial"/>
          <w:sz w:val="15"/>
          <w:szCs w:val="15"/>
          <w:color w:val="auto"/>
        </w:rPr>
        <w:t>central</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administration or principal place of business. For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purposes of Ireland, where the term “statutory seat” has</w:t>
      </w:r>
    </w:p>
    <w:p>
      <w:pPr>
        <w:spacing w:after="0" w:line="32" w:lineRule="exact"/>
        <w:rPr>
          <w:sz w:val="20"/>
          <w:szCs w:val="20"/>
          <w:color w:val="auto"/>
        </w:rPr>
      </w:pPr>
    </w:p>
    <w:p>
      <w:pPr>
        <w:ind w:left="4620"/>
        <w:spacing w:after="0"/>
        <w:tabs>
          <w:tab w:leader="none" w:pos="4920" w:val="left"/>
          <w:tab w:leader="none" w:pos="5420" w:val="left"/>
          <w:tab w:leader="none" w:pos="6480" w:val="left"/>
          <w:tab w:leader="none" w:pos="7340" w:val="left"/>
          <w:tab w:leader="none" w:pos="7860" w:val="left"/>
          <w:tab w:leader="none" w:pos="8460" w:val="left"/>
        </w:tabs>
        <w:rPr>
          <w:sz w:val="20"/>
          <w:szCs w:val="20"/>
          <w:color w:val="auto"/>
        </w:rPr>
      </w:pPr>
      <w:r>
        <w:rPr>
          <w:rFonts w:ascii="Arial" w:cs="Arial" w:eastAsia="Arial" w:hAnsi="Arial"/>
          <w:sz w:val="18"/>
          <w:szCs w:val="18"/>
          <w:color w:val="auto"/>
        </w:rPr>
        <w:t>no</w:t>
        <w:tab/>
        <w:t>legal</w:t>
        <w:tab/>
        <w:t>significance,</w:t>
        <w:tab/>
        <w:t>“statutory</w:t>
        <w:tab/>
        <w:t>seat”</w:t>
        <w:tab/>
        <w:t>means</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registered office, or if there is no such office anywhere,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place of incorporation.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This section summarizes certain material provisions of Delaware law pertaining to appraisal rights. The following discussion, however, is not a full summary of the law pertaining to appraisal rights under the DGCL and is qualified in its entirety by the full text of Section 262 of the DGCL, a copy of which is attached as </w:t>
      </w:r>
      <w:r>
        <w:rPr>
          <w:rFonts w:ascii="Arial" w:cs="Arial" w:eastAsia="Arial" w:hAnsi="Arial"/>
          <w:sz w:val="18"/>
          <w:szCs w:val="18"/>
          <w:u w:val="single" w:color="auto"/>
          <w:color w:val="auto"/>
        </w:rPr>
        <w:t>Annex E</w:t>
      </w:r>
      <w:r>
        <w:rPr>
          <w:rFonts w:ascii="Arial" w:cs="Arial" w:eastAsia="Arial" w:hAnsi="Arial"/>
          <w:sz w:val="18"/>
          <w:szCs w:val="18"/>
          <w:color w:val="auto"/>
        </w:rPr>
        <w:t xml:space="preserve"> to this joint proxy statement/prospectus and incorporated by reference herein. All references in Section 262 of the DGCL and this summary to a “stockholder” or “holder” of PRA common stock are to the record holder of the shares of PRA common stock. The following discussion does not constitute any legal or other advice, nor does it constitute a recommendation as to whether or not a PRA stockholder should exercise its right to seek appraisal under Section 262 of the DGCL.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you hold one or more shares of PRA common stock continuously through the effective date of the merger, neither vote in favor of the merger nor consent thereto in writing, and otherwise comply with the procedures set forth in Section 262 of the DGCL, you are entitled to appraisal rights under Delaware law and have the right to demand appraisal of your shares in connection with the merger, have your shares appraised by the Delaware Court of Chancery and receive in cash the “fair value” of such shares (as determined by the Delaware Court of Chancery, exclusive of any element of value arising from the accomplishment or expectation of the merger) as of the completion of the merger, together with interest, if any, on the amount determined to be the fair value, instead of receiving the merger consideration, except as otherwise provided in Section 262 of the DGCL. It is possible that any such “fair value” as determined by the Delaware Court of Chancery may be more or less than, or the same as, that which PRA stockholders will receive pursuant to the merger agreement.</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Under Section 262 of the DGCL, because PRA stockholders are being asked to adopt the merger agreement at a meeting of stockholders, not less than twenty (20) days prior to the PRA stockholder meeting to adopt such agreement PRA must notify each stockholder who was a PRA stockholder on the record date for notice of such meeting and who is entitled to exercise appraisal rights that appraisal rights are available and include in the notice a copy of Section 262 of the DGCL. </w:t>
      </w:r>
      <w:r>
        <w:rPr>
          <w:rFonts w:ascii="Arial" w:cs="Arial" w:eastAsia="Arial" w:hAnsi="Arial"/>
          <w:sz w:val="17"/>
          <w:szCs w:val="17"/>
          <w:b w:val="1"/>
          <w:bCs w:val="1"/>
          <w:color w:val="auto"/>
        </w:rPr>
        <w:t>This joint proxy statement/prospectus constitutes the required notice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availability of appraisal rights under Section 262 of the DGCL, and the copy of Section 262 of the DGCL is attached as </w:t>
      </w:r>
      <w:r>
        <w:rPr>
          <w:rFonts w:ascii="Arial" w:cs="Arial" w:eastAsia="Arial" w:hAnsi="Arial"/>
          <w:sz w:val="17"/>
          <w:szCs w:val="17"/>
          <w:b w:val="1"/>
          <w:bCs w:val="1"/>
          <w:u w:val="single" w:color="auto"/>
          <w:color w:val="auto"/>
        </w:rPr>
        <w:t>Annex E</w:t>
      </w:r>
      <w:r>
        <w:rPr>
          <w:rFonts w:ascii="Arial" w:cs="Arial" w:eastAsia="Arial" w:hAnsi="Arial"/>
          <w:sz w:val="17"/>
          <w:szCs w:val="17"/>
          <w:b w:val="1"/>
          <w:bCs w:val="1"/>
          <w:color w:val="auto"/>
        </w:rPr>
        <w:t xml:space="preserve"> to this joint proxy statement/prospectus.</w:t>
      </w:r>
    </w:p>
    <w:p>
      <w:pPr>
        <w:spacing w:after="0" w:line="65"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b w:val="1"/>
          <w:bCs w:val="1"/>
          <w:color w:val="auto"/>
        </w:rPr>
        <w:t xml:space="preserve">A PRA STOCKHOLDER WHO WISHES TO EXERCISE APPRAISAL RIGHTS OR WHO WISHES TO PRESERVE THE RIGHT TO DO SO SHOULD REVIEW THE FOLLOWING SUMMARY AND </w:t>
      </w:r>
      <w:r>
        <w:rPr>
          <w:rFonts w:ascii="Arial" w:cs="Arial" w:eastAsia="Arial" w:hAnsi="Arial"/>
          <w:sz w:val="18"/>
          <w:szCs w:val="18"/>
          <w:b w:val="1"/>
          <w:bCs w:val="1"/>
          <w:u w:val="single" w:color="auto"/>
          <w:color w:val="auto"/>
        </w:rPr>
        <w:t>ANNEX E</w:t>
      </w:r>
      <w:r>
        <w:rPr>
          <w:rFonts w:ascii="Arial" w:cs="Arial" w:eastAsia="Arial" w:hAnsi="Arial"/>
          <w:sz w:val="18"/>
          <w:szCs w:val="18"/>
          <w:b w:val="1"/>
          <w:bCs w:val="1"/>
          <w:color w:val="auto"/>
        </w:rPr>
        <w:t xml:space="preserve"> CAREFULLY. FAILURE TO COMPLY WITH THE PROCEDURES OF SECTION 262 OF THE DGCL IN A TIMELY AND PROPER MANNER MAY RESULT IN THE LOSS OF APPRAISAL RIGHTS. BECAUSE OF THE COMPLEXITY OF THE PROCEDURES FOR EXERCISING THE RIGHT TO SEEK APPRAISAL, IF A PRA STOCKHOLDER WISHES TO EXERCISE HIS, HER OR ITS APPRAISAL RIGHTS, THE HOLDER IS URGED TO CONSULT WITH ITS OWN LEGAL AND FINANCIAL ADVISORS IN CONNECTION WITH COMPLIANCE UNDER SECTION 262 OF THE DGCL. A PRA STOCKHOLDER WHO LOSES HIS, HER OR ITS APPRAISAL RIGHTS WILL BE ENTITLED TO RECEIVE THE PER SHARE MERGER CONSIDERATION, WITHOUT INTEREST AND LESS ANY WITHHOLDING TAXES.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Exercise and Perfect Your Appraisal Rights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are a PRA stockholder and wish to exercise the right to seek an appraisal of your shares of PRA common stock, you must comply with ALL of the following:</w:t>
      </w:r>
    </w:p>
    <w:p>
      <w:pPr>
        <w:spacing w:after="0" w:line="58" w:lineRule="exact"/>
        <w:rPr>
          <w:sz w:val="20"/>
          <w:szCs w:val="20"/>
          <w:color w:val="auto"/>
        </w:rPr>
      </w:pPr>
    </w:p>
    <w:p>
      <w:pPr>
        <w:jc w:val="both"/>
        <w:ind w:left="1000" w:right="319" w:hanging="348"/>
        <w:spacing w:after="0" w:line="258" w:lineRule="auto"/>
        <w:tabs>
          <w:tab w:leader="none" w:pos="1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you must not vote “</w:t>
      </w:r>
      <w:r>
        <w:rPr>
          <w:rFonts w:ascii="Arial" w:cs="Arial" w:eastAsia="Arial" w:hAnsi="Arial"/>
          <w:sz w:val="18"/>
          <w:szCs w:val="18"/>
          <w:b w:val="1"/>
          <w:bCs w:val="1"/>
          <w:color w:val="auto"/>
        </w:rPr>
        <w:t>FOR</w:t>
      </w:r>
      <w:r>
        <w:rPr>
          <w:rFonts w:ascii="Arial" w:cs="Arial" w:eastAsia="Arial" w:hAnsi="Arial"/>
          <w:sz w:val="18"/>
          <w:szCs w:val="18"/>
          <w:color w:val="auto"/>
        </w:rPr>
        <w:t>,” or otherwise consent in writing to, the adoption of the merger agreement. Because a proxy that is signed and submitted but does not otherwise contain voting instructions will, unless revoked, be voted in favor of the adoption of the merger agreement, if you vote by proxy and wish to exercise your appraisal rights, you must vote against the adoption of the merger agreement or abstain from voting your shares of PRA common stock;</w:t>
      </w:r>
    </w:p>
    <w:p>
      <w:pPr>
        <w:spacing w:after="0" w:line="79"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you must deliver to PRA a written demand for appraisal before the taking of the vote on the adoption of the merger agreement at the PRA stockholder meeting, and such demand must reasonably inform PRA of your identity and your intention to demand appraisal of your shares of PRA common stock. The written demand for appraisal must be in addition to and separate from any proxy or vote;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you must continuously hold your shares of PRA common stock from the date of making the demand through the effective date of the merger. You will lose your appraisal rights if you transfer the shares before the effective time of the merger; and</w:t>
      </w:r>
    </w:p>
    <w:p>
      <w:pPr>
        <w:spacing w:after="0" w:line="75"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you, another stockholder, an appropriate beneficial owner or the surviving corporation must file a petition in the Delaware Court of Chancery requesting a determination of the fair value of the shares of PRA common stock within one hundred twenty (120) days after the effective date of the merger. The surviving corporation is under no obligation to file any such petition in the Delaware Court of Chancery and has no intention of doing so. Accordingly, it is the obligation of PRA stockholders or a beneficial owner of PRA common stock to initiate all necessary action to perfect their appraisal rights in respect of shares of PRA common stock within the time prescribed in Section 262 of the DGCL.</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addition, the Delaware Court of Chancery will dismiss appraisal proceedings as to all shares of any class or series of PRA capital stock if, immediately before the merger, such shares were listed on a national securities exchange unless (i) the total number of shares entitled to appraisal exceeds 1% of the outstanding shares of the class or series of PRA stock eligible for appraisal, or (ii) the value of the consideration provided in the merger for such total number of shares entitled to appraisal exceeds $1 million. We refer to these conditions as the “ownership thresholds.” Because PRA common stock is listed on a national securities exchange and is expected to continue to be listed on such exchange immediately before the merger, at least one of the ownership thresholds must be met in order for PRA stockholders to be entitled to seek appraisal with respect to their shares of PRA common stock.</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Voting, in person or by proxy, against, abstaining from voting on or failing to vote on the adoption of the merger agreement will not constitute a written demand for appraisal as required by Section 262 of the DGCL. The written demand for appraisal is in addition to and separate from any proxy or vote.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Exercise Appraisal Rights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Only a holder of record of PRA common stock is entitled to demand an appraisal of the shares registered in that holder’s name. A holder of shares of PRA common stock exercising appraisal rights must hold of record the shares on the date the written demand is made and must continue to hold the shares of record through the effective date of the merger. A demand for appraisal must be executed by or on behalf of the stockholder of record. The demand should set forth, fully and correctly, the stockholder’s name as it appears on the stock certificates (or in the stock ledger). The demand must reasonably inform PRA of the identity of the stockholder and that the stockholder intends to demand appraisal of his, her or its PRA common stock. Beneficial owners who do not also hold their shares of PRA common stock of record may not directly make appraisal demands to PRA. The beneficial owner must, in such cases, have the holder of record, such as a bank, broker or other nominee, submit the required demand in respect of those shares of PRA common stock of record. If the shares are owned of record in a fiduciary capacity, such as by a trustee, guardian or custodian, execution of the demand should be made in that capacity. A holder of record, such as a bank, broker or other nominee, who holds shares of PRA common stock in “street name” as a nominee or intermediary for others may exercise his, her or its right of appraisal with respect to the shares of PRA common stock held for one or more beneficial owners, while not exercising this right for other beneficial owners. In that case, the written demand should state the number of shares of PRA common stock as to which appraisal is sought. Where no number of shares of PRA common stock is expressly mentioned, the demand will be presumed to cover all shares of PRA common stock held in the name of the holder of record.</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IF YOU HOLD YOUR SHARES OF PRA COMMON STOCK IN BANK OR BROKERAGE ACCOUNTS OR OTHER NOMINEE FORMS AND YOU WISH TO EXERCISE APPRAISAL RIGHTS, YOU ARE URGED TO CONSULT WITH YOUR BANK, BROKER OR OTHER NOMINEE TO DETERMINE THE APPROPRIATE PROCEDURES FOR THE BANK, BROKERAGE FIRM OR OTHER NOMINEE TO MAKE A DEMAND FOR APPRAISAL OF THOSE SHARES. IF YOU HAVE A BENEFICIAL INTEREST IN SHARES OF PRA COMMON STOCK HELD OF RECORD IN THE NAME OF ANOTHER PERSON, SUCH AS A NOMINEE OR INTERMEDIARY, YOU MUST ACT PROMPTLY TO CAUSE THE HOLDER OF RECORD TO FOLLOW PROPERLY AND IN A TIMELY MANNER THE STEPS NECESSARY TO MAKE A DEMAND FOR APPRAISAL OF THOSE SHARES.</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you own shares of PRA common stock jointly with one or more other persons, as in a joint tenancy or tenancy in common, demand for appraisal must be executed by or for you and all other joint owners. An authorized agent, including an agent for two (2) or more joint owners, may execute the demand for appraisal for a stockholder of record; however, the agent must identify the holder or holders of record and expressly disclose the fact that,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exercising the demand, such person is acting as agent for the holder or holders of record. If you hold shares of PRA common stock through a nominee or intermediary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elect to exercise appraisal rights under Section 262 of the DGCL, you should mail or deliver a written demand 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4130 ParkLake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NC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Surviving Corporation’s Actions after Completion of the Merger</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merger is consummated, the surviving corporation will give written notice of the effective date of the merger within ten (10) days after the effective date of the merger to PRA stockholders who are entitled to appraisal rights and who made a written demand for appraisal in accordance with Section 262 of the DGCL. At any time within sixty (60) days after the effective date of the merger, any PRA stockholder that made a demand for appraisal but did not commence an appraisal proceeding or join in such a proceeding as a named party will have the right to withdraw the demand and to accept the merger consideration in accordance with the merger agreement for his, her or its shares of PRA common stock by delivering to the surviving corporation a written withdrawal of the demand for appraisal, but after such sixty (60)-day period a demand for appraisal may be withdrawn only with the written approval of the surviving corporation. Within one hundred twenty (120) days after the effective date of the merger, either the record holder or a beneficial owner of PRA common stock, provided such person has complied with the requirements of Section 262 of the DGCL and is otherwise entitled to appraisal rights, or the surviving corporation may commence an appraisal proceeding by filing a petition in the Delaware Court of Chancery, with a copy served on the surviving corporation in the case of a petition filed by a stockholder or beneficial owner, demanding an appraisal of the value of the shares of PRA common stock held by all stockholders who have properly demanded appraisal. The surviving corporation is under no obligation to file an appraisal petition and has no intention of doing so. If you desire to have your shares appraised, you should initiate any petitions necessary for the perfection of your appraisal rights within the time periods and in the manner prescribed in Section 262 of the DGCL.</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Within 120 days after the effective date of the merger, any stockholder or beneficial owner who has complied with the provisions of Section 262 of the DGCL will be entitled to receive from the surviving corporation, upon written request, a statement setting forth the aggregate number of shares of PRA common stock not voted in favor of the adoption of the merger agreement and with respect to which PRA has received demands for appraisal, and the aggregate number of holders of those shares. The surviving corporation must mail this statement within the later of</w:t>
      </w:r>
    </w:p>
    <w:p>
      <w:pPr>
        <w:spacing w:after="0" w:line="2" w:lineRule="exact"/>
        <w:rPr>
          <w:sz w:val="20"/>
          <w:szCs w:val="20"/>
          <w:color w:val="auto"/>
        </w:rPr>
      </w:pPr>
    </w:p>
    <w:p>
      <w:pPr>
        <w:jc w:val="both"/>
        <w:ind w:left="300" w:right="299" w:hanging="8"/>
        <w:spacing w:after="0" w:line="295" w:lineRule="auto"/>
        <w:tabs>
          <w:tab w:leader="none" w:pos="51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ten (10) days after receipt by the surviving corporation of the request therefor or (ii) ten (10) days after expiration of the period for delivery of demands for appraisal. If you are the beneficial owner of shares of PRA common stock held in a voting trust or by a nominee or intermediary on your behalf, you may, in your own name, file an appraisal petition or request from the surviving corporation the statement described in this paragraph.</w:t>
      </w:r>
    </w:p>
    <w:p>
      <w:pPr>
        <w:spacing w:after="0" w:line="5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a petition for appraisal is duly filed by a holder of record or beneficial owner of PRA common stock who has properly exercised his, her or its appraisal rights in accordance with the provisions of Section 262 of the DGCL, and a copy of the petition is served on the surviving corporation, the surviving corporation will then be obligated, within twenty (20) days after receiving service of a copy of the petition, to file in the office of the Register in Chancery in which the petition was filed a duly verified list containing the names and addresses of all holders who have demanded an appraisal of their shares and with whom agreements as to the value of their shares have not been reached by the surviving corporation. The Register in Chancery, if so ordered by the Delaware Court of Chancery, shall give notice of the time and place fixed for the hearing of such petition by registered or certified mail to the surviving corporation and to the stockholders shown on such verified list at the addresses therein stated. Such notice shall also be given by one or more publications at least one week before the day of the hearing, in a newspaper of general circulation published in the City of Wilmington, Delaware or such publication as the Delaware Court of Chancery deems advisable. The forms of the notices by mail and by publication shall be approved by the Delaware Court of Chancery, and the costs thereof shall be borne by the surviving corporation. At the hearing on the petition, the Delaware Court of Chancery will then determine which PRA stockholders are entitled to appraisal rights and may require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PRA stockholders demanding appraisal who hold certificated shares of PRA common stock to submit their stock certificates to the Register in Chancery for notation thereon of the pendency of the appraisal proceedings, and the Delaware Court of Chancery may dismiss the proceedings as to any PRA stockholder who fails to comply with this direction. Assuming the shares of PRA common stock remain listed on a national securities exchange immediately before the merger, the Delaware Court of Chancery will also dismiss the proceedings as to all holders of such shares if neither of the ownership thresholds described above is met. After the Delaware Court of Chancery determines the stockholders entitled to an appraisal, the appraisal proceeding will be conducted in accordance with the rules of the Delaware Court of Chancery, including any rules specifically governing appraisal proceedings. The Delaware Court of Chancery will thereafter determine the fair value of the shares of PRA common stock, exclusive of any element of value arising from the accomplishment or expectation of the merger, together with interest, if any, on the amount determined to be the fair value.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However, the surviving corporation has the right, at any point prior to the Delaware Court of Chancery’s entry of judgment in the proceedings, to make a voluntary cash payment to each stockholder entitled to appraisal. If the surviving corporation makes such a voluntary cash payment, interest will accrue thereafter only on the sum of (i) the difference, if any, between the amount paid by the surviving corporation in such voluntary cash payment and the fair value of the shares as determined by the Delaware Court of Chancery and (ii) interest accrued before such voluntary cash payment, unless paid at that time. When the value is determined, the Delaware Court of Chancery will direct the payment of such value, with interest thereon, if any, to the PRA stockholders entitled to receive the same, forthwith in the case of holders of uncertificated stock or upon surrender of their stock certificates in the case of holders of shares represented by certificates.</w:t>
      </w:r>
    </w:p>
    <w:p>
      <w:pPr>
        <w:spacing w:after="0" w:line="6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In determining the fair value,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were known or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5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An opinion of an investment banking firm as to the fairness from a financial point of view of the consideration payable in a merger is not an opinion as to, and does not in any manner address, fair value under Section 262 of the DGCL. The fair value of shares of PRA common stock as determined under Section 262 of the DGCL could be greater than, the same as, or less than the value of the merger consideration. ICON does not anticipate offering more than the per share merger consideration to any PRA stockholder exercising appraisal rights and reserves the rights to make a voluntary cash payment pursuant to subsection (h) of Section 262 of the DGCL and to assert, in any appraisal proceeding, that, for purposes of Section 262 of the DGCL, the “fair value” of a share of PRA common stock is less than the per share merger consideration. No representation is made as to the outcome of the appraisal of fair value as determined by the Delaware Court of Chancery.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no party files a petition for appraisal within one hundred twenty (120) days after the effective date of the merger (or if the appraisal proceedings are dismissed because none of the applicable ownership thresholds described above have been satisfied), then all PRA stockholders will lose the right to an appraisal, and will instead receive the per share merger consideration described in the merger agreement, without interest thereon, less any withholding 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Delaware Court of Chancery may determine the costs of the appraisal proceeding and may allocate those costs to the parties as the Delaware Court of Chancery determines to be equitable under the circumstances.</w:t>
      </w:r>
    </w:p>
    <w:p>
      <w:pPr>
        <w:spacing w:after="0" w:line="1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Each PRA stockholder party to the appraisal proceeding is responsible for his, her or its own attorneys’ fees and expert witnesses’ fees and expenses, although, upon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of PRA common stock entitled to appraisal.</w:t>
      </w:r>
    </w:p>
    <w:p>
      <w:pPr>
        <w:spacing w:after="0" w:line="6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No stockholder who has demanded an appraisal in compliance with Section 262 of the DGCL may, from and after the effective date of the merger, vote the shares of PRA common stock subject to the demand for any purpose or receive any dividends or other distributions on those shares, except dividends or other distributions payable to holders of record of shares of PRA common stock as of a record date prior to the effective date of the merger.</w:t>
      </w:r>
    </w:p>
    <w:p>
      <w:pPr>
        <w:spacing w:after="0" w:line="4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you have not commenced an appraisal proceeding or joined such a proceeding as a named party, you may withdraw a demand for appraisal and accept the merger consideration by delivering a written withdrawal of the demand for appraisal and an acceptance of the merger to the surviving corporation, except that any attempt to withdraw made more than sixty (60) days after the effective date of the merger will require written approval of the surviving corporation, and no appraisal proceeding in the Delaware Court of Chancery will be dismissed as to any stockholder without the approval of the Delaware Court of Chancery. Such approval may be conditioned on the terms the Delaware Court of Chancery deems just; provided, however, that this provision will not affect the right of any PRA stockholder that has made an appraisal demand but who has not commenced an appraisal proceeding or joined such proceeding as a named party to withdraw such stockholder’s demand for appraisal and to accept the terms offered in the merger within sixty (60) days after the effective date of the merger. If you fail to perfect, successfully withdraw your demand for appraisal, or otherwise lose your appraisal rights, your shares of PRA common stock will be converted into the right to receive the per share merger consideration, without interest thereon, less any withholding taxes.</w:t>
      </w:r>
    </w:p>
    <w:p>
      <w:pPr>
        <w:spacing w:after="0" w:line="7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Failure to follow the steps required by Section 262 of the DGCL for perfecting appraisal rights may result in the loss of your appraisal rights. In that event, you will be entitled to receive the per share merger consideration for your shares of PRA common stock in accordance with the merger agreement without interest thereon, less any withholding taxes. In view of the complexity of the provisions of Section 262 of the DGCL, if you are a PRA stockholder or beneficial owner of PRA common stock and are considering exercising appraisal rights under the DGCL, you are urged to consult your own legal and financial advisor.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THE PROCESS OF DEMANDING AND EXERCISING APPRAISAL RIGHTS REQUIRES COMPLIANCE WITH THE PREREQUISITES OF SECTION 262 OF THE DGCL. IF YOU WISH TO EXERCISE YOUR APPRAISAL RIGHTS, YOU ARE URGED TO CONSULT WITH YOUR OWN LEGAL AND FINANCIAL ADVISORS IN CONNECTION WITH COMPLIANCE UNDER SECTION 262 OF THE DGCL. TO THE EXTENT THERE ARE ANY INCONSISTENCIES BETWEEN THE FOREGOING SUMMARY AND SECTION 262 OF THE DGCL, THE DGCL WILL GOVERN</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ICON ordinary shares offered hereby will be passed upon for ICON by A&amp;L Goodbody</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LLP.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consolidated financial statements of ICON plc as of December 31, 2020 and 2019, and for each of the years in the three-year period ended December 31, 2020, and management’s assessment of the effectiveness of internal control over financial reporting as of December 31, 2020, which appear in ICON’s Annual report on Form 20-F, have been incorporated by reference herein in reliance upon the reports of KPMG, independent registered public accounting firm, incorporated by reference herein, and upon the authority of said firm as experts in accounting and auditing.</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financial statements incorporated in this joint proxy statement/prospectus by reference from PRA Health Sciences, Inc.’s Annual Report on Form 10-K for the year ended December 31, 2020, and the effectiveness of PRA’s internal control over financial reporting as of December 31, 2020,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is a public limited company incorporated under the laws of Ireland. Substantially all of ICON’s directors and officers, and some of the experts named in this document, reside outside the U.S. All or a substantial portion of ICON’s assets, and the assets of such persons, are located outside the U.S. Therefore, you may not be able to effect service of process within the U.S. upon ICON or these persons so that you may enforce judgments of U.S. courts against us or these persons based on the civil liability provisions of the U.S. federal securities laws. There is doubt as to how the courts of Ireland would deal with an original action relying on civil liabilities solely based on the U.S. federal securities laws and how the courts of Ireland would enforce judgments of U.S. courts, of civil liabilities solely based on the U.S. federal securities laws.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the date of this joint proxy statement/prospectus, PRA’s board of directors knows of no matters that will be presented for consideration at the PRA stockholder meeting other than as described in this joint proxy statement/prospectus. If any other matters properly come before PRA stockholders at the PRA stockholder meeting, or any adjournment or postponement thereof, and are voted upon, the enclosed proxy will be deemed to confer discretionary authority on the individuals that it names as proxies to vote the shares represented by the proxy as to any of these matters. The individuals named as proxies intend to vote in accordance with the recommendation of the PRA board of directors.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0" w:name="page231"/>
    <w:bookmarkEnd w:id="23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OF PRA COMMON STOCK</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PRA’s knowledge, the following tables set forth certain information regarding the beneficial ownership of PRA’s common stock as of the close of business on April 26, 2021 (except as noted in the footnotes below) with respect to:</w:t>
      </w:r>
    </w:p>
    <w:p>
      <w:pPr>
        <w:spacing w:after="0" w:line="76" w:lineRule="exact"/>
        <w:rPr>
          <w:sz w:val="20"/>
          <w:szCs w:val="20"/>
          <w:color w:val="auto"/>
        </w:rPr>
      </w:pPr>
    </w:p>
    <w:p>
      <w:pPr>
        <w:ind w:left="1000" w:right="319" w:hanging="348"/>
        <w:spacing w:after="0" w:line="277" w:lineRule="auto"/>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person known to PRA to beneficially own more than 5% of the outstanding shares of PRA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member of the PRA board of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named executive officer of PRA.</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has determined beneficial ownership in accordance with the rules of the SEC. Except as indicated by the footnotes below, PRA believes, based on the information furnished to PRA, that the persons and entities named in the table below have sole voting and investment power with respect to all shares of PRA common stock beneficially owned by them.</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Applicable percentage ownership and voting power is based on 64,795,400 shares of PRA common stock outstanding as of April 26, 2021.</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PRA Directors and Executive Officers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5"/>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vMerge w:val="restart"/>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42"/>
        </w:trPr>
        <w:tc>
          <w:tcPr>
            <w:tcW w:w="6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vMerge w:val="continue"/>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311"/>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Colin Shannon</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w w:val="92"/>
              </w:rPr>
              <w:t>734,685</w:t>
            </w:r>
            <w:r>
              <w:rPr>
                <w:rFonts w:ascii="Arial" w:cs="Arial" w:eastAsia="Arial" w:hAnsi="Arial"/>
                <w:sz w:val="29"/>
                <w:szCs w:val="29"/>
                <w:color w:val="auto"/>
                <w:w w:val="92"/>
                <w:vertAlign w:val="superscript"/>
              </w:rPr>
              <w:t>(2)</w:t>
            </w:r>
          </w:p>
        </w:tc>
        <w:tc>
          <w:tcPr>
            <w:tcW w:w="200" w:type="dxa"/>
            <w:vAlign w:val="bottom"/>
          </w:tcPr>
          <w:p>
            <w:pPr>
              <w:spacing w:after="0"/>
              <w:rPr>
                <w:sz w:val="24"/>
                <w:szCs w:val="24"/>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Bonello</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114,941</w:t>
            </w:r>
            <w:r>
              <w:rPr>
                <w:rFonts w:ascii="Arial" w:cs="Arial" w:eastAsia="Arial" w:hAnsi="Arial"/>
                <w:sz w:val="29"/>
                <w:szCs w:val="29"/>
                <w:color w:val="auto"/>
                <w:w w:val="90"/>
                <w:vertAlign w:val="superscript"/>
              </w:rPr>
              <w:t>(3)</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Christopher L. Gaenzle</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91,713</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Jeffrey T. Barber</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14,479</w:t>
            </w:r>
            <w:r>
              <w:rPr>
                <w:rFonts w:ascii="Arial" w:cs="Arial" w:eastAsia="Arial" w:hAnsi="Arial"/>
                <w:sz w:val="29"/>
                <w:szCs w:val="29"/>
                <w:color w:val="auto"/>
                <w:vertAlign w:val="superscript"/>
              </w:rPr>
              <w:t>(5)</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G. Dickinson</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5,157</w:t>
            </w:r>
            <w:r>
              <w:rPr>
                <w:rFonts w:ascii="Arial" w:cs="Arial" w:eastAsia="Arial" w:hAnsi="Arial"/>
                <w:sz w:val="29"/>
                <w:szCs w:val="29"/>
                <w:color w:val="auto"/>
                <w:vertAlign w:val="superscript"/>
              </w:rPr>
              <w:t>(6)</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Linda S. Grais, M.D.</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9,433</w:t>
            </w:r>
            <w:r>
              <w:rPr>
                <w:rFonts w:ascii="Arial" w:cs="Arial" w:eastAsia="Arial" w:hAnsi="Arial"/>
                <w:sz w:val="29"/>
                <w:szCs w:val="29"/>
                <w:color w:val="auto"/>
                <w:vertAlign w:val="superscript"/>
              </w:rPr>
              <w:t>(7)</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Momtazee</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3,191</w:t>
            </w:r>
            <w:r>
              <w:rPr>
                <w:rFonts w:ascii="Arial" w:cs="Arial" w:eastAsia="Arial" w:hAnsi="Arial"/>
                <w:sz w:val="29"/>
                <w:szCs w:val="29"/>
                <w:color w:val="auto"/>
                <w:vertAlign w:val="superscript"/>
              </w:rPr>
              <w:t>(8)</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Glen D. Stettin, M.D.</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799</w:t>
            </w:r>
            <w:r>
              <w:rPr>
                <w:rFonts w:ascii="Arial" w:cs="Arial" w:eastAsia="Arial" w:hAnsi="Arial"/>
                <w:sz w:val="29"/>
                <w:szCs w:val="29"/>
                <w:color w:val="auto"/>
                <w:vertAlign w:val="superscript"/>
              </w:rPr>
              <w:t>(9)</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P. Young</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6,877</w:t>
            </w:r>
            <w:r>
              <w:rPr>
                <w:rFonts w:ascii="Arial" w:cs="Arial" w:eastAsia="Arial" w:hAnsi="Arial"/>
                <w:sz w:val="29"/>
                <w:szCs w:val="29"/>
                <w:color w:val="auto"/>
                <w:vertAlign w:val="superscript"/>
              </w:rPr>
              <w:t>(10)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-2279650</wp:posOffset>
            </wp:positionV>
            <wp:extent cx="1200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-2279650</wp:posOffset>
            </wp:positionV>
            <wp:extent cx="1200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jc w:val="both"/>
        <w:ind w:left="640" w:right="299" w:hanging="348"/>
        <w:spacing w:after="0" w:line="264" w:lineRule="auto"/>
        <w:tabs>
          <w:tab w:leader="none" w:pos="6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Includes 663,272 options currently exercisable or exercisable within 60 days of April 26, 2021 and 14,486 restricted stock units that will vest on June 1, 2021.</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Includes 90,890 options currently exercisable or exercisable within 60 days of April 26, 2021 and 4,823 restricted stock units that will vest on June 1, 2021.</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Includes 54,390 options currently exercisable or exercisable within 60 days of April 26, 2021 and 2,823 restricted stock units will vest on June 1,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1,324 unvested restricted stock awards that will vest on May 18, 2021 and 13,155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3,833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8,109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1,748 unvested restricted stock awards which will vest on May 18, 2021 and 1,443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unvested restricted stock awards which will vest on May 18,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5,553 vested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lists certain persons known by PRA to beneficially own more than 5% of the outstanding PRA ordinary shares as of April 26,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Name of Owner or Identity of Group</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42"/>
        </w:trPr>
        <w:tc>
          <w:tcPr>
            <w:tcW w:w="64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331"/>
        </w:trPr>
        <w:tc>
          <w:tcPr>
            <w:tcW w:w="672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6,709,141</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6,424,367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Massachusetts Financial Services Company</w:t>
            </w:r>
            <w:r>
              <w:rPr>
                <w:rFonts w:ascii="Arial" w:cs="Arial" w:eastAsia="Arial" w:hAnsi="Arial"/>
                <w:sz w:val="29"/>
                <w:szCs w:val="29"/>
                <w:color w:val="auto"/>
                <w:vertAlign w:val="superscript"/>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6,116,107</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9"/>
                <w:szCs w:val="29"/>
                <w:color w:val="auto"/>
                <w:vertAlign w:val="superscript"/>
              </w:rPr>
              <w:t>(5)</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5,335,089</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3,533,621</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Capital Research Global Investors</w:t>
            </w:r>
            <w:r>
              <w:rPr>
                <w:rFonts w:ascii="Arial" w:cs="Arial" w:eastAsia="Arial" w:hAnsi="Arial"/>
                <w:sz w:val="29"/>
                <w:szCs w:val="29"/>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3,450,676</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All Directors, officers and other key employees as a group (9 persons)</w:t>
            </w:r>
            <w:r>
              <w:rPr>
                <w:rFonts w:ascii="Arial" w:cs="Arial" w:eastAsia="Arial" w:hAnsi="Arial"/>
                <w:sz w:val="29"/>
                <w:szCs w:val="29"/>
                <w:color w:val="auto"/>
                <w:vertAlign w:val="superscript"/>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981,275</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-1456690</wp:posOffset>
            </wp:positionV>
            <wp:extent cx="1543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-1456690</wp:posOffset>
            </wp:positionV>
            <wp:extent cx="1543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jc w:val="both"/>
        <w:ind w:left="640" w:right="299" w:hanging="348"/>
        <w:spacing w:after="0" w:line="264" w:lineRule="auto"/>
        <w:tabs>
          <w:tab w:leader="none" w:pos="6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sixty (60) days after such date.</w:t>
      </w:r>
    </w:p>
    <w:p>
      <w:pPr>
        <w:spacing w:after="0" w:line="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information concerning The Vanguard Group is based on a Schedule 13G/A filed with the SEC on February 10, 2021 to report that The Vanguard Group is deemed to have (a) shared voting power with respect to 49,730 shares, (b) sole dispositive power with respect to 6,607,393 shares and (c) shared dispositive power with respect to 101,748 shares. The address for The Vanguard Group is 100 Vanguard Boulevard, Malvern, Pennsylvania 19355.</w:t>
      </w:r>
    </w:p>
    <w:p>
      <w:pPr>
        <w:spacing w:after="0" w:line="22" w:lineRule="exact"/>
        <w:rPr>
          <w:rFonts w:ascii="Arial" w:cs="Arial" w:eastAsia="Arial" w:hAnsi="Arial"/>
          <w:sz w:val="14"/>
          <w:szCs w:val="14"/>
          <w:color w:val="auto"/>
        </w:rPr>
      </w:pPr>
    </w:p>
    <w:p>
      <w:pPr>
        <w:jc w:val="both"/>
        <w:ind w:left="640" w:right="319" w:hanging="348"/>
        <w:spacing w:after="0" w:line="209" w:lineRule="auto"/>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information concerning BlackRock, Inc. is based on a Schedule 13G/A filed with the SEC on January 27, 2021 to report that BlackRock, Inc. is deemed to have (a) sole voting power with respect to 6,212,190 shares and (b) sole dispositive power with respect to 6,424,367 shares. The address for BlackRock, Inc. is 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 New York, New York 10055.</w:t>
      </w:r>
    </w:p>
    <w:p>
      <w:pPr>
        <w:jc w:val="both"/>
        <w:ind w:left="640" w:right="299" w:hanging="348"/>
        <w:spacing w:after="0" w:line="229" w:lineRule="auto"/>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information concerning Massachusetts Financial Services Company is based on a Schedule 13G filed with the SEC on February 11, 2021 to report that Massachusetts Financial Services Company is deemed to have (a) sole voting power with respect to 5,779,295 shares and (b) sole dispositive power with respect to 6,116,107 shares. The address for Massachusetts Financial Services Company is 111 Huntington Avenue, Boston, Massachusetts 02199.</w:t>
      </w:r>
    </w:p>
    <w:p>
      <w:pPr>
        <w:spacing w:after="0" w:line="2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information concerning Wellington Management Group LLP is based on a Schedule 13G/A filed with the SEC on February 4, 2021 to report that(a) each of Wellington Management Group LLP, Wellington Group Holdings LLP and Wellington Investment Advisors Holdings LLP are deemed to have (i) shared voting power with respect to 4,798,936 shares and (ii) shared dispositive power with respect to 5,335,089 shares and (b) Wellington Management Company LLP is deemed to have (i) shared voting power with respect to 4,707,295 shares and (ii) shared dispositive power with respect to 4,976,470 shares. The address for Wellington Management Group LLP, Wellington Group Holdings LLP, Wellington Investment Advisors Holdings LLP and Wellington Management Company LLP is c/o Wellington Management Company LLP, 280 Congress Street, Boston, Massachusetts 02210.</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information concerning T. Rowe Price Associates, Inc. is based on a Schedule 13G/A filed with the SEC on April 12, 2021 to report that T. Rowe Price Associates, Inc. is deemed to have (a) sole voting power with respect to 1,301,046 shares and (b) sole dispositive power with respect to 3,533,621 shares. The address for T. Rowe Price Associates, Inc. is 100 E. Pratt Street, Baltimore, Maryland 21202.</w:t>
      </w:r>
    </w:p>
    <w:p>
      <w:pPr>
        <w:spacing w:after="0" w:line="6"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information concerning Capital Research Global Investors is based on a Schedule 13G filed with the SEC on February 16, 2021 to report that Capital Research Global Investors is deemed to have sole voting power and sole dispositive power with respect to 3,450,676 shares. The address for Capital Research Global Investors is 333 South Hope Street, 55th Floor Los Angeles, California 90071.</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Includes shares that are owned or may be deemed to be owned by current directors and executive officers.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PRA currently does not expect to hold its 2021 annual meeting of stockholders except to the extent required by applicable law and the rules of Nasdaq.</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Under the SEC’s rules and regulations, any stockholder who desires to submit a proposal to be included in the proxy statement for PRA’s 2021 annual meeting of stockholders, if held, was required to comply with all applicable statutes and regulations and submit the proposal in writing to PRA at 4130 ParkLake Avenue, Suite 400, Raleigh, North Carolina 27612, to the attention of PRA’s corporate secretary, no later than the close of business on December 4, 2020. If the date of the 2021 annual meeting, if held, is changed by more than thirty (30) days from the anniversary date of the 2020 annual meeting (which was May 18, 2020), then the deadline will be a reasonable time before PRA begins to print and mail its proxy materials. Under Rule 14a-8 under the Exchange Act, a stockholder submitting a proposal to be included in the proxy statement for PRA’s 2021 annual meeting, if held, is required to be a record or beneficial owner of at least 1% or $2,000 in market value of PRA common stock and to have held such PRA common stock continuously for at least one (1) year prior to the date of submission of the proposal, and he or she must continue to own such securities through the date on which the meeting is held.</w:t>
      </w:r>
    </w:p>
    <w:p>
      <w:pPr>
        <w:spacing w:after="0" w:line="6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PRA’s bylaws also contain advance notice provisions. PRA’s bylaws require the timely notice of certain information to be provided by any stockholder who proposes director nominations or any other business for consideration at a stockholder meeting outside of the processes described above. Failure to deliver a proposal in accordance with the procedures discussed below and in the PRA bylaws may result in the proposal not being deemed timely received. To be timely, notice of a director nomination or any other business for consideration at a stockholder meeting must have been delivered to PRA’s corporate secretary at PRA’s offices located at 4130 ParkLake Avenue, Suite 400, Raleigh, North Carolina 27612, not later than the 90th day nor earlier than the 120th day prior to the first anniversary of the preceding year’s annual meeting date. Therefore, proposals to be presented at PRA’s 2021 annual meeting, if held, needed to be received by PRA’s corporate secretary between January 18, 2021 and February 17, 2021. In the event that the date of PRA’s 2021 annual meeting, if held, is earlier by more than 30 days, or delayed by more than 70 days, from the anniversary date of PRA’s 2020 annual meeting (which was May 18, 2020), notice must be received no earlier than 120 days prior to the date of PRA’s 2021 annual meeting and not later than the close of business on the later of the 90th day prior to the date of such annual meeting or the 10th day following the day on which public announcement of the date of PRA’s 2021 annual meeting is first made. All proposals must be sent to PRA by certified mail, return receipt requested, to the attention of PRA’s corporate secretary, PRA Health Sciences, Inc., 4130 ParkLake Avenue, Suite 400, Raleigh, North Carolina 27612.</w:t>
      </w:r>
    </w:p>
    <w:p>
      <w:pPr>
        <w:spacing w:after="0" w:line="6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Stockholders may, subject to and in accordance with PRA’s bylaws, recommend director candidates for consideration by PRA’s nominating and corporate governance committee. The recommendation must be delivered to PRA’s corporate secretary, who will forward the recommendation to the nominating and corporate governance committee for consideration. PRA’s bylaws contain certain informational and other requirements that must be followed in connection with submitting director nominations and any other business for consideration at a stockholders meeting. PRA’s bylaws are posted on PRA’s website at http://www.prahs.com.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(2)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are a PRA stockholder and,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joint proxy statement/prospectus by contacting Corporate Secretary, 4130 ParkLake Avenue, Suite 400, Raleigh, North Carolina 27612.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PRA files annual, quarterly and current reports, proxy statements and other information with the SEC under the Exchange Act. ICON files or furnishes annual reports, current reports and other information with the SEC under the Exchange Act. As ICON is a “foreign private issuer,” under the rules adopted under the Exchange Act it is exempt from certain of the requirements of the Exchange Act, including the proxy and information provisions of Section 14 of the Exchange Act and the reporting and liability provisions applicable to officers, directors and significant stockholders under Section 16 of the Exchange Act. You may obtain copies of these reports, statements and other information at the website maintained by the SEC at http://www.sec.gov. The information contained on the SEC’s website is not incorporated by reference into this joint proxy statement/prospectus.</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addition, you may obtain, without charge, copies of the documents ICON files with the SEC, including the registration statement on Form F-4, of which this joint proxy statement/prospectus forms a part, by going to ICON’s Internet website at www.iconplc.com, and you may obtain copies, without charge, of the documents PRA files with the SEC by going to PRA’s Internet website at www.prahs.com. The information contained in those websites is not incorporated by reference in, or in any way part of, this joint proxy statement/prospectus and you should not rely on such information in deciding whether to approve the ICON share issuance proposal (in the case of ICON shareholders) or the PRA merger agreement proposal (in the case of PRA stockholders) unless such information is included in this joint proxy statement/prospectus or has been incorporated by reference into this joint proxy statement/prospectus as provided below.</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SEC allows ICON and PRA to “incorporate by reference” into this joint proxy statement/prospectus documents ICON and PRA file with the SEC including certain information required to be included in the registration statement on Form F-4 of which this joint proxy statement/prospectus forms a part. This means that ICON and PRA can disclose important information to you by referring you to those documents. This joint proxy statement/prospectus incorporates by reference the following documents that ICON and PRA have previously filed with the SEC (other than, in each case, documents or information deemed to have been furnished and not filed in accordance with SEC rules):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(SEC File No. 333-08704):</w:t>
      </w:r>
    </w:p>
    <w:p>
      <w:pPr>
        <w:spacing w:after="0" w:line="117" w:lineRule="exact"/>
        <w:rPr>
          <w:sz w:val="20"/>
          <w:szCs w:val="20"/>
          <w:color w:val="auto"/>
        </w:rPr>
      </w:pPr>
    </w:p>
    <w:p>
      <w:pPr>
        <w:ind w:left="1000" w:right="319" w:hanging="348"/>
        <w:spacing w:after="0" w:line="277" w:lineRule="auto"/>
        <w:tabs>
          <w:tab w:leader="none" w:pos="1000" w:val="left"/>
        </w:tabs>
        <w:numPr>
          <w:ilvl w:val="0"/>
          <w:numId w:val="234"/>
        </w:numPr>
        <w:rPr>
          <w:rFonts w:ascii="Arial" w:cs="Arial" w:eastAsia="Arial" w:hAnsi="Arial"/>
          <w:sz w:val="18"/>
          <w:szCs w:val="18"/>
          <w:color w:val="0000EE"/>
        </w:rPr>
      </w:pPr>
      <w:r>
        <w:rPr>
          <w:rFonts w:ascii="Arial" w:cs="Arial" w:eastAsia="Arial" w:hAnsi="Arial"/>
          <w:sz w:val="18"/>
          <w:szCs w:val="18"/>
          <w:color w:val="auto"/>
        </w:rPr>
        <w:t xml:space="preserve">Annual Report on Form 20-F for the year ended December 31, 2020 filed with the SEC on </w:t>
      </w:r>
      <w:hyperlink r:id="rId451">
        <w:r>
          <w:rPr>
            <w:rFonts w:ascii="Arial" w:cs="Arial" w:eastAsia="Arial" w:hAnsi="Arial"/>
            <w:sz w:val="18"/>
            <w:szCs w:val="18"/>
            <w:u w:val="single" w:color="auto"/>
            <w:color w:val="0000EE"/>
          </w:rPr>
          <w:t>February 24,</w:t>
        </w:r>
      </w:hyperlink>
      <w:r>
        <w:rPr>
          <w:rFonts w:ascii="Arial" w:cs="Arial" w:eastAsia="Arial" w:hAnsi="Arial"/>
          <w:sz w:val="18"/>
          <w:szCs w:val="18"/>
          <w:color w:val="auto"/>
        </w:rPr>
        <w:t xml:space="preserve"> </w:t>
      </w:r>
      <w:hyperlink r:id="rId451">
        <w:r>
          <w:rPr>
            <w:rFonts w:ascii="Arial" w:cs="Arial" w:eastAsia="Arial" w:hAnsi="Arial"/>
            <w:sz w:val="18"/>
            <w:szCs w:val="18"/>
            <w:u w:val="single" w:color="auto"/>
            <w:color w:val="0000EE"/>
          </w:rPr>
          <w:t>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Reports on Form 6-K filed with the SEC on </w:t>
      </w:r>
      <w:hyperlink r:id="rId452">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description of ICON ordinary shares contained in Exhibit 2.2 to ICON’s Annual Report on Form 20-F for the year ended December 31, 2020, filed with the SEC on </w:t>
      </w:r>
      <w:hyperlink r:id="rId453">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including any amendment or reports filed for the purpose of updating such description.</w:t>
      </w:r>
    </w:p>
    <w:p>
      <w:pPr>
        <w:spacing w:after="0" w:line="116"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PRA (SEC File No. 001-36732):</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5"/>
        </w:numPr>
        <w:rPr>
          <w:rFonts w:ascii="Arial" w:cs="Arial" w:eastAsia="Arial" w:hAnsi="Arial"/>
          <w:sz w:val="18"/>
          <w:szCs w:val="18"/>
          <w:color w:val="0000EE"/>
        </w:rPr>
      </w:pPr>
      <w:r>
        <w:rPr>
          <w:rFonts w:ascii="Arial" w:cs="Arial" w:eastAsia="Arial" w:hAnsi="Arial"/>
          <w:sz w:val="18"/>
          <w:szCs w:val="18"/>
          <w:color w:val="auto"/>
        </w:rPr>
        <w:t xml:space="preserve">Annual Report on Form 10-K for the fiscal year ended December 31, 2020 filed with the SEC on </w:t>
      </w:r>
      <w:hyperlink r:id="rId454">
        <w:r>
          <w:rPr>
            <w:rFonts w:ascii="Arial" w:cs="Arial" w:eastAsia="Arial" w:hAnsi="Arial"/>
            <w:sz w:val="18"/>
            <w:szCs w:val="18"/>
            <w:u w:val="single" w:color="auto"/>
            <w:color w:val="0000EE"/>
          </w:rPr>
          <w:t>February 24,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Amendment to Annual Report on Form 10-K/A for the fiscal year ended December 31, 2020 filed with the SEC on </w:t>
      </w:r>
      <w:hyperlink r:id="rId455">
        <w:r>
          <w:rPr>
            <w:rFonts w:ascii="Arial" w:cs="Arial" w:eastAsia="Arial" w:hAnsi="Arial"/>
            <w:sz w:val="18"/>
            <w:szCs w:val="18"/>
            <w:u w:val="single" w:color="auto"/>
            <w:color w:val="0000EE"/>
          </w:rPr>
          <w:t>March 30, 2021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Current Reports on Form 8-K (excluding any information and exhibits furnished under Item 2.02 or 7.01 thereof) filed with the SEC on </w:t>
      </w:r>
      <w:hyperlink r:id="rId456">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Definitive Proxy Statement on Schedule 14A filed with the SEC on </w:t>
      </w:r>
      <w:hyperlink r:id="rId457">
        <w:r>
          <w:rPr>
            <w:rFonts w:ascii="Arial" w:cs="Arial" w:eastAsia="Arial" w:hAnsi="Arial"/>
            <w:sz w:val="18"/>
            <w:szCs w:val="18"/>
            <w:u w:val="single" w:color="auto"/>
            <w:color w:val="0000EE"/>
          </w:rPr>
          <w:t>April 3,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documents listed above contain important information about ICON’s and PRA’s respective businesses and financial performance. All documents filed by ICON pursuant to Sections 13(a), 13(c) or 15(d) of the Exchange Act and by PRA under Sections 13(a), 13(c), 14 or 15(d) of the Exchange Act, in each case from the date of this joint proxy statement/prospectus to the date of termination of the offering made hereby, will also be deemed to be incorporated by reference into this joint proxy statement/prospectus other than the portions of those documents not deemed to be filed. These documents include periodic reports, such as Annual Reports on Form 10-K and 20-F,</w:t>
      </w: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5" w:name="page236"/>
    <w:bookmarkEnd w:id="23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Quarterly Reports on Form 10-Q, Current Reports on Form 8-K (excluding any information furnished pursuant to Item 2.02 or Item 7.01 of any current report on Form 8-K under the Exchange Act), proxy statements and, to the extent, if any, ICON designates therein that they are so incorporated, any Form 6-K that ICON furnishes to the SEC.</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ICON and PRA also incorporate by reference the merger agreement attached to this joint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the full text of that contract or other document filed as an exhibit with the SEC. Any statement contained in a document incorporated or deemed to be incorporated by reference herein will be deemed to be modified or superseded for purposes of this joint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joint proxy statement/prospectus.</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You may obtain a copy of this joint proxy statement/prospectus or any of the documents incorporated by reference into this joint proxy statement/prospectus, without charge, by requesting them in writing or by telephone from the appropriate company: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ICON shareholders may request a copy of such documents by contacting:</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color w:val="auto"/>
        </w:rPr>
        <w:t>PRA stockholders may request a copy of such documents by contacting:</w:t>
      </w:r>
    </w:p>
    <w:p>
      <w:pPr>
        <w:spacing w:after="0" w:line="20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32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7"/>
              </w:rPr>
              <w:t>ICON plc</w:t>
            </w:r>
          </w:p>
        </w:tc>
        <w:tc>
          <w:tcPr>
            <w:tcW w:w="320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PRA Health Sciences, Inc.</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89"/>
              </w:rPr>
              <w:t>South County Business Park,</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89"/>
              </w:rPr>
              <w:t>4130 ParkLake Avenue</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89"/>
              </w:rPr>
              <w:t>Leopardstown,</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89"/>
              </w:rPr>
              <w:t>Suite 400</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4"/>
              </w:rPr>
              <w:t>Dublin 18, Ireland</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92"/>
              </w:rPr>
              <w:t>Raleigh, NC 27612</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2"/>
              </w:rPr>
              <w:t>1-888-381-7923</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90"/>
              </w:rPr>
              <w:t>1-919-786-8200</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Attention: Investor Relations</w:t>
            </w:r>
          </w:p>
        </w:tc>
        <w:tc>
          <w:tcPr>
            <w:tcW w:w="3200" w:type="dxa"/>
            <w:vAlign w:val="bottom"/>
          </w:tcPr>
          <w:p>
            <w:pPr>
              <w:jc w:val="center"/>
              <w:ind w:left="1030"/>
              <w:spacing w:after="0"/>
              <w:rPr>
                <w:sz w:val="20"/>
                <w:szCs w:val="20"/>
                <w:color w:val="auto"/>
              </w:rPr>
            </w:pPr>
            <w:r>
              <w:rPr>
                <w:rFonts w:ascii="Arial" w:cs="Arial" w:eastAsia="Arial" w:hAnsi="Arial"/>
                <w:sz w:val="18"/>
                <w:szCs w:val="18"/>
                <w:color w:val="auto"/>
                <w:w w:val="92"/>
              </w:rPr>
              <w:t>Attention: Investor Relations</w:t>
            </w:r>
          </w:p>
        </w:tc>
      </w:tr>
    </w:tbl>
    <w:p>
      <w:pPr>
        <w:spacing w:after="0" w:line="144"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b w:val="1"/>
          <w:bCs w:val="1"/>
          <w:color w:val="auto"/>
        </w:rPr>
        <w:t xml:space="preserve">If you would like to request documents, please do so no later than June 1, 2021, to receive them before the ICON EGM or the PRA stockholders meeting, as applicable. </w:t>
      </w:r>
      <w:r>
        <w:rPr>
          <w:rFonts w:ascii="Arial" w:cs="Arial" w:eastAsia="Arial" w:hAnsi="Arial"/>
          <w:sz w:val="18"/>
          <w:szCs w:val="18"/>
          <w:color w:val="auto"/>
        </w:rPr>
        <w:t>If you request any copies of documents, ICON</w:t>
      </w:r>
      <w:r>
        <w:rPr>
          <w:rFonts w:ascii="Arial" w:cs="Arial" w:eastAsia="Arial" w:hAnsi="Arial"/>
          <w:sz w:val="18"/>
          <w:szCs w:val="18"/>
          <w:b w:val="1"/>
          <w:bCs w:val="1"/>
          <w:color w:val="auto"/>
        </w:rPr>
        <w:t xml:space="preserve"> </w:t>
      </w:r>
      <w:r>
        <w:rPr>
          <w:rFonts w:ascii="Arial" w:cs="Arial" w:eastAsia="Arial" w:hAnsi="Arial"/>
          <w:sz w:val="18"/>
          <w:szCs w:val="18"/>
          <w:color w:val="auto"/>
        </w:rPr>
        <w:t>or PRA, as applicable, will mail them to you by first class mail, or another equally prompt means, within one (1) business day of such request.</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This joint proxy statement/prospectus does not constitute the solicitation of a proxy in any jurisdiction or from any person to whom or from whom it is unlawful to make such proxy solicitation in that jurisdiction. You should rely only on the information contained or incorporated by reference into this joint proxy statement/prospectus to vote your ICON ordinary shares at the ICON EGM or your PRA common stock at the PRA stockholders meeting, as applicable. Neither ICON nor PRA has authorized anyone to provide you with information that is different from what is contained in this joint proxy statement/prospectus. This joint proxy statement/prospectus is dated [•], 2021. You should not assume that the information contained in this joint proxy statement/prospectus is accurate as of any date other than that date, and the mailing of this joint proxy statement/prospectus to stockholders does not create any implication to the contrary.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6" w:name="page237"/>
    <w:bookmarkEnd w:id="23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US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INDIGO MERGER SUB,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7" w:name="page238"/>
    <w:bookmarkEnd w:id="237"/>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1"/>
        </w:trPr>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83"/>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44">
              <w:r>
                <w:rPr>
                  <w:rFonts w:ascii="Arial" w:cs="Arial" w:eastAsia="Arial" w:hAnsi="Arial"/>
                  <w:sz w:val="18"/>
                  <w:szCs w:val="18"/>
                  <w:color w:val="0000EE"/>
                </w:rPr>
                <w:t>ARTICLE I DEFINITIONS</w:t>
              </w:r>
            </w:hyperlink>
          </w:p>
        </w:tc>
        <w:tc>
          <w:tcPr>
            <w:tcW w:w="60" w:type="dxa"/>
            <w:vAlign w:val="bottom"/>
            <w:shd w:val="clear" w:color="auto" w:fill="CCEEFF"/>
          </w:tcPr>
          <w:p>
            <w:pPr>
              <w:spacing w:after="0"/>
              <w:rPr>
                <w:sz w:val="24"/>
                <w:szCs w:val="24"/>
                <w:color w:val="auto"/>
              </w:rPr>
            </w:pPr>
          </w:p>
        </w:tc>
        <w:tc>
          <w:tcPr>
            <w:tcW w:w="420" w:type="dxa"/>
            <w:vAlign w:val="bottom"/>
            <w:gridSpan w:val="4"/>
            <w:shd w:val="clear" w:color="auto" w:fill="CCEEFF"/>
          </w:tcPr>
          <w:p>
            <w:pPr>
              <w:ind w:left="80"/>
              <w:spacing w:after="0"/>
              <w:rPr>
                <w:rFonts w:ascii="Arial" w:cs="Arial" w:eastAsia="Arial" w:hAnsi="Arial"/>
                <w:sz w:val="18"/>
                <w:szCs w:val="18"/>
                <w:color w:val="0000EE"/>
              </w:rPr>
            </w:pPr>
            <w:hyperlink w:anchor="page244">
              <w:r>
                <w:rPr>
                  <w:rFonts w:ascii="Arial" w:cs="Arial" w:eastAsia="Arial" w:hAnsi="Arial"/>
                  <w:sz w:val="18"/>
                  <w:szCs w:val="18"/>
                  <w:color w:val="0000EE"/>
                </w:rPr>
                <w:t>A-2</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44">
              <w:r>
                <w:rPr>
                  <w:rFonts w:ascii="Arial" w:cs="Arial" w:eastAsia="Arial" w:hAnsi="Arial"/>
                  <w:sz w:val="18"/>
                  <w:szCs w:val="18"/>
                  <w:color w:val="0000EE"/>
                  <w:w w:val="99"/>
                </w:rPr>
                <w:t>Section 1.01</w:t>
              </w:r>
            </w:hyperlink>
          </w:p>
        </w:tc>
        <w:tc>
          <w:tcPr>
            <w:tcW w:w="6920" w:type="dxa"/>
            <w:vAlign w:val="bottom"/>
            <w:gridSpan w:val="44"/>
          </w:tcPr>
          <w:p>
            <w:pPr>
              <w:ind w:left="120"/>
              <w:spacing w:after="0"/>
              <w:rPr>
                <w:rFonts w:ascii="Arial" w:cs="Arial" w:eastAsia="Arial" w:hAnsi="Arial"/>
                <w:sz w:val="18"/>
                <w:szCs w:val="18"/>
                <w:color w:val="0000EE"/>
              </w:rPr>
            </w:pPr>
            <w:hyperlink w:anchor="page244">
              <w:r>
                <w:rPr>
                  <w:rFonts w:ascii="Arial" w:cs="Arial" w:eastAsia="Arial" w:hAnsi="Arial"/>
                  <w:sz w:val="18"/>
                  <w:szCs w:val="18"/>
                  <w:color w:val="0000EE"/>
                </w:rPr>
                <w:t>Definitions</w:t>
              </w:r>
            </w:hyperlink>
          </w:p>
        </w:tc>
        <w:tc>
          <w:tcPr>
            <w:tcW w:w="60" w:type="dxa"/>
            <w:vAlign w:val="bottom"/>
          </w:tcPr>
          <w:p>
            <w:pPr>
              <w:spacing w:after="0"/>
              <w:rPr>
                <w:sz w:val="19"/>
                <w:szCs w:val="19"/>
                <w:color w:val="auto"/>
              </w:rPr>
            </w:pPr>
          </w:p>
        </w:tc>
        <w:tc>
          <w:tcPr>
            <w:tcW w:w="420" w:type="dxa"/>
            <w:vAlign w:val="bottom"/>
            <w:gridSpan w:val="4"/>
          </w:tcPr>
          <w:p>
            <w:pPr>
              <w:ind w:left="80"/>
              <w:spacing w:after="0"/>
              <w:rPr>
                <w:rFonts w:ascii="Arial" w:cs="Arial" w:eastAsia="Arial" w:hAnsi="Arial"/>
                <w:sz w:val="18"/>
                <w:szCs w:val="18"/>
                <w:color w:val="0000EE"/>
              </w:rPr>
            </w:pPr>
            <w:hyperlink w:anchor="page244">
              <w:r>
                <w:rPr>
                  <w:rFonts w:ascii="Arial" w:cs="Arial" w:eastAsia="Arial" w:hAnsi="Arial"/>
                  <w:sz w:val="18"/>
                  <w:szCs w:val="18"/>
                  <w:color w:val="0000EE"/>
                </w:rPr>
                <w:t>A-2</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ARTICLE II THE MERGER</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57">
              <w:r>
                <w:rPr>
                  <w:rFonts w:ascii="Arial" w:cs="Arial" w:eastAsia="Arial" w:hAnsi="Arial"/>
                  <w:sz w:val="18"/>
                  <w:szCs w:val="18"/>
                  <w:color w:val="0000EE"/>
                  <w:w w:val="99"/>
                </w:rPr>
                <w:t>Section 2.01</w:t>
              </w:r>
            </w:hyperlink>
          </w:p>
        </w:tc>
        <w:tc>
          <w:tcPr>
            <w:tcW w:w="6920" w:type="dxa"/>
            <w:vAlign w:val="bottom"/>
            <w:gridSpan w:val="44"/>
          </w:tcPr>
          <w:p>
            <w:pPr>
              <w:ind w:left="120"/>
              <w:spacing w:after="0"/>
              <w:rPr>
                <w:rFonts w:ascii="Arial" w:cs="Arial" w:eastAsia="Arial" w:hAnsi="Arial"/>
                <w:sz w:val="18"/>
                <w:szCs w:val="18"/>
                <w:color w:val="0000EE"/>
              </w:rPr>
            </w:pPr>
            <w:hyperlink w:anchor="page257">
              <w:r>
                <w:rPr>
                  <w:rFonts w:ascii="Arial" w:cs="Arial" w:eastAsia="Arial" w:hAnsi="Arial"/>
                  <w:sz w:val="18"/>
                  <w:szCs w:val="18"/>
                  <w:color w:val="0000EE"/>
                </w:rPr>
                <w:t>The Merger</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A-15</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57">
              <w:r>
                <w:rPr>
                  <w:rFonts w:ascii="Arial" w:cs="Arial" w:eastAsia="Arial" w:hAnsi="Arial"/>
                  <w:sz w:val="18"/>
                  <w:szCs w:val="18"/>
                  <w:color w:val="0000EE"/>
                  <w:w w:val="99"/>
                </w:rPr>
                <w:t>Section 2.02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57">
              <w:r>
                <w:rPr>
                  <w:rFonts w:ascii="Arial" w:cs="Arial" w:eastAsia="Arial" w:hAnsi="Arial"/>
                  <w:sz w:val="18"/>
                  <w:szCs w:val="18"/>
                  <w:color w:val="0000EE"/>
                </w:rPr>
                <w:t>Closing</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A-15</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58">
              <w:r>
                <w:rPr>
                  <w:rFonts w:ascii="Arial" w:cs="Arial" w:eastAsia="Arial" w:hAnsi="Arial"/>
                  <w:sz w:val="18"/>
                  <w:szCs w:val="18"/>
                  <w:color w:val="0000EE"/>
                  <w:w w:val="99"/>
                </w:rPr>
                <w:t>Section 2.03</w:t>
              </w:r>
            </w:hyperlink>
          </w:p>
        </w:tc>
        <w:tc>
          <w:tcPr>
            <w:tcW w:w="6920" w:type="dxa"/>
            <w:vAlign w:val="bottom"/>
            <w:gridSpan w:val="44"/>
          </w:tcPr>
          <w:p>
            <w:pPr>
              <w:ind w:left="120"/>
              <w:spacing w:after="0"/>
              <w:rPr>
                <w:rFonts w:ascii="Arial" w:cs="Arial" w:eastAsia="Arial" w:hAnsi="Arial"/>
                <w:sz w:val="18"/>
                <w:szCs w:val="18"/>
                <w:color w:val="0000EE"/>
              </w:rPr>
            </w:pPr>
            <w:hyperlink w:anchor="page258">
              <w:r>
                <w:rPr>
                  <w:rFonts w:ascii="Arial" w:cs="Arial" w:eastAsia="Arial" w:hAnsi="Arial"/>
                  <w:sz w:val="18"/>
                  <w:szCs w:val="18"/>
                  <w:color w:val="0000EE"/>
                </w:rPr>
                <w:t>Effective Time</w:t>
              </w:r>
            </w:hyperlink>
          </w:p>
        </w:tc>
        <w:tc>
          <w:tcPr>
            <w:tcW w:w="480" w:type="dxa"/>
            <w:vAlign w:val="bottom"/>
            <w:gridSpan w:val="5"/>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Section 2.04   Effect of the Merger</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Section 2.05   Organizational Documents of the Surviving Corporation</w:t>
              </w:r>
            </w:hyperlink>
          </w:p>
        </w:tc>
        <w:tc>
          <w:tcPr>
            <w:tcW w:w="480" w:type="dxa"/>
            <w:vAlign w:val="bottom"/>
            <w:gridSpan w:val="5"/>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Section 2.06   Directors and Officers of the Surviving Corporation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ARTICLE III EFFECT OF THE MERGER ON CAPITAL STOCK; EXCHANGE OF CERTIFICATES</w:t>
              </w:r>
            </w:hyperlink>
          </w:p>
        </w:tc>
        <w:tc>
          <w:tcPr>
            <w:tcW w:w="480" w:type="dxa"/>
            <w:vAlign w:val="bottom"/>
            <w:gridSpan w:val="5"/>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Section 3.01   Effect of the Merger on Capital Stock</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59">
              <w:r>
                <w:rPr>
                  <w:rFonts w:ascii="Arial" w:cs="Arial" w:eastAsia="Arial" w:hAnsi="Arial"/>
                  <w:sz w:val="18"/>
                  <w:szCs w:val="18"/>
                  <w:color w:val="0000EE"/>
                  <w:w w:val="99"/>
                </w:rPr>
                <w:t>Section 3.02</w:t>
              </w:r>
            </w:hyperlink>
          </w:p>
        </w:tc>
        <w:tc>
          <w:tcPr>
            <w:tcW w:w="6920" w:type="dxa"/>
            <w:vAlign w:val="bottom"/>
            <w:gridSpan w:val="44"/>
          </w:tcPr>
          <w:p>
            <w:pPr>
              <w:ind w:left="120"/>
              <w:spacing w:after="0"/>
              <w:rPr>
                <w:rFonts w:ascii="Arial" w:cs="Arial" w:eastAsia="Arial" w:hAnsi="Arial"/>
                <w:sz w:val="18"/>
                <w:szCs w:val="18"/>
                <w:color w:val="0000EE"/>
              </w:rPr>
            </w:pPr>
            <w:hyperlink w:anchor="page259">
              <w:r>
                <w:rPr>
                  <w:rFonts w:ascii="Arial" w:cs="Arial" w:eastAsia="Arial" w:hAnsi="Arial"/>
                  <w:sz w:val="18"/>
                  <w:szCs w:val="18"/>
                  <w:color w:val="0000EE"/>
                </w:rPr>
                <w:t>Exchange Procedures</w:t>
              </w:r>
            </w:hyperlink>
          </w:p>
        </w:tc>
        <w:tc>
          <w:tcPr>
            <w:tcW w:w="480" w:type="dxa"/>
            <w:vAlign w:val="bottom"/>
            <w:gridSpan w:val="5"/>
          </w:tcPr>
          <w:p>
            <w:pPr>
              <w:ind w:left="60"/>
              <w:spacing w:after="0"/>
              <w:rPr>
                <w:rFonts w:ascii="Arial" w:cs="Arial" w:eastAsia="Arial" w:hAnsi="Arial"/>
                <w:sz w:val="18"/>
                <w:szCs w:val="18"/>
                <w:color w:val="0000EE"/>
              </w:rPr>
            </w:pPr>
            <w:hyperlink w:anchor="page259">
              <w:r>
                <w:rPr>
                  <w:rFonts w:ascii="Arial" w:cs="Arial" w:eastAsia="Arial" w:hAnsi="Arial"/>
                  <w:sz w:val="18"/>
                  <w:szCs w:val="18"/>
                  <w:color w:val="0000EE"/>
                </w:rPr>
                <w:t>A-17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3.03</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Dissenting Shares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A-19</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2">
              <w:r>
                <w:rPr>
                  <w:rFonts w:ascii="Arial" w:cs="Arial" w:eastAsia="Arial" w:hAnsi="Arial"/>
                  <w:sz w:val="18"/>
                  <w:szCs w:val="18"/>
                  <w:color w:val="0000EE"/>
                  <w:w w:val="99"/>
                </w:rPr>
                <w:t>Section 3.04</w:t>
              </w:r>
            </w:hyperlink>
          </w:p>
        </w:tc>
        <w:tc>
          <w:tcPr>
            <w:tcW w:w="6920" w:type="dxa"/>
            <w:vAlign w:val="bottom"/>
            <w:gridSpan w:val="44"/>
          </w:tcPr>
          <w:p>
            <w:pPr>
              <w:ind w:left="120"/>
              <w:spacing w:after="0"/>
              <w:rPr>
                <w:rFonts w:ascii="Arial" w:cs="Arial" w:eastAsia="Arial" w:hAnsi="Arial"/>
                <w:sz w:val="18"/>
                <w:szCs w:val="18"/>
                <w:color w:val="0000EE"/>
              </w:rPr>
            </w:pPr>
            <w:hyperlink w:anchor="page262">
              <w:r>
                <w:rPr>
                  <w:rFonts w:ascii="Arial" w:cs="Arial" w:eastAsia="Arial" w:hAnsi="Arial"/>
                  <w:sz w:val="18"/>
                  <w:szCs w:val="18"/>
                  <w:color w:val="0000EE"/>
                </w:rPr>
                <w:t>Adjustments</w:t>
              </w:r>
            </w:hyperlink>
          </w:p>
        </w:tc>
        <w:tc>
          <w:tcPr>
            <w:tcW w:w="480" w:type="dxa"/>
            <w:vAlign w:val="bottom"/>
            <w:gridSpan w:val="5"/>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2">
              <w:r>
                <w:rPr>
                  <w:rFonts w:ascii="Arial" w:cs="Arial" w:eastAsia="Arial" w:hAnsi="Arial"/>
                  <w:sz w:val="18"/>
                  <w:szCs w:val="18"/>
                  <w:color w:val="0000EE"/>
                  <w:w w:val="99"/>
                </w:rPr>
                <w:t>Section 3.05</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2">
              <w:r>
                <w:rPr>
                  <w:rFonts w:ascii="Arial" w:cs="Arial" w:eastAsia="Arial" w:hAnsi="Arial"/>
                  <w:sz w:val="18"/>
                  <w:szCs w:val="18"/>
                  <w:color w:val="0000EE"/>
                </w:rPr>
                <w:t>Withholding Rights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62">
              <w:r>
                <w:rPr>
                  <w:rFonts w:ascii="Arial" w:cs="Arial" w:eastAsia="Arial" w:hAnsi="Arial"/>
                  <w:sz w:val="18"/>
                  <w:szCs w:val="18"/>
                  <w:color w:val="0000EE"/>
                  <w:w w:val="99"/>
                </w:rPr>
                <w:t>Section 3.06</w:t>
              </w:r>
            </w:hyperlink>
          </w:p>
        </w:tc>
        <w:tc>
          <w:tcPr>
            <w:tcW w:w="6920" w:type="dxa"/>
            <w:vAlign w:val="bottom"/>
            <w:gridSpan w:val="44"/>
          </w:tcPr>
          <w:p>
            <w:pPr>
              <w:ind w:left="120"/>
              <w:spacing w:after="0"/>
              <w:rPr>
                <w:rFonts w:ascii="Arial" w:cs="Arial" w:eastAsia="Arial" w:hAnsi="Arial"/>
                <w:sz w:val="18"/>
                <w:szCs w:val="18"/>
                <w:color w:val="0000EE"/>
              </w:rPr>
            </w:pPr>
            <w:hyperlink w:anchor="page262">
              <w:r>
                <w:rPr>
                  <w:rFonts w:ascii="Arial" w:cs="Arial" w:eastAsia="Arial" w:hAnsi="Arial"/>
                  <w:sz w:val="18"/>
                  <w:szCs w:val="18"/>
                  <w:color w:val="0000EE"/>
                </w:rPr>
                <w:t>Lost Certificates</w:t>
              </w:r>
            </w:hyperlink>
          </w:p>
        </w:tc>
        <w:tc>
          <w:tcPr>
            <w:tcW w:w="480" w:type="dxa"/>
            <w:vAlign w:val="bottom"/>
            <w:gridSpan w:val="5"/>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A-20</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Section 3.07   Treatment of Stock Options and Other Stock-Based Compensation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3">
              <w:r>
                <w:rPr>
                  <w:rFonts w:ascii="Arial" w:cs="Arial" w:eastAsia="Arial" w:hAnsi="Arial"/>
                  <w:sz w:val="18"/>
                  <w:szCs w:val="18"/>
                  <w:color w:val="0000EE"/>
                  <w:w w:val="99"/>
                </w:rPr>
                <w:t>Section 3.08</w:t>
              </w:r>
            </w:hyperlink>
          </w:p>
        </w:tc>
        <w:tc>
          <w:tcPr>
            <w:tcW w:w="6920" w:type="dxa"/>
            <w:vAlign w:val="bottom"/>
            <w:gridSpan w:val="44"/>
          </w:tcPr>
          <w:p>
            <w:pPr>
              <w:ind w:left="120"/>
              <w:spacing w:after="0"/>
              <w:rPr>
                <w:rFonts w:ascii="Arial" w:cs="Arial" w:eastAsia="Arial" w:hAnsi="Arial"/>
                <w:sz w:val="18"/>
                <w:szCs w:val="18"/>
                <w:color w:val="0000EE"/>
              </w:rPr>
            </w:pPr>
            <w:hyperlink w:anchor="page263">
              <w:r>
                <w:rPr>
                  <w:rFonts w:ascii="Arial" w:cs="Arial" w:eastAsia="Arial" w:hAnsi="Arial"/>
                  <w:sz w:val="18"/>
                  <w:szCs w:val="18"/>
                  <w:color w:val="0000EE"/>
                </w:rPr>
                <w:t>Tax Treatment</w:t>
              </w:r>
            </w:hyperlink>
          </w:p>
        </w:tc>
        <w:tc>
          <w:tcPr>
            <w:tcW w:w="480" w:type="dxa"/>
            <w:vAlign w:val="bottom"/>
            <w:gridSpan w:val="5"/>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A-21</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Section 3.09   Closing of Transfer Books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4">
              <w:r>
                <w:rPr>
                  <w:rFonts w:ascii="Arial" w:cs="Arial" w:eastAsia="Arial" w:hAnsi="Arial"/>
                  <w:sz w:val="18"/>
                  <w:szCs w:val="18"/>
                  <w:color w:val="0000EE"/>
                  <w:w w:val="99"/>
                </w:rPr>
                <w:t>Section 3.10</w:t>
              </w:r>
            </w:hyperlink>
          </w:p>
        </w:tc>
        <w:tc>
          <w:tcPr>
            <w:tcW w:w="6920" w:type="dxa"/>
            <w:vAlign w:val="bottom"/>
            <w:gridSpan w:val="44"/>
          </w:tcPr>
          <w:p>
            <w:pPr>
              <w:ind w:left="120"/>
              <w:spacing w:after="0"/>
              <w:rPr>
                <w:rFonts w:ascii="Arial" w:cs="Arial" w:eastAsia="Arial" w:hAnsi="Arial"/>
                <w:sz w:val="18"/>
                <w:szCs w:val="18"/>
                <w:color w:val="0000EE"/>
              </w:rPr>
            </w:pPr>
            <w:hyperlink w:anchor="page264">
              <w:r>
                <w:rPr>
                  <w:rFonts w:ascii="Arial" w:cs="Arial" w:eastAsia="Arial" w:hAnsi="Arial"/>
                  <w:sz w:val="18"/>
                  <w:szCs w:val="18"/>
                  <w:color w:val="0000EE"/>
                </w:rPr>
                <w:t>Further Action</w:t>
              </w:r>
            </w:hyperlink>
          </w:p>
        </w:tc>
        <w:tc>
          <w:tcPr>
            <w:tcW w:w="480" w:type="dxa"/>
            <w:vAlign w:val="bottom"/>
            <w:gridSpan w:val="5"/>
          </w:tcPr>
          <w:p>
            <w:pPr>
              <w:ind w:left="60"/>
              <w:spacing w:after="0"/>
              <w:rPr>
                <w:rFonts w:ascii="Arial" w:cs="Arial" w:eastAsia="Arial" w:hAnsi="Arial"/>
                <w:sz w:val="18"/>
                <w:szCs w:val="18"/>
                <w:color w:val="0000EE"/>
              </w:rPr>
            </w:pPr>
            <w:hyperlink w:anchor="page264">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4">
              <w:r>
                <w:rPr>
                  <w:rFonts w:ascii="Arial" w:cs="Arial" w:eastAsia="Arial" w:hAnsi="Arial"/>
                  <w:sz w:val="18"/>
                  <w:szCs w:val="18"/>
                  <w:color w:val="0000EE"/>
                </w:rPr>
                <w:t>ARTICLE IV REPRESENTATIONS AND WARRANTIES OF THE COMPANY</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4">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64">
              <w:r>
                <w:rPr>
                  <w:rFonts w:ascii="Arial" w:cs="Arial" w:eastAsia="Arial" w:hAnsi="Arial"/>
                  <w:sz w:val="18"/>
                  <w:szCs w:val="18"/>
                  <w:color w:val="0000EE"/>
                </w:rPr>
                <w:t>Section 4.01   Organization; Standing and Power; Charter Documents; Subsidiaries</w:t>
              </w:r>
            </w:hyperlink>
          </w:p>
        </w:tc>
        <w:tc>
          <w:tcPr>
            <w:tcW w:w="480" w:type="dxa"/>
            <w:vAlign w:val="bottom"/>
            <w:gridSpan w:val="5"/>
          </w:tcPr>
          <w:p>
            <w:pPr>
              <w:ind w:left="60"/>
              <w:spacing w:after="0"/>
              <w:rPr>
                <w:rFonts w:ascii="Arial" w:cs="Arial" w:eastAsia="Arial" w:hAnsi="Arial"/>
                <w:sz w:val="18"/>
                <w:szCs w:val="18"/>
                <w:color w:val="0000EE"/>
              </w:rPr>
            </w:pPr>
            <w:hyperlink w:anchor="page264">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4">
              <w:r>
                <w:rPr>
                  <w:rFonts w:ascii="Arial" w:cs="Arial" w:eastAsia="Arial" w:hAnsi="Arial"/>
                  <w:sz w:val="18"/>
                  <w:szCs w:val="18"/>
                  <w:color w:val="0000EE"/>
                  <w:w w:val="99"/>
                </w:rPr>
                <w:t>Section 4.02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4">
              <w:r>
                <w:rPr>
                  <w:rFonts w:ascii="Arial" w:cs="Arial" w:eastAsia="Arial" w:hAnsi="Arial"/>
                  <w:sz w:val="18"/>
                  <w:szCs w:val="18"/>
                  <w:color w:val="0000EE"/>
                </w:rPr>
                <w:t>Capital Structure</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4">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w w:val="97"/>
              </w:rPr>
            </w:pPr>
            <w:hyperlink w:anchor="page266">
              <w:r>
                <w:rPr>
                  <w:rFonts w:ascii="Arial" w:cs="Arial" w:eastAsia="Arial" w:hAnsi="Arial"/>
                  <w:sz w:val="18"/>
                  <w:szCs w:val="18"/>
                  <w:color w:val="0000EE"/>
                  <w:w w:val="97"/>
                </w:rPr>
                <w:t>Section 4.03   Authority; Non-Contravention; Governmental Consents; Board Approval; Anti-Takeover</w:t>
              </w:r>
            </w:hyperlink>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44"/>
          </w:tcPr>
          <w:p>
            <w:pPr>
              <w:ind w:left="12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Statutes</w:t>
              </w:r>
            </w:hyperlink>
          </w:p>
        </w:tc>
        <w:tc>
          <w:tcPr>
            <w:tcW w:w="480" w:type="dxa"/>
            <w:vAlign w:val="bottom"/>
            <w:gridSpan w:val="5"/>
          </w:tcPr>
          <w:p>
            <w:pPr>
              <w:ind w:left="6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A-24</w:t>
              </w:r>
            </w:hyperlink>
          </w:p>
        </w:tc>
      </w:tr>
      <w:tr>
        <w:trPr>
          <w:trHeight w:val="75"/>
        </w:trPr>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w w:val="93"/>
              </w:rPr>
            </w:pPr>
            <w:hyperlink w:anchor="page267">
              <w:r>
                <w:rPr>
                  <w:rFonts w:ascii="Arial" w:cs="Arial" w:eastAsia="Arial" w:hAnsi="Arial"/>
                  <w:sz w:val="18"/>
                  <w:szCs w:val="18"/>
                  <w:color w:val="0000EE"/>
                  <w:w w:val="93"/>
                </w:rPr>
                <w:t>Section 4.04   SEC Filings; Financial Statements; Sarbanes-Oxley Act Compliance; Undisclosed Liabilities;</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0000EE"/>
          </w:tcPr>
          <w:p>
            <w:pPr>
              <w:spacing w:after="0" w:line="20" w:lineRule="exact"/>
              <w:rPr>
                <w:sz w:val="1"/>
                <w:szCs w:val="1"/>
                <w:color w:val="auto"/>
              </w:rPr>
            </w:pPr>
          </w:p>
        </w:tc>
        <w:tc>
          <w:tcPr>
            <w:tcW w:w="480" w:type="dxa"/>
            <w:vAlign w:val="bottom"/>
            <w:gridSpan w:val="5"/>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920" w:type="dxa"/>
            <w:vAlign w:val="bottom"/>
            <w:tcBorders>
              <w:right w:val="single" w:sz="8" w:color="CCEEFF"/>
            </w:tcBorders>
            <w:gridSpan w:val="44"/>
            <w:shd w:val="clear" w:color="auto" w:fill="CCEEFF"/>
          </w:tcPr>
          <w:p>
            <w:pPr>
              <w:ind w:left="120"/>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Off-Balance Sheet Arrangements</w:t>
              </w:r>
            </w:hyperlink>
          </w:p>
        </w:tc>
        <w:tc>
          <w:tcPr>
            <w:tcW w:w="480" w:type="dxa"/>
            <w:vAlign w:val="bottom"/>
            <w:gridSpan w:val="5"/>
            <w:shd w:val="clear" w:color="auto" w:fill="CCEEFF"/>
          </w:tcPr>
          <w:p>
            <w:pPr>
              <w:ind w:left="60"/>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A-25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Section 4.05   Absence of Certain Changes or Events</w:t>
              </w:r>
            </w:hyperlink>
          </w:p>
        </w:tc>
        <w:tc>
          <w:tcPr>
            <w:tcW w:w="480" w:type="dxa"/>
            <w:vAlign w:val="bottom"/>
            <w:gridSpan w:val="5"/>
          </w:tcPr>
          <w:p>
            <w:pPr>
              <w:ind w:left="60"/>
              <w:spacing w:after="0"/>
              <w:rPr>
                <w:rFonts w:ascii="Arial" w:cs="Arial" w:eastAsia="Arial" w:hAnsi="Arial"/>
                <w:sz w:val="18"/>
                <w:szCs w:val="18"/>
                <w:color w:val="0000EE"/>
              </w:rPr>
            </w:pPr>
            <w:hyperlink w:anchor="page269">
              <w:r>
                <w:rPr>
                  <w:rFonts w:ascii="Arial" w:cs="Arial" w:eastAsia="Arial" w:hAnsi="Arial"/>
                  <w:sz w:val="18"/>
                  <w:szCs w:val="18"/>
                  <w:color w:val="0000EE"/>
                </w:rPr>
                <w:t>A-27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9">
              <w:r>
                <w:rPr>
                  <w:rFonts w:ascii="Arial" w:cs="Arial" w:eastAsia="Arial" w:hAnsi="Arial"/>
                  <w:sz w:val="18"/>
                  <w:szCs w:val="18"/>
                  <w:color w:val="0000EE"/>
                  <w:w w:val="99"/>
                </w:rPr>
                <w:t>Section 4.06</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9">
              <w:r>
                <w:rPr>
                  <w:rFonts w:ascii="Arial" w:cs="Arial" w:eastAsia="Arial" w:hAnsi="Arial"/>
                  <w:sz w:val="18"/>
                  <w:szCs w:val="18"/>
                  <w:color w:val="0000EE"/>
                </w:rPr>
                <w:t>Taxes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9">
              <w:r>
                <w:rPr>
                  <w:rFonts w:ascii="Arial" w:cs="Arial" w:eastAsia="Arial" w:hAnsi="Arial"/>
                  <w:sz w:val="18"/>
                  <w:szCs w:val="18"/>
                  <w:color w:val="0000EE"/>
                </w:rPr>
                <w:t>A-27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71">
              <w:r>
                <w:rPr>
                  <w:rFonts w:ascii="Arial" w:cs="Arial" w:eastAsia="Arial" w:hAnsi="Arial"/>
                  <w:sz w:val="18"/>
                  <w:szCs w:val="18"/>
                  <w:color w:val="0000EE"/>
                  <w:w w:val="99"/>
                </w:rPr>
                <w:t>Section 4.07</w:t>
              </w:r>
            </w:hyperlink>
          </w:p>
        </w:tc>
        <w:tc>
          <w:tcPr>
            <w:tcW w:w="6920" w:type="dxa"/>
            <w:vAlign w:val="bottom"/>
            <w:gridSpan w:val="44"/>
          </w:tcPr>
          <w:p>
            <w:pPr>
              <w:ind w:left="120"/>
              <w:spacing w:after="0"/>
              <w:rPr>
                <w:rFonts w:ascii="Arial" w:cs="Arial" w:eastAsia="Arial" w:hAnsi="Arial"/>
                <w:sz w:val="18"/>
                <w:szCs w:val="18"/>
                <w:color w:val="0000EE"/>
              </w:rPr>
            </w:pPr>
            <w:hyperlink w:anchor="page271">
              <w:r>
                <w:rPr>
                  <w:rFonts w:ascii="Arial" w:cs="Arial" w:eastAsia="Arial" w:hAnsi="Arial"/>
                  <w:sz w:val="18"/>
                  <w:szCs w:val="18"/>
                  <w:color w:val="0000EE"/>
                </w:rPr>
                <w:t>Intellectual Property</w:t>
              </w:r>
            </w:hyperlink>
          </w:p>
        </w:tc>
        <w:tc>
          <w:tcPr>
            <w:tcW w:w="480" w:type="dxa"/>
            <w:vAlign w:val="bottom"/>
            <w:gridSpan w:val="5"/>
          </w:tcPr>
          <w:p>
            <w:pPr>
              <w:ind w:left="60"/>
              <w:spacing w:after="0"/>
              <w:rPr>
                <w:rFonts w:ascii="Arial" w:cs="Arial" w:eastAsia="Arial" w:hAnsi="Arial"/>
                <w:sz w:val="18"/>
                <w:szCs w:val="18"/>
                <w:color w:val="0000EE"/>
              </w:rPr>
            </w:pPr>
            <w:hyperlink w:anchor="page271">
              <w:r>
                <w:rPr>
                  <w:rFonts w:ascii="Arial" w:cs="Arial" w:eastAsia="Arial" w:hAnsi="Arial"/>
                  <w:sz w:val="18"/>
                  <w:szCs w:val="18"/>
                  <w:color w:val="0000EE"/>
                </w:rPr>
                <w:t>A-29</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2">
              <w:r>
                <w:rPr>
                  <w:rFonts w:ascii="Arial" w:cs="Arial" w:eastAsia="Arial" w:hAnsi="Arial"/>
                  <w:sz w:val="18"/>
                  <w:szCs w:val="18"/>
                  <w:color w:val="0000EE"/>
                  <w:w w:val="99"/>
                </w:rPr>
                <w:t>Section 4.08</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2">
              <w:r>
                <w:rPr>
                  <w:rFonts w:ascii="Arial" w:cs="Arial" w:eastAsia="Arial" w:hAnsi="Arial"/>
                  <w:sz w:val="18"/>
                  <w:szCs w:val="18"/>
                  <w:color w:val="0000EE"/>
                </w:rPr>
                <w:t>Compliance; Permits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73">
              <w:r>
                <w:rPr>
                  <w:rFonts w:ascii="Arial" w:cs="Arial" w:eastAsia="Arial" w:hAnsi="Arial"/>
                  <w:sz w:val="18"/>
                  <w:szCs w:val="18"/>
                  <w:color w:val="0000EE"/>
                  <w:w w:val="99"/>
                </w:rPr>
                <w:t>Section 4.09</w:t>
              </w:r>
            </w:hyperlink>
          </w:p>
        </w:tc>
        <w:tc>
          <w:tcPr>
            <w:tcW w:w="6920" w:type="dxa"/>
            <w:vAlign w:val="bottom"/>
            <w:gridSpan w:val="44"/>
          </w:tcPr>
          <w:p>
            <w:pPr>
              <w:ind w:left="120"/>
              <w:spacing w:after="0"/>
              <w:rPr>
                <w:rFonts w:ascii="Arial" w:cs="Arial" w:eastAsia="Arial" w:hAnsi="Arial"/>
                <w:sz w:val="18"/>
                <w:szCs w:val="18"/>
                <w:color w:val="0000EE"/>
              </w:rPr>
            </w:pPr>
            <w:hyperlink w:anchor="page273">
              <w:r>
                <w:rPr>
                  <w:rFonts w:ascii="Arial" w:cs="Arial" w:eastAsia="Arial" w:hAnsi="Arial"/>
                  <w:sz w:val="18"/>
                  <w:szCs w:val="18"/>
                  <w:color w:val="0000EE"/>
                </w:rPr>
                <w:t>Litigation</w:t>
              </w:r>
            </w:hyperlink>
          </w:p>
        </w:tc>
        <w:tc>
          <w:tcPr>
            <w:tcW w:w="480" w:type="dxa"/>
            <w:vAlign w:val="bottom"/>
            <w:gridSpan w:val="5"/>
          </w:tcPr>
          <w:p>
            <w:pPr>
              <w:ind w:left="60"/>
              <w:spacing w:after="0"/>
              <w:rPr>
                <w:rFonts w:ascii="Arial" w:cs="Arial" w:eastAsia="Arial" w:hAnsi="Arial"/>
                <w:sz w:val="18"/>
                <w:szCs w:val="18"/>
                <w:color w:val="0000EE"/>
              </w:rPr>
            </w:pPr>
            <w:hyperlink w:anchor="page273">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Section 4.10   Brokers’ and Finders’ Fees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3">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Section 4.11   Related Person Transactions</w:t>
              </w:r>
            </w:hyperlink>
          </w:p>
        </w:tc>
        <w:tc>
          <w:tcPr>
            <w:tcW w:w="480" w:type="dxa"/>
            <w:vAlign w:val="bottom"/>
            <w:gridSpan w:val="5"/>
          </w:tcPr>
          <w:p>
            <w:pPr>
              <w:ind w:left="60"/>
              <w:spacing w:after="0"/>
              <w:rPr>
                <w:rFonts w:ascii="Arial" w:cs="Arial" w:eastAsia="Arial" w:hAnsi="Arial"/>
                <w:sz w:val="18"/>
                <w:szCs w:val="18"/>
                <w:color w:val="0000EE"/>
              </w:rPr>
            </w:pPr>
            <w:hyperlink w:anchor="page273">
              <w:r>
                <w:rPr>
                  <w:rFonts w:ascii="Arial" w:cs="Arial" w:eastAsia="Arial" w:hAnsi="Arial"/>
                  <w:sz w:val="18"/>
                  <w:szCs w:val="18"/>
                  <w:color w:val="0000EE"/>
                </w:rPr>
                <w:t>A-31</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Section 4.12   Employee Benefit Plan and Employees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3">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Section 4.13   Real Property and Personal Property Matters</w:t>
              </w:r>
            </w:hyperlink>
          </w:p>
        </w:tc>
        <w:tc>
          <w:tcPr>
            <w:tcW w:w="480" w:type="dxa"/>
            <w:vAlign w:val="bottom"/>
            <w:gridSpan w:val="5"/>
          </w:tcPr>
          <w:p>
            <w:pPr>
              <w:ind w:left="60"/>
              <w:spacing w:after="0"/>
              <w:rPr>
                <w:rFonts w:ascii="Arial" w:cs="Arial" w:eastAsia="Arial" w:hAnsi="Arial"/>
                <w:sz w:val="18"/>
                <w:szCs w:val="18"/>
                <w:color w:val="0000EE"/>
              </w:rPr>
            </w:pPr>
            <w:hyperlink w:anchor="page277">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7">
              <w:r>
                <w:rPr>
                  <w:rFonts w:ascii="Arial" w:cs="Arial" w:eastAsia="Arial" w:hAnsi="Arial"/>
                  <w:sz w:val="18"/>
                  <w:szCs w:val="18"/>
                  <w:color w:val="0000EE"/>
                  <w:w w:val="99"/>
                </w:rPr>
                <w:t>Section 4.14</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7">
              <w:r>
                <w:rPr>
                  <w:rFonts w:ascii="Arial" w:cs="Arial" w:eastAsia="Arial" w:hAnsi="Arial"/>
                  <w:sz w:val="18"/>
                  <w:szCs w:val="18"/>
                  <w:color w:val="0000EE"/>
                </w:rPr>
                <w:t>Environmental Matters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7">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7">
              <w:r>
                <w:rPr>
                  <w:rFonts w:ascii="Arial" w:cs="Arial" w:eastAsia="Arial" w:hAnsi="Arial"/>
                  <w:sz w:val="18"/>
                  <w:szCs w:val="18"/>
                  <w:color w:val="0000EE"/>
                  <w:w w:val="99"/>
                </w:rPr>
                <w:t>Section 4.15</w:t>
              </w:r>
            </w:hyperlink>
          </w:p>
        </w:tc>
        <w:tc>
          <w:tcPr>
            <w:tcW w:w="6920" w:type="dxa"/>
            <w:vAlign w:val="bottom"/>
            <w:gridSpan w:val="44"/>
          </w:tcPr>
          <w:p>
            <w:pPr>
              <w:ind w:left="120"/>
              <w:spacing w:after="0"/>
              <w:rPr>
                <w:rFonts w:ascii="Arial" w:cs="Arial" w:eastAsia="Arial" w:hAnsi="Arial"/>
                <w:sz w:val="18"/>
                <w:szCs w:val="18"/>
                <w:color w:val="0000EE"/>
              </w:rPr>
            </w:pPr>
            <w:hyperlink w:anchor="page277">
              <w:r>
                <w:rPr>
                  <w:rFonts w:ascii="Arial" w:cs="Arial" w:eastAsia="Arial" w:hAnsi="Arial"/>
                  <w:sz w:val="18"/>
                  <w:szCs w:val="18"/>
                  <w:color w:val="0000EE"/>
                </w:rPr>
                <w:t>Material Contracts.</w:t>
              </w:r>
            </w:hyperlink>
          </w:p>
        </w:tc>
        <w:tc>
          <w:tcPr>
            <w:tcW w:w="480" w:type="dxa"/>
            <w:vAlign w:val="bottom"/>
            <w:gridSpan w:val="5"/>
          </w:tcPr>
          <w:p>
            <w:pPr>
              <w:ind w:left="60"/>
              <w:spacing w:after="0"/>
              <w:rPr>
                <w:rFonts w:ascii="Arial" w:cs="Arial" w:eastAsia="Arial" w:hAnsi="Arial"/>
                <w:sz w:val="18"/>
                <w:szCs w:val="18"/>
                <w:color w:val="0000EE"/>
              </w:rPr>
            </w:pPr>
            <w:hyperlink w:anchor="page277">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4.16</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Insurance</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4.17</w:t>
              </w:r>
            </w:hyperlink>
          </w:p>
        </w:tc>
        <w:tc>
          <w:tcPr>
            <w:tcW w:w="6920" w:type="dxa"/>
            <w:vAlign w:val="bottom"/>
            <w:gridSpan w:val="44"/>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Information Supplied</w:t>
              </w:r>
            </w:hyperlink>
          </w:p>
        </w:tc>
        <w:tc>
          <w:tcPr>
            <w:tcW w:w="480" w:type="dxa"/>
            <w:vAlign w:val="bottom"/>
            <w:gridSpan w:val="5"/>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4.18</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Anti-Corruption Matters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Section 4.19   International Trade Laws</w:t>
              </w:r>
            </w:hyperlink>
          </w:p>
        </w:tc>
        <w:tc>
          <w:tcPr>
            <w:tcW w:w="480" w:type="dxa"/>
            <w:vAlign w:val="bottom"/>
            <w:gridSpan w:val="5"/>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Section 4.20   Health Care Laws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80">
              <w:r>
                <w:rPr>
                  <w:rFonts w:ascii="Arial" w:cs="Arial" w:eastAsia="Arial" w:hAnsi="Arial"/>
                  <w:sz w:val="18"/>
                  <w:szCs w:val="18"/>
                  <w:color w:val="0000EE"/>
                  <w:w w:val="99"/>
                </w:rPr>
                <w:t>Section 4.21</w:t>
              </w:r>
            </w:hyperlink>
          </w:p>
        </w:tc>
        <w:tc>
          <w:tcPr>
            <w:tcW w:w="6920" w:type="dxa"/>
            <w:vAlign w:val="bottom"/>
            <w:gridSpan w:val="44"/>
          </w:tcPr>
          <w:p>
            <w:pPr>
              <w:ind w:left="120"/>
              <w:spacing w:after="0"/>
              <w:rPr>
                <w:rFonts w:ascii="Arial" w:cs="Arial" w:eastAsia="Arial" w:hAnsi="Arial"/>
                <w:sz w:val="18"/>
                <w:szCs w:val="18"/>
                <w:color w:val="0000EE"/>
              </w:rPr>
            </w:pPr>
            <w:hyperlink w:anchor="page280">
              <w:r>
                <w:rPr>
                  <w:rFonts w:ascii="Arial" w:cs="Arial" w:eastAsia="Arial" w:hAnsi="Arial"/>
                  <w:sz w:val="18"/>
                  <w:szCs w:val="18"/>
                  <w:color w:val="0000EE"/>
                </w:rPr>
                <w:t>Government Contracts</w:t>
              </w:r>
            </w:hyperlink>
          </w:p>
        </w:tc>
        <w:tc>
          <w:tcPr>
            <w:tcW w:w="480" w:type="dxa"/>
            <w:vAlign w:val="bottom"/>
            <w:gridSpan w:val="5"/>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A-38</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80">
              <w:r>
                <w:rPr>
                  <w:rFonts w:ascii="Arial" w:cs="Arial" w:eastAsia="Arial" w:hAnsi="Arial"/>
                  <w:sz w:val="18"/>
                  <w:szCs w:val="18"/>
                  <w:color w:val="0000EE"/>
                  <w:w w:val="99"/>
                </w:rPr>
                <w:t>Section 4.22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80">
              <w:r>
                <w:rPr>
                  <w:rFonts w:ascii="Arial" w:cs="Arial" w:eastAsia="Arial" w:hAnsi="Arial"/>
                  <w:sz w:val="18"/>
                  <w:szCs w:val="18"/>
                  <w:color w:val="0000EE"/>
                </w:rPr>
                <w:t>Fairness Opinion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Section 4.23   No Additional Representations</w:t>
              </w:r>
            </w:hyperlink>
          </w:p>
        </w:tc>
        <w:tc>
          <w:tcPr>
            <w:tcW w:w="480" w:type="dxa"/>
            <w:vAlign w:val="bottom"/>
            <w:gridSpan w:val="5"/>
          </w:tcPr>
          <w:p>
            <w:pPr>
              <w:ind w:left="60"/>
              <w:spacing w:after="0"/>
              <w:rPr>
                <w:rFonts w:ascii="Arial" w:cs="Arial" w:eastAsia="Arial" w:hAnsi="Arial"/>
                <w:sz w:val="18"/>
                <w:szCs w:val="18"/>
                <w:color w:val="0000EE"/>
              </w:rPr>
            </w:pPr>
            <w:hyperlink w:anchor="page281">
              <w:r>
                <w:rPr>
                  <w:rFonts w:ascii="Arial" w:cs="Arial" w:eastAsia="Arial" w:hAnsi="Arial"/>
                  <w:sz w:val="18"/>
                  <w:szCs w:val="18"/>
                  <w:color w:val="0000EE"/>
                </w:rPr>
                <w:t>A-39</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w w:val="99"/>
              </w:rPr>
            </w:pPr>
            <w:hyperlink w:anchor="page281">
              <w:r>
                <w:rPr>
                  <w:rFonts w:ascii="Arial" w:cs="Arial" w:eastAsia="Arial" w:hAnsi="Arial"/>
                  <w:sz w:val="18"/>
                  <w:szCs w:val="18"/>
                  <w:color w:val="0000EE"/>
                  <w:w w:val="99"/>
                </w:rPr>
                <w:t>ARTICLE V REPRESENTATIONS AND WARRANTIES OF PARENT, US HOLDCO AND MERGER</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281">
              <w:r>
                <w:rPr>
                  <w:rFonts w:ascii="Arial" w:cs="Arial" w:eastAsia="Arial" w:hAnsi="Arial"/>
                  <w:sz w:val="18"/>
                  <w:szCs w:val="18"/>
                  <w:color w:val="0000EE"/>
                </w:rPr>
                <w:t>SUB</w:t>
              </w:r>
            </w:hyperlink>
          </w:p>
        </w:tc>
        <w:tc>
          <w:tcPr>
            <w:tcW w:w="1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3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gridSpan w:val="5"/>
            <w:shd w:val="clear" w:color="auto" w:fill="CCEEFF"/>
          </w:tcPr>
          <w:p>
            <w:pPr>
              <w:ind w:left="60"/>
              <w:spacing w:after="0" w:line="196" w:lineRule="exact"/>
              <w:rPr>
                <w:rFonts w:ascii="Arial" w:cs="Arial" w:eastAsia="Arial" w:hAnsi="Arial"/>
                <w:sz w:val="18"/>
                <w:szCs w:val="18"/>
                <w:color w:val="0000EE"/>
              </w:rPr>
            </w:pPr>
            <w:hyperlink w:anchor="page281">
              <w:r>
                <w:rPr>
                  <w:rFonts w:ascii="Arial" w:cs="Arial" w:eastAsia="Arial" w:hAnsi="Arial"/>
                  <w:sz w:val="18"/>
                  <w:szCs w:val="18"/>
                  <w:color w:val="0000EE"/>
                </w:rPr>
                <w:t>A-39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Section 5.01   Organization; Standing and Power; Charter Documents; Subsidiaries</w:t>
              </w:r>
            </w:hyperlink>
          </w:p>
        </w:tc>
        <w:tc>
          <w:tcPr>
            <w:tcW w:w="480" w:type="dxa"/>
            <w:vAlign w:val="bottom"/>
            <w:gridSpan w:val="5"/>
          </w:tcPr>
          <w:p>
            <w:pPr>
              <w:ind w:left="60"/>
              <w:spacing w:after="0"/>
              <w:rPr>
                <w:rFonts w:ascii="Arial" w:cs="Arial" w:eastAsia="Arial" w:hAnsi="Arial"/>
                <w:sz w:val="18"/>
                <w:szCs w:val="18"/>
                <w:color w:val="0000EE"/>
              </w:rPr>
            </w:pPr>
            <w:hyperlink w:anchor="page281">
              <w:r>
                <w:rPr>
                  <w:rFonts w:ascii="Arial" w:cs="Arial" w:eastAsia="Arial" w:hAnsi="Arial"/>
                  <w:sz w:val="18"/>
                  <w:szCs w:val="18"/>
                  <w:color w:val="0000EE"/>
                </w:rPr>
                <w:t>A-39</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5"/>
        </w:trPr>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bl>
    <w:p>
      <w:pPr>
        <w:sectPr>
          <w:pgSz w:w="11900" w:h="16900" w:orient="portrait"/>
          <w:cols w:equalWidth="0" w:num="1">
            <w:col w:w="9019"/>
          </w:cols>
          <w:pgMar w:left="1440" w:top="265" w:right="1440" w:bottom="0" w:gutter="0" w:footer="0" w:header="0"/>
        </w:sectPr>
      </w:pPr>
    </w:p>
    <w:bookmarkStart w:id="238" w:name="page239"/>
    <w:bookmarkEnd w:id="238"/>
    <w:p>
      <w:pPr>
        <w:ind w:left="300"/>
        <w:spacing w:after="0"/>
        <w:tabs>
          <w:tab w:leader="none" w:pos="1420" w:val="left"/>
          <w:tab w:leader="none" w:pos="8280" w:val="left"/>
        </w:tabs>
        <w:rPr>
          <w:rFonts w:ascii="Arial" w:cs="Arial" w:eastAsia="Arial" w:hAnsi="Arial"/>
          <w:sz w:val="17"/>
          <w:szCs w:val="17"/>
          <w:u w:val="single" w:color="auto"/>
          <w:color w:val="0000EE"/>
        </w:rPr>
      </w:pPr>
      <w:hyperlink w:anchor="page282">
        <w:r>
          <w:rPr>
            <w:rFonts w:ascii="Arial" w:cs="Arial" w:eastAsia="Arial" w:hAnsi="Arial"/>
            <w:sz w:val="18"/>
            <w:szCs w:val="18"/>
            <w:u w:val="single" w:color="auto"/>
            <w:color w:val="0000EE"/>
          </w:rPr>
          <w:t>Section 5.02</w:t>
        </w:r>
      </w:hyperlink>
      <w:r>
        <w:rPr>
          <w:rFonts w:ascii="Arial" w:cs="Arial" w:eastAsia="Arial" w:hAnsi="Arial"/>
          <w:sz w:val="18"/>
          <w:szCs w:val="18"/>
          <w:u w:val="single" w:color="auto"/>
          <w:color w:val="0000EE"/>
        </w:rPr>
        <w:tab/>
      </w:r>
      <w:hyperlink w:anchor="page282">
        <w:r>
          <w:rPr>
            <w:rFonts w:ascii="Arial" w:cs="Arial" w:eastAsia="Arial" w:hAnsi="Arial"/>
            <w:sz w:val="18"/>
            <w:szCs w:val="18"/>
            <w:u w:val="single" w:color="auto"/>
            <w:color w:val="0000EE"/>
          </w:rPr>
          <w:t>Capital Structure</w:t>
        </w:r>
      </w:hyperlink>
      <w:r>
        <w:rPr>
          <w:rFonts w:ascii="Arial" w:cs="Arial" w:eastAsia="Arial" w:hAnsi="Arial"/>
          <w:sz w:val="18"/>
          <w:szCs w:val="18"/>
          <w:u w:val="single" w:color="auto"/>
          <w:color w:val="0000EE"/>
        </w:rPr>
        <w:tab/>
      </w:r>
      <w:hyperlink w:anchor="page282">
        <w:r>
          <w:rPr>
            <w:rFonts w:ascii="Arial" w:cs="Arial" w:eastAsia="Arial" w:hAnsi="Arial"/>
            <w:sz w:val="17"/>
            <w:szCs w:val="17"/>
            <w:u w:val="single" w:color="auto"/>
            <w:color w:val="0000EE"/>
          </w:rPr>
          <w:t>A-40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5349240" cy="1714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A-ii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39" w:name="page240"/>
    <w:bookmarkEnd w:id="239"/>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3">
              <w:r>
                <w:rPr>
                  <w:rFonts w:ascii="Arial" w:cs="Arial" w:eastAsia="Arial" w:hAnsi="Arial"/>
                  <w:sz w:val="18"/>
                  <w:szCs w:val="18"/>
                  <w:color w:val="0000EE"/>
                </w:rPr>
                <w:t>Section 5.03   Authority; Non-Contravention; Governmental Consents; Board Approval</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3">
              <w:r>
                <w:rPr>
                  <w:rFonts w:ascii="Arial" w:cs="Arial" w:eastAsia="Arial" w:hAnsi="Arial"/>
                  <w:sz w:val="18"/>
                  <w:szCs w:val="18"/>
                  <w:color w:val="0000EE"/>
                </w:rPr>
                <w:t>A-41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w w:val="93"/>
              </w:rPr>
            </w:pPr>
            <w:hyperlink w:anchor="page285">
              <w:r>
                <w:rPr>
                  <w:rFonts w:ascii="Arial" w:cs="Arial" w:eastAsia="Arial" w:hAnsi="Arial"/>
                  <w:sz w:val="18"/>
                  <w:szCs w:val="18"/>
                  <w:color w:val="0000EE"/>
                  <w:w w:val="93"/>
                </w:rPr>
                <w:t>Section 5.04   SEC Filings; Financial Statements; Sarbanes-Oxley Act Compliance; Undisclosed Liabilities;</w:t>
              </w:r>
            </w:hyperlink>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45"/>
          </w:tcPr>
          <w:p>
            <w:pPr>
              <w:ind w:left="120"/>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Off-Balance Sheet Arrangements</w:t>
              </w:r>
            </w:hyperlink>
          </w:p>
        </w:tc>
        <w:tc>
          <w:tcPr>
            <w:tcW w:w="480" w:type="dxa"/>
            <w:vAlign w:val="bottom"/>
            <w:gridSpan w:val="3"/>
          </w:tcPr>
          <w:p>
            <w:pPr>
              <w:ind w:left="60"/>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A-43</w:t>
              </w:r>
            </w:hyperlink>
          </w:p>
        </w:tc>
      </w:tr>
      <w:tr>
        <w:trPr>
          <w:trHeight w:val="75"/>
        </w:trPr>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Section 5.05   Absence of Certain Changes or Events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7">
              <w:r>
                <w:rPr>
                  <w:rFonts w:ascii="Arial" w:cs="Arial" w:eastAsia="Arial" w:hAnsi="Arial"/>
                  <w:sz w:val="18"/>
                  <w:szCs w:val="18"/>
                  <w:color w:val="0000EE"/>
                </w:rPr>
                <w:t>A-45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87">
              <w:r>
                <w:rPr>
                  <w:rFonts w:ascii="Arial" w:cs="Arial" w:eastAsia="Arial" w:hAnsi="Arial"/>
                  <w:sz w:val="18"/>
                  <w:szCs w:val="18"/>
                  <w:color w:val="0000EE"/>
                  <w:w w:val="99"/>
                </w:rPr>
                <w:t>Section 5.06</w:t>
              </w:r>
            </w:hyperlink>
          </w:p>
        </w:tc>
        <w:tc>
          <w:tcPr>
            <w:tcW w:w="6920" w:type="dxa"/>
            <w:vAlign w:val="bottom"/>
            <w:gridSpan w:val="45"/>
          </w:tcPr>
          <w:p>
            <w:pPr>
              <w:ind w:left="120"/>
              <w:spacing w:after="0"/>
              <w:rPr>
                <w:rFonts w:ascii="Arial" w:cs="Arial" w:eastAsia="Arial" w:hAnsi="Arial"/>
                <w:sz w:val="18"/>
                <w:szCs w:val="18"/>
                <w:color w:val="0000EE"/>
              </w:rPr>
            </w:pPr>
            <w:hyperlink w:anchor="page287">
              <w:r>
                <w:rPr>
                  <w:rFonts w:ascii="Arial" w:cs="Arial" w:eastAsia="Arial" w:hAnsi="Arial"/>
                  <w:sz w:val="18"/>
                  <w:szCs w:val="18"/>
                  <w:color w:val="0000EE"/>
                </w:rPr>
                <w:t>Taxes</w:t>
              </w:r>
            </w:hyperlink>
          </w:p>
        </w:tc>
        <w:tc>
          <w:tcPr>
            <w:tcW w:w="480" w:type="dxa"/>
            <w:vAlign w:val="bottom"/>
            <w:gridSpan w:val="3"/>
          </w:tcPr>
          <w:p>
            <w:pPr>
              <w:ind w:left="60"/>
              <w:spacing w:after="0"/>
              <w:rPr>
                <w:rFonts w:ascii="Arial" w:cs="Arial" w:eastAsia="Arial" w:hAnsi="Arial"/>
                <w:sz w:val="18"/>
                <w:szCs w:val="18"/>
                <w:color w:val="0000EE"/>
              </w:rPr>
            </w:pPr>
            <w:hyperlink w:anchor="page287">
              <w:r>
                <w:rPr>
                  <w:rFonts w:ascii="Arial" w:cs="Arial" w:eastAsia="Arial" w:hAnsi="Arial"/>
                  <w:sz w:val="18"/>
                  <w:szCs w:val="18"/>
                  <w:color w:val="0000EE"/>
                </w:rPr>
                <w:t>A-45</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88">
              <w:r>
                <w:rPr>
                  <w:rFonts w:ascii="Arial" w:cs="Arial" w:eastAsia="Arial" w:hAnsi="Arial"/>
                  <w:sz w:val="18"/>
                  <w:szCs w:val="18"/>
                  <w:color w:val="0000EE"/>
                  <w:w w:val="99"/>
                </w:rPr>
                <w:t>Section 5.07</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88">
              <w:r>
                <w:rPr>
                  <w:rFonts w:ascii="Arial" w:cs="Arial" w:eastAsia="Arial" w:hAnsi="Arial"/>
                  <w:sz w:val="18"/>
                  <w:szCs w:val="18"/>
                  <w:color w:val="0000EE"/>
                </w:rPr>
                <w:t>Intellectual Property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8">
              <w:r>
                <w:rPr>
                  <w:rFonts w:ascii="Arial" w:cs="Arial" w:eastAsia="Arial" w:hAnsi="Arial"/>
                  <w:sz w:val="18"/>
                  <w:szCs w:val="18"/>
                  <w:color w:val="0000EE"/>
                </w:rPr>
                <w:t>A-46</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89">
              <w:r>
                <w:rPr>
                  <w:rFonts w:ascii="Arial" w:cs="Arial" w:eastAsia="Arial" w:hAnsi="Arial"/>
                  <w:sz w:val="18"/>
                  <w:szCs w:val="18"/>
                  <w:color w:val="0000EE"/>
                  <w:w w:val="99"/>
                </w:rPr>
                <w:t>Section 5.08</w:t>
              </w:r>
            </w:hyperlink>
          </w:p>
        </w:tc>
        <w:tc>
          <w:tcPr>
            <w:tcW w:w="6920" w:type="dxa"/>
            <w:vAlign w:val="bottom"/>
            <w:gridSpan w:val="45"/>
          </w:tcPr>
          <w:p>
            <w:pPr>
              <w:ind w:left="120"/>
              <w:spacing w:after="0"/>
              <w:rPr>
                <w:rFonts w:ascii="Arial" w:cs="Arial" w:eastAsia="Arial" w:hAnsi="Arial"/>
                <w:sz w:val="18"/>
                <w:szCs w:val="18"/>
                <w:color w:val="0000EE"/>
              </w:rPr>
            </w:pPr>
            <w:hyperlink w:anchor="page289">
              <w:r>
                <w:rPr>
                  <w:rFonts w:ascii="Arial" w:cs="Arial" w:eastAsia="Arial" w:hAnsi="Arial"/>
                  <w:sz w:val="18"/>
                  <w:szCs w:val="18"/>
                  <w:color w:val="0000EE"/>
                </w:rPr>
                <w:t>Compliance; Permits</w:t>
              </w:r>
            </w:hyperlink>
          </w:p>
        </w:tc>
        <w:tc>
          <w:tcPr>
            <w:tcW w:w="480" w:type="dxa"/>
            <w:vAlign w:val="bottom"/>
            <w:gridSpan w:val="3"/>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A-47</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0">
              <w:r>
                <w:rPr>
                  <w:rFonts w:ascii="Arial" w:cs="Arial" w:eastAsia="Arial" w:hAnsi="Arial"/>
                  <w:sz w:val="18"/>
                  <w:szCs w:val="18"/>
                  <w:color w:val="0000EE"/>
                  <w:w w:val="99"/>
                </w:rPr>
                <w:t>Section 5.09</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0">
              <w:r>
                <w:rPr>
                  <w:rFonts w:ascii="Arial" w:cs="Arial" w:eastAsia="Arial" w:hAnsi="Arial"/>
                  <w:sz w:val="18"/>
                  <w:szCs w:val="18"/>
                  <w:color w:val="0000EE"/>
                </w:rPr>
                <w:t>Litigation</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0">
              <w:r>
                <w:rPr>
                  <w:rFonts w:ascii="Arial" w:cs="Arial" w:eastAsia="Arial" w:hAnsi="Arial"/>
                  <w:sz w:val="18"/>
                  <w:szCs w:val="18"/>
                  <w:color w:val="0000EE"/>
                </w:rPr>
                <w:t>A-48</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290">
              <w:r>
                <w:rPr>
                  <w:rFonts w:ascii="Arial" w:cs="Arial" w:eastAsia="Arial" w:hAnsi="Arial"/>
                  <w:sz w:val="18"/>
                  <w:szCs w:val="18"/>
                  <w:color w:val="0000EE"/>
                </w:rPr>
                <w:t>Section 5.10   Brokers’ and Finders’ Fees</w:t>
              </w:r>
            </w:hyperlink>
          </w:p>
        </w:tc>
        <w:tc>
          <w:tcPr>
            <w:tcW w:w="480" w:type="dxa"/>
            <w:vAlign w:val="bottom"/>
            <w:gridSpan w:val="3"/>
          </w:tcPr>
          <w:p>
            <w:pPr>
              <w:ind w:left="60"/>
              <w:spacing w:after="0"/>
              <w:rPr>
                <w:rFonts w:ascii="Arial" w:cs="Arial" w:eastAsia="Arial" w:hAnsi="Arial"/>
                <w:sz w:val="18"/>
                <w:szCs w:val="18"/>
                <w:color w:val="0000EE"/>
              </w:rPr>
            </w:pPr>
            <w:hyperlink w:anchor="page290">
              <w:r>
                <w:rPr>
                  <w:rFonts w:ascii="Arial" w:cs="Arial" w:eastAsia="Arial" w:hAnsi="Arial"/>
                  <w:sz w:val="18"/>
                  <w:szCs w:val="18"/>
                  <w:color w:val="0000EE"/>
                </w:rPr>
                <w:t>A-48</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0">
              <w:r>
                <w:rPr>
                  <w:rFonts w:ascii="Arial" w:cs="Arial" w:eastAsia="Arial" w:hAnsi="Arial"/>
                  <w:sz w:val="18"/>
                  <w:szCs w:val="18"/>
                  <w:color w:val="0000EE"/>
                </w:rPr>
                <w:t>Section 5.11   Related Person Transactions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0">
              <w:r>
                <w:rPr>
                  <w:rFonts w:ascii="Arial" w:cs="Arial" w:eastAsia="Arial" w:hAnsi="Arial"/>
                  <w:sz w:val="18"/>
                  <w:szCs w:val="18"/>
                  <w:color w:val="0000EE"/>
                </w:rPr>
                <w:t>A-48</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0">
              <w:r>
                <w:rPr>
                  <w:rFonts w:ascii="Arial" w:cs="Arial" w:eastAsia="Arial" w:hAnsi="Arial"/>
                  <w:sz w:val="18"/>
                  <w:szCs w:val="18"/>
                  <w:color w:val="0000EE"/>
                </w:rPr>
                <w:t>Section 5.12   Employee Benefit Plan and Employees</w:t>
              </w:r>
            </w:hyperlink>
          </w:p>
        </w:tc>
        <w:tc>
          <w:tcPr>
            <w:tcW w:w="480" w:type="dxa"/>
            <w:vAlign w:val="bottom"/>
            <w:gridSpan w:val="3"/>
          </w:tcPr>
          <w:p>
            <w:pPr>
              <w:ind w:left="60"/>
              <w:spacing w:after="0"/>
              <w:rPr>
                <w:rFonts w:ascii="Arial" w:cs="Arial" w:eastAsia="Arial" w:hAnsi="Arial"/>
                <w:sz w:val="18"/>
                <w:szCs w:val="18"/>
                <w:color w:val="0000EE"/>
              </w:rPr>
            </w:pPr>
            <w:hyperlink w:anchor="page290">
              <w:r>
                <w:rPr>
                  <w:rFonts w:ascii="Arial" w:cs="Arial" w:eastAsia="Arial" w:hAnsi="Arial"/>
                  <w:sz w:val="18"/>
                  <w:szCs w:val="18"/>
                  <w:color w:val="0000EE"/>
                </w:rPr>
                <w:t>A-48</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3">
              <w:r>
                <w:rPr>
                  <w:rFonts w:ascii="Arial" w:cs="Arial" w:eastAsia="Arial" w:hAnsi="Arial"/>
                  <w:sz w:val="18"/>
                  <w:szCs w:val="18"/>
                  <w:color w:val="0000EE"/>
                </w:rPr>
                <w:t>Section 5.13   Real Property and Personal Property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3">
              <w:r>
                <w:rPr>
                  <w:rFonts w:ascii="Arial" w:cs="Arial" w:eastAsia="Arial" w:hAnsi="Arial"/>
                  <w:sz w:val="18"/>
                  <w:szCs w:val="18"/>
                  <w:color w:val="0000EE"/>
                </w:rPr>
                <w:t>A-51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3">
              <w:r>
                <w:rPr>
                  <w:rFonts w:ascii="Arial" w:cs="Arial" w:eastAsia="Arial" w:hAnsi="Arial"/>
                  <w:sz w:val="18"/>
                  <w:szCs w:val="18"/>
                  <w:color w:val="0000EE"/>
                  <w:w w:val="99"/>
                </w:rPr>
                <w:t>Section 5.14</w:t>
              </w:r>
            </w:hyperlink>
          </w:p>
        </w:tc>
        <w:tc>
          <w:tcPr>
            <w:tcW w:w="6920" w:type="dxa"/>
            <w:vAlign w:val="bottom"/>
            <w:gridSpan w:val="45"/>
          </w:tcPr>
          <w:p>
            <w:pPr>
              <w:ind w:left="120"/>
              <w:spacing w:after="0"/>
              <w:rPr>
                <w:rFonts w:ascii="Arial" w:cs="Arial" w:eastAsia="Arial" w:hAnsi="Arial"/>
                <w:sz w:val="18"/>
                <w:szCs w:val="18"/>
                <w:color w:val="0000EE"/>
              </w:rPr>
            </w:pPr>
            <w:hyperlink w:anchor="page293">
              <w:r>
                <w:rPr>
                  <w:rFonts w:ascii="Arial" w:cs="Arial" w:eastAsia="Arial" w:hAnsi="Arial"/>
                  <w:sz w:val="18"/>
                  <w:szCs w:val="18"/>
                  <w:color w:val="0000EE"/>
                </w:rPr>
                <w:t>Environmental Matters</w:t>
              </w:r>
            </w:hyperlink>
          </w:p>
        </w:tc>
        <w:tc>
          <w:tcPr>
            <w:tcW w:w="480" w:type="dxa"/>
            <w:vAlign w:val="bottom"/>
            <w:gridSpan w:val="3"/>
          </w:tcPr>
          <w:p>
            <w:pPr>
              <w:ind w:left="60"/>
              <w:spacing w:after="0"/>
              <w:rPr>
                <w:rFonts w:ascii="Arial" w:cs="Arial" w:eastAsia="Arial" w:hAnsi="Arial"/>
                <w:sz w:val="18"/>
                <w:szCs w:val="18"/>
                <w:color w:val="0000EE"/>
              </w:rPr>
            </w:pPr>
            <w:hyperlink w:anchor="page293">
              <w:r>
                <w:rPr>
                  <w:rFonts w:ascii="Arial" w:cs="Arial" w:eastAsia="Arial" w:hAnsi="Arial"/>
                  <w:sz w:val="18"/>
                  <w:szCs w:val="18"/>
                  <w:color w:val="0000EE"/>
                </w:rPr>
                <w:t>A-51</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3">
              <w:r>
                <w:rPr>
                  <w:rFonts w:ascii="Arial" w:cs="Arial" w:eastAsia="Arial" w:hAnsi="Arial"/>
                  <w:sz w:val="18"/>
                  <w:szCs w:val="18"/>
                  <w:color w:val="0000EE"/>
                  <w:w w:val="99"/>
                </w:rPr>
                <w:t>Section 5.15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3">
              <w:r>
                <w:rPr>
                  <w:rFonts w:ascii="Arial" w:cs="Arial" w:eastAsia="Arial" w:hAnsi="Arial"/>
                  <w:sz w:val="18"/>
                  <w:szCs w:val="18"/>
                  <w:color w:val="0000EE"/>
                </w:rPr>
                <w:t>Material Contracts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3">
              <w:r>
                <w:rPr>
                  <w:rFonts w:ascii="Arial" w:cs="Arial" w:eastAsia="Arial" w:hAnsi="Arial"/>
                  <w:sz w:val="18"/>
                  <w:szCs w:val="18"/>
                  <w:color w:val="0000EE"/>
                </w:rPr>
                <w:t>A-51</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5.16</w:t>
              </w:r>
            </w:hyperlink>
          </w:p>
        </w:tc>
        <w:tc>
          <w:tcPr>
            <w:tcW w:w="6920" w:type="dxa"/>
            <w:vAlign w:val="bottom"/>
            <w:gridSpan w:val="45"/>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Insurance</w:t>
              </w:r>
            </w:hyperlink>
          </w:p>
        </w:tc>
        <w:tc>
          <w:tcPr>
            <w:tcW w:w="480" w:type="dxa"/>
            <w:vAlign w:val="bottom"/>
            <w:gridSpan w:val="3"/>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5.17</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Information Supplied</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A-53</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5.18</w:t>
              </w:r>
            </w:hyperlink>
          </w:p>
        </w:tc>
        <w:tc>
          <w:tcPr>
            <w:tcW w:w="6920" w:type="dxa"/>
            <w:vAlign w:val="bottom"/>
            <w:gridSpan w:val="45"/>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Anti-Corruption Matters</w:t>
              </w:r>
            </w:hyperlink>
          </w:p>
        </w:tc>
        <w:tc>
          <w:tcPr>
            <w:tcW w:w="480" w:type="dxa"/>
            <w:vAlign w:val="bottom"/>
            <w:gridSpan w:val="3"/>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A-53</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5">
              <w:r>
                <w:rPr>
                  <w:rFonts w:ascii="Arial" w:cs="Arial" w:eastAsia="Arial" w:hAnsi="Arial"/>
                  <w:sz w:val="18"/>
                  <w:szCs w:val="18"/>
                  <w:color w:val="0000EE"/>
                </w:rPr>
                <w:t>Section 5.19   International Trade Laws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A-53</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5">
              <w:r>
                <w:rPr>
                  <w:rFonts w:ascii="Arial" w:cs="Arial" w:eastAsia="Arial" w:hAnsi="Arial"/>
                  <w:sz w:val="18"/>
                  <w:szCs w:val="18"/>
                  <w:color w:val="0000EE"/>
                </w:rPr>
                <w:t>Section 5.20   Health Care Laws</w:t>
              </w:r>
            </w:hyperlink>
          </w:p>
        </w:tc>
        <w:tc>
          <w:tcPr>
            <w:tcW w:w="480" w:type="dxa"/>
            <w:vAlign w:val="bottom"/>
            <w:gridSpan w:val="3"/>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6">
              <w:r>
                <w:rPr>
                  <w:rFonts w:ascii="Arial" w:cs="Arial" w:eastAsia="Arial" w:hAnsi="Arial"/>
                  <w:sz w:val="18"/>
                  <w:szCs w:val="18"/>
                  <w:color w:val="0000EE"/>
                  <w:w w:val="99"/>
                </w:rPr>
                <w:t>Section 5.21</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6">
              <w:r>
                <w:rPr>
                  <w:rFonts w:ascii="Arial" w:cs="Arial" w:eastAsia="Arial" w:hAnsi="Arial"/>
                  <w:sz w:val="18"/>
                  <w:szCs w:val="18"/>
                  <w:color w:val="0000EE"/>
                </w:rPr>
                <w:t>Government Contracts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296">
              <w:r>
                <w:rPr>
                  <w:rFonts w:ascii="Arial" w:cs="Arial" w:eastAsia="Arial" w:hAnsi="Arial"/>
                  <w:sz w:val="18"/>
                  <w:szCs w:val="18"/>
                  <w:color w:val="0000EE"/>
                  <w:w w:val="99"/>
                </w:rPr>
                <w:t>Section 5.22</w:t>
              </w:r>
            </w:hyperlink>
          </w:p>
        </w:tc>
        <w:tc>
          <w:tcPr>
            <w:tcW w:w="6920" w:type="dxa"/>
            <w:vAlign w:val="bottom"/>
            <w:gridSpan w:val="45"/>
          </w:tcPr>
          <w:p>
            <w:pPr>
              <w:ind w:left="120"/>
              <w:spacing w:after="0"/>
              <w:rPr>
                <w:rFonts w:ascii="Arial" w:cs="Arial" w:eastAsia="Arial" w:hAnsi="Arial"/>
                <w:sz w:val="18"/>
                <w:szCs w:val="18"/>
                <w:color w:val="0000EE"/>
              </w:rPr>
            </w:pPr>
            <w:hyperlink w:anchor="page296">
              <w:r>
                <w:rPr>
                  <w:rFonts w:ascii="Arial" w:cs="Arial" w:eastAsia="Arial" w:hAnsi="Arial"/>
                  <w:sz w:val="18"/>
                  <w:szCs w:val="18"/>
                  <w:color w:val="0000EE"/>
                </w:rPr>
                <w:t>Fairness Opinion</w:t>
              </w:r>
            </w:hyperlink>
          </w:p>
        </w:tc>
        <w:tc>
          <w:tcPr>
            <w:tcW w:w="480" w:type="dxa"/>
            <w:vAlign w:val="bottom"/>
            <w:gridSpan w:val="3"/>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A-54</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6">
              <w:r>
                <w:rPr>
                  <w:rFonts w:ascii="Arial" w:cs="Arial" w:eastAsia="Arial" w:hAnsi="Arial"/>
                  <w:sz w:val="18"/>
                  <w:szCs w:val="18"/>
                  <w:color w:val="0000EE"/>
                  <w:w w:val="99"/>
                </w:rPr>
                <w:t>Section 5.23</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6">
              <w:r>
                <w:rPr>
                  <w:rFonts w:ascii="Arial" w:cs="Arial" w:eastAsia="Arial" w:hAnsi="Arial"/>
                  <w:sz w:val="18"/>
                  <w:szCs w:val="18"/>
                  <w:color w:val="0000EE"/>
                </w:rPr>
                <w:t>Debt Financing</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7">
              <w:r>
                <w:rPr>
                  <w:rFonts w:ascii="Arial" w:cs="Arial" w:eastAsia="Arial" w:hAnsi="Arial"/>
                  <w:sz w:val="18"/>
                  <w:szCs w:val="18"/>
                  <w:color w:val="0000EE"/>
                </w:rPr>
                <w:t>Section 5.24   Merger Sub; US Holdco</w:t>
              </w:r>
            </w:hyperlink>
          </w:p>
        </w:tc>
        <w:tc>
          <w:tcPr>
            <w:tcW w:w="480" w:type="dxa"/>
            <w:vAlign w:val="bottom"/>
            <w:gridSpan w:val="3"/>
          </w:tcPr>
          <w:p>
            <w:pPr>
              <w:ind w:left="60"/>
              <w:spacing w:after="0"/>
              <w:rPr>
                <w:rFonts w:ascii="Arial" w:cs="Arial" w:eastAsia="Arial" w:hAnsi="Arial"/>
                <w:sz w:val="18"/>
                <w:szCs w:val="18"/>
                <w:color w:val="0000EE"/>
              </w:rPr>
            </w:pPr>
            <w:hyperlink w:anchor="page297">
              <w:r>
                <w:rPr>
                  <w:rFonts w:ascii="Arial" w:cs="Arial" w:eastAsia="Arial" w:hAnsi="Arial"/>
                  <w:sz w:val="18"/>
                  <w:szCs w:val="18"/>
                  <w:color w:val="0000EE"/>
                </w:rPr>
                <w:t>A-55</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7">
              <w:r>
                <w:rPr>
                  <w:rFonts w:ascii="Arial" w:cs="Arial" w:eastAsia="Arial" w:hAnsi="Arial"/>
                  <w:sz w:val="18"/>
                  <w:szCs w:val="18"/>
                  <w:color w:val="0000EE"/>
                </w:rPr>
                <w:t>Section 5.25   No Additional Representations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7">
              <w:r>
                <w:rPr>
                  <w:rFonts w:ascii="Arial" w:cs="Arial" w:eastAsia="Arial" w:hAnsi="Arial"/>
                  <w:sz w:val="18"/>
                  <w:szCs w:val="18"/>
                  <w:color w:val="0000EE"/>
                </w:rPr>
                <w:t>A-55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8">
              <w:r>
                <w:rPr>
                  <w:rFonts w:ascii="Arial" w:cs="Arial" w:eastAsia="Arial" w:hAnsi="Arial"/>
                  <w:sz w:val="18"/>
                  <w:szCs w:val="18"/>
                  <w:color w:val="0000EE"/>
                </w:rPr>
                <w:t>ARTICLE VI COVENANTS OF THE COMPANY</w:t>
              </w:r>
            </w:hyperlink>
          </w:p>
        </w:tc>
        <w:tc>
          <w:tcPr>
            <w:tcW w:w="480" w:type="dxa"/>
            <w:vAlign w:val="bottom"/>
            <w:gridSpan w:val="3"/>
          </w:tcPr>
          <w:p>
            <w:pPr>
              <w:ind w:left="60"/>
              <w:spacing w:after="0"/>
              <w:rPr>
                <w:rFonts w:ascii="Arial" w:cs="Arial" w:eastAsia="Arial" w:hAnsi="Arial"/>
                <w:sz w:val="18"/>
                <w:szCs w:val="18"/>
                <w:color w:val="0000EE"/>
              </w:rPr>
            </w:pPr>
            <w:hyperlink w:anchor="page298">
              <w:r>
                <w:rPr>
                  <w:rFonts w:ascii="Arial" w:cs="Arial" w:eastAsia="Arial" w:hAnsi="Arial"/>
                  <w:sz w:val="18"/>
                  <w:szCs w:val="18"/>
                  <w:color w:val="0000EE"/>
                </w:rPr>
                <w:t>A-56</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8">
              <w:r>
                <w:rPr>
                  <w:rFonts w:ascii="Arial" w:cs="Arial" w:eastAsia="Arial" w:hAnsi="Arial"/>
                  <w:sz w:val="18"/>
                  <w:szCs w:val="18"/>
                  <w:color w:val="0000EE"/>
                </w:rPr>
                <w:t>Section 6.01   Conduct of Business of the Company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8">
              <w:r>
                <w:rPr>
                  <w:rFonts w:ascii="Arial" w:cs="Arial" w:eastAsia="Arial" w:hAnsi="Arial"/>
                  <w:sz w:val="18"/>
                  <w:szCs w:val="18"/>
                  <w:color w:val="0000EE"/>
                </w:rPr>
                <w:t>A-56</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1">
              <w:r>
                <w:rPr>
                  <w:rFonts w:ascii="Arial" w:cs="Arial" w:eastAsia="Arial" w:hAnsi="Arial"/>
                  <w:sz w:val="18"/>
                  <w:szCs w:val="18"/>
                  <w:color w:val="0000EE"/>
                </w:rPr>
                <w:t>Section 6.02   Company No Solicitation</w:t>
              </w:r>
            </w:hyperlink>
          </w:p>
        </w:tc>
        <w:tc>
          <w:tcPr>
            <w:tcW w:w="480" w:type="dxa"/>
            <w:vAlign w:val="bottom"/>
            <w:gridSpan w:val="3"/>
          </w:tcPr>
          <w:p>
            <w:pPr>
              <w:ind w:left="60"/>
              <w:spacing w:after="0"/>
              <w:rPr>
                <w:rFonts w:ascii="Arial" w:cs="Arial" w:eastAsia="Arial" w:hAnsi="Arial"/>
                <w:sz w:val="18"/>
                <w:szCs w:val="18"/>
                <w:color w:val="0000EE"/>
              </w:rPr>
            </w:pPr>
            <w:hyperlink w:anchor="page301">
              <w:r>
                <w:rPr>
                  <w:rFonts w:ascii="Arial" w:cs="Arial" w:eastAsia="Arial" w:hAnsi="Arial"/>
                  <w:sz w:val="18"/>
                  <w:szCs w:val="18"/>
                  <w:color w:val="0000EE"/>
                </w:rPr>
                <w:t>A-59</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3">
              <w:r>
                <w:rPr>
                  <w:rFonts w:ascii="Arial" w:cs="Arial" w:eastAsia="Arial" w:hAnsi="Arial"/>
                  <w:sz w:val="18"/>
                  <w:szCs w:val="18"/>
                  <w:color w:val="0000EE"/>
                </w:rPr>
                <w:t>Section 6.03   Company Stockholders Meeting</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3">
              <w:r>
                <w:rPr>
                  <w:rFonts w:ascii="Arial" w:cs="Arial" w:eastAsia="Arial" w:hAnsi="Arial"/>
                  <w:sz w:val="18"/>
                  <w:szCs w:val="18"/>
                  <w:color w:val="0000EE"/>
                </w:rPr>
                <w:t>A-61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304">
              <w:r>
                <w:rPr>
                  <w:rFonts w:ascii="Arial" w:cs="Arial" w:eastAsia="Arial" w:hAnsi="Arial"/>
                  <w:sz w:val="18"/>
                  <w:szCs w:val="18"/>
                  <w:color w:val="0000EE"/>
                  <w:w w:val="99"/>
                </w:rPr>
                <w:t>Section 6.04</w:t>
              </w:r>
            </w:hyperlink>
          </w:p>
        </w:tc>
        <w:tc>
          <w:tcPr>
            <w:tcW w:w="6920" w:type="dxa"/>
            <w:vAlign w:val="bottom"/>
            <w:gridSpan w:val="45"/>
          </w:tcPr>
          <w:p>
            <w:pPr>
              <w:ind w:left="120"/>
              <w:spacing w:after="0"/>
              <w:rPr>
                <w:rFonts w:ascii="Arial" w:cs="Arial" w:eastAsia="Arial" w:hAnsi="Arial"/>
                <w:sz w:val="18"/>
                <w:szCs w:val="18"/>
                <w:color w:val="0000EE"/>
              </w:rPr>
            </w:pPr>
            <w:hyperlink w:anchor="page304">
              <w:r>
                <w:rPr>
                  <w:rFonts w:ascii="Arial" w:cs="Arial" w:eastAsia="Arial" w:hAnsi="Arial"/>
                  <w:sz w:val="18"/>
                  <w:szCs w:val="18"/>
                  <w:color w:val="0000EE"/>
                </w:rPr>
                <w:t>Financing Cooperation</w:t>
              </w:r>
            </w:hyperlink>
          </w:p>
        </w:tc>
        <w:tc>
          <w:tcPr>
            <w:tcW w:w="480" w:type="dxa"/>
            <w:vAlign w:val="bottom"/>
            <w:gridSpan w:val="3"/>
          </w:tcPr>
          <w:p>
            <w:pPr>
              <w:ind w:left="60"/>
              <w:spacing w:after="0"/>
              <w:rPr>
                <w:rFonts w:ascii="Arial" w:cs="Arial" w:eastAsia="Arial" w:hAnsi="Arial"/>
                <w:sz w:val="18"/>
                <w:szCs w:val="18"/>
                <w:color w:val="0000EE"/>
              </w:rPr>
            </w:pPr>
            <w:hyperlink w:anchor="page304">
              <w:r>
                <w:rPr>
                  <w:rFonts w:ascii="Arial" w:cs="Arial" w:eastAsia="Arial" w:hAnsi="Arial"/>
                  <w:sz w:val="18"/>
                  <w:szCs w:val="18"/>
                  <w:color w:val="0000EE"/>
                </w:rPr>
                <w:t>A-62</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06">
              <w:r>
                <w:rPr>
                  <w:rFonts w:ascii="Arial" w:cs="Arial" w:eastAsia="Arial" w:hAnsi="Arial"/>
                  <w:sz w:val="18"/>
                  <w:szCs w:val="18"/>
                  <w:color w:val="0000EE"/>
                  <w:w w:val="99"/>
                </w:rPr>
                <w:t>Section 6.05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06">
              <w:r>
                <w:rPr>
                  <w:rFonts w:ascii="Arial" w:cs="Arial" w:eastAsia="Arial" w:hAnsi="Arial"/>
                  <w:sz w:val="18"/>
                  <w:szCs w:val="18"/>
                  <w:color w:val="0000EE"/>
                </w:rPr>
                <w:t>FIRPTA Certificate</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6">
              <w:r>
                <w:rPr>
                  <w:rFonts w:ascii="Arial" w:cs="Arial" w:eastAsia="Arial" w:hAnsi="Arial"/>
                  <w:sz w:val="18"/>
                  <w:szCs w:val="18"/>
                  <w:color w:val="0000EE"/>
                </w:rPr>
                <w:t>A-64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7">
              <w:r>
                <w:rPr>
                  <w:rFonts w:ascii="Arial" w:cs="Arial" w:eastAsia="Arial" w:hAnsi="Arial"/>
                  <w:sz w:val="18"/>
                  <w:szCs w:val="18"/>
                  <w:color w:val="0000EE"/>
                </w:rPr>
                <w:t>ARTICLE VII COVENANTS OF PARENT</w:t>
              </w:r>
            </w:hyperlink>
          </w:p>
        </w:tc>
        <w:tc>
          <w:tcPr>
            <w:tcW w:w="480" w:type="dxa"/>
            <w:vAlign w:val="bottom"/>
            <w:gridSpan w:val="3"/>
          </w:tcPr>
          <w:p>
            <w:pPr>
              <w:ind w:left="60"/>
              <w:spacing w:after="0"/>
              <w:rPr>
                <w:rFonts w:ascii="Arial" w:cs="Arial" w:eastAsia="Arial" w:hAnsi="Arial"/>
                <w:sz w:val="18"/>
                <w:szCs w:val="18"/>
                <w:color w:val="0000EE"/>
              </w:rPr>
            </w:pPr>
            <w:hyperlink w:anchor="page307">
              <w:r>
                <w:rPr>
                  <w:rFonts w:ascii="Arial" w:cs="Arial" w:eastAsia="Arial" w:hAnsi="Arial"/>
                  <w:sz w:val="18"/>
                  <w:szCs w:val="18"/>
                  <w:color w:val="0000EE"/>
                </w:rPr>
                <w:t>A-65</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7">
              <w:r>
                <w:rPr>
                  <w:rFonts w:ascii="Arial" w:cs="Arial" w:eastAsia="Arial" w:hAnsi="Arial"/>
                  <w:sz w:val="18"/>
                  <w:szCs w:val="18"/>
                  <w:color w:val="0000EE"/>
                </w:rPr>
                <w:t>Section 7.01   Conduct of the Business of Parent</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7">
              <w:r>
                <w:rPr>
                  <w:rFonts w:ascii="Arial" w:cs="Arial" w:eastAsia="Arial" w:hAnsi="Arial"/>
                  <w:sz w:val="18"/>
                  <w:szCs w:val="18"/>
                  <w:color w:val="0000EE"/>
                </w:rPr>
                <w:t>A-65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8">
              <w:r>
                <w:rPr>
                  <w:rFonts w:ascii="Arial" w:cs="Arial" w:eastAsia="Arial" w:hAnsi="Arial"/>
                  <w:sz w:val="18"/>
                  <w:szCs w:val="18"/>
                  <w:color w:val="0000EE"/>
                </w:rPr>
                <w:t>Section 7.02   Parent No Solicitation</w:t>
              </w:r>
            </w:hyperlink>
          </w:p>
        </w:tc>
        <w:tc>
          <w:tcPr>
            <w:tcW w:w="480" w:type="dxa"/>
            <w:vAlign w:val="bottom"/>
            <w:gridSpan w:val="3"/>
          </w:tcPr>
          <w:p>
            <w:pPr>
              <w:ind w:left="60"/>
              <w:spacing w:after="0"/>
              <w:rPr>
                <w:rFonts w:ascii="Arial" w:cs="Arial" w:eastAsia="Arial" w:hAnsi="Arial"/>
                <w:sz w:val="18"/>
                <w:szCs w:val="18"/>
                <w:color w:val="0000EE"/>
              </w:rPr>
            </w:pPr>
            <w:hyperlink w:anchor="page308">
              <w:r>
                <w:rPr>
                  <w:rFonts w:ascii="Arial" w:cs="Arial" w:eastAsia="Arial" w:hAnsi="Arial"/>
                  <w:sz w:val="18"/>
                  <w:szCs w:val="18"/>
                  <w:color w:val="0000EE"/>
                </w:rPr>
                <w:t>A-66</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9">
              <w:r>
                <w:rPr>
                  <w:rFonts w:ascii="Arial" w:cs="Arial" w:eastAsia="Arial" w:hAnsi="Arial"/>
                  <w:sz w:val="18"/>
                  <w:szCs w:val="18"/>
                  <w:color w:val="0000EE"/>
                </w:rPr>
                <w:t>Section 7.03   Parent Shareholders Meeting; Approval by Sole Stockholders of Merger Sub</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9">
              <w:r>
                <w:rPr>
                  <w:rFonts w:ascii="Arial" w:cs="Arial" w:eastAsia="Arial" w:hAnsi="Arial"/>
                  <w:sz w:val="18"/>
                  <w:szCs w:val="18"/>
                  <w:color w:val="0000EE"/>
                </w:rPr>
                <w:t>A-67</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310">
              <w:r>
                <w:rPr>
                  <w:rFonts w:ascii="Arial" w:cs="Arial" w:eastAsia="Arial" w:hAnsi="Arial"/>
                  <w:sz w:val="18"/>
                  <w:szCs w:val="18"/>
                  <w:color w:val="0000EE"/>
                  <w:w w:val="99"/>
                </w:rPr>
                <w:t>Section 7.04</w:t>
              </w:r>
            </w:hyperlink>
          </w:p>
        </w:tc>
        <w:tc>
          <w:tcPr>
            <w:tcW w:w="6920" w:type="dxa"/>
            <w:vAlign w:val="bottom"/>
            <w:gridSpan w:val="45"/>
          </w:tcPr>
          <w:p>
            <w:pPr>
              <w:ind w:left="120"/>
              <w:spacing w:after="0"/>
              <w:rPr>
                <w:rFonts w:ascii="Arial" w:cs="Arial" w:eastAsia="Arial" w:hAnsi="Arial"/>
                <w:sz w:val="18"/>
                <w:szCs w:val="18"/>
                <w:color w:val="0000EE"/>
              </w:rPr>
            </w:pPr>
            <w:hyperlink w:anchor="page310">
              <w:r>
                <w:rPr>
                  <w:rFonts w:ascii="Arial" w:cs="Arial" w:eastAsia="Arial" w:hAnsi="Arial"/>
                  <w:sz w:val="18"/>
                  <w:szCs w:val="18"/>
                  <w:color w:val="0000EE"/>
                </w:rPr>
                <w:t>Benefit Plans</w:t>
              </w:r>
            </w:hyperlink>
          </w:p>
        </w:tc>
        <w:tc>
          <w:tcPr>
            <w:tcW w:w="480" w:type="dxa"/>
            <w:vAlign w:val="bottom"/>
            <w:gridSpan w:val="3"/>
          </w:tcPr>
          <w:p>
            <w:pPr>
              <w:ind w:left="60"/>
              <w:spacing w:after="0"/>
              <w:rPr>
                <w:rFonts w:ascii="Arial" w:cs="Arial" w:eastAsia="Arial" w:hAnsi="Arial"/>
                <w:sz w:val="18"/>
                <w:szCs w:val="18"/>
                <w:color w:val="0000EE"/>
              </w:rPr>
            </w:pPr>
            <w:hyperlink w:anchor="page310">
              <w:r>
                <w:rPr>
                  <w:rFonts w:ascii="Arial" w:cs="Arial" w:eastAsia="Arial" w:hAnsi="Arial"/>
                  <w:sz w:val="18"/>
                  <w:szCs w:val="18"/>
                  <w:color w:val="0000EE"/>
                </w:rPr>
                <w:t>A-68</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0">
              <w:r>
                <w:rPr>
                  <w:rFonts w:ascii="Arial" w:cs="Arial" w:eastAsia="Arial" w:hAnsi="Arial"/>
                  <w:sz w:val="18"/>
                  <w:szCs w:val="18"/>
                  <w:color w:val="0000EE"/>
                </w:rPr>
                <w:t>Section 7.05   Directors’ and Officers’ Indemnification and Insurance</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0">
              <w:r>
                <w:rPr>
                  <w:rFonts w:ascii="Arial" w:cs="Arial" w:eastAsia="Arial" w:hAnsi="Arial"/>
                  <w:sz w:val="18"/>
                  <w:szCs w:val="18"/>
                  <w:color w:val="0000EE"/>
                </w:rPr>
                <w:t>A-68</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312">
              <w:r>
                <w:rPr>
                  <w:rFonts w:ascii="Arial" w:cs="Arial" w:eastAsia="Arial" w:hAnsi="Arial"/>
                  <w:sz w:val="18"/>
                  <w:szCs w:val="18"/>
                  <w:color w:val="0000EE"/>
                  <w:w w:val="99"/>
                </w:rPr>
                <w:t>Section 7.06</w:t>
              </w:r>
            </w:hyperlink>
          </w:p>
        </w:tc>
        <w:tc>
          <w:tcPr>
            <w:tcW w:w="6920" w:type="dxa"/>
            <w:vAlign w:val="bottom"/>
            <w:gridSpan w:val="45"/>
          </w:tcPr>
          <w:p>
            <w:pPr>
              <w:ind w:left="120"/>
              <w:spacing w:after="0"/>
              <w:rPr>
                <w:rFonts w:ascii="Arial" w:cs="Arial" w:eastAsia="Arial" w:hAnsi="Arial"/>
                <w:sz w:val="18"/>
                <w:szCs w:val="18"/>
                <w:color w:val="0000EE"/>
              </w:rPr>
            </w:pPr>
            <w:hyperlink w:anchor="page312">
              <w:r>
                <w:rPr>
                  <w:rFonts w:ascii="Arial" w:cs="Arial" w:eastAsia="Arial" w:hAnsi="Arial"/>
                  <w:sz w:val="18"/>
                  <w:szCs w:val="18"/>
                  <w:color w:val="0000EE"/>
                </w:rPr>
                <w:t>Financing</w:t>
              </w:r>
            </w:hyperlink>
          </w:p>
        </w:tc>
        <w:tc>
          <w:tcPr>
            <w:tcW w:w="480" w:type="dxa"/>
            <w:vAlign w:val="bottom"/>
            <w:gridSpan w:val="3"/>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A-70</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Section 7.07   Parent Board Representation</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Section 7.08   Obligations of Merger Sub and US Holdco</w:t>
              </w:r>
            </w:hyperlink>
          </w:p>
        </w:tc>
        <w:tc>
          <w:tcPr>
            <w:tcW w:w="480" w:type="dxa"/>
            <w:vAlign w:val="bottom"/>
            <w:gridSpan w:val="3"/>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A-71</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13">
              <w:r>
                <w:rPr>
                  <w:rFonts w:ascii="Arial" w:cs="Arial" w:eastAsia="Arial" w:hAnsi="Arial"/>
                  <w:sz w:val="18"/>
                  <w:szCs w:val="18"/>
                  <w:color w:val="0000EE"/>
                  <w:w w:val="99"/>
                </w:rPr>
                <w:t>Section 7.09</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13">
              <w:r>
                <w:rPr>
                  <w:rFonts w:ascii="Arial" w:cs="Arial" w:eastAsia="Arial" w:hAnsi="Arial"/>
                  <w:sz w:val="18"/>
                  <w:szCs w:val="18"/>
                  <w:color w:val="0000EE"/>
                </w:rPr>
                <w:t>DTC</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A-71</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ARTICLE VIII COVENANTS OF THE COMPANY AND PARENT</w:t>
              </w:r>
            </w:hyperlink>
          </w:p>
        </w:tc>
        <w:tc>
          <w:tcPr>
            <w:tcW w:w="480" w:type="dxa"/>
            <w:vAlign w:val="bottom"/>
            <w:gridSpan w:val="3"/>
          </w:tcPr>
          <w:p>
            <w:pPr>
              <w:ind w:left="60"/>
              <w:spacing w:after="0"/>
              <w:rPr>
                <w:rFonts w:ascii="Arial" w:cs="Arial" w:eastAsia="Arial" w:hAnsi="Arial"/>
                <w:sz w:val="18"/>
                <w:szCs w:val="18"/>
                <w:color w:val="0000EE"/>
              </w:rPr>
            </w:pPr>
            <w:hyperlink w:anchor="page314">
              <w:r>
                <w:rPr>
                  <w:rFonts w:ascii="Arial" w:cs="Arial" w:eastAsia="Arial" w:hAnsi="Arial"/>
                  <w:sz w:val="18"/>
                  <w:szCs w:val="18"/>
                  <w:color w:val="0000EE"/>
                </w:rPr>
                <w:t>A-72</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Section 8.01   Access to Information; Confidentiality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4">
              <w:r>
                <w:rPr>
                  <w:rFonts w:ascii="Arial" w:cs="Arial" w:eastAsia="Arial" w:hAnsi="Arial"/>
                  <w:sz w:val="18"/>
                  <w:szCs w:val="18"/>
                  <w:color w:val="0000EE"/>
                </w:rPr>
                <w:t>A-72</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Section 8.02   Preparation of Proxy Statement/EGM Notice and Form F-4</w:t>
              </w:r>
            </w:hyperlink>
          </w:p>
        </w:tc>
        <w:tc>
          <w:tcPr>
            <w:tcW w:w="480" w:type="dxa"/>
            <w:vAlign w:val="bottom"/>
            <w:gridSpan w:val="3"/>
          </w:tcPr>
          <w:p>
            <w:pPr>
              <w:ind w:left="60"/>
              <w:spacing w:after="0"/>
              <w:rPr>
                <w:rFonts w:ascii="Arial" w:cs="Arial" w:eastAsia="Arial" w:hAnsi="Arial"/>
                <w:sz w:val="18"/>
                <w:szCs w:val="18"/>
                <w:color w:val="0000EE"/>
              </w:rPr>
            </w:pPr>
            <w:hyperlink w:anchor="page315">
              <w:r>
                <w:rPr>
                  <w:rFonts w:ascii="Arial" w:cs="Arial" w:eastAsia="Arial" w:hAnsi="Arial"/>
                  <w:sz w:val="18"/>
                  <w:szCs w:val="18"/>
                  <w:color w:val="0000EE"/>
                </w:rPr>
                <w:t>A-73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Section 8.03   Transaction Litigation; No Effect on Disclosure Letters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5">
              <w:r>
                <w:rPr>
                  <w:rFonts w:ascii="Arial" w:cs="Arial" w:eastAsia="Arial" w:hAnsi="Arial"/>
                  <w:sz w:val="18"/>
                  <w:szCs w:val="18"/>
                  <w:color w:val="0000EE"/>
                </w:rPr>
                <w:t>A-73</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6">
              <w:r>
                <w:rPr>
                  <w:rFonts w:ascii="Arial" w:cs="Arial" w:eastAsia="Arial" w:hAnsi="Arial"/>
                  <w:sz w:val="18"/>
                  <w:szCs w:val="18"/>
                  <w:color w:val="0000EE"/>
                </w:rPr>
                <w:t>Section 8.04   Reasonable Best Efforts</w:t>
              </w:r>
            </w:hyperlink>
          </w:p>
        </w:tc>
        <w:tc>
          <w:tcPr>
            <w:tcW w:w="480" w:type="dxa"/>
            <w:vAlign w:val="bottom"/>
            <w:gridSpan w:val="3"/>
          </w:tcPr>
          <w:p>
            <w:pPr>
              <w:ind w:left="60"/>
              <w:spacing w:after="0"/>
              <w:rPr>
                <w:rFonts w:ascii="Arial" w:cs="Arial" w:eastAsia="Arial" w:hAnsi="Arial"/>
                <w:sz w:val="18"/>
                <w:szCs w:val="18"/>
                <w:color w:val="0000EE"/>
              </w:rPr>
            </w:pPr>
            <w:hyperlink w:anchor="page316">
              <w:r>
                <w:rPr>
                  <w:rFonts w:ascii="Arial" w:cs="Arial" w:eastAsia="Arial" w:hAnsi="Arial"/>
                  <w:sz w:val="18"/>
                  <w:szCs w:val="18"/>
                  <w:color w:val="0000EE"/>
                </w:rPr>
                <w:t>A-74</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18">
              <w:r>
                <w:rPr>
                  <w:rFonts w:ascii="Arial" w:cs="Arial" w:eastAsia="Arial" w:hAnsi="Arial"/>
                  <w:sz w:val="18"/>
                  <w:szCs w:val="18"/>
                  <w:color w:val="0000EE"/>
                  <w:w w:val="99"/>
                </w:rPr>
                <w:t>Section 8.05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18">
              <w:r>
                <w:rPr>
                  <w:rFonts w:ascii="Arial" w:cs="Arial" w:eastAsia="Arial" w:hAnsi="Arial"/>
                  <w:sz w:val="18"/>
                  <w:szCs w:val="18"/>
                  <w:color w:val="0000EE"/>
                </w:rPr>
                <w:t>Public Announcements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A-76</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318">
              <w:r>
                <w:rPr>
                  <w:rFonts w:ascii="Arial" w:cs="Arial" w:eastAsia="Arial" w:hAnsi="Arial"/>
                  <w:sz w:val="18"/>
                  <w:szCs w:val="18"/>
                  <w:color w:val="0000EE"/>
                  <w:w w:val="99"/>
                </w:rPr>
                <w:t>Section 8.06</w:t>
              </w:r>
            </w:hyperlink>
          </w:p>
        </w:tc>
        <w:tc>
          <w:tcPr>
            <w:tcW w:w="6920" w:type="dxa"/>
            <w:vAlign w:val="bottom"/>
            <w:gridSpan w:val="45"/>
          </w:tcPr>
          <w:p>
            <w:pPr>
              <w:ind w:left="120"/>
              <w:spacing w:after="0"/>
              <w:rPr>
                <w:rFonts w:ascii="Arial" w:cs="Arial" w:eastAsia="Arial" w:hAnsi="Arial"/>
                <w:sz w:val="18"/>
                <w:szCs w:val="18"/>
                <w:color w:val="0000EE"/>
              </w:rPr>
            </w:pPr>
            <w:hyperlink w:anchor="page318">
              <w:r>
                <w:rPr>
                  <w:rFonts w:ascii="Arial" w:cs="Arial" w:eastAsia="Arial" w:hAnsi="Arial"/>
                  <w:sz w:val="18"/>
                  <w:szCs w:val="18"/>
                  <w:color w:val="0000EE"/>
                </w:rPr>
                <w:t>Anti-Takeover Statutes</w:t>
              </w:r>
            </w:hyperlink>
          </w:p>
        </w:tc>
        <w:tc>
          <w:tcPr>
            <w:tcW w:w="480" w:type="dxa"/>
            <w:vAlign w:val="bottom"/>
            <w:gridSpan w:val="3"/>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A-76</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8.07   Section 16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9">
              <w:r>
                <w:rPr>
                  <w:rFonts w:ascii="Arial" w:cs="Arial" w:eastAsia="Arial" w:hAnsi="Arial"/>
                  <w:sz w:val="18"/>
                  <w:szCs w:val="18"/>
                  <w:color w:val="0000EE"/>
                </w:rPr>
                <w:t>A-77</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8.08   Stock Exchange Matters</w:t>
              </w:r>
            </w:hyperlink>
          </w:p>
        </w:tc>
        <w:tc>
          <w:tcPr>
            <w:tcW w:w="480" w:type="dxa"/>
            <w:vAlign w:val="bottom"/>
            <w:gridSpan w:val="3"/>
          </w:tcPr>
          <w:p>
            <w:pPr>
              <w:ind w:left="60"/>
              <w:spacing w:after="0"/>
              <w:rPr>
                <w:rFonts w:ascii="Arial" w:cs="Arial" w:eastAsia="Arial" w:hAnsi="Arial"/>
                <w:sz w:val="18"/>
                <w:szCs w:val="18"/>
                <w:color w:val="0000EE"/>
              </w:rPr>
            </w:pPr>
            <w:hyperlink w:anchor="page319">
              <w:r>
                <w:rPr>
                  <w:rFonts w:ascii="Arial" w:cs="Arial" w:eastAsia="Arial" w:hAnsi="Arial"/>
                  <w:sz w:val="18"/>
                  <w:szCs w:val="18"/>
                  <w:color w:val="0000EE"/>
                </w:rPr>
                <w:t>A-77</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8.09   Post-Closing Compensation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9">
              <w:r>
                <w:rPr>
                  <w:rFonts w:ascii="Arial" w:cs="Arial" w:eastAsia="Arial" w:hAnsi="Arial"/>
                  <w:sz w:val="18"/>
                  <w:szCs w:val="18"/>
                  <w:color w:val="0000EE"/>
                </w:rPr>
                <w:t>A-77</w:t>
              </w:r>
            </w:hyperlink>
          </w:p>
        </w:tc>
      </w:tr>
      <w:tr>
        <w:trPr>
          <w:trHeight w:val="56"/>
        </w:trPr>
        <w:tc>
          <w:tcPr>
            <w:tcW w:w="90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ectPr>
          <w:pgSz w:w="11900" w:h="16900" w:orient="portrait"/>
          <w:cols w:equalWidth="0" w:num="1">
            <w:col w:w="9019"/>
          </w:cols>
          <w:pgMar w:left="1440" w:top="265" w:right="1440" w:bottom="0" w:gutter="0" w:footer="0" w:header="0"/>
        </w:sectPr>
      </w:pPr>
    </w:p>
    <w:bookmarkStart w:id="240" w:name="page241"/>
    <w:bookmarkEnd w:id="240"/>
    <w:p>
      <w:pPr>
        <w:ind w:left="300"/>
        <w:spacing w:after="0"/>
        <w:tabs>
          <w:tab w:leader="none" w:pos="1420" w:val="left"/>
          <w:tab w:leader="none" w:pos="8280" w:val="left"/>
        </w:tabs>
        <w:rPr>
          <w:rFonts w:ascii="Arial" w:cs="Arial" w:eastAsia="Arial" w:hAnsi="Arial"/>
          <w:sz w:val="17"/>
          <w:szCs w:val="17"/>
          <w:u w:val="single" w:color="auto"/>
          <w:color w:val="0000EE"/>
        </w:rPr>
      </w:pPr>
      <w:hyperlink w:anchor="page320">
        <w:r>
          <w:rPr>
            <w:rFonts w:ascii="Arial" w:cs="Arial" w:eastAsia="Arial" w:hAnsi="Arial"/>
            <w:sz w:val="18"/>
            <w:szCs w:val="18"/>
            <w:u w:val="single" w:color="auto"/>
            <w:color w:val="0000EE"/>
          </w:rPr>
          <w:t>Section 8.10</w:t>
        </w:r>
      </w:hyperlink>
      <w:r>
        <w:rPr>
          <w:rFonts w:ascii="Arial" w:cs="Arial" w:eastAsia="Arial" w:hAnsi="Arial"/>
          <w:sz w:val="18"/>
          <w:szCs w:val="18"/>
          <w:u w:val="single" w:color="auto"/>
          <w:color w:val="0000EE"/>
        </w:rPr>
        <w:tab/>
      </w:r>
      <w:hyperlink w:anchor="page320">
        <w:r>
          <w:rPr>
            <w:rFonts w:ascii="Arial" w:cs="Arial" w:eastAsia="Arial" w:hAnsi="Arial"/>
            <w:sz w:val="18"/>
            <w:szCs w:val="18"/>
            <w:u w:val="single" w:color="auto"/>
            <w:color w:val="0000EE"/>
          </w:rPr>
          <w:t>Obligations of US Holdco and Merger Sub</w:t>
        </w:r>
      </w:hyperlink>
      <w:r>
        <w:rPr>
          <w:rFonts w:ascii="Arial" w:cs="Arial" w:eastAsia="Arial" w:hAnsi="Arial"/>
          <w:sz w:val="18"/>
          <w:szCs w:val="18"/>
          <w:u w:val="single" w:color="auto"/>
          <w:color w:val="0000EE"/>
        </w:rPr>
        <w:tab/>
      </w:r>
      <w:hyperlink w:anchor="page320">
        <w:r>
          <w:rPr>
            <w:rFonts w:ascii="Arial" w:cs="Arial" w:eastAsia="Arial" w:hAnsi="Arial"/>
            <w:sz w:val="17"/>
            <w:szCs w:val="17"/>
            <w:u w:val="single" w:color="auto"/>
            <w:color w:val="0000EE"/>
          </w:rPr>
          <w:t>A-78</w:t>
        </w:r>
      </w:hyperlink>
    </w:p>
    <w:p>
      <w:pPr>
        <w:sectPr>
          <w:pgSz w:w="11900" w:h="16838" w:orient="portrait"/>
          <w:cols w:equalWidth="0" w:num="1">
            <w:col w:w="9019"/>
          </w:cols>
          <w:pgMar w:left="1440" w:top="179"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A-iii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241" w:name="page242"/>
    <w:bookmarkEnd w:id="241"/>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300" w:type="dxa"/>
            <w:vAlign w:val="bottom"/>
          </w:tcPr>
          <w:p>
            <w:pPr>
              <w:spacing w:after="0"/>
              <w:rPr>
                <w:sz w:val="24"/>
                <w:szCs w:val="24"/>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20">
              <w:r>
                <w:rPr>
                  <w:rFonts w:ascii="Arial" w:cs="Arial" w:eastAsia="Arial" w:hAnsi="Arial"/>
                  <w:sz w:val="18"/>
                  <w:szCs w:val="18"/>
                  <w:color w:val="0000EE"/>
                </w:rPr>
                <w:t>Section 8.11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0">
              <w:r>
                <w:rPr>
                  <w:rFonts w:ascii="Arial" w:cs="Arial" w:eastAsia="Arial" w:hAnsi="Arial"/>
                  <w:sz w:val="18"/>
                  <w:szCs w:val="18"/>
                  <w:color w:val="0000EE"/>
                </w:rPr>
                <w:t>Further Assurances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0">
              <w:r>
                <w:rPr>
                  <w:rFonts w:ascii="Arial" w:cs="Arial" w:eastAsia="Arial" w:hAnsi="Arial"/>
                  <w:sz w:val="18"/>
                  <w:szCs w:val="18"/>
                  <w:color w:val="0000EE"/>
                  <w:w w:val="89"/>
                </w:rPr>
                <w:t>A-78</w:t>
              </w:r>
            </w:hyperlink>
          </w:p>
        </w:tc>
        <w:tc>
          <w:tcPr>
            <w:tcW w:w="1340" w:type="dxa"/>
            <w:vAlign w:val="bottom"/>
            <w:tcBorders>
              <w:left w:val="single" w:sz="8" w:color="CCEEFF"/>
            </w:tcBorders>
          </w:tcPr>
          <w:p>
            <w:pPr>
              <w:spacing w:after="0"/>
              <w:rPr>
                <w:sz w:val="24"/>
                <w:szCs w:val="24"/>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tcPr>
          <w:p>
            <w:pPr>
              <w:spacing w:after="0"/>
              <w:rPr>
                <w:rFonts w:ascii="Arial" w:cs="Arial" w:eastAsia="Arial" w:hAnsi="Arial"/>
                <w:sz w:val="18"/>
                <w:szCs w:val="18"/>
                <w:color w:val="0000EE"/>
              </w:rPr>
            </w:pPr>
            <w:hyperlink w:anchor="page320">
              <w:r>
                <w:rPr>
                  <w:rFonts w:ascii="Arial" w:cs="Arial" w:eastAsia="Arial" w:hAnsi="Arial"/>
                  <w:sz w:val="18"/>
                  <w:szCs w:val="18"/>
                  <w:color w:val="0000EE"/>
                </w:rPr>
                <w:t>ARTICLE IX CONDITIONS</w:t>
              </w:r>
            </w:hyperlink>
          </w:p>
        </w:tc>
        <w:tc>
          <w:tcPr>
            <w:tcW w:w="2820" w:type="dxa"/>
            <w:vAlign w:val="bottom"/>
            <w:gridSpan w:val="3"/>
          </w:tcPr>
          <w:p>
            <w:pPr>
              <w:ind w:left="1100"/>
              <w:spacing w:after="0"/>
              <w:rPr>
                <w:rFonts w:ascii="Arial" w:cs="Arial" w:eastAsia="Arial" w:hAnsi="Arial"/>
                <w:sz w:val="18"/>
                <w:szCs w:val="18"/>
                <w:color w:val="0000EE"/>
              </w:rPr>
            </w:pPr>
            <w:hyperlink w:anchor="page320">
              <w:r>
                <w:rPr>
                  <w:rFonts w:ascii="Arial" w:cs="Arial" w:eastAsia="Arial" w:hAnsi="Arial"/>
                  <w:sz w:val="18"/>
                  <w:szCs w:val="18"/>
                  <w:color w:val="0000EE"/>
                </w:rPr>
                <w:t>A-78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20">
              <w:r>
                <w:rPr>
                  <w:rFonts w:ascii="Arial" w:cs="Arial" w:eastAsia="Arial" w:hAnsi="Arial"/>
                  <w:sz w:val="18"/>
                  <w:szCs w:val="18"/>
                  <w:color w:val="0000EE"/>
                </w:rPr>
                <w:t>Section 9.01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0">
              <w:r>
                <w:rPr>
                  <w:rFonts w:ascii="Arial" w:cs="Arial" w:eastAsia="Arial" w:hAnsi="Arial"/>
                  <w:sz w:val="18"/>
                  <w:szCs w:val="18"/>
                  <w:color w:val="0000EE"/>
                </w:rPr>
                <w:t>Conditions to Each Party’s Obligation to Effect the Merger</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0">
              <w:r>
                <w:rPr>
                  <w:rFonts w:ascii="Arial" w:cs="Arial" w:eastAsia="Arial" w:hAnsi="Arial"/>
                  <w:sz w:val="18"/>
                  <w:szCs w:val="18"/>
                  <w:color w:val="0000EE"/>
                  <w:w w:val="89"/>
                </w:rPr>
                <w:t>A-78</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rPr>
            </w:pPr>
            <w:hyperlink w:anchor="page320">
              <w:r>
                <w:rPr>
                  <w:rFonts w:ascii="Arial" w:cs="Arial" w:eastAsia="Arial" w:hAnsi="Arial"/>
                  <w:sz w:val="18"/>
                  <w:szCs w:val="18"/>
                  <w:color w:val="0000EE"/>
                </w:rPr>
                <w:t>Section 9.02</w:t>
              </w:r>
            </w:hyperlink>
          </w:p>
        </w:tc>
        <w:tc>
          <w:tcPr>
            <w:tcW w:w="5840" w:type="dxa"/>
            <w:vAlign w:val="bottom"/>
            <w:gridSpan w:val="32"/>
          </w:tcPr>
          <w:p>
            <w:pPr>
              <w:ind w:left="80"/>
              <w:spacing w:after="0"/>
              <w:rPr>
                <w:rFonts w:ascii="Arial" w:cs="Arial" w:eastAsia="Arial" w:hAnsi="Arial"/>
                <w:sz w:val="18"/>
                <w:szCs w:val="18"/>
                <w:color w:val="0000EE"/>
              </w:rPr>
            </w:pPr>
            <w:hyperlink w:anchor="page320">
              <w:r>
                <w:rPr>
                  <w:rFonts w:ascii="Arial" w:cs="Arial" w:eastAsia="Arial" w:hAnsi="Arial"/>
                  <w:sz w:val="18"/>
                  <w:szCs w:val="18"/>
                  <w:color w:val="0000EE"/>
                </w:rPr>
                <w:t>Conditions to Obligations of Parent, US Holdco and Merger Sub</w:t>
              </w:r>
            </w:hyperlink>
          </w:p>
        </w:tc>
        <w:tc>
          <w:tcPr>
            <w:tcW w:w="2820" w:type="dxa"/>
            <w:vAlign w:val="bottom"/>
            <w:gridSpan w:val="3"/>
          </w:tcPr>
          <w:p>
            <w:pPr>
              <w:ind w:left="1100"/>
              <w:spacing w:after="0"/>
              <w:rPr>
                <w:rFonts w:ascii="Arial" w:cs="Arial" w:eastAsia="Arial" w:hAnsi="Arial"/>
                <w:sz w:val="18"/>
                <w:szCs w:val="18"/>
                <w:color w:val="0000EE"/>
              </w:rPr>
            </w:pPr>
            <w:hyperlink w:anchor="page320">
              <w:r>
                <w:rPr>
                  <w:rFonts w:ascii="Arial" w:cs="Arial" w:eastAsia="Arial" w:hAnsi="Arial"/>
                  <w:sz w:val="18"/>
                  <w:szCs w:val="18"/>
                  <w:color w:val="0000EE"/>
                </w:rPr>
                <w:t>A-78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21">
              <w:r>
                <w:rPr>
                  <w:rFonts w:ascii="Arial" w:cs="Arial" w:eastAsia="Arial" w:hAnsi="Arial"/>
                  <w:sz w:val="18"/>
                  <w:szCs w:val="18"/>
                  <w:color w:val="0000EE"/>
                </w:rPr>
                <w:t>Section 9.03</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Conditions to Obligation of the Company</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1">
              <w:r>
                <w:rPr>
                  <w:rFonts w:ascii="Arial" w:cs="Arial" w:eastAsia="Arial" w:hAnsi="Arial"/>
                  <w:sz w:val="18"/>
                  <w:szCs w:val="18"/>
                  <w:color w:val="0000EE"/>
                  <w:w w:val="89"/>
                </w:rPr>
                <w:t>A-79</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tcPr>
          <w:p>
            <w:pPr>
              <w:spacing w:after="0"/>
              <w:rPr>
                <w:rFonts w:ascii="Arial" w:cs="Arial" w:eastAsia="Arial" w:hAnsi="Arial"/>
                <w:sz w:val="18"/>
                <w:szCs w:val="18"/>
                <w:color w:val="0000EE"/>
              </w:rPr>
            </w:pPr>
            <w:hyperlink w:anchor="page322">
              <w:r>
                <w:rPr>
                  <w:rFonts w:ascii="Arial" w:cs="Arial" w:eastAsia="Arial" w:hAnsi="Arial"/>
                  <w:sz w:val="18"/>
                  <w:szCs w:val="18"/>
                  <w:color w:val="0000EE"/>
                </w:rPr>
                <w:t>ARTICLE X TERMINATION, AMENDMENT, AND WAIVER</w:t>
              </w:r>
            </w:hyperlink>
          </w:p>
        </w:tc>
        <w:tc>
          <w:tcPr>
            <w:tcW w:w="2820" w:type="dxa"/>
            <w:vAlign w:val="bottom"/>
            <w:gridSpan w:val="3"/>
          </w:tcPr>
          <w:p>
            <w:pPr>
              <w:ind w:left="1100"/>
              <w:spacing w:after="0"/>
              <w:rPr>
                <w:rFonts w:ascii="Arial" w:cs="Arial" w:eastAsia="Arial" w:hAnsi="Arial"/>
                <w:sz w:val="18"/>
                <w:szCs w:val="18"/>
                <w:color w:val="0000EE"/>
              </w:rPr>
            </w:pPr>
            <w:hyperlink w:anchor="page322">
              <w:r>
                <w:rPr>
                  <w:rFonts w:ascii="Arial" w:cs="Arial" w:eastAsia="Arial" w:hAnsi="Arial"/>
                  <w:sz w:val="18"/>
                  <w:szCs w:val="18"/>
                  <w:color w:val="0000EE"/>
                </w:rPr>
                <w:t>A-80</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Termination by Mutual Consent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2">
              <w:r>
                <w:rPr>
                  <w:rFonts w:ascii="Arial" w:cs="Arial" w:eastAsia="Arial" w:hAnsi="Arial"/>
                  <w:sz w:val="18"/>
                  <w:szCs w:val="18"/>
                  <w:color w:val="0000EE"/>
                  <w:w w:val="89"/>
                </w:rPr>
                <w:t>A-80</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10.02</w:t>
              </w:r>
            </w:hyperlink>
          </w:p>
        </w:tc>
        <w:tc>
          <w:tcPr>
            <w:tcW w:w="5840" w:type="dxa"/>
            <w:vAlign w:val="bottom"/>
            <w:gridSpan w:val="32"/>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Termination by Either Parent or the Company</w:t>
              </w:r>
            </w:hyperlink>
          </w:p>
        </w:tc>
        <w:tc>
          <w:tcPr>
            <w:tcW w:w="2820" w:type="dxa"/>
            <w:vAlign w:val="bottom"/>
            <w:gridSpan w:val="3"/>
          </w:tcPr>
          <w:p>
            <w:pPr>
              <w:ind w:left="1100"/>
              <w:spacing w:after="0"/>
              <w:rPr>
                <w:rFonts w:ascii="Arial" w:cs="Arial" w:eastAsia="Arial" w:hAnsi="Arial"/>
                <w:sz w:val="18"/>
                <w:szCs w:val="18"/>
                <w:color w:val="0000EE"/>
              </w:rPr>
            </w:pPr>
            <w:hyperlink w:anchor="page322">
              <w:r>
                <w:rPr>
                  <w:rFonts w:ascii="Arial" w:cs="Arial" w:eastAsia="Arial" w:hAnsi="Arial"/>
                  <w:sz w:val="18"/>
                  <w:szCs w:val="18"/>
                  <w:color w:val="0000EE"/>
                </w:rPr>
                <w:t>A-80</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10.03</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Termination by Parent and US Holdco</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2">
              <w:r>
                <w:rPr>
                  <w:rFonts w:ascii="Arial" w:cs="Arial" w:eastAsia="Arial" w:hAnsi="Arial"/>
                  <w:sz w:val="18"/>
                  <w:szCs w:val="18"/>
                  <w:color w:val="0000EE"/>
                  <w:w w:val="89"/>
                </w:rPr>
                <w:t>A-80</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3">
              <w:r>
                <w:rPr>
                  <w:rFonts w:ascii="Arial" w:cs="Arial" w:eastAsia="Arial" w:hAnsi="Arial"/>
                  <w:sz w:val="18"/>
                  <w:szCs w:val="18"/>
                  <w:color w:val="0000EE"/>
                  <w:w w:val="94"/>
                </w:rPr>
                <w:t>Section 10.04</w:t>
              </w:r>
            </w:hyperlink>
          </w:p>
        </w:tc>
        <w:tc>
          <w:tcPr>
            <w:tcW w:w="5840" w:type="dxa"/>
            <w:vAlign w:val="bottom"/>
            <w:gridSpan w:val="32"/>
          </w:tcPr>
          <w:p>
            <w:pPr>
              <w:ind w:left="80"/>
              <w:spacing w:after="0"/>
              <w:rPr>
                <w:rFonts w:ascii="Arial" w:cs="Arial" w:eastAsia="Arial" w:hAnsi="Arial"/>
                <w:sz w:val="18"/>
                <w:szCs w:val="18"/>
                <w:color w:val="0000EE"/>
              </w:rPr>
            </w:pPr>
            <w:hyperlink w:anchor="page323">
              <w:r>
                <w:rPr>
                  <w:rFonts w:ascii="Arial" w:cs="Arial" w:eastAsia="Arial" w:hAnsi="Arial"/>
                  <w:sz w:val="18"/>
                  <w:szCs w:val="18"/>
                  <w:color w:val="0000EE"/>
                </w:rPr>
                <w:t>Termination by the Company</w:t>
              </w:r>
            </w:hyperlink>
          </w:p>
        </w:tc>
        <w:tc>
          <w:tcPr>
            <w:tcW w:w="2820" w:type="dxa"/>
            <w:vAlign w:val="bottom"/>
            <w:gridSpan w:val="3"/>
          </w:tcPr>
          <w:p>
            <w:pPr>
              <w:ind w:left="1100"/>
              <w:spacing w:after="0"/>
              <w:rPr>
                <w:rFonts w:ascii="Arial" w:cs="Arial" w:eastAsia="Arial" w:hAnsi="Arial"/>
                <w:sz w:val="18"/>
                <w:szCs w:val="18"/>
                <w:color w:val="0000EE"/>
              </w:rPr>
            </w:pPr>
            <w:hyperlink w:anchor="page323">
              <w:r>
                <w:rPr>
                  <w:rFonts w:ascii="Arial" w:cs="Arial" w:eastAsia="Arial" w:hAnsi="Arial"/>
                  <w:sz w:val="18"/>
                  <w:szCs w:val="18"/>
                  <w:color w:val="0000EE"/>
                </w:rPr>
                <w:t>A-81</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3">
              <w:r>
                <w:rPr>
                  <w:rFonts w:ascii="Arial" w:cs="Arial" w:eastAsia="Arial" w:hAnsi="Arial"/>
                  <w:sz w:val="18"/>
                  <w:szCs w:val="18"/>
                  <w:color w:val="0000EE"/>
                  <w:w w:val="94"/>
                </w:rPr>
                <w:t>Section 10.05</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3">
              <w:r>
                <w:rPr>
                  <w:rFonts w:ascii="Arial" w:cs="Arial" w:eastAsia="Arial" w:hAnsi="Arial"/>
                  <w:sz w:val="18"/>
                  <w:szCs w:val="18"/>
                  <w:color w:val="0000EE"/>
                </w:rPr>
                <w:t>Notice of Termination; Effect of Termination</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3">
              <w:r>
                <w:rPr>
                  <w:rFonts w:ascii="Arial" w:cs="Arial" w:eastAsia="Arial" w:hAnsi="Arial"/>
                  <w:sz w:val="18"/>
                  <w:szCs w:val="18"/>
                  <w:color w:val="0000EE"/>
                  <w:w w:val="89"/>
                </w:rPr>
                <w:t>A-81</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3">
              <w:r>
                <w:rPr>
                  <w:rFonts w:ascii="Arial" w:cs="Arial" w:eastAsia="Arial" w:hAnsi="Arial"/>
                  <w:sz w:val="18"/>
                  <w:szCs w:val="18"/>
                  <w:color w:val="0000EE"/>
                  <w:w w:val="94"/>
                </w:rPr>
                <w:t>Section 10.06</w:t>
              </w:r>
            </w:hyperlink>
          </w:p>
        </w:tc>
        <w:tc>
          <w:tcPr>
            <w:tcW w:w="5840" w:type="dxa"/>
            <w:vAlign w:val="bottom"/>
            <w:gridSpan w:val="32"/>
          </w:tcPr>
          <w:p>
            <w:pPr>
              <w:ind w:left="80"/>
              <w:spacing w:after="0"/>
              <w:rPr>
                <w:rFonts w:ascii="Arial" w:cs="Arial" w:eastAsia="Arial" w:hAnsi="Arial"/>
                <w:sz w:val="18"/>
                <w:szCs w:val="18"/>
                <w:color w:val="0000EE"/>
              </w:rPr>
            </w:pPr>
            <w:hyperlink w:anchor="page323">
              <w:r>
                <w:rPr>
                  <w:rFonts w:ascii="Arial" w:cs="Arial" w:eastAsia="Arial" w:hAnsi="Arial"/>
                  <w:sz w:val="18"/>
                  <w:szCs w:val="18"/>
                  <w:color w:val="0000EE"/>
                </w:rPr>
                <w:t>Fees and Expenses Following Termination</w:t>
              </w:r>
            </w:hyperlink>
          </w:p>
        </w:tc>
        <w:tc>
          <w:tcPr>
            <w:tcW w:w="2820" w:type="dxa"/>
            <w:vAlign w:val="bottom"/>
            <w:gridSpan w:val="3"/>
          </w:tcPr>
          <w:p>
            <w:pPr>
              <w:ind w:left="1100"/>
              <w:spacing w:after="0"/>
              <w:rPr>
                <w:rFonts w:ascii="Arial" w:cs="Arial" w:eastAsia="Arial" w:hAnsi="Arial"/>
                <w:sz w:val="18"/>
                <w:szCs w:val="18"/>
                <w:color w:val="0000EE"/>
              </w:rPr>
            </w:pPr>
            <w:hyperlink w:anchor="page323">
              <w:r>
                <w:rPr>
                  <w:rFonts w:ascii="Arial" w:cs="Arial" w:eastAsia="Arial" w:hAnsi="Arial"/>
                  <w:sz w:val="18"/>
                  <w:szCs w:val="18"/>
                  <w:color w:val="0000EE"/>
                </w:rPr>
                <w:t>A-81</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6">
              <w:r>
                <w:rPr>
                  <w:rFonts w:ascii="Arial" w:cs="Arial" w:eastAsia="Arial" w:hAnsi="Arial"/>
                  <w:sz w:val="18"/>
                  <w:szCs w:val="18"/>
                  <w:color w:val="0000EE"/>
                  <w:w w:val="94"/>
                </w:rPr>
                <w:t>Section 10.07</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6">
              <w:r>
                <w:rPr>
                  <w:rFonts w:ascii="Arial" w:cs="Arial" w:eastAsia="Arial" w:hAnsi="Arial"/>
                  <w:sz w:val="18"/>
                  <w:szCs w:val="18"/>
                  <w:color w:val="0000EE"/>
                </w:rPr>
                <w:t>Amendment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6">
              <w:r>
                <w:rPr>
                  <w:rFonts w:ascii="Arial" w:cs="Arial" w:eastAsia="Arial" w:hAnsi="Arial"/>
                  <w:sz w:val="18"/>
                  <w:szCs w:val="18"/>
                  <w:color w:val="0000EE"/>
                  <w:w w:val="89"/>
                </w:rPr>
                <w:t>A-84</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6">
              <w:r>
                <w:rPr>
                  <w:rFonts w:ascii="Arial" w:cs="Arial" w:eastAsia="Arial" w:hAnsi="Arial"/>
                  <w:sz w:val="18"/>
                  <w:szCs w:val="18"/>
                  <w:color w:val="0000EE"/>
                  <w:w w:val="94"/>
                </w:rPr>
                <w:t>Section 10.08</w:t>
              </w:r>
            </w:hyperlink>
          </w:p>
        </w:tc>
        <w:tc>
          <w:tcPr>
            <w:tcW w:w="5840" w:type="dxa"/>
            <w:vAlign w:val="bottom"/>
            <w:gridSpan w:val="32"/>
          </w:tcPr>
          <w:p>
            <w:pPr>
              <w:ind w:left="80"/>
              <w:spacing w:after="0"/>
              <w:rPr>
                <w:rFonts w:ascii="Arial" w:cs="Arial" w:eastAsia="Arial" w:hAnsi="Arial"/>
                <w:sz w:val="18"/>
                <w:szCs w:val="18"/>
                <w:color w:val="0000EE"/>
              </w:rPr>
            </w:pPr>
            <w:hyperlink w:anchor="page326">
              <w:r>
                <w:rPr>
                  <w:rFonts w:ascii="Arial" w:cs="Arial" w:eastAsia="Arial" w:hAnsi="Arial"/>
                  <w:sz w:val="18"/>
                  <w:szCs w:val="18"/>
                  <w:color w:val="0000EE"/>
                </w:rPr>
                <w:t>Extension; Waiver</w:t>
              </w:r>
            </w:hyperlink>
          </w:p>
        </w:tc>
        <w:tc>
          <w:tcPr>
            <w:tcW w:w="2820" w:type="dxa"/>
            <w:vAlign w:val="bottom"/>
            <w:gridSpan w:val="3"/>
          </w:tcPr>
          <w:p>
            <w:pPr>
              <w:ind w:left="1100"/>
              <w:spacing w:after="0"/>
              <w:rPr>
                <w:rFonts w:ascii="Arial" w:cs="Arial" w:eastAsia="Arial" w:hAnsi="Arial"/>
                <w:sz w:val="18"/>
                <w:szCs w:val="18"/>
                <w:color w:val="0000EE"/>
              </w:rPr>
            </w:pPr>
            <w:hyperlink w:anchor="page326">
              <w:r>
                <w:rPr>
                  <w:rFonts w:ascii="Arial" w:cs="Arial" w:eastAsia="Arial" w:hAnsi="Arial"/>
                  <w:sz w:val="18"/>
                  <w:szCs w:val="18"/>
                  <w:color w:val="0000EE"/>
                </w:rPr>
                <w:t>A-84</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shd w:val="clear" w:color="auto" w:fill="CCEEFF"/>
          </w:tcPr>
          <w:p>
            <w:pPr>
              <w:spacing w:after="0"/>
              <w:rPr>
                <w:rFonts w:ascii="Arial" w:cs="Arial" w:eastAsia="Arial" w:hAnsi="Arial"/>
                <w:sz w:val="18"/>
                <w:szCs w:val="18"/>
                <w:color w:val="0000EE"/>
              </w:rPr>
            </w:pPr>
            <w:hyperlink w:anchor="page326">
              <w:r>
                <w:rPr>
                  <w:rFonts w:ascii="Arial" w:cs="Arial" w:eastAsia="Arial" w:hAnsi="Arial"/>
                  <w:sz w:val="18"/>
                  <w:szCs w:val="18"/>
                  <w:color w:val="0000EE"/>
                </w:rPr>
                <w:t>ARTICLE XI MISCELLANEOUS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6">
              <w:r>
                <w:rPr>
                  <w:rFonts w:ascii="Arial" w:cs="Arial" w:eastAsia="Arial" w:hAnsi="Arial"/>
                  <w:sz w:val="18"/>
                  <w:szCs w:val="18"/>
                  <w:color w:val="0000EE"/>
                  <w:w w:val="89"/>
                </w:rPr>
                <w:t>A-84</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6">
              <w:r>
                <w:rPr>
                  <w:rFonts w:ascii="Arial" w:cs="Arial" w:eastAsia="Arial" w:hAnsi="Arial"/>
                  <w:sz w:val="18"/>
                  <w:szCs w:val="18"/>
                  <w:color w:val="0000EE"/>
                  <w:w w:val="94"/>
                </w:rPr>
                <w:t>Section 11.01</w:t>
              </w:r>
            </w:hyperlink>
          </w:p>
        </w:tc>
        <w:tc>
          <w:tcPr>
            <w:tcW w:w="5840" w:type="dxa"/>
            <w:vAlign w:val="bottom"/>
            <w:gridSpan w:val="32"/>
          </w:tcPr>
          <w:p>
            <w:pPr>
              <w:ind w:left="80"/>
              <w:spacing w:after="0"/>
              <w:rPr>
                <w:rFonts w:ascii="Arial" w:cs="Arial" w:eastAsia="Arial" w:hAnsi="Arial"/>
                <w:sz w:val="18"/>
                <w:szCs w:val="18"/>
                <w:color w:val="0000EE"/>
              </w:rPr>
            </w:pPr>
            <w:hyperlink w:anchor="page326">
              <w:r>
                <w:rPr>
                  <w:rFonts w:ascii="Arial" w:cs="Arial" w:eastAsia="Arial" w:hAnsi="Arial"/>
                  <w:sz w:val="18"/>
                  <w:szCs w:val="18"/>
                  <w:color w:val="0000EE"/>
                </w:rPr>
                <w:t>Interpretation; Construction</w:t>
              </w:r>
            </w:hyperlink>
          </w:p>
        </w:tc>
        <w:tc>
          <w:tcPr>
            <w:tcW w:w="2820" w:type="dxa"/>
            <w:vAlign w:val="bottom"/>
            <w:gridSpan w:val="3"/>
          </w:tcPr>
          <w:p>
            <w:pPr>
              <w:ind w:left="1100"/>
              <w:spacing w:after="0"/>
              <w:rPr>
                <w:rFonts w:ascii="Arial" w:cs="Arial" w:eastAsia="Arial" w:hAnsi="Arial"/>
                <w:sz w:val="18"/>
                <w:szCs w:val="18"/>
                <w:color w:val="0000EE"/>
              </w:rPr>
            </w:pPr>
            <w:hyperlink w:anchor="page326">
              <w:r>
                <w:rPr>
                  <w:rFonts w:ascii="Arial" w:cs="Arial" w:eastAsia="Arial" w:hAnsi="Arial"/>
                  <w:sz w:val="18"/>
                  <w:szCs w:val="18"/>
                  <w:color w:val="0000EE"/>
                </w:rPr>
                <w:t>A-84</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11.02</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Survival</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8">
              <w:r>
                <w:rPr>
                  <w:rFonts w:ascii="Arial" w:cs="Arial" w:eastAsia="Arial" w:hAnsi="Arial"/>
                  <w:sz w:val="18"/>
                  <w:szCs w:val="18"/>
                  <w:color w:val="0000EE"/>
                  <w:w w:val="89"/>
                </w:rPr>
                <w:t>A-86</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11.03</w:t>
              </w:r>
            </w:hyperlink>
          </w:p>
        </w:tc>
        <w:tc>
          <w:tcPr>
            <w:tcW w:w="5840" w:type="dxa"/>
            <w:vAlign w:val="bottom"/>
            <w:gridSpan w:val="32"/>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Governing Law</w:t>
              </w:r>
            </w:hyperlink>
          </w:p>
        </w:tc>
        <w:tc>
          <w:tcPr>
            <w:tcW w:w="2820" w:type="dxa"/>
            <w:vAlign w:val="bottom"/>
            <w:gridSpan w:val="3"/>
          </w:tcPr>
          <w:p>
            <w:pPr>
              <w:ind w:left="1100"/>
              <w:spacing w:after="0"/>
              <w:rPr>
                <w:rFonts w:ascii="Arial" w:cs="Arial" w:eastAsia="Arial" w:hAnsi="Arial"/>
                <w:sz w:val="18"/>
                <w:szCs w:val="18"/>
                <w:color w:val="0000EE"/>
              </w:rPr>
            </w:pPr>
            <w:hyperlink w:anchor="page328">
              <w:r>
                <w:rPr>
                  <w:rFonts w:ascii="Arial" w:cs="Arial" w:eastAsia="Arial" w:hAnsi="Arial"/>
                  <w:sz w:val="18"/>
                  <w:szCs w:val="18"/>
                  <w:color w:val="0000EE"/>
                </w:rPr>
                <w:t>A-86</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11.04</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Submission to Jurisdiction</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8">
              <w:r>
                <w:rPr>
                  <w:rFonts w:ascii="Arial" w:cs="Arial" w:eastAsia="Arial" w:hAnsi="Arial"/>
                  <w:sz w:val="18"/>
                  <w:szCs w:val="18"/>
                  <w:color w:val="0000EE"/>
                  <w:w w:val="89"/>
                </w:rPr>
                <w:t>A-86</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11.05</w:t>
              </w:r>
            </w:hyperlink>
          </w:p>
        </w:tc>
        <w:tc>
          <w:tcPr>
            <w:tcW w:w="5840" w:type="dxa"/>
            <w:vAlign w:val="bottom"/>
            <w:gridSpan w:val="32"/>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WAIVER OF JURY TRIAL</w:t>
              </w:r>
            </w:hyperlink>
          </w:p>
        </w:tc>
        <w:tc>
          <w:tcPr>
            <w:tcW w:w="2820" w:type="dxa"/>
            <w:vAlign w:val="bottom"/>
            <w:gridSpan w:val="3"/>
          </w:tcPr>
          <w:p>
            <w:pPr>
              <w:ind w:left="1100"/>
              <w:spacing w:after="0"/>
              <w:rPr>
                <w:rFonts w:ascii="Arial" w:cs="Arial" w:eastAsia="Arial" w:hAnsi="Arial"/>
                <w:sz w:val="18"/>
                <w:szCs w:val="18"/>
                <w:color w:val="0000EE"/>
              </w:rPr>
            </w:pPr>
            <w:hyperlink w:anchor="page328">
              <w:r>
                <w:rPr>
                  <w:rFonts w:ascii="Arial" w:cs="Arial" w:eastAsia="Arial" w:hAnsi="Arial"/>
                  <w:sz w:val="18"/>
                  <w:szCs w:val="18"/>
                  <w:color w:val="0000EE"/>
                </w:rPr>
                <w:t>A-86</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11.06</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Notices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9">
              <w:r>
                <w:rPr>
                  <w:rFonts w:ascii="Arial" w:cs="Arial" w:eastAsia="Arial" w:hAnsi="Arial"/>
                  <w:sz w:val="18"/>
                  <w:szCs w:val="18"/>
                  <w:color w:val="0000EE"/>
                  <w:w w:val="89"/>
                </w:rPr>
                <w:t>A-87</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11.07</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Entire Agreement</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A-87</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11.08</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No Third-Party Beneficiaries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9">
              <w:r>
                <w:rPr>
                  <w:rFonts w:ascii="Arial" w:cs="Arial" w:eastAsia="Arial" w:hAnsi="Arial"/>
                  <w:sz w:val="18"/>
                  <w:szCs w:val="18"/>
                  <w:color w:val="0000EE"/>
                  <w:w w:val="89"/>
                </w:rPr>
                <w:t>A-87</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11.09</w:t>
              </w:r>
            </w:hyperlink>
          </w:p>
        </w:tc>
        <w:tc>
          <w:tcPr>
            <w:tcW w:w="5840" w:type="dxa"/>
            <w:vAlign w:val="bottom"/>
            <w:gridSpan w:val="32"/>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Severability</w:t>
              </w:r>
            </w:hyperlink>
          </w:p>
        </w:tc>
        <w:tc>
          <w:tcPr>
            <w:tcW w:w="2820" w:type="dxa"/>
            <w:vAlign w:val="bottom"/>
            <w:gridSpan w:val="3"/>
          </w:tcPr>
          <w:p>
            <w:pPr>
              <w:ind w:left="1100"/>
              <w:spacing w:after="0"/>
              <w:rPr>
                <w:rFonts w:ascii="Arial" w:cs="Arial" w:eastAsia="Arial" w:hAnsi="Arial"/>
                <w:sz w:val="18"/>
                <w:szCs w:val="18"/>
                <w:color w:val="0000EE"/>
              </w:rPr>
            </w:pPr>
            <w:hyperlink w:anchor="page330">
              <w:r>
                <w:rPr>
                  <w:rFonts w:ascii="Arial" w:cs="Arial" w:eastAsia="Arial" w:hAnsi="Arial"/>
                  <w:sz w:val="18"/>
                  <w:szCs w:val="18"/>
                  <w:color w:val="0000EE"/>
                </w:rPr>
                <w:t>A-88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11.10</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Assignment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30">
              <w:r>
                <w:rPr>
                  <w:rFonts w:ascii="Arial" w:cs="Arial" w:eastAsia="Arial" w:hAnsi="Arial"/>
                  <w:sz w:val="18"/>
                  <w:szCs w:val="18"/>
                  <w:color w:val="0000EE"/>
                  <w:w w:val="89"/>
                </w:rPr>
                <w:t>A-88</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11.11</w:t>
              </w:r>
            </w:hyperlink>
          </w:p>
        </w:tc>
        <w:tc>
          <w:tcPr>
            <w:tcW w:w="5840" w:type="dxa"/>
            <w:vAlign w:val="bottom"/>
            <w:gridSpan w:val="32"/>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Remedies</w:t>
              </w:r>
            </w:hyperlink>
          </w:p>
        </w:tc>
        <w:tc>
          <w:tcPr>
            <w:tcW w:w="2820" w:type="dxa"/>
            <w:vAlign w:val="bottom"/>
            <w:gridSpan w:val="3"/>
          </w:tcPr>
          <w:p>
            <w:pPr>
              <w:ind w:left="1100"/>
              <w:spacing w:after="0"/>
              <w:rPr>
                <w:rFonts w:ascii="Arial" w:cs="Arial" w:eastAsia="Arial" w:hAnsi="Arial"/>
                <w:sz w:val="18"/>
                <w:szCs w:val="18"/>
                <w:color w:val="0000EE"/>
              </w:rPr>
            </w:pPr>
            <w:hyperlink w:anchor="page330">
              <w:r>
                <w:rPr>
                  <w:rFonts w:ascii="Arial" w:cs="Arial" w:eastAsia="Arial" w:hAnsi="Arial"/>
                  <w:sz w:val="18"/>
                  <w:szCs w:val="18"/>
                  <w:color w:val="0000EE"/>
                </w:rPr>
                <w:t>A-88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11.12</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Specific Performance</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30">
              <w:r>
                <w:rPr>
                  <w:rFonts w:ascii="Arial" w:cs="Arial" w:eastAsia="Arial" w:hAnsi="Arial"/>
                  <w:sz w:val="18"/>
                  <w:szCs w:val="18"/>
                  <w:color w:val="0000EE"/>
                  <w:w w:val="89"/>
                </w:rPr>
                <w:t>A-88</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11.13</w:t>
              </w:r>
            </w:hyperlink>
          </w:p>
        </w:tc>
        <w:tc>
          <w:tcPr>
            <w:tcW w:w="5840" w:type="dxa"/>
            <w:vAlign w:val="bottom"/>
            <w:gridSpan w:val="32"/>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Debt Financing Sources</w:t>
              </w:r>
            </w:hyperlink>
          </w:p>
        </w:tc>
        <w:tc>
          <w:tcPr>
            <w:tcW w:w="2820" w:type="dxa"/>
            <w:vAlign w:val="bottom"/>
            <w:gridSpan w:val="3"/>
          </w:tcPr>
          <w:p>
            <w:pPr>
              <w:ind w:left="1100"/>
              <w:spacing w:after="0"/>
              <w:rPr>
                <w:rFonts w:ascii="Arial" w:cs="Arial" w:eastAsia="Arial" w:hAnsi="Arial"/>
                <w:sz w:val="18"/>
                <w:szCs w:val="18"/>
                <w:color w:val="0000EE"/>
              </w:rPr>
            </w:pPr>
            <w:hyperlink w:anchor="page330">
              <w:r>
                <w:rPr>
                  <w:rFonts w:ascii="Arial" w:cs="Arial" w:eastAsia="Arial" w:hAnsi="Arial"/>
                  <w:sz w:val="18"/>
                  <w:szCs w:val="18"/>
                  <w:color w:val="0000EE"/>
                </w:rPr>
                <w:t>A-88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31">
              <w:r>
                <w:rPr>
                  <w:rFonts w:ascii="Arial" w:cs="Arial" w:eastAsia="Arial" w:hAnsi="Arial"/>
                  <w:sz w:val="18"/>
                  <w:szCs w:val="18"/>
                  <w:color w:val="0000EE"/>
                  <w:w w:val="94"/>
                </w:rPr>
                <w:t>Section 11.14</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31">
              <w:r>
                <w:rPr>
                  <w:rFonts w:ascii="Arial" w:cs="Arial" w:eastAsia="Arial" w:hAnsi="Arial"/>
                  <w:sz w:val="18"/>
                  <w:szCs w:val="18"/>
                  <w:color w:val="0000EE"/>
                </w:rPr>
                <w:t>No Recourse</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31">
              <w:r>
                <w:rPr>
                  <w:rFonts w:ascii="Arial" w:cs="Arial" w:eastAsia="Arial" w:hAnsi="Arial"/>
                  <w:sz w:val="18"/>
                  <w:szCs w:val="18"/>
                  <w:color w:val="0000EE"/>
                  <w:w w:val="89"/>
                </w:rPr>
                <w:t>A-89</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980" w:type="dxa"/>
            <w:vAlign w:val="bottom"/>
            <w:gridSpan w:val="5"/>
          </w:tcPr>
          <w:p>
            <w:pPr>
              <w:spacing w:after="0"/>
              <w:rPr>
                <w:rFonts w:ascii="Arial" w:cs="Arial" w:eastAsia="Arial" w:hAnsi="Arial"/>
                <w:sz w:val="18"/>
                <w:szCs w:val="18"/>
                <w:color w:val="0000EE"/>
                <w:w w:val="87"/>
              </w:rPr>
            </w:pPr>
            <w:hyperlink w:anchor="page331">
              <w:r>
                <w:rPr>
                  <w:rFonts w:ascii="Arial" w:cs="Arial" w:eastAsia="Arial" w:hAnsi="Arial"/>
                  <w:sz w:val="18"/>
                  <w:szCs w:val="18"/>
                  <w:color w:val="0000EE"/>
                  <w:w w:val="87"/>
                </w:rPr>
                <w:t>Section 11.15</w:t>
              </w:r>
            </w:hyperlink>
          </w:p>
        </w:tc>
        <w:tc>
          <w:tcPr>
            <w:tcW w:w="80" w:type="dxa"/>
            <w:vAlign w:val="bottom"/>
            <w:gridSpan w:val="2"/>
          </w:tcPr>
          <w:p>
            <w:pPr>
              <w:spacing w:after="0"/>
              <w:rPr>
                <w:sz w:val="19"/>
                <w:szCs w:val="19"/>
                <w:color w:val="auto"/>
              </w:rPr>
            </w:pPr>
          </w:p>
        </w:tc>
        <w:tc>
          <w:tcPr>
            <w:tcW w:w="5840" w:type="dxa"/>
            <w:vAlign w:val="bottom"/>
            <w:gridSpan w:val="32"/>
          </w:tcPr>
          <w:p>
            <w:pPr>
              <w:ind w:left="80"/>
              <w:spacing w:after="0"/>
              <w:rPr>
                <w:rFonts w:ascii="Arial" w:cs="Arial" w:eastAsia="Arial" w:hAnsi="Arial"/>
                <w:sz w:val="18"/>
                <w:szCs w:val="18"/>
                <w:color w:val="0000EE"/>
              </w:rPr>
            </w:pPr>
            <w:hyperlink w:anchor="page331">
              <w:r>
                <w:rPr>
                  <w:rFonts w:ascii="Arial" w:cs="Arial" w:eastAsia="Arial" w:hAnsi="Arial"/>
                  <w:sz w:val="18"/>
                  <w:szCs w:val="18"/>
                  <w:color w:val="0000EE"/>
                </w:rPr>
                <w:t>Counterparts; Effectiveness</w:t>
              </w:r>
            </w:hyperlink>
          </w:p>
        </w:tc>
        <w:tc>
          <w:tcPr>
            <w:tcW w:w="2820" w:type="dxa"/>
            <w:vAlign w:val="bottom"/>
            <w:gridSpan w:val="3"/>
          </w:tcPr>
          <w:p>
            <w:pPr>
              <w:ind w:left="1100"/>
              <w:spacing w:after="0"/>
              <w:rPr>
                <w:rFonts w:ascii="Arial" w:cs="Arial" w:eastAsia="Arial" w:hAnsi="Arial"/>
                <w:sz w:val="18"/>
                <w:szCs w:val="18"/>
                <w:color w:val="0000EE"/>
              </w:rPr>
            </w:pPr>
            <w:hyperlink w:anchor="page331">
              <w:r>
                <w:rPr>
                  <w:rFonts w:ascii="Arial" w:cs="Arial" w:eastAsia="Arial" w:hAnsi="Arial"/>
                  <w:sz w:val="18"/>
                  <w:szCs w:val="18"/>
                  <w:color w:val="0000EE"/>
                </w:rPr>
                <w:t>A-89</w:t>
              </w:r>
            </w:hyperlink>
          </w:p>
        </w:tc>
      </w:tr>
      <w:tr>
        <w:trPr>
          <w:trHeight w:val="20"/>
        </w:trPr>
        <w:tc>
          <w:tcPr>
            <w:tcW w:w="1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980" w:type="dxa"/>
            <w:vAlign w:val="bottom"/>
            <w:gridSpan w:val="16"/>
            <w:shd w:val="clear" w:color="auto" w:fill="0000EE"/>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5"/>
        </w:trPr>
        <w:tc>
          <w:tcPr>
            <w:tcW w:w="1300" w:type="dxa"/>
            <w:vAlign w:val="bottom"/>
          </w:tcPr>
          <w:p>
            <w:pPr>
              <w:spacing w:after="0"/>
              <w:rPr>
                <w:sz w:val="24"/>
                <w:szCs w:val="24"/>
                <w:color w:val="auto"/>
              </w:rPr>
            </w:pPr>
          </w:p>
        </w:tc>
        <w:tc>
          <w:tcPr>
            <w:tcW w:w="6900" w:type="dxa"/>
            <w:vAlign w:val="bottom"/>
            <w:gridSpan w:val="39"/>
          </w:tcPr>
          <w:p>
            <w:pPr>
              <w:spacing w:after="0"/>
              <w:rPr>
                <w:sz w:val="20"/>
                <w:szCs w:val="20"/>
                <w:color w:val="auto"/>
              </w:rPr>
            </w:pPr>
            <w:r>
              <w:rPr>
                <w:rFonts w:ascii="Arial" w:cs="Arial" w:eastAsia="Arial" w:hAnsi="Arial"/>
                <w:sz w:val="18"/>
                <w:szCs w:val="18"/>
                <w:color w:val="auto"/>
              </w:rPr>
              <w:t>Exhibit A  Certificate of Incorporation of the Surviving Corporation</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6"/>
          </w:tcPr>
          <w:p>
            <w:pPr>
              <w:ind w:left="140"/>
              <w:spacing w:after="0"/>
              <w:rPr>
                <w:sz w:val="20"/>
                <w:szCs w:val="20"/>
                <w:color w:val="auto"/>
              </w:rPr>
            </w:pPr>
            <w:r>
              <w:rPr>
                <w:rFonts w:ascii="Arial" w:cs="Arial" w:eastAsia="Arial" w:hAnsi="Arial"/>
                <w:sz w:val="18"/>
                <w:szCs w:val="18"/>
                <w:color w:val="auto"/>
              </w:rPr>
              <w:t>A-iv</w:t>
            </w:r>
          </w:p>
        </w:tc>
        <w:tc>
          <w:tcPr>
            <w:tcW w:w="19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2" w:name="page243"/>
    <w:bookmarkEnd w:id="24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February 24, 2021, by and among ICON public limited company, a public limited company in Ireland (“</w:t>
      </w:r>
      <w:r>
        <w:rPr>
          <w:rFonts w:ascii="Arial" w:cs="Arial" w:eastAsia="Arial" w:hAnsi="Arial"/>
          <w:sz w:val="16"/>
          <w:szCs w:val="16"/>
          <w:u w:val="single" w:color="auto"/>
          <w:color w:val="auto"/>
        </w:rPr>
        <w:t>Parent</w:t>
      </w:r>
      <w:r>
        <w:rPr>
          <w:rFonts w:ascii="Arial" w:cs="Arial" w:eastAsia="Arial" w:hAnsi="Arial"/>
          <w:sz w:val="16"/>
          <w:szCs w:val="16"/>
          <w:color w:val="auto"/>
        </w:rPr>
        <w:t>”), ICON US Holdings Inc., a Delaware corporation and a wholly owned subsidiary of Parent (“</w:t>
      </w:r>
      <w:r>
        <w:rPr>
          <w:rFonts w:ascii="Arial" w:cs="Arial" w:eastAsia="Arial" w:hAnsi="Arial"/>
          <w:sz w:val="16"/>
          <w:szCs w:val="16"/>
          <w:u w:val="single" w:color="auto"/>
          <w:color w:val="auto"/>
        </w:rPr>
        <w:t>US Holdco</w:t>
      </w:r>
      <w:r>
        <w:rPr>
          <w:rFonts w:ascii="Arial" w:cs="Arial" w:eastAsia="Arial" w:hAnsi="Arial"/>
          <w:sz w:val="16"/>
          <w:szCs w:val="16"/>
          <w:color w:val="auto"/>
        </w:rPr>
        <w:t>”), Indigo Merger Sub, Inc., a Delaware corporation and a wholly owned subsidiary of Parent and US Holdco (“</w:t>
      </w:r>
      <w:r>
        <w:rPr>
          <w:rFonts w:ascii="Arial" w:cs="Arial" w:eastAsia="Arial" w:hAnsi="Arial"/>
          <w:sz w:val="16"/>
          <w:szCs w:val="16"/>
          <w:u w:val="single" w:color="auto"/>
          <w:color w:val="auto"/>
        </w:rPr>
        <w:t>Merger Sub</w:t>
      </w:r>
      <w:r>
        <w:rPr>
          <w:rFonts w:ascii="Arial" w:cs="Arial" w:eastAsia="Arial" w:hAnsi="Arial"/>
          <w:sz w:val="16"/>
          <w:szCs w:val="16"/>
          <w:color w:val="auto"/>
        </w:rPr>
        <w:t>”), and PRA Health 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Capitalized terms used herein (including in the immediately preceding sentence) and not otherwise defined herein shall have the meanings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hereof.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the parties intend for Parent and US Holdco to acquire the Company, on the terms and subject to the conditions set forth in this Agreement;</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WHEREAS, in furtherance of such acquisition of the Company by Parent and US Holdco, and on the terms and subject to the conditions set forth in this Agreement and in accordance with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Merger Sub shall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 owned subsidiary of Parent and US Holdco, and each outstanding share of the Company’s common stock, par value $0.01 per share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(other than the Cancelled Shares, any Dissenting Shares and any Subsidiary-Held Shares) will be converted into the right to receive the Merger Consideration;</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at a meeting duly called and held, has unanimously: (a) determined that it is advisable, fair and in the best interests of the Company and the holders of shares of Company Common Stock to enter into this Agreement with Parent, US Holdco and Merger Sub;</w:t>
      </w:r>
    </w:p>
    <w:p>
      <w:pPr>
        <w:spacing w:after="0" w:line="2" w:lineRule="exact"/>
        <w:rPr>
          <w:sz w:val="20"/>
          <w:szCs w:val="20"/>
          <w:color w:val="auto"/>
        </w:rPr>
      </w:pPr>
    </w:p>
    <w:p>
      <w:pPr>
        <w:jc w:val="both"/>
        <w:ind w:left="300" w:right="299" w:hanging="8"/>
        <w:spacing w:after="0" w:line="292" w:lineRule="auto"/>
        <w:tabs>
          <w:tab w:leader="none" w:pos="56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approved the execution, delivery, and performance of this Agreement and the consummation of the transactions contemplated hereby, including the Merger; (c) directed that this Agreement be submitted to the stockholders of the Company at a duly held meeting of such stockholders for the purpose of considering the adoption of this Agreement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and (d) resolved, subject to the terms and conditions set forth in this Agreement, to recommend adoption of this Agreement by the holders of Company Common Stock;</w:t>
      </w:r>
    </w:p>
    <w:p>
      <w:pPr>
        <w:spacing w:after="0" w:line="5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WHEREAS,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at a meeting duly called and held, has unanimously: (a) determined that it is advisable, fair and in the best interests of Parent and the holders of Parent’s ordinary shares, par value €0.06 per share (the “</w:t>
      </w:r>
      <w:r>
        <w:rPr>
          <w:rFonts w:ascii="Arial" w:cs="Arial" w:eastAsia="Arial" w:hAnsi="Arial"/>
          <w:sz w:val="17"/>
          <w:szCs w:val="17"/>
          <w:u w:val="single" w:color="auto"/>
          <w:color w:val="auto"/>
        </w:rPr>
        <w:t>Parent Ordinary Shares</w:t>
      </w:r>
      <w:r>
        <w:rPr>
          <w:rFonts w:ascii="Arial" w:cs="Arial" w:eastAsia="Arial" w:hAnsi="Arial"/>
          <w:sz w:val="17"/>
          <w:szCs w:val="17"/>
          <w:color w:val="auto"/>
        </w:rPr>
        <w:t>”) to enter into this Agreement with the Company, US Holdco and Merger Sub and for Parent to perform the transactions contemplated hereby, including the Merger and issuance of the Parent Ordinary Shares (the “</w:t>
      </w:r>
      <w:r>
        <w:rPr>
          <w:rFonts w:ascii="Arial" w:cs="Arial" w:eastAsia="Arial" w:hAnsi="Arial"/>
          <w:sz w:val="17"/>
          <w:szCs w:val="17"/>
          <w:u w:val="single" w:color="auto"/>
          <w:color w:val="auto"/>
        </w:rPr>
        <w:t>Parent Share Issuance</w:t>
      </w:r>
      <w:r>
        <w:rPr>
          <w:rFonts w:ascii="Arial" w:cs="Arial" w:eastAsia="Arial" w:hAnsi="Arial"/>
          <w:sz w:val="17"/>
          <w:szCs w:val="17"/>
          <w:color w:val="auto"/>
        </w:rPr>
        <w:t>”); (b) approved and declared advisable the execution, delivery, and performance of this Agreement and the consummation of the transactions contemplated hereby, including the Parent Share Issuance; and (c) resolved, subject to the terms and conditions set forth in this Agreement, to recommend to the holders of Parent Ordinary Shares that such holders approve the granting of authority to the Parent Board to effect the Parent Share Issuance;</w:t>
      </w:r>
    </w:p>
    <w:p>
      <w:pPr>
        <w:spacing w:after="0" w:line="7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WHEREAS, the Board of Directors of US Holdco (the “</w:t>
      </w:r>
      <w:r>
        <w:rPr>
          <w:rFonts w:ascii="Arial" w:cs="Arial" w:eastAsia="Arial" w:hAnsi="Arial"/>
          <w:sz w:val="16"/>
          <w:szCs w:val="16"/>
          <w:u w:val="single" w:color="auto"/>
          <w:color w:val="auto"/>
        </w:rPr>
        <w:t>US Holdco Board</w:t>
      </w:r>
      <w:r>
        <w:rPr>
          <w:rFonts w:ascii="Arial" w:cs="Arial" w:eastAsia="Arial" w:hAnsi="Arial"/>
          <w:sz w:val="16"/>
          <w:szCs w:val="16"/>
          <w:color w:val="auto"/>
        </w:rPr>
        <w:t>”) has unanimously: (a) determined that it is advisable, fair and in the best interests of US Holdco and its stockholder to enter into this Agreement and to perform the transactions contemplated hereby; and (b) approved the execution, delivery, and performance of this Agreement and the consummation of the transactions contemplated hereby, including the Merger;</w:t>
      </w:r>
    </w:p>
    <w:p>
      <w:pPr>
        <w:spacing w:after="0" w:line="49" w:lineRule="exact"/>
        <w:rPr>
          <w:sz w:val="20"/>
          <w:szCs w:val="20"/>
          <w:color w:val="auto"/>
        </w:rPr>
      </w:pPr>
    </w:p>
    <w:p>
      <w:pPr>
        <w:jc w:val="both"/>
        <w:ind w:left="300" w:right="319" w:firstLine="360"/>
        <w:spacing w:after="0" w:line="254"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(a) determined that it is advisable, fair and in the best interests of Merger Sub and its stockholder to enter into this Agreement and to perform the transactions contemplated hereby; (b) approved the execution, delivery, and performance of this Agreement and the consummation of the transactions contemplated hereby, including the Merger; (c) directed that this Agreement be submitted to the stockholders of Merger Sub; and (d) resolved, subject to the terms and conditions set forth in this Agreement, to recommend adoption of this Agreement by the stockholders of Merger Sub;</w:t>
      </w:r>
    </w:p>
    <w:p>
      <w:pPr>
        <w:spacing w:after="0" w:line="8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Parent and US Holdco, as the sole stockholders of Merger Sub, will adopt this Agreement promptly following its execution; and</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the other transactions contemplated by this Agreement and also to prescribe certain terms and conditions to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NOW, THEREFORE, in consideration of the foregoing and of the representations, warranties, covenants, and agreements contained in this Agreement, the parties, intending to be legally bound, agree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will have the following meanings when used herein with initial capital letters:</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means a confidentiality agreement that (i) contains confidentiality provisions that are no less favorable in any material respect to a party hereof than those contained in the Confidentiality Agreement and (ii) does not restrict, in any manner, the Company’s ability to consummate the transactions contemplated hereby or to comply with its disclosure obligations to Parent pursuant to this Agreement.</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first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applied to any Person, means the possession, directly or indirectly, of the power to direct or cause the direction of the management and policies of that Person, whether through the ownership of voting securities.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Affordable Care Act</w:t>
      </w:r>
      <w:r>
        <w:rPr>
          <w:rFonts w:ascii="Arial" w:cs="Arial" w:eastAsia="Arial" w:hAnsi="Arial"/>
          <w:sz w:val="18"/>
          <w:szCs w:val="18"/>
          <w:color w:val="auto"/>
        </w:rPr>
        <w:t>” means the Patient Protection and Affordable Care Act (PPACA), as amended by the Health Care and Education Reconciliation Act (HCERA).</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7.06(d)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Anti-Takeover Statutes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4.03(e)</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Condition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8.04(d)</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Saturday, Sunday, or any day on which banking institutions located in Ireland or the State of New York are authorized or required by Law or other governmental action to close.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means February 19, 2021.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Documents</w:t>
      </w:r>
      <w:r>
        <w:rPr>
          <w:rFonts w:ascii="Arial" w:cs="Arial" w:eastAsia="Arial" w:hAnsi="Arial"/>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Reconciliation Act of 1985, as amended, and as codified in Section 4980B of the Code and Section 601 et. seq. of ERISA.</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 Tax Obligation</w:t>
      </w:r>
      <w:r>
        <w:rPr>
          <w:rFonts w:ascii="Arial" w:cs="Arial" w:eastAsia="Arial" w:hAnsi="Arial"/>
          <w:sz w:val="16"/>
          <w:szCs w:val="16"/>
          <w:color w:val="auto"/>
        </w:rPr>
        <w:t>” means any customary obligation to assume responsibility, or reimburse another Person, for specified Taxes that is part of a larger commercial agreement not primarily related to Taxes (excluding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4" w:name="page245"/>
    <w:bookmarkEnd w:id="24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any commercial agreement to sell or otherwise dispose of (1) any equity of any entity or (2) any assets other than inventory sold in the ordinary course of the Company’s business), such as an obligation of a borrower to gross up a lender under a credit agreement or a tenant’s obligation to make tax escalation payments to a landlord.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Adverse Recommendation Change</w:t>
      </w:r>
      <w:r>
        <w:rPr>
          <w:rFonts w:ascii="Arial" w:cs="Arial" w:eastAsia="Arial" w:hAnsi="Arial"/>
          <w:sz w:val="17"/>
          <w:szCs w:val="17"/>
          <w:color w:val="auto"/>
        </w:rPr>
        <w:t>” means the Company Board or any committee thereof:</w:t>
      </w:r>
    </w:p>
    <w:p>
      <w:pPr>
        <w:spacing w:after="0" w:line="35" w:lineRule="exact"/>
        <w:rPr>
          <w:sz w:val="20"/>
          <w:szCs w:val="20"/>
          <w:color w:val="auto"/>
        </w:rPr>
      </w:pPr>
    </w:p>
    <w:p>
      <w:pPr>
        <w:jc w:val="both"/>
        <w:ind w:left="300" w:right="299" w:hanging="8"/>
        <w:spacing w:after="0" w:line="268" w:lineRule="auto"/>
        <w:tabs>
          <w:tab w:leader="none" w:pos="56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withholding or withdrawing (or amending, modifying, or materially qualifying, in a manner adverse to Parent, US Holdco or Merger Sub), the Company Board Recommendation; (b) failing to include the Company Board Recommendation in the Proxy Statement/EGM Notice that is mailed to the Company’s stockholders; (c) adopting, approving or recommending a Company Takeover Proposal; (d) failing to recommend against acceptance of any tender offer or exchange offer for the shares of Company Common Stock within ten (10) Business Days after the commencement of such offer (within the meaning of Rule 14d-2 under the Exchange Act (as defined below)); (e) failing to reaffirm (publicly, if so requested by Parent) the Company Board Recommendation within ten (10) Business Days after the date any Company Takeover Proposal (or material modification thereto) is first publicly disclosed by the Company or the Person making such Company Takeover Proposal; or (f) resolving, agreeing or publicly proposing to take any of the foregoing actions.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COVID Action</w:t>
      </w:r>
      <w:r>
        <w:rPr>
          <w:rFonts w:ascii="Arial" w:cs="Arial" w:eastAsia="Arial" w:hAnsi="Arial"/>
          <w:sz w:val="16"/>
          <w:szCs w:val="16"/>
          <w:color w:val="auto"/>
        </w:rPr>
        <w:t>” means any COVID-19 Measure and any other reasonable action taken or omitted to be taken after the date of this Agreement that the Company reasonably determines to be necessary or prudent for the Company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the Company’s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the Company and its Subsidiaries; or (E) protecting the health and safety of customers, employees and other business relationships and ensuring compliance with any legal requirements.</w:t>
      </w:r>
    </w:p>
    <w:p>
      <w:pPr>
        <w:spacing w:after="0" w:line="6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means the disclosure letter, dated as of the date of this Agreement and delivered by the Company to Parent concurrently with the execution of this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a Company Stock Option or an award of Company Restricted Stock or Company Restricted Stock Units, as the case may be.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ERISA Affiliate</w:t>
      </w:r>
      <w:r>
        <w:rPr>
          <w:rFonts w:ascii="Arial" w:cs="Arial" w:eastAsia="Arial" w:hAnsi="Arial"/>
          <w:sz w:val="18"/>
          <w:szCs w:val="18"/>
          <w:color w:val="auto"/>
        </w:rPr>
        <w:t>” means all employers, trades, or businesses (whether or not incorporated) that would be treated together with the Company or any of its Affiliates as a “single employer” within the meaning of Section 414 of the Code.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$120,000,000 (excluding any amounts in respect of VAT, if applicable).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xml:space="preserve">” means a material development or change in circumstance that occurs or arises after the date of this Agreement that was not known to or reasonably foreseeable by the Company Board as of the date of this Agreement (or, if known or reasonably foreseeable, the magnitude or material consequences of which were not known or reasonably foreseeable by the Company Board as of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(i) the receipt, existence or terms of an actual or possible Company Takeover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5" w:name="page246"/>
    <w:bookmarkEnd w:id="24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or Company Superior Proposal, (ii) any Effect relating to the Parent or any of its Subsidiaries that does not amount to a Material Adverse Effect, individually or in the aggregate, (iii) any change in the credit rating of the Company or the market price or trading volume of shares of Company Common Stock (it being understood that the underlying facts giving rise or contributing to such change may be taken into account in determining whether there has been a Company Intervening Event, to the extent otherwise permitted by this definition), (iv) the fact that the Company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Company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w:t>
      </w:r>
    </w:p>
    <w:p>
      <w:pPr>
        <w:spacing w:after="0" w:line="4" w:lineRule="exact"/>
        <w:rPr>
          <w:sz w:val="20"/>
          <w:szCs w:val="20"/>
          <w:color w:val="auto"/>
        </w:rPr>
      </w:pPr>
    </w:p>
    <w:p>
      <w:pPr>
        <w:jc w:val="both"/>
        <w:ind w:left="300" w:right="299" w:hanging="8"/>
        <w:spacing w:after="0" w:line="266" w:lineRule="auto"/>
        <w:tabs>
          <w:tab w:leader="none" w:pos="65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Company Intervening Event.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6.02(e)(i)</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IP Agreements</w:t>
      </w:r>
      <w:r>
        <w:rPr>
          <w:rFonts w:ascii="Arial" w:cs="Arial" w:eastAsia="Arial" w:hAnsi="Arial"/>
          <w:sz w:val="16"/>
          <w:szCs w:val="16"/>
          <w:color w:val="auto"/>
        </w:rPr>
        <w:t>” means all licenses, sublicenses, consent to use agreements, settlements, coexistence agreements, covenants not to sue, waivers, releases, permissions, and other legally binding Contracts, whether written or oral, relating to Intellectual Property and to which the Company or any of its Subsidiaries is a party, beneficiary, or otherwise bound, other than non-exclusive licenses granted by the Company or any of its Subsidiaries pursuant to customer Contracts entered into in the ordinary course of business.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 or any of its Subsidiaries, and all associated documentation.</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any event, occurrence, state of facts, condition, effect, circumstance, development, action, omission or change (each,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has, or would reasonably be expected to have, individually or in the aggregate with one or more Effects, a material adverse effect on the business, results of operations, or financial condition of the Company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Effect to the extent, directly or indirectly, resulting or arising from or related to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shall be deemed to constitute a Company Material Adverse Effect, or be taken into account, in whole or in part, in determining whether, a Company Material Adverse Effect has occurred or may, would or could occur:</w:t>
      </w:r>
    </w:p>
    <w:p>
      <w:pPr>
        <w:spacing w:after="0" w:line="2" w:lineRule="exact"/>
        <w:rPr>
          <w:sz w:val="20"/>
          <w:szCs w:val="20"/>
          <w:color w:val="auto"/>
        </w:rPr>
      </w:pPr>
    </w:p>
    <w:p>
      <w:pPr>
        <w:jc w:val="both"/>
        <w:ind w:left="300" w:right="299" w:hanging="8"/>
        <w:spacing w:after="0" w:line="252" w:lineRule="auto"/>
        <w:tabs>
          <w:tab w:leader="none" w:pos="57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changes generally affecting the economy, financial or securities markets, or political conditions; (ii) the announcement, or pendency or consummation of the transactions contemplated by this Agreement, including the impact thereof on relationships, contractual or otherwise, of the Company and its Subsidiaries with employees, suppliers, customers, Governmental Entities, or other third Persons (it being understood and agreed that this clause shall not apply with respect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4.03(c)</w:t>
      </w:r>
      <w:r>
        <w:rPr>
          <w:rFonts w:ascii="Arial" w:cs="Arial" w:eastAsia="Arial" w:hAnsi="Arial"/>
          <w:sz w:val="18"/>
          <w:szCs w:val="18"/>
          <w:color w:val="auto"/>
        </w:rPr>
        <w:t>); (iii) any changes in applicable Law (including COVID-19 Measures) or GAAP or other applicable accounting standards, including interpretations thereof, (iv) acts of war, sabotage, or terrorism, or military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6" w:name="page247"/>
    <w:bookmarkEnd w:id="24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the Company and its Subsidiaries operate; (vii) any failure, in and of itself,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Company Material Adverse Effect, to the extent permitted by this definition and not otherwise excepted by another clause of this proviso); (viii) any change, in and of itself, in the market price or trading volume of the Company’s securities or in its credit ratings (it being understood that the facts or occurrences giving rise to or contributing to such change may be deemed to constitute, or be taken into account in determining whether there has been or would reasonably be expected to become, a Company Material Adverse Effect, to the extent permitted by this definition and not otherwise excepted by another clause of this proviso); or</w:t>
      </w:r>
    </w:p>
    <w:p>
      <w:pPr>
        <w:spacing w:after="0" w:line="2" w:lineRule="exact"/>
        <w:rPr>
          <w:sz w:val="20"/>
          <w:szCs w:val="20"/>
          <w:color w:val="auto"/>
        </w:rPr>
      </w:pPr>
    </w:p>
    <w:p>
      <w:pPr>
        <w:jc w:val="both"/>
        <w:ind w:left="300" w:right="299" w:hanging="8"/>
        <w:spacing w:after="0" w:line="269" w:lineRule="auto"/>
        <w:tabs>
          <w:tab w:leader="none" w:pos="63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actions taken as required by the Agreement or actions or omissions taken with Parent’s consent;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Effect resulting from any event, change, and effect referred to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immediately above (excluding any Effect arising from, resulting from or related to COVID-19 or any COVID-19 Measure) shall be taken into account in determining whether a Company Material Adverse Effect has occurred or would reasonably be expected to occur to the extent that such event, change, or effect has a disproportionate effect on the Company and its Subsidiaries, taken as a whole, compared to other participants in the industries in which the Company and its Subsidiaries conduct their businesses.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Company-Owned IP</w:t>
      </w:r>
      <w:r>
        <w:rPr>
          <w:rFonts w:ascii="Arial" w:cs="Arial" w:eastAsia="Arial" w:hAnsi="Arial"/>
          <w:sz w:val="18"/>
          <w:szCs w:val="18"/>
          <w:color w:val="auto"/>
        </w:rPr>
        <w:t>” means all Intellectual Property purportedly owned by the Company or any of its Subsidiaries.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Company Common Stock subject to vesting, repurchase, or other lapse of restrictions under any Company Stock Plan.</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 Unit</w:t>
      </w:r>
      <w:r>
        <w:rPr>
          <w:rFonts w:ascii="Arial" w:cs="Arial" w:eastAsia="Arial" w:hAnsi="Arial"/>
          <w:sz w:val="18"/>
          <w:szCs w:val="18"/>
          <w:color w:val="auto"/>
        </w:rPr>
        <w:t>” means any restricted stock unit representing the right to receive Company Common Stock subject to vesting or other restrictions under any Company Stock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4.02(b)(ii)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Option</w:t>
      </w:r>
      <w:r>
        <w:rPr>
          <w:rFonts w:ascii="Arial" w:cs="Arial" w:eastAsia="Arial" w:hAnsi="Arial"/>
          <w:sz w:val="18"/>
          <w:szCs w:val="18"/>
          <w:color w:val="auto"/>
        </w:rPr>
        <w:t>” means any option to purchase Company Common Stock under any Company Stock Plan.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means, in each case as amended, the PRA Holdings, Inc. Equity Incentive Plan, 2013 Stock Incentive Plan for Key Employees of PRA Global Holdings, Inc. and its Subsidiaries (formerly known as the 2013 Stock Incentive Plan For Key Employees of Pinnacle Holdco Parent, Inc. and its Subsidiaries), PRA Health Sciences, Inc. 2014 Omnibus Incentive Plan, PRA Health Sciences, Inc. 2018 Stock Incentive Plan, PRA Health Sciences, Inc. 2020 Stock Incentive Plan.</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Purchase Plan</w:t>
      </w:r>
      <w:r>
        <w:rPr>
          <w:rFonts w:ascii="Arial" w:cs="Arial" w:eastAsia="Arial" w:hAnsi="Arial"/>
          <w:sz w:val="18"/>
          <w:szCs w:val="18"/>
          <w:color w:val="auto"/>
        </w:rPr>
        <w:t>” means the PRA Health Sciences, Inc. 2017 Employee Stock Purchase Plan, as amended.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w:t>
      </w:r>
      <w:r>
        <w:rPr>
          <w:rFonts w:ascii="Arial" w:cs="Arial" w:eastAsia="Arial" w:hAnsi="Arial"/>
          <w:sz w:val="18"/>
          <w:szCs w:val="18"/>
          <w:color w:val="auto"/>
        </w:rPr>
        <w:t>” means a bona fide written Company Takeover Proposal with respect to the Company or its Subsidiaries (except that, for purposes of this definition, each reference in the definition of “Company Takeover Proposal” to “15%” shall be “50%”), that the Company’s board determines in good faith (after consultation with outside legal counsel and a financial advisor of national reputation) (a) is reasonably likely to be consummated in accordance with its terms, taking into account all financial, legal, regulatory, timing and other aspects of such proposal and (b) would, if consummated, result in a transaction that is more favorable from a financial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7" w:name="page248"/>
    <w:bookmarkEnd w:id="24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 xml:space="preserve">point of view to the holders of the Company’s common stock than the transactions contemplated by this Agreement, taking into account: (i) all financial considerations; (ii) the identity of the Third Party making such Company Takeover Proposal; (iii) the anticipated timing, conditions (including any financing condition or the reliability of any debt or equity funding commitments) and prospects for completion of such Company Takeover Proposal; (iv) the other terms and conditions of such Company Takeover Proposal and the implications thereof on the Company, including relevant legal, regulatory, and other aspects of such Company Takeover Proposal deemed relevant by the Company (including any conditions relating to financing, stockholder approval, regulatory approvals, or other events or circumstances beyond the control of the Company); and (v) any revisions to the terms of this Agreement and the transaction contemplated by this Agreement proposed by Parent during the Company Superior Proposal Notice Period set forth in </w:t>
      </w:r>
      <w:r>
        <w:rPr>
          <w:rFonts w:ascii="Arial" w:cs="Arial" w:eastAsia="Arial" w:hAnsi="Arial"/>
          <w:sz w:val="17"/>
          <w:szCs w:val="17"/>
          <w:u w:val="single" w:color="auto"/>
          <w:color w:val="auto"/>
        </w:rPr>
        <w:t>Section 6.02(d)</w:t>
      </w:r>
      <w:r>
        <w:rPr>
          <w:rFonts w:ascii="Arial" w:cs="Arial" w:eastAsia="Arial" w:hAnsi="Arial"/>
          <w:sz w:val="17"/>
          <w:szCs w:val="17"/>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any such inquiry, proposal, offer or indication of interest made by or on behalf of Parent, US Holdco, Merger Sub or one or more of their Subsidiaries as contemplated by this Agreement), relating to, or that would reasonably be expected to lead to, in one transaction or a series of related transactions, any: (a) direct or indirect acquisition of assets of the Company or its Subsidiaries (including any voting equity interests of Subsidiaries, but excluding sales of assets in the ordinary course of business consistent with past practice) equal to 15% or more of the fair market value of the Company’s and its Subsidiaries’ consolidated assets, taken as a whole, or to which 15% or more of the Company’s and its Subsidiaries’ revenues, income or EBITDA on a consolidated basis, taken as a whole, are attributable; (b) direct or indirect acquisition of 15% or more of the voting equity interests of the Company or any of its Subsidiaries whose business constitutes 15% or more of the consolidated revenues, income, EBITDA or assets of the Company and its Subsidiaries, taken as a whole; (c) tender offer or exchange offer that if consummated would result in any Person or group (as defined in Section 13(d) of the Exchange Act) beneficially owning (within the meaning of Section 13(d) of the Exchange Act) 15% or more of the voting power of the Company; (d) merger, consolidation, joint venture, partnership, consolidation, dissolution, liquidation, tender offer, recapitalization, reorganization, spin-off, share exchange, acquisition, license agreement, other business combination, or similar transaction involving the Company or any of its Subsidiaries, pursuant to which such Person or group (as defined in Section 13(d) of the Exchange Act) would own 15% or more of the consolidated net revenues, net income, or assets of the Company and its Subsidiaries, taken as a whole; (e) liquidation, dissolution (or the adoption of a plan of liquidation or dissolution), or recapitalization or other significant corporate reorganization of the Company or one or more of its Subsidiaries which, individually or in the aggregate, generate or constitute 15% or more of the consolidated net revenues, net income, or assets of the Company and its Subsidiaries, taken as a whole; or (f) any combination of the foregoing.</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Termination Fee</w:t>
      </w:r>
      <w:r>
        <w:rPr>
          <w:rFonts w:ascii="Arial" w:cs="Arial" w:eastAsia="Arial" w:hAnsi="Arial"/>
          <w:sz w:val="17"/>
          <w:szCs w:val="17"/>
          <w:color w:val="auto"/>
        </w:rPr>
        <w:t>” means $277,000,000 (excluding any amounts in respect of VAT, if applicable).</w:t>
      </w:r>
    </w:p>
    <w:p>
      <w:pPr>
        <w:spacing w:after="0" w:line="12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Confidentiality Agreement, by and between Parent and the Company, dated as of February 28, 2020 (as may be amended by the parties thereto from time to time), including any clean team agreements related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8.09(a)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license, note, bond, mortgage, indenture, lease, loan or credit agreement, option, warrant, purchase order, insurance policy or other binding instrument, understanding, obligation, undertaking or commitment (including all supplements and addenda thereto), whether written or oral, but excluding any Company Employee Plan.</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all evolutions, variations or mutations thereof or related or associate epidemics, pandemics or disease outbreaks.</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8" w:name="page249"/>
    <w:bookmarkEnd w:id="24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Activities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Related Parties</w:t>
      </w:r>
      <w:r>
        <w:rPr>
          <w:rFonts w:ascii="Arial" w:cs="Arial" w:eastAsia="Arial" w:hAnsi="Arial"/>
          <w:sz w:val="18"/>
          <w:szCs w:val="18"/>
          <w:color w:val="auto"/>
        </w:rPr>
        <w:t xml:space="preserve">” means the Debt Financing Sources, and any arrangers or administrative agents in connection with the Debt Financing, together with their current and future Affiliates and their and such Affiliates’ respective officers, directors, employees, attorneys, partners (general or limited), controlling parties, advisors, members, managers, accountants, consultants, agents, and Representatives,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Debt Financing Related Parties shall not include Parent or any of its respective Affiliates.</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means the Persons that have committed to provide or have otherwise entered into agreements to provide the Debt Financing, including the Lenders.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Payoff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6.04(a)(x)</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shall mean ambient air, indoor air, surface water, groundwater, drinking water, land surface, sediments, and subsurface strata &amp; natural resources such as wetlands, flora and fauna.</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and any Order or binding agreement with any Governmental Entity: (a) relating to pollution (or the cleanup thereof) or the protection of natural resources, endangered or threatened species, human health or safety (as it relates to exposure to Hazardous Materials), or the Environment; (b) human health and safety (as it relates to exposure to Hazardous Materials); or (c) concerning the presence of, exposure to, or the management, manufacture, use, containment, storage, recycling, reclamation, reuse, treatment, generation, discharge, transportation, processing, production, Release, threat of Release or remediation of any Hazardous Materials.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Take-Out Financing Proceeds</w:t>
      </w:r>
      <w:r>
        <w:rPr>
          <w:rFonts w:ascii="Arial" w:cs="Arial" w:eastAsia="Arial" w:hAnsi="Arial"/>
          <w:sz w:val="18"/>
          <w:szCs w:val="18"/>
          <w:color w:val="auto"/>
        </w:rPr>
        <w:t>” means any cash proceeds of a Take-Out Financing that are subject to escrow arrangements, the release of which is subject to conditions no more restrictive than the conditions to the receipt of the Debt Financing set forth in the Commitment Letter (without giving effect to any Restricted Amendment).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any Contract of any kind between the Company or any of its Subsidiaries, on the one hand, and (a) any Governmental Entity, (b) any prime contractor of a Governmental Entity in its capacity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a prime contractor or (c) any subcontractor at any tier with respect to any contract of a type described in </w:t>
      </w:r>
      <w:r>
        <w:rPr>
          <w:rFonts w:ascii="Arial" w:cs="Arial" w:eastAsia="Arial" w:hAnsi="Arial"/>
          <w:sz w:val="16"/>
          <w:szCs w:val="16"/>
          <w:u w:val="single" w:color="auto"/>
          <w:color w:val="auto"/>
        </w:rPr>
        <w:t>clause (a) or</w:t>
      </w:r>
    </w:p>
    <w:p>
      <w:pPr>
        <w:spacing w:after="0" w:line="46" w:lineRule="exact"/>
        <w:rPr>
          <w:sz w:val="20"/>
          <w:szCs w:val="20"/>
          <w:color w:val="auto"/>
        </w:rPr>
      </w:pPr>
    </w:p>
    <w:p>
      <w:pPr>
        <w:jc w:val="both"/>
        <w:ind w:left="300" w:right="299" w:hanging="8"/>
        <w:spacing w:after="0" w:line="255" w:lineRule="auto"/>
        <w:tabs>
          <w:tab w:leader="none" w:pos="560" w:val="left"/>
        </w:tabs>
        <w:numPr>
          <w:ilvl w:val="0"/>
          <w:numId w:val="241"/>
        </w:numPr>
        <w:rPr>
          <w:rFonts w:ascii="Arial" w:cs="Arial" w:eastAsia="Arial" w:hAnsi="Arial"/>
          <w:sz w:val="18"/>
          <w:szCs w:val="18"/>
          <w:u w:val="single" w:color="auto"/>
          <w:color w:val="auto"/>
        </w:rPr>
      </w:pPr>
      <w:r>
        <w:rPr>
          <w:rFonts w:ascii="Arial" w:cs="Arial" w:eastAsia="Arial" w:hAnsi="Arial"/>
          <w:sz w:val="18"/>
          <w:szCs w:val="18"/>
          <w:color w:val="auto"/>
        </w:rPr>
        <w:t>above, on the other hand. A task or delivery order under a Governmental Contract shall not constitute a separate Government Contract, for purposes of this definition, but shall be part of the Government Contract to which it relates.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Antitrust Authority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8.04(b)</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supranational, national, state, municipal, local, or foreign government (or any political subdivision thereof), any instrumentality, subdivision, department, legislative body, court, tribunal, administrative agency or commission, or other governmental authority, or any quasi-governmental or private body exercising any legislative, regulatory or other governmental or quasi-governmental authority (including any securities exchange).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regulated under or which can give rise to liability under Environmental Laws; and (b) any petroleum or petroleum-derived products, radon, radioactive materials or wastes, biological, medical or pharmaceutical waste, perfluoroalkyl and polyfluoroalkyl substances, asbestos in any form, lead or lead-containing materials, urea formaldehyde foam insulation, and polychlorinated biphenyls.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 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all obligations of such Person under the applicable governing documentation to pay principal, interest, penalties, fees, guarantees, reimbursements, damages, “make-whole” amounts, prepayment premiums, termination fees, costs of unwinding and other liabilities with respect to (i) indebtedness for borrowed money, whether current or funded, fixed or contingent, secured or unsecured, (ii) indebtedness evidenced by bonds, debentures, notes, mortgages or similar instruments or debt securities, (iii) leases that are required to be capitalized in accordance with GAAP under which such Person is the lessee, (iv) the deferred purchase price of goods or services, including earn outs (other than trade payables or accruals in the ordinary course of business consistent with past practice); (v) obligations under interest rate, currency swap, hedging, cap, collar or futures Contracts or other derivative instruments or agreements and any other arrangements designed to provide protection against fluctuations in interest or currency rates, (vi) obligations in respect of letters of credit and bankers’ acceptances (other than letters of credit used as security for leases),</w:t>
      </w:r>
    </w:p>
    <w:p>
      <w:pPr>
        <w:spacing w:after="0" w:line="4" w:lineRule="exact"/>
        <w:rPr>
          <w:sz w:val="20"/>
          <w:szCs w:val="20"/>
          <w:color w:val="auto"/>
        </w:rPr>
      </w:pPr>
    </w:p>
    <w:p>
      <w:pPr>
        <w:jc w:val="both"/>
        <w:ind w:left="300" w:right="299" w:hanging="8"/>
        <w:spacing w:after="0" w:line="253" w:lineRule="auto"/>
        <w:tabs>
          <w:tab w:leader="none" w:pos="68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liabilities under sale-and-leaseback transactions, agreements to repurchase securities sold and other similar financing transactions, and (viii) direct or indirect guarantees or other forms of credit support of obligations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of any Person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accounts payable to trade creditors and accrued expenses, in each case arising in the ordinary course of business consistent with past practice).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of the following arising pursuant to the Laws of any jurisdiction throughout the world: (a) trademarks, service marks, trade names, trade dress,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 (e) internet domain name registrations; (f) rights in software, data and databases; and (g) other intellectual property and related proprietary rights.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Companies Act</w:t>
      </w:r>
      <w:r>
        <w:rPr>
          <w:rFonts w:ascii="Arial" w:cs="Arial" w:eastAsia="Arial" w:hAnsi="Arial"/>
          <w:sz w:val="18"/>
          <w:szCs w:val="18"/>
          <w:color w:val="auto"/>
        </w:rPr>
        <w:t>” means the Irish Companies Act 2014,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Irish Takeover Code</w:t>
      </w:r>
      <w:r>
        <w:rPr>
          <w:rFonts w:ascii="Arial" w:cs="Arial" w:eastAsia="Arial" w:hAnsi="Arial"/>
          <w:sz w:val="17"/>
          <w:szCs w:val="17"/>
          <w:color w:val="auto"/>
        </w:rPr>
        <w:t>” means the Irish Takeover Panel Act 1997, Takeover Rules, 2013, as amended.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Company Employee</w:t>
      </w:r>
      <w:r>
        <w:rPr>
          <w:rFonts w:ascii="Arial" w:cs="Arial" w:eastAsia="Arial" w:hAnsi="Arial"/>
          <w:sz w:val="18"/>
          <w:szCs w:val="18"/>
          <w:color w:val="auto"/>
        </w:rPr>
        <w:t>” means each Company Employee with a title of Executive Vice President or higher and the President, Strategic Solutions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0" w:name="page251"/>
    <w:bookmarkEnd w:id="2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(a) with respect to the Company and its Subsidiaries, the actual knowledge after reasonable inquiry of each of the individuals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Company Disclosure Letter; and (b) with respect to Parent and its Subsidiaries, the actual knowledge after reasonable inquiry of each of the individuals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Parent Disclosure Letter.</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any national, federal, state, local, municipal, county, administrative, provincial, foreign, multi-national or other laws, statutes, constitutions, ordinances, rules, regulations, official administrative guidance, codes, treaties, Orders, certification standard, accreditation standard, Permit, or legally enforceable requirements enacted, issued, adopted, promulgated, enforced, ordered, applied, or otherwise put into effect by or under the authority of any Governmental Entity, or any common law of any jurisdiction.</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all leases, subleases, licenses, concessions, and other agreements (written or oral) under which a Person holds any Leased Real Estate, including the right to all security deposits and other amounts and instruments deposited by or on behalf of such Person or any of its Subsidiaries thereunder.</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Estate</w:t>
      </w:r>
      <w:r>
        <w:rPr>
          <w:rFonts w:ascii="Arial" w:cs="Arial" w:eastAsia="Arial" w:hAnsi="Arial"/>
          <w:sz w:val="18"/>
          <w:szCs w:val="18"/>
          <w:color w:val="auto"/>
        </w:rPr>
        <w:t>” means all leasehold or subleasehold estates and other rights to use or occupy any land, buildings, structures, improvements, fixtures, or other interest in real property held by a Person or any of its Subsidiaries.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Action</w:t>
      </w:r>
      <w:r>
        <w:rPr>
          <w:rFonts w:ascii="Arial" w:cs="Arial" w:eastAsia="Arial" w:hAnsi="Arial"/>
          <w:sz w:val="18"/>
          <w:szCs w:val="18"/>
          <w:color w:val="auto"/>
        </w:rPr>
        <w:t>” means any legal, administrative, judicial, arbitral, or other proceeding, suit, action, investigation, examination, claim, audit, hearing, charge, complaint, indictment, criminal prosecution, litigation, examination or any other method of settling disputes or disagreements or governmental investigation by, against, or before any Governmental Entity or non-governmental court, department, commission, board, bureau, agency, arbitrator or mediator or other instrumentality.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cost, Indebtedness, commitment or obligation of any kind (whether accrued, absolute, contingent, matured, unmatured, determined, determinable, liquidated or unliquidated or otherwise, and whether or not required to be recorded or reflected on a balance sheet under GAAP), including those arising under any Contract, Legal Action or Order.</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pledge, lien (statutory or other), mortgage, charge, encumbrance, hypothecation, option, community property interest, condition, equitable interest, encroachment, right of way, right of first refusal, right of first offer, security interest of any kind or nature whatsoever or restriction of any kind, including any restriction on use, voting, transfer, receipt of income or exercise of any other attribute of ownership.</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Non-Cooperation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6.04(e)</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means, with respect to any party, (i) any former, current or future equity holders, controlling persons, directors, officers, employees, agents, Affiliates, members, managers or general or limited partners of any of such Person, or (ii) any former, current or future stockholder, controlling person, director, officer, employee, general or limited partner, member, manager, Affiliate or agent of any of the foregoing Persons specified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Non-Recourse Party of any party shall not include such party itself.</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assessment, decision, injunction, decree, ruling, stipulation, award, determination, settlement, corporate integrity agreement, deferred prosecution agreement, subpoena, verdict or judgment entered, issued, made or rendered by any Governmental Entity or arbitrator, whether temporary, preliminary, or permanent.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1" w:name="page252"/>
    <w:bookmarkEnd w:id="2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Estate</w:t>
      </w:r>
      <w:r>
        <w:rPr>
          <w:rFonts w:ascii="Arial" w:cs="Arial" w:eastAsia="Arial" w:hAnsi="Arial"/>
          <w:sz w:val="18"/>
          <w:szCs w:val="18"/>
          <w:color w:val="auto"/>
        </w:rPr>
        <w:t>” means all land, together with all buildings, structures, fixtures, and improvements located thereon and all easements, rights of way, and appurtenances relating thereto, owned by a Person or any of its Subsidiaries.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Adverse Recommendation Change</w:t>
      </w:r>
      <w:r>
        <w:rPr>
          <w:rFonts w:ascii="Arial" w:cs="Arial" w:eastAsia="Arial" w:hAnsi="Arial"/>
          <w:sz w:val="17"/>
          <w:szCs w:val="17"/>
          <w:color w:val="auto"/>
        </w:rPr>
        <w:t>” means the Parent Board or any committee thereof: (a) withholding or withdrawing (or amending, modifying or materially qualifying, in a manner adverse to the Company), the Parent Board Recommendation; (b) failing to include the Parent Board Recommendation in the Proxy Statement/EGM Notice that is mailed to Parent’s shareholders; (c) adopting, approving or recommending a Parent Takeover Proposal; (d) failing to recommend against acceptance of any tender offer or exchange offer for the Parent Ordinary Shares within ten (10) Business Days after the commencement of such offer (within the meaning of Rule 14d-2 under the Exchange Act; (e) failing to reaffirm (publicly, if so requested by the Company) the Parent Board Recommendation within ten (10) Business Days after the date any Parent Takeover Proposal (or material modification thereto) is first publicly disclosed by Parent or the Person making such Parent Takeover Proposal; or (f) resolving, agreeing or publicly proposing to take any of the foregoing actions.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AGM</w:t>
      </w:r>
      <w:r>
        <w:rPr>
          <w:rFonts w:ascii="Arial" w:cs="Arial" w:eastAsia="Arial" w:hAnsi="Arial"/>
          <w:sz w:val="18"/>
          <w:szCs w:val="18"/>
          <w:color w:val="auto"/>
        </w:rPr>
        <w:t>” means an annual general meeting of the shareholders of Parent, whenever held.</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AGM Resolutions</w:t>
      </w:r>
      <w:r>
        <w:rPr>
          <w:rFonts w:ascii="Arial" w:cs="Arial" w:eastAsia="Arial" w:hAnsi="Arial"/>
          <w:sz w:val="16"/>
          <w:szCs w:val="16"/>
          <w:color w:val="auto"/>
        </w:rPr>
        <w:t>” means any and all resolutions relating to the following matters which may be proposed to the shareholders of Parent at a Parent AGM: (A) the election and/or re-election of any of the directors and/or secretary of the Parent; (B) the review, consideration and/or approval of the Parent’s annual accounts; (C) the appointment, removal or replacement of the auditors of the Parent; (D) the authority of the board of the directors of the Company to fix the remuneration of the auditors of the Parent; (E) the authority of the board of the directors of the Company to issue shares in the capital of the Parent up to an aggregate of 20% of the share capital of the Parent at the relevant time; (F) the authority of the board of the directors of the Company to issue shares in the capital of the Parent for cash, without having to offer shares to the existing shareholders on a pro rata basis, up to an aggregate of 5% of the share capital of the Parent at the relevant time; (G) the authority of the board of the directors of the Company to issue shares in the capital of the Parent for cash, without having to offer shares to the existing shareholders on a pro rata basis provided that the proceeds of any such share issuance are to be used only for the purposes of financing (or refinancing, if the authority is to be used within six months after the original transaction) an acquisition or other capital investment, up to an aggregate of 5% of the share capital of the Parent at the relevant time; (H) the authority of the Parent to buy-back (purchase) up to 10% of the outstanding share capital of the Parent; and (I) the authority of the Parent to reissue shares held as treasury shares.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and US Holdco Expenses</w:t>
      </w:r>
      <w:r>
        <w:rPr>
          <w:rFonts w:ascii="Arial" w:cs="Arial" w:eastAsia="Arial" w:hAnsi="Arial"/>
          <w:sz w:val="17"/>
          <w:szCs w:val="17"/>
          <w:color w:val="auto"/>
        </w:rPr>
        <w:t>” $100,000,000 (excluding any amounts in respect of VAT, if applicable).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and US Holdco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and US Holdco Termination Fee</w:t>
      </w:r>
      <w:r>
        <w:rPr>
          <w:rFonts w:ascii="Arial" w:cs="Arial" w:eastAsia="Arial" w:hAnsi="Arial"/>
          <w:sz w:val="18"/>
          <w:szCs w:val="18"/>
          <w:color w:val="auto"/>
        </w:rPr>
        <w:t>” means $388,000,000 (excluding any amounts in respect of VAT, if applicable).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5.04(e)</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5.03(d)(i)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COVID Action</w:t>
      </w:r>
      <w:r>
        <w:rPr>
          <w:rFonts w:ascii="Arial" w:cs="Arial" w:eastAsia="Arial" w:hAnsi="Arial"/>
          <w:sz w:val="17"/>
          <w:szCs w:val="17"/>
          <w:color w:val="auto"/>
        </w:rPr>
        <w:t>” means any COVID-19 Measure and any other reasonable action taken or omitted to be taken after the date of this Agreement that Parent reasonably determines to be necessary or prudent for Parent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Parent’s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Parent and its Subsidiaries; or (E) protecting the health and safety of customers, employees and other business relationships and ensuring compliance with any legal requirements.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2" w:name="page253"/>
    <w:bookmarkEnd w:id="2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means the disclosure letter, dated as of the date of this Agreement and delivered by Parent and Merger Sub to the Company concurrently with the execution of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Employee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Award</w:t>
      </w:r>
      <w:r>
        <w:rPr>
          <w:rFonts w:ascii="Arial" w:cs="Arial" w:eastAsia="Arial" w:hAnsi="Arial"/>
          <w:sz w:val="18"/>
          <w:szCs w:val="18"/>
          <w:color w:val="auto"/>
        </w:rPr>
        <w:t>” means a Parent Share Option or an award of Parent Restricted Shares or Parent Restricted Share Units, as the case may be.</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Conversion Price</w:t>
      </w:r>
      <w:r>
        <w:rPr>
          <w:rFonts w:ascii="Arial" w:cs="Arial" w:eastAsia="Arial" w:hAnsi="Arial"/>
          <w:sz w:val="18"/>
          <w:szCs w:val="18"/>
          <w:color w:val="auto"/>
        </w:rPr>
        <w:t>” means the volume weighed average price per Parent Ordinary Share as reported on the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Conversion Ratio</w:t>
      </w:r>
      <w:r>
        <w:rPr>
          <w:rFonts w:ascii="Arial" w:cs="Arial" w:eastAsia="Arial" w:hAnsi="Arial"/>
          <w:sz w:val="18"/>
          <w:szCs w:val="18"/>
          <w:color w:val="auto"/>
        </w:rPr>
        <w:t>” means the ratio equal to (i) the Per Share Cash Equivalent Consideration, divided by (ii) the Parent Equity Conversion Price.</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ERISA Affiliate</w:t>
      </w:r>
      <w:r>
        <w:rPr>
          <w:rFonts w:ascii="Arial" w:cs="Arial" w:eastAsia="Arial" w:hAnsi="Arial"/>
          <w:sz w:val="18"/>
          <w:szCs w:val="18"/>
          <w:color w:val="auto"/>
        </w:rPr>
        <w:t>” means all employers, trades, or businesses (whether or not incorporated) that would be treated together with Parent or any of its Affiliates as a “single employer” within the meaning of Section 414 of the Code.</w:t>
      </w:r>
    </w:p>
    <w:p>
      <w:pPr>
        <w:spacing w:after="0" w:line="76"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xml:space="preserve">” means a material development or change in circumstance that occurs or arises after the date of this Agreement that was not known to or reasonably foreseeable by the Parent Board as of the date of this Agreement (or, if known or reasonably foreseeable, the magnitude or material consequences of which were not known or reasonably foreseeable by the Parent Board as of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(i) the receipt, existence or terms of an actual or possible Parent Takeover Proposal, (ii) any Effect relating to the Company or any of its Subsidiaries that does not amount to a Material Adverse Effect, individually or in the aggregate, (iii) any change in the credit rating of Parent or the market price or trading volume of the Parent Ordinary Shares (it being understood that the underlying facts giving rise or contributing to such change may be taken into account in determining whether there has been a Parent Intervening Event, to the extent otherwise permitted by this definition), (iv) the fact that Parent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Parent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Parent Intervening Event.</w:t>
      </w: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Intervening Event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7.02(e)(ii)</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5.07(a)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3" w:name="page254"/>
    <w:bookmarkEnd w:id="2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IP Agreements</w:t>
      </w:r>
      <w:r>
        <w:rPr>
          <w:rFonts w:ascii="Arial" w:cs="Arial" w:eastAsia="Arial" w:hAnsi="Arial"/>
          <w:sz w:val="17"/>
          <w:szCs w:val="17"/>
          <w:color w:val="auto"/>
        </w:rPr>
        <w:t>” means all licenses, sublicenses, consent to use agreements, settlements, coexistence agreements, covenants not to sue, waivers, releases, permissions, and other legally binding Contracts, whether written or oral, relating to Intellectual Property and to which Parent or any of its Subsidiaries is a party, beneficiary, or otherwise bound, other than non-exclusive licenses granted by Parent or any of its Subsidiaries pursuant to customer Contracts entered into in the ordinary course of business.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IT Systems</w:t>
      </w:r>
      <w:r>
        <w:rPr>
          <w:rFonts w:ascii="Arial" w:cs="Arial" w:eastAsia="Arial" w:hAnsi="Arial"/>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Parent or any of its Subsidiaries, and all associated documentation.</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that has, or would reasonably be expected to individually or in the aggregate with one or more Effects, a material adverse effect on the business, results of operations, or financial condition, of Parent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Effect to the extent, directly or indirectly, resulting or arising from or related to any of the following shall be deemed to constitute a Parent Material Adverse Effect, or be taken into account, in whole or in part, in determining whether a Parent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Parent and its Subsidiaries with employees, suppliers, customers, Governmental Entities, or other third Persons (it being understood and agreed that this clause shall not apply with respect to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5.03(c)</w:t>
      </w:r>
      <w:r>
        <w:rPr>
          <w:rFonts w:ascii="Arial" w:cs="Arial" w:eastAsia="Arial" w:hAnsi="Arial"/>
          <w:sz w:val="16"/>
          <w:szCs w:val="16"/>
          <w:color w:val="auto"/>
        </w:rPr>
        <w:t xml:space="preserve">); (iii) 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Parent and its Subsidiaries operate; (vii) any failure, in and of itself, by Parent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Parent Material Adverse Effect, to the extent permitted by this definition and not otherwise excepted by another clause of this proviso); (viii) any change, in and of itself, in the market price or trading volume of Parent’s securities or in its credit ratings (it being understood that the facts or occurrences giving rise to or contributing to such change may be deemed to constitute, or be taken into account in determining whether there has been or would reasonably be expected to become, a Parent Material Adverse Effect, to the extent permitted by this definition and not otherwise excepted by another clause of this proviso); or (ix) actions taken as required by the Agreement or actions or omissions taken with Parent’s consent;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Effect resulting from any event, change, and effect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immediately above (excluding any Effect arising from, resulting from or related to COVID-19 or any COVID-19 Measure) shall be taken into account in determining whether a Parent Material Adverse Effect has occurred or would reasonably be expected to occur to the extent that such event, change, or effect has a disproportionate effect on Parent and its Subsidiaries, taken as a whole, compared to other participants in the industries in which Parent and its Subsidiaries conduct their businesses.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Ordinary Shares</w:t>
      </w:r>
      <w:r>
        <w:rPr>
          <w:rFonts w:ascii="Arial" w:cs="Arial" w:eastAsia="Arial" w:hAnsi="Arial"/>
          <w:sz w:val="18"/>
          <w:szCs w:val="18"/>
          <w:color w:val="auto"/>
        </w:rPr>
        <w:t>” has the meaning set forth in the Recitals.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Parent-Owned IP</w:t>
      </w:r>
      <w:r>
        <w:rPr>
          <w:rFonts w:ascii="Arial" w:cs="Arial" w:eastAsia="Arial" w:hAnsi="Arial"/>
          <w:sz w:val="17"/>
          <w:szCs w:val="17"/>
          <w:color w:val="auto"/>
        </w:rPr>
        <w:t>” means all Intellectual Property purportedly owned by Parent or any of its Subsidiaries.</w:t>
      </w:r>
    </w:p>
    <w:p>
      <w:pPr>
        <w:spacing w:after="0" w:line="12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Performance Share Unit</w:t>
      </w:r>
      <w:r>
        <w:rPr>
          <w:rFonts w:ascii="Arial" w:cs="Arial" w:eastAsia="Arial" w:hAnsi="Arial"/>
          <w:sz w:val="16"/>
          <w:szCs w:val="16"/>
          <w:color w:val="auto"/>
        </w:rPr>
        <w:t>” means any restricted share unit representing the right to receive Parent Ordinary Shares subject to performance-based vesting or other restrictions granted under any Parent Share Plan.</w:t>
      </w:r>
    </w:p>
    <w:p>
      <w:pPr>
        <w:spacing w:after="0" w:line="1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Restricted Share Unit</w:t>
      </w:r>
      <w:r>
        <w:rPr>
          <w:rFonts w:ascii="Arial" w:cs="Arial" w:eastAsia="Arial" w:hAnsi="Arial"/>
          <w:sz w:val="18"/>
          <w:szCs w:val="18"/>
          <w:color w:val="auto"/>
        </w:rPr>
        <w:t>” means any restricted share unit representing the right to receive Parent Ordinary Shares subject to vesting or other restrictions granted under any Parent Share Plan.</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Restricted Shares</w:t>
      </w:r>
      <w:r>
        <w:rPr>
          <w:rFonts w:ascii="Arial" w:cs="Arial" w:eastAsia="Arial" w:hAnsi="Arial"/>
          <w:sz w:val="18"/>
          <w:szCs w:val="18"/>
          <w:color w:val="auto"/>
        </w:rPr>
        <w:t>” means any Parent Ordinary Shares subject to vesting, repurchase, or other lapse of restrictions granted under any Parent Share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4" w:name="page255"/>
    <w:bookmarkEnd w:id="25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5.02(b)(ii)</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Option</w:t>
      </w:r>
      <w:r>
        <w:rPr>
          <w:rFonts w:ascii="Arial" w:cs="Arial" w:eastAsia="Arial" w:hAnsi="Arial"/>
          <w:sz w:val="18"/>
          <w:szCs w:val="18"/>
          <w:color w:val="auto"/>
        </w:rPr>
        <w:t>” means any option to purchase Parent Ordinary Shares granted under any Parent Share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Plan</w:t>
      </w:r>
      <w:r>
        <w:rPr>
          <w:rFonts w:ascii="Arial" w:cs="Arial" w:eastAsia="Arial" w:hAnsi="Arial"/>
          <w:sz w:val="18"/>
          <w:szCs w:val="18"/>
          <w:color w:val="auto"/>
        </w:rPr>
        <w:t>” means, in each case as amended, any stock option, stock incentive, stock award, management incentive or other equity compensation plan or agreement sponsored or maintained (including, from and after the Effective Time, any Company Stock Plan assumed at the Effective Time) by Parent or any Subsidiary of Parent.</w:t>
      </w:r>
    </w:p>
    <w:p>
      <w:pPr>
        <w:spacing w:after="0" w:line="7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Shareholders Meeting</w:t>
      </w:r>
      <w:r>
        <w:rPr>
          <w:rFonts w:ascii="Arial" w:cs="Arial" w:eastAsia="Arial" w:hAnsi="Arial"/>
          <w:sz w:val="16"/>
          <w:szCs w:val="16"/>
          <w:color w:val="auto"/>
        </w:rPr>
        <w:t>” means the extraordinary general meeting of the shareholders of Parent to be held to consider the approval of the grant of authority to the Parent Board to effect the Parent Share Issuance.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Takeover Proposal</w:t>
      </w:r>
      <w:r>
        <w:rPr>
          <w:rFonts w:ascii="Arial" w:cs="Arial" w:eastAsia="Arial" w:hAnsi="Arial"/>
          <w:sz w:val="17"/>
          <w:szCs w:val="17"/>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relating to, or that would reasonably be expected to lead to, in one transaction or a series of related transactions, any: (a) direct or indirect acquisition of assets of Parent or its Subsidiaries (including any voting equity interests of Subsidiaries, but excluding sales of assets in the ordinary course of business consistent with past practice) equal to 15% or more of the fair market value of Parent’s and its Subsidiaries’ consolidated assets, taken as a whole, or to which 15% or more of Parent’s and its Subsidiaries’ revenue, income or EBITDA on a consolidated basis, taken as a whole, are attributable; (b) direct or indirect acquisition of 15% or more of the voting equity interests of Parent or any of its Subsidiaries whose business constitutes 15% or more of the consolidated revenues, income, EBITDA or assets of Parent and its Subsidiaries, taken as a whole; (c) tender offer, exchange offer or scheme of arrangement that if consummated would result in any Person or group (as defined in Section 13(d) of the Exchange Act) beneficially owning (within the meaning of Section 13(d) of the Exchange Act) 15% or more of the voting power of Parent; (d) merger, consolidation, joint venture, partnership, consolidation, dissolution, liquidation, tender offer, recapitalization, reorganization, spin-off, share exchange, acquisition, license agreement, other business combination, or similar transaction involving Parent or any of its Subsidiaries, pursuant to which such Person or group (as defined in Section 13(d) of the Exchange Act) would own 15% or more of the consolidated revenues, income, or assets of Parent and its Subsidiaries, taken as a whole; (e) liquidation, dissolution (or the adoption of a plan of liquidation or dissolution), or recapitalization or other significant corporate reorganization of Parent or one or more of its Subsidiaries which, individually or in the aggregate, generate or constitute 15% or more of the consolidated revenues, income, or assets of Parent and its Subsidiaries, taken as a whole; or (f) any combination of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Voting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5.02(c)</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4.12(d</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means the sum of: (i) the Cash Consideration plus (ii) the product obtained by multiplying (x) the Exchange Ratio by (y) the Parent Equity Conversion Price.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permits, licenses, registrations, certificates, variances, clearances, consents, commissions, franchises, exemptions, Orders, authorizations, approvals, qualifications and filings or notices issued by, obtained from or filed with any Governmental Entity.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Liens for current ad valorem property Taxes not yet due and payable;</w:t>
      </w:r>
    </w:p>
    <w:p>
      <w:pPr>
        <w:spacing w:after="0" w:line="23" w:lineRule="exact"/>
        <w:rPr>
          <w:sz w:val="20"/>
          <w:szCs w:val="20"/>
          <w:color w:val="auto"/>
        </w:rPr>
      </w:pPr>
    </w:p>
    <w:p>
      <w:pPr>
        <w:jc w:val="both"/>
        <w:ind w:left="300" w:right="299" w:hanging="8"/>
        <w:spacing w:after="0" w:line="267" w:lineRule="auto"/>
        <w:tabs>
          <w:tab w:leader="none" w:pos="56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mechanics’, carriers’, workers’, repairers’, and similar statutory Liens arising or incurred in the ordinary course of business for amounts which are not delinquent or which are being contested by appropriate proceedings (provided appropriate reserves required pursuant to GAAP have been made in respect thereof); (c) zoning, entitlement, building, and other land use regulations imposed by Governmental Entities having jurisdiction over such Person’s owned or leased real property, which are not violated by the current use and operation of such real property; (d) covenants, conditions, restrictions, easements, and other similar non-monetary matters of record affecting title to such Person’s owned or leased real property, which do not materially impair the occupancy or use of such real property for the purposes for which it is currently used in connection with such Person’s businesses; (e) any right of way or easement related to public roads and highways, which do not materially impair the occupancy or use of such real property for the purposes for which it is currently used in connection with such Person’s businesses; (f) Liens arising 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5" w:name="page256"/>
    <w:bookmarkEnd w:id="25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workers’ compensation, unemployment insurance, social security, retirement, and similar legislation; (g) non-exclusive licenses or sublicenses of Intellectual Property (h) Liens which are disclosed on the Company Balance Sheet, in the case of the Company, and Parent Balance Sheet, in the case of Parent; and (i) Liens incurred in the ordinary course of business that would not reasonably be expected to interfere adversely in a material way with the use of the properties or assets encumbered thereby.</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or general partnership, limited liability company, limited liability partnership, trust, association, joint venture, Governmental Entity, or other entity or group (which term will include a “group” as such term is defined in Section 13(d)(3) of the Exchange Act).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Statement/EGM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means Owned Real Estate and Leased Real Estate.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or within, from or into any building, structure, facility or fixture.</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such Person’s directors, members, managers, officers, employees, investment bankers, attorneys, accountants, consultants, or other agents, advisors or representatives.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Parent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Amendments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7.06(a)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including the rules and regulations promulgated thereunder.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limited liability company, or other business entity of which a majority of the shares of voting securities is at the time beneficially owned, or the management of which is otherwise controlled, directly or indirectly, through one or more intermediaries, or both, by such Person.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Subsidiary-Held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Take-Out Financing</w:t>
      </w:r>
      <w:r>
        <w:rPr>
          <w:rFonts w:ascii="Arial" w:cs="Arial" w:eastAsia="Arial" w:hAnsi="Arial"/>
          <w:sz w:val="16"/>
          <w:szCs w:val="16"/>
          <w:color w:val="auto"/>
        </w:rPr>
        <w:t>” means any borrowings under any Parent credit facilities or any offering of debt or equity securities by Parent or any of its Affiliates, all or a portion of which will be used to fund the Merger Consideration or any other amounts payable pursuant to this Agreement in lieu of all or a portion of the Debt Financing, and which</w:t>
      </w:r>
    </w:p>
    <w:p>
      <w:pPr>
        <w:spacing w:after="0" w:line="2" w:lineRule="exact"/>
        <w:rPr>
          <w:sz w:val="20"/>
          <w:szCs w:val="20"/>
          <w:color w:val="auto"/>
        </w:rPr>
      </w:pPr>
    </w:p>
    <w:p>
      <w:pPr>
        <w:jc w:val="both"/>
        <w:ind w:left="300" w:right="299" w:hanging="8"/>
        <w:spacing w:after="0" w:line="270" w:lineRule="auto"/>
        <w:tabs>
          <w:tab w:leader="none" w:pos="55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is subject to conditions no more restrictive than the conditions to the receipt of the Debt Financing set forth in the Commitment Letter (without giving effect to any Restricted Amendment) (or for which proceeds have been received and constitute Escrowed Take-Out Financing Proceeds), (y) would not have terms which would reasonably be expected to delay or prevent the Closing Date and (z) would not reduce the aggregate amount of the Debt Financing, such Take-Out Financing and Parent’s and Merger Sub’s cash and cash equivalents on hand (including any Escrowed Take-Out Financing Proceeds) below the Required Amount.</w:t>
      </w:r>
    </w:p>
    <w:p>
      <w:pPr>
        <w:spacing w:after="0" w:line="70"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(i) all federal, state, local, non-U.S. or other taxes, duties, imposts, levies, assessments, withholdings or similar charges imposed by any Governmental Entity, including all income, corporation, alternative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6" w:name="page257"/>
    <w:bookmarkEnd w:id="25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minimum, gross receipts, capital, sales, use, consumption, business, ad valorem, VAT, transfer, stamp duty, franchise, profits, inventory, capital stock, license, withholding (including backup withholding), payroll, employment, unemployment, disability, social security, national insurance, excise, severance, stamp, occupation, registration, documentary, environmental, goods and services, property, customs duties and estimated taxes and</w:t>
      </w:r>
    </w:p>
    <w:p>
      <w:pPr>
        <w:spacing w:after="0" w:line="1" w:lineRule="exact"/>
        <w:rPr>
          <w:sz w:val="20"/>
          <w:szCs w:val="20"/>
          <w:color w:val="auto"/>
        </w:rPr>
      </w:pPr>
    </w:p>
    <w:p>
      <w:pPr>
        <w:jc w:val="both"/>
        <w:ind w:left="300" w:right="299" w:hanging="8"/>
        <w:spacing w:after="0" w:line="323" w:lineRule="auto"/>
        <w:tabs>
          <w:tab w:leader="none" w:pos="59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all interest, penalties, additions to tax or other additional amounts imposed by any Governmental Entity in connection with any item described in clause (i), in each case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whether disputed or not.</w:t>
      </w:r>
    </w:p>
    <w:p>
      <w:pPr>
        <w:spacing w:after="0" w:line="3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original, amended or estimated return, statement, report, election, declaration, disclosure, schedule, form or other document or statement (including any claim for refund, information return or report or country-by-country report) filed or required to be filed with any Taxing Authority, including any schedules, annexes, attachments or supplements to any of the foregoing.</w:t>
      </w:r>
    </w:p>
    <w:p>
      <w:pPr>
        <w:spacing w:after="0" w:line="7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Sharing Obligation</w:t>
      </w:r>
      <w:r>
        <w:rPr>
          <w:rFonts w:ascii="Arial" w:cs="Arial" w:eastAsia="Arial" w:hAnsi="Arial"/>
          <w:sz w:val="18"/>
          <w:szCs w:val="18"/>
          <w:color w:val="auto"/>
        </w:rPr>
        <w:t>” means any obligation with respect to the sharing, allocation, indemnification, reimbursement, responsibility for or payment of any Taxes or any Tax benefits between the Company or any of its Subsidiaries, on one hand, and any other Person on the other hand (whether contained in an agreement primarily related to Taxes or as part of a larger commercial agreement not primarily related to Taxes), excluding any Commercial Tax Obligation.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jurisdiction with respect to any Tax matter.</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“group” (as defined under Section 13(d) of the Exchange Act) of Persons, other than Parent, Merger Sub, the Company or any of their respective Affiliates or Representatives (solely in their capacity as such).</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means any claim or Legal Action against either the Company or Parent or any of their respective directors or officers (including any class action or derivative litigation) relating, directly or indirectly, to the Agreement, the Merger or the other transactions contemplated hereby, including disclosures made under securities laws and regulations related thereto.</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under the Code, as amended from time to time.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USRPHC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imposed elsewhere.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with respect to any representation, warranty, agreement or covenant in this Agreement, an intentional act or intentional omission (including a failure to cure circumstances) where the breaching party knows (or reasonably should have known) such action or omission is, would or would reasonably be expected to result in a breach of this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Merger</w:t>
      </w:r>
      <w:r>
        <w:rPr>
          <w:rFonts w:ascii="Arial" w:cs="Arial" w:eastAsia="Arial" w:hAnsi="Arial"/>
          <w:sz w:val="17"/>
          <w:szCs w:val="17"/>
          <w:color w:val="auto"/>
        </w:rPr>
        <w:t>. On the terms and subject to the conditions set forth in this Agreement, and in accordance with the DGCL, at the Effective Time: (i) Merger Sub will merge with and into the Company; (ii) the separate corporate existence of Merger Sub will cease; and (iii) the Company will continue its corporate existence under the DGCL as the surviving corporation in the Merger and a wholly owned Subsidiary of Parent and US Holdco (sometimes referred to herein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w:t>
      </w:r>
      <w:r>
        <w:rPr>
          <w:rFonts w:ascii="Arial" w:cs="Arial" w:eastAsia="Arial" w:hAnsi="Arial"/>
          <w:sz w:val="16"/>
          <w:szCs w:val="16"/>
          <w:color w:val="auto"/>
        </w:rPr>
        <w:t>. Upon the terms and subject to the conditions set forth herein,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will take place as soon as practicable (and, in any event, within five (5) Business Days) after the satisfaction or, to the extent permitted hereunder, waiver of all conditions to the Merger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7" w:name="page258"/>
    <w:bookmarkEnd w:id="25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than those conditions that by their nature are to be satisfied at the Closing, but subject to the satisfaction or, to the extent permitted hereunder, waiver of all such conditions), or such other time or date mutually agreed to in writing by the parties hereto;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notwithstanding the foregoing, in no event shall the Closing occur prior to July 1, 2021. The Closing shall take place at the offices of Cahill Gordon &amp; Reindel LLP, 32 Old Slip, New York, New York 10005, or remotely by exchange of documents and signatures (or their electronic counterparts), unless another place is mutually agreed to in writing by the parties hereto. The actual date of the Closing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provisions of this Agreement, on the Closing Date, the Company and Merger Sub will cause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 be executed, acknowledged, and filed with the Secretary of State of the State of Delaware in accordance with the relevant provisions of the DGCL and shall make all other filings or recordings required under the DGCL. The Merger will become effective at such time as the Certificate of Merger has been duly filed with the Secretary of State of the State of Delaware or at such later date or time as may be agreed by the Company, Parent and US Holdco in writing and specified in the Certificate of Merger in accordance with the DGCL (the effective time of the Merger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84"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Effect of the Merger</w:t>
      </w:r>
      <w:r>
        <w:rPr>
          <w:rFonts w:ascii="Arial" w:cs="Arial" w:eastAsia="Arial" w:hAnsi="Arial"/>
          <w:sz w:val="17"/>
          <w:szCs w:val="17"/>
          <w:color w:val="auto"/>
        </w:rPr>
        <w:t>. The Merger shall have the effects set forth in this Agreement and in the applicable provisions of the DGCL. Without limiting the generality of the foregoing, and subject thereto from and after the Effective Time, the effects of the Merger shall be that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Organizational Documents of the Surviving Corporation</w:t>
      </w:r>
      <w:r>
        <w:rPr>
          <w:rFonts w:ascii="Arial" w:cs="Arial" w:eastAsia="Arial" w:hAnsi="Arial"/>
          <w:sz w:val="17"/>
          <w:szCs w:val="17"/>
          <w:color w:val="auto"/>
        </w:rPr>
        <w:t xml:space="preserve">. (i) At the Effective Time and without any further action by the Company or Merger Sub, the certificate of incorporation of the Company, as in effect immediately prior to the Effective Time, shall be amended and restated in its entirety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as so amended and restated, will be the certificate of incorporation of the Surviving Corporation until thereafter amended in accordance with the terms thereof or as provided by applicable Law; and (ii) the parties hereto shall take all necessary action such that the bylaws of the Surviving Corporation, as in effect immediately prior to the Effective Time, shall be amended and restated as of the Effective Time to be in the form of the bylaws of Merger Sub immediately prior to the Effective Time, except that references to Merger Sub’s name shall be replaced with references to the name of the Surviving Corporation.</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 The directors and officers of Merger Sub, in each case, immediately prior to the Effective Time shall, from and after the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THE MERGER ON CAPITAL STOCK; EXCHANGE OF CERTIFICATES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Effect of the Merger on Capital Stock</w:t>
      </w:r>
      <w:r>
        <w:rPr>
          <w:rFonts w:ascii="Arial" w:cs="Arial" w:eastAsia="Arial" w:hAnsi="Arial"/>
          <w:sz w:val="18"/>
          <w:szCs w:val="18"/>
          <w:color w:val="auto"/>
        </w:rPr>
        <w:t>. At the Effective Time, as a result of the Merger and without any action on the part of Parent, US Holdco, Merger Sub, or the Company or the holder of any capital stock of Parent, US Holdco, Merger Sub, or the Company:</w:t>
      </w:r>
    </w:p>
    <w:p>
      <w:pPr>
        <w:spacing w:after="0" w:line="76" w:lineRule="exact"/>
        <w:rPr>
          <w:sz w:val="20"/>
          <w:szCs w:val="20"/>
          <w:color w:val="auto"/>
        </w:rPr>
      </w:pPr>
    </w:p>
    <w:p>
      <w:pPr>
        <w:jc w:val="both"/>
        <w:ind w:left="660" w:right="299" w:firstLine="352"/>
        <w:spacing w:after="0" w:line="259" w:lineRule="auto"/>
        <w:tabs>
          <w:tab w:leader="none" w:pos="1399"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Cancellation of Certain Company Common Stock</w:t>
      </w:r>
      <w:r>
        <w:rPr>
          <w:rFonts w:ascii="Arial" w:cs="Arial" w:eastAsia="Arial" w:hAnsi="Arial"/>
          <w:sz w:val="18"/>
          <w:szCs w:val="18"/>
          <w:color w:val="auto"/>
        </w:rPr>
        <w:t>. Each share of Company Common Stock that is owned by Parent, US Holdco or the Company (as treasury stock or otherwise) as of immediately prior to the Effective Time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will automatically be cancelled and retired and will cease to exist, and no consideration will be delivered in exchange therefor.</w:t>
      </w:r>
    </w:p>
    <w:p>
      <w:pPr>
        <w:spacing w:after="0" w:line="78" w:lineRule="exact"/>
        <w:rPr>
          <w:rFonts w:ascii="Arial" w:cs="Arial" w:eastAsia="Arial" w:hAnsi="Arial"/>
          <w:sz w:val="18"/>
          <w:szCs w:val="18"/>
          <w:color w:val="auto"/>
        </w:rPr>
      </w:pPr>
    </w:p>
    <w:p>
      <w:pPr>
        <w:jc w:val="both"/>
        <w:ind w:left="660" w:right="299" w:firstLine="352"/>
        <w:spacing w:after="0" w:line="296" w:lineRule="auto"/>
        <w:tabs>
          <w:tab w:leader="none" w:pos="1410"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Each share of Company Common Stock issued and outstanding immediately prior to the Effective Time (other than Cancelled Shares, Dissenting Shares and Subsidiary-Held Shares) will be cancelled and converted into the right to receive: (i) from Parent, 0.4125 of one Parent Ordinary Share (the “</w:t>
      </w:r>
      <w:r>
        <w:rPr>
          <w:rFonts w:ascii="Arial" w:cs="Arial" w:eastAsia="Arial" w:hAnsi="Arial"/>
          <w:sz w:val="16"/>
          <w:szCs w:val="16"/>
          <w:u w:val="single" w:color="auto"/>
          <w:color w:val="auto"/>
        </w:rPr>
        <w:t>Share Consideration</w:t>
      </w:r>
      <w:r>
        <w:rPr>
          <w:rFonts w:ascii="Arial" w:cs="Arial" w:eastAsia="Arial" w:hAnsi="Arial"/>
          <w:sz w:val="16"/>
          <w:szCs w:val="16"/>
          <w:color w:val="auto"/>
        </w:rPr>
        <w:t>” and such ratio, the “</w:t>
      </w:r>
      <w:r>
        <w:rPr>
          <w:rFonts w:ascii="Arial" w:cs="Arial" w:eastAsia="Arial" w:hAnsi="Arial"/>
          <w:sz w:val="16"/>
          <w:szCs w:val="16"/>
          <w:u w:val="single" w:color="auto"/>
          <w:color w:val="auto"/>
        </w:rPr>
        <w:t>Exchange Ratio</w:t>
      </w:r>
      <w:r>
        <w:rPr>
          <w:rFonts w:ascii="Arial" w:cs="Arial" w:eastAsia="Arial" w:hAnsi="Arial"/>
          <w:sz w:val="16"/>
          <w:szCs w:val="16"/>
          <w:color w:val="auto"/>
        </w:rPr>
        <w:t>”); (ii) from US Holdco and the Surviving Corporation $80.00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and together with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8" w:name="page259"/>
    <w:bookmarkEnd w:id="25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Share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(iii) from Parent, any cash in lieu of fractional Parent Ordinary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(iv) from Parent, any dividends or other distributions to which the holder thereof becomes entitled to upon the surrender of such shares of Company Common Stock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w:t>
      </w:r>
    </w:p>
    <w:p>
      <w:pPr>
        <w:spacing w:after="0" w:line="79" w:lineRule="exact"/>
        <w:rPr>
          <w:sz w:val="20"/>
          <w:szCs w:val="20"/>
          <w:color w:val="auto"/>
        </w:rPr>
      </w:pPr>
    </w:p>
    <w:p>
      <w:pPr>
        <w:jc w:val="both"/>
        <w:ind w:left="660" w:right="299" w:firstLine="352"/>
        <w:spacing w:after="0" w:line="271" w:lineRule="auto"/>
        <w:tabs>
          <w:tab w:leader="none" w:pos="1399"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Conversion of Subsidiary-Held Shares</w:t>
      </w:r>
      <w:r>
        <w:rPr>
          <w:rFonts w:ascii="Arial" w:cs="Arial" w:eastAsia="Arial" w:hAnsi="Arial"/>
          <w:sz w:val="17"/>
          <w:szCs w:val="17"/>
          <w:color w:val="auto"/>
        </w:rPr>
        <w:t>. All shares of Company Common Stock owned by any direct or indirect wholly owned Subsidiary of the Company or any direct or indirect wholly owned Subsidiary of Parent other than US Holdco immediately prior to the Effective Time (“</w:t>
      </w:r>
      <w:r>
        <w:rPr>
          <w:rFonts w:ascii="Arial" w:cs="Arial" w:eastAsia="Arial" w:hAnsi="Arial"/>
          <w:sz w:val="17"/>
          <w:szCs w:val="17"/>
          <w:u w:val="single" w:color="auto"/>
          <w:color w:val="auto"/>
        </w:rPr>
        <w:t>Subsidiary-Held Shares</w:t>
      </w:r>
      <w:r>
        <w:rPr>
          <w:rFonts w:ascii="Arial" w:cs="Arial" w:eastAsia="Arial" w:hAnsi="Arial"/>
          <w:sz w:val="17"/>
          <w:szCs w:val="17"/>
          <w:color w:val="auto"/>
        </w:rPr>
        <w:t>”) shall be converted automatically into that number (which may be a fraction less than one) of newly issued, fully paid and nonassessable share(s) of common stock, par value $0.01 per share, of the Surviving Corporation (“</w:t>
      </w:r>
      <w:r>
        <w:rPr>
          <w:rFonts w:ascii="Arial" w:cs="Arial" w:eastAsia="Arial" w:hAnsi="Arial"/>
          <w:sz w:val="17"/>
          <w:szCs w:val="17"/>
          <w:u w:val="single" w:color="auto"/>
          <w:color w:val="auto"/>
        </w:rPr>
        <w:t>Surviving Corporation Common Stock</w:t>
      </w:r>
      <w:r>
        <w:rPr>
          <w:rFonts w:ascii="Arial" w:cs="Arial" w:eastAsia="Arial" w:hAnsi="Arial"/>
          <w:sz w:val="17"/>
          <w:szCs w:val="17"/>
          <w:color w:val="auto"/>
        </w:rPr>
        <w:t>”) that represents the same percentage interest in the Surviving Corporation Common Stock immediately after the Merger as such Subsidiary-Held Shares represented in the Company Common Stock immediately prior to the Merger.</w:t>
      </w:r>
    </w:p>
    <w:p>
      <w:pPr>
        <w:spacing w:after="0" w:line="70" w:lineRule="exact"/>
        <w:rPr>
          <w:rFonts w:ascii="Arial" w:cs="Arial" w:eastAsia="Arial" w:hAnsi="Arial"/>
          <w:sz w:val="17"/>
          <w:szCs w:val="17"/>
          <w:color w:val="auto"/>
        </w:rPr>
      </w:pPr>
    </w:p>
    <w:p>
      <w:pPr>
        <w:jc w:val="both"/>
        <w:ind w:left="660" w:right="299" w:firstLine="352"/>
        <w:spacing w:after="0" w:line="284" w:lineRule="auto"/>
        <w:tabs>
          <w:tab w:leader="none" w:pos="1410"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Cancellation of Shares</w:t>
      </w:r>
      <w:r>
        <w:rPr>
          <w:rFonts w:ascii="Arial" w:cs="Arial" w:eastAsia="Arial" w:hAnsi="Arial"/>
          <w:sz w:val="16"/>
          <w:szCs w:val="16"/>
          <w:color w:val="auto"/>
        </w:rPr>
        <w:t xml:space="preserve">. At the Effective Time, all shares of Company Common Stock will no longer be outstanding and all shares of Company Common Stock will be cancelled and retired and will cease to exist, and,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each holder of: (i) a certificate formerly representing any shares of Company Common Stock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book-entry shares which immediately prior to the Effective Time represented shares of Company Common Stock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will, subject to applicable Law in the case of Dissenting Shares, cease to have any rights with respect thereto, except the right to receive</w:t>
      </w:r>
    </w:p>
    <w:p>
      <w:pPr>
        <w:spacing w:after="0" w:line="4" w:lineRule="exact"/>
        <w:rPr>
          <w:rFonts w:ascii="Arial" w:cs="Arial" w:eastAsia="Arial" w:hAnsi="Arial"/>
          <w:sz w:val="16"/>
          <w:szCs w:val="16"/>
          <w:color w:val="auto"/>
        </w:rPr>
      </w:pPr>
    </w:p>
    <w:p>
      <w:pPr>
        <w:jc w:val="both"/>
        <w:ind w:left="660" w:right="299" w:hanging="8"/>
        <w:spacing w:after="0" w:line="253" w:lineRule="auto"/>
        <w:tabs>
          <w:tab w:leader="none" w:pos="96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the Merger Consideration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hereof, (B) any cash in lieu of fractional Parent Ordinary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(C) any dividends or other distributions to which the holder thereof becomes entitled to upon the surrender of such shares of Company Common Stock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299" w:firstLine="352"/>
        <w:spacing w:after="0" w:line="271" w:lineRule="auto"/>
        <w:tabs>
          <w:tab w:leader="none" w:pos="1399"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Conversion of Merger Sub Capital Stock</w:t>
      </w:r>
      <w:r>
        <w:rPr>
          <w:rFonts w:ascii="Arial" w:cs="Arial" w:eastAsia="Arial" w:hAnsi="Arial"/>
          <w:sz w:val="17"/>
          <w:szCs w:val="17"/>
          <w:color w:val="auto"/>
        </w:rPr>
        <w:t>. Each share of common stock, par value $0.01 per share, of Merger Sub issued and outstanding immediately prior to the Effective Time shall be cancelled and converted into and become one newly issued, fully paid, and non-assessable share of Surviving Corporation Common Stock with the same rights, powers, and privileges as the shares so cancelled and converted and shall constitute the only outstanding shares of capital stock of the Surviving Corporation.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spacing w:after="0" w:line="70" w:lineRule="exact"/>
        <w:rPr>
          <w:rFonts w:ascii="Arial" w:cs="Arial" w:eastAsia="Arial" w:hAnsi="Arial"/>
          <w:sz w:val="17"/>
          <w:szCs w:val="17"/>
          <w:color w:val="auto"/>
        </w:rPr>
      </w:pPr>
    </w:p>
    <w:p>
      <w:pPr>
        <w:jc w:val="both"/>
        <w:ind w:left="660" w:right="299" w:firstLine="352"/>
        <w:spacing w:after="0" w:line="287" w:lineRule="auto"/>
        <w:tabs>
          <w:tab w:leader="none" w:pos="1380"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certificates or scrip representing fractional Parent Ordinary Shares shall be issued upon the conversion of Company Common Stock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such fractional share interests shall not entitle the owner thereof to vote or to any other rights of a holder of Parent Ordinary Shares. Notwithstanding any other provision of this Agreement, each holder of shares of Company Common Stock converted pursuant to the Merger who would otherwise have been entitled to receive from Parent a fraction of a Parent Ordinary Share (after taking into account all shares of Company Common Stock exchanged by such holder) shall in lieu thereof, upon surrender of such holder’s Certificates and Book-Entry Shares, receive in cash from Parent (rounded to the nearest whole cent), without interest, an amount equal to such fractional amount multiplied by the last reported sale price of Parent Ordinary Shares on the Nasdaq (as reported by The Wall Street Journal or an authoritative source mutually agreed in good faith by Parent and the Company) on the last complete trading day prior to the date of the Effective Time.</w:t>
      </w:r>
    </w:p>
    <w:p>
      <w:pPr>
        <w:spacing w:after="0" w:line="1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Exchange Procedures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Exchange Agent; Exchange Fund</w:t>
      </w:r>
      <w:r>
        <w:rPr>
          <w:rFonts w:ascii="Arial" w:cs="Arial" w:eastAsia="Arial" w:hAnsi="Arial"/>
          <w:sz w:val="17"/>
          <w:szCs w:val="17"/>
          <w:color w:val="auto"/>
        </w:rPr>
        <w:t>. Prior to the Effective Time, Parent shall appoint an exchange agent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to act as the agent for the purpose of paying the Merger Consideration for the Certificates and the Book-Entry Shares. At or promptly following the Effective Time, Parent shall deposit with the Exchange Agent: certificates representing the Parent Ordinary Shares to be issued by Parent as Share Consideration (or make appropriate alternative arrangements if uncertificated Parent Ordinary Shares represented by book-entry shares will be issued) and any cash sufficient to make payments in lieu of fractional shares pursuant to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In addition, US Holdco and the Surviving Corporation shall deposit, with the Exchange Agent cash sufficient to pay the Cash Consideration,. In addition, Parent shall deposit or cause to be deposited with the Exchange Agent, as necessary from time to time after the Effective Time, any dividends or other distributions, if any, to which the holders of Company Common Stock may be entitled pursuant to </w:t>
      </w:r>
      <w:r>
        <w:rPr>
          <w:rFonts w:ascii="Arial" w:cs="Arial" w:eastAsia="Arial" w:hAnsi="Arial"/>
          <w:sz w:val="17"/>
          <w:szCs w:val="17"/>
          <w:u w:val="single" w:color="auto"/>
          <w:color w:val="auto"/>
        </w:rPr>
        <w:t>Section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9" w:name="page260"/>
    <w:bookmarkEnd w:id="25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u w:val="single" w:color="auto"/>
          <w:color w:val="auto"/>
        </w:rPr>
        <w:t>3.02(g)</w:t>
      </w:r>
      <w:r>
        <w:rPr>
          <w:rFonts w:ascii="Arial" w:cs="Arial" w:eastAsia="Arial" w:hAnsi="Arial"/>
          <w:sz w:val="17"/>
          <w:szCs w:val="17"/>
          <w:color w:val="auto"/>
        </w:rPr>
        <w:t xml:space="preserve"> for distributions or dividends, on the Parent Ordinary Shares to which they are entitled to pursuant to </w:t>
      </w:r>
      <w:r>
        <w:rPr>
          <w:rFonts w:ascii="Arial" w:cs="Arial" w:eastAsia="Arial" w:hAnsi="Arial"/>
          <w:sz w:val="17"/>
          <w:szCs w:val="17"/>
          <w:u w:val="single" w:color="auto"/>
          <w:color w:val="auto"/>
        </w:rPr>
        <w:t>Section 3.01(b)</w:t>
      </w:r>
      <w:r>
        <w:rPr>
          <w:rFonts w:ascii="Arial" w:cs="Arial" w:eastAsia="Arial" w:hAnsi="Arial"/>
          <w:sz w:val="17"/>
          <w:szCs w:val="17"/>
          <w:color w:val="auto"/>
        </w:rPr>
        <w:t xml:space="preserve">, with both a record and payment date after the Effective Time and prior to the surrender of the Company Common Stock in exchange for such Parent Ordinary Shares. Such cash and Parent Ordinary Shares, together with any dividends or other distributions deposited with the Exchange Agent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3.02(a)</w:t>
      </w:r>
      <w:r>
        <w:rPr>
          <w:rFonts w:ascii="Arial" w:cs="Arial" w:eastAsia="Arial" w:hAnsi="Arial"/>
          <w:sz w:val="17"/>
          <w:szCs w:val="17"/>
          <w:color w:val="auto"/>
        </w:rPr>
        <w:t>, are referred to collectively in this Agreement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w:t>
      </w:r>
    </w:p>
    <w:p>
      <w:pPr>
        <w:spacing w:after="0" w:line="68" w:lineRule="exact"/>
        <w:rPr>
          <w:sz w:val="20"/>
          <w:szCs w:val="20"/>
          <w:color w:val="auto"/>
        </w:rPr>
      </w:pPr>
    </w:p>
    <w:p>
      <w:pPr>
        <w:jc w:val="both"/>
        <w:ind w:left="660" w:right="299" w:firstLine="352"/>
        <w:spacing w:after="0" w:line="284" w:lineRule="auto"/>
        <w:tabs>
          <w:tab w:leader="none" w:pos="141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Procedures for Surrender; No Interest</w:t>
      </w:r>
      <w:r>
        <w:rPr>
          <w:rFonts w:ascii="Arial" w:cs="Arial" w:eastAsia="Arial" w:hAnsi="Arial"/>
          <w:sz w:val="16"/>
          <w:szCs w:val="16"/>
          <w:color w:val="auto"/>
        </w:rPr>
        <w:t xml:space="preserve">. Promptly after the Effective Time (in any event within five (5) Business Days), Parent shall send, or shall cause the Exchange Agent to send, to each record holder of shares of Company Common Stock at the Effective Time, whose Company Common Stock was cancelled and converted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into the right to receive the Merger Consideration, a letter of transmittal and instructions (which shall specify that the delivery shall be effected, and risk of loss and title shall pass, only upon proper delivery of the Certificates or transfer of the Book-Entry Shares to the Exchange Agent, and which letter of transmittal will be in customary form and have such other provisions as Parent, US Holdco and the Surviving Corporation may reasonably specify) for use in such exchange. Each holder of shares of Company Common Stock that have been cancelled and converted into the right to receive the Merger Consideration shall be entitled to receive the Merger Consideration into which such shares of Company Common Stock have been converted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in respect of the Company Common Stock represented by a Certificate or Book-Entry Share, any cash in lieu of fractional shares which the holder has the right to receive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any dividends or other distributions pursuant to </w:t>
      </w:r>
      <w:r>
        <w:rPr>
          <w:rFonts w:ascii="Arial" w:cs="Arial" w:eastAsia="Arial" w:hAnsi="Arial"/>
          <w:sz w:val="16"/>
          <w:szCs w:val="16"/>
          <w:u w:val="single" w:color="auto"/>
          <w:color w:val="auto"/>
        </w:rPr>
        <w:t>Section 3.02(g)</w:t>
      </w:r>
      <w:r>
        <w:rPr>
          <w:rFonts w:ascii="Arial" w:cs="Arial" w:eastAsia="Arial" w:hAnsi="Arial"/>
          <w:sz w:val="16"/>
          <w:szCs w:val="16"/>
          <w:color w:val="auto"/>
        </w:rPr>
        <w:t xml:space="preserve"> upon: (i) surrender to the Exchange Agent of a Certificate; or (ii) receipt of an “agent’s message” by the Exchange Agent (or such other 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Certificate or Book-Entry Share. Upon payment of the Merger Consideration pursuant to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each Certificate or Certificates or Book-Entry Share or Book-Entry Shares so surrendered or transferred, as the case may be, shall immediately be cancelled.</w:t>
      </w:r>
    </w:p>
    <w:p>
      <w:pPr>
        <w:spacing w:after="0" w:line="73" w:lineRule="exact"/>
        <w:rPr>
          <w:rFonts w:ascii="Arial" w:cs="Arial" w:eastAsia="Arial" w:hAnsi="Arial"/>
          <w:sz w:val="16"/>
          <w:szCs w:val="16"/>
          <w:color w:val="auto"/>
        </w:rPr>
      </w:pPr>
    </w:p>
    <w:p>
      <w:pPr>
        <w:jc w:val="both"/>
        <w:ind w:left="660" w:right="299" w:firstLine="352"/>
        <w:spacing w:after="0" w:line="285" w:lineRule="auto"/>
        <w:tabs>
          <w:tab w:leader="none" w:pos="1399"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Investment of Exchange Fund</w:t>
      </w:r>
      <w:r>
        <w:rPr>
          <w:rFonts w:ascii="Arial" w:cs="Arial" w:eastAsia="Arial" w:hAnsi="Arial"/>
          <w:sz w:val="16"/>
          <w:szCs w:val="16"/>
          <w:color w:val="auto"/>
        </w:rPr>
        <w:t xml:space="preserve">. The cash portion of the Exchange Fund shall be invested by the Exchange Agent as directed by US Holdco or the Surviving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To the extent such fund increases for any reason above the level required to make prompt payment of any outstanding Merger Consideration to be paid in exchange for Company Common Stock converted in the Merger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Parent, US Holdco and the Surviving Corporation shall, following such prompt payment, be the sole owners of any amounts left over in such Exchange Fund. Parent shall be treated for Tax purposes as the owner of any Parent Ordinary Shares and cash in lieu of fractional shares held in the Exchange Fund, and Parent shall be subject to Tax on all interest and other income resulting from the investment of such cash. US Holdco or the Surviving Corporation, as applicable, shall be treated for Tax purposes as the owner of any cash held in the Exchange Fund prior to its disbursement, and shall be subject to Tax on all interest and other income resulting from investments of such cash.</w:t>
      </w:r>
    </w:p>
    <w:p>
      <w:pPr>
        <w:spacing w:after="0" w:line="65"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Payments to Non-Registered Holders</w:t>
      </w:r>
      <w:r>
        <w:rPr>
          <w:rFonts w:ascii="Arial" w:cs="Arial" w:eastAsia="Arial" w:hAnsi="Arial"/>
          <w:sz w:val="18"/>
          <w:szCs w:val="18"/>
          <w:color w:val="auto"/>
        </w:rPr>
        <w:t>. 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83" w:lineRule="exact"/>
        <w:rPr>
          <w:rFonts w:ascii="Arial" w:cs="Arial" w:eastAsia="Arial" w:hAnsi="Arial"/>
          <w:sz w:val="18"/>
          <w:szCs w:val="18"/>
          <w:color w:val="auto"/>
        </w:rPr>
      </w:pPr>
    </w:p>
    <w:p>
      <w:pPr>
        <w:jc w:val="both"/>
        <w:ind w:left="660" w:right="299" w:firstLine="352"/>
        <w:spacing w:after="0" w:line="311" w:lineRule="auto"/>
        <w:tabs>
          <w:tab w:leader="none" w:pos="1399"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Full Satisfaction</w:t>
      </w:r>
      <w:r>
        <w:rPr>
          <w:rFonts w:ascii="Arial" w:cs="Arial" w:eastAsia="Arial" w:hAnsi="Arial"/>
          <w:sz w:val="16"/>
          <w:szCs w:val="16"/>
          <w:color w:val="auto"/>
        </w:rPr>
        <w:t>. 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0" w:name="page261"/>
    <w:bookmarkEnd w:id="26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79" w:lineRule="auto"/>
        <w:rPr>
          <w:sz w:val="20"/>
          <w:szCs w:val="20"/>
          <w:color w:val="auto"/>
        </w:rPr>
      </w:pPr>
      <w:r>
        <w:rPr>
          <w:rFonts w:ascii="Arial" w:cs="Arial" w:eastAsia="Arial" w:hAnsi="Arial"/>
          <w:sz w:val="17"/>
          <w:szCs w:val="17"/>
          <w:color w:val="auto"/>
        </w:rPr>
        <w:t xml:space="preserve">Book-Entry Shares, and from and after the Effective Time, there shall be no further registration of transfers of shares of Company Common Stock on the stock transfer books of the Surviving Corporation. If, after the Effective Time, Certificates or Book-Entry Shares are presented to Parent, US Holdco or the Surviving Corporation, they shall be cancelled and exchanged as provided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63" w:lineRule="exact"/>
        <w:rPr>
          <w:sz w:val="20"/>
          <w:szCs w:val="20"/>
          <w:color w:val="auto"/>
        </w:rPr>
      </w:pPr>
    </w:p>
    <w:p>
      <w:pPr>
        <w:jc w:val="both"/>
        <w:ind w:left="660" w:right="299" w:firstLine="352"/>
        <w:spacing w:after="0" w:line="286" w:lineRule="auto"/>
        <w:tabs>
          <w:tab w:leader="none" w:pos="138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that remains unclaimed by the holders of shares of Company Common Stock twelve (12) months after the Effective Time shall be returned to Parent, US Holdco or the Surviving Corporation, as applicable, upon demand, and any such holder who has not exchanged shares of Company Common Stock for the Merger Consideration in accordance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prior to that time shall thereafter look only to Parent, US Holdco or the Surviving Corporation, as applicable (subject to abandoned property, escheat, or other similar Laws), as general creditors thereof, for payment of the Merger Consideration without any interest. Notwithstanding the foregoing, Parent, US Holdco or the Surviving Corporation, as applicable, shall not be liable to any holder of shares of Company Common Stock for any amounts paid to a public official pursuant to applicable abandoned property, escheat, or similar Laws. Any amounts remaining unclaimed by holders of shares of Company Common Stock two (2) years after the Effective Time (or such earlier date, immediately prior to such time when the amounts would otherwise escheat to or become property of any Governmental Entity) shall become, to the extent permitted by applicable Law, the property of Parent, US Holdco or the Surviving Corporation, as applicable, free and clear of any claims or interest of any Person previously entitled thereto.</w:t>
      </w:r>
    </w:p>
    <w:p>
      <w:pPr>
        <w:spacing w:after="0" w:line="62"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Unsurrendered Shares of Company Common Stock</w:t>
      </w:r>
      <w:r>
        <w:rPr>
          <w:rFonts w:ascii="Arial" w:cs="Arial" w:eastAsia="Arial" w:hAnsi="Arial"/>
          <w:sz w:val="16"/>
          <w:szCs w:val="16"/>
          <w:color w:val="auto"/>
        </w:rPr>
        <w:t xml:space="preserve">. All Parent Ordinary Shares to be issued pursuant to the Merger shall be deemed issued and outstanding as of the Effective Time and whenever a dividend or other distribution is declared by Parent in respect of the Parent Ordinary Shares, the record date for which is after the Effective Time, that declaration shall include dividends or other distributions in respect of all shares issuable pursuant to this Agreement. No dividends or other distributions in respect of the Parent Ordinary Shares shall be paid to any holder of any unsurrendered Company Common Stock until the Certificate (or affidavit of loss in lieu of the Certificate as provided in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Book-Entry Share is surrendered for exchange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Subject to the effect of applicable Laws, following such surrender, there shall be issued or paid to the holder of record of the whole Parent Ordinary Shares issued in exchange for Company Common Stock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without interest: (i) at the time of such surrender, the dividends or other distributions with a record date after the Effective Time theretofore payable with respect to such whole Parent Ordinary Shares and not paid; and (ii) at the appropriate payment date, the dividends or other distributions payable with respect to such whole Parent Ordinary Shares with a record date after the Effective Time but with a payment date subsequent to surrender.</w:t>
      </w:r>
    </w:p>
    <w:p>
      <w:pPr>
        <w:spacing w:after="0" w:line="62"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Dissenting Shares Merger Consideration</w:t>
      </w:r>
      <w:r>
        <w:rPr>
          <w:rFonts w:ascii="Arial" w:cs="Arial" w:eastAsia="Arial" w:hAnsi="Arial"/>
          <w:sz w:val="18"/>
          <w:szCs w:val="18"/>
          <w:color w:val="auto"/>
        </w:rPr>
        <w:t>. Any portion of the Cash Consideration made available to the Exchange Agent in respect of any Dissenting Shares shall be returned to US Holdco or the Surviving Corporation, upon demand.</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Notwithstanding any provision of this Agreement to the contrary, including </w:t>
      </w:r>
      <w:r>
        <w:rPr>
          <w:rFonts w:ascii="Arial" w:cs="Arial" w:eastAsia="Arial" w:hAnsi="Arial"/>
          <w:sz w:val="17"/>
          <w:szCs w:val="17"/>
          <w:u w:val="single" w:color="auto"/>
          <w:color w:val="auto"/>
        </w:rPr>
        <w:t>Section 3.01</w:t>
      </w:r>
      <w:r>
        <w:rPr>
          <w:rFonts w:ascii="Arial" w:cs="Arial" w:eastAsia="Arial" w:hAnsi="Arial"/>
          <w:sz w:val="17"/>
          <w:szCs w:val="17"/>
          <w:color w:val="auto"/>
        </w:rPr>
        <w:t>, shares of Company Common Stock issued and outstanding immediately prior to the Effective Time (other than Cancelled Shares)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until such time as such holder fails to perfect or otherwise waives, withdraws, or loses such holder’s appraisal rights under the DGCL with respect to such shares) shall not be converted into a right to receive the Merger Consideration, but instead shall be entitled to only such rights as are granted by Section 262 of the DGCL;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Merger Consideration in accordance with </w:t>
      </w:r>
      <w:r>
        <w:rPr>
          <w:rFonts w:ascii="Arial" w:cs="Arial" w:eastAsia="Arial" w:hAnsi="Arial"/>
          <w:sz w:val="17"/>
          <w:szCs w:val="17"/>
          <w:u w:val="single" w:color="auto"/>
          <w:color w:val="auto"/>
        </w:rPr>
        <w:t>Section 3.01(b)</w:t>
      </w:r>
      <w:r>
        <w:rPr>
          <w:rFonts w:ascii="Arial" w:cs="Arial" w:eastAsia="Arial" w:hAnsi="Arial"/>
          <w:sz w:val="17"/>
          <w:szCs w:val="17"/>
          <w:color w:val="auto"/>
        </w:rPr>
        <w:t>, without interest thereon, upon surrender of such Certificate formerly representing such share or transfer of such Book-Entry Share, as the case may be. The Company shall provide Parent prompt written notice of any demands received by the Company for appraisal of shares of Company Common Stock, any waiver or withdrawal of any such demand, and any other demand, notice, or instrument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1" w:name="page262"/>
    <w:bookmarkEnd w:id="26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delivered to the Company prior to the Effective Time that relates to such demand, and Parent and US Holdco shall have the opportunity and right to direct all negotiations and proceedings with respect to such demands. Except with the prior written consent of Parent and US Holdco, the Company shall not make any payment with respect to, or settle, or offer to settle, any such demands.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Without limiting the other provisions of this Agreement, if at any time during the period between the date of this Agreement and the Effective Time, any change in the outstanding shares of capital stock of the Company or the Parent Ordinary Shares shall occur (other than the issuance of additional shares of capital stock of the Company or Parent as permitted by this Agreement), including by reason of any reclassification, recapitalization, stock split (including a reverse stock split), or combination, exchange, readjustment of shares, or similar transaction, or any stock dividend or distribution paid in stock, the Exchange Ratio and any other amounts payable pursuant to this Agreement shall be appropriately adjusted to reflect such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sentence shall not be construed to permit Parent or the Company to take any action with respect to its securities that is prohibited by the terms of this Agreement.</w:t>
      </w:r>
    </w:p>
    <w:p>
      <w:pPr>
        <w:spacing w:after="0" w:line="7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the Exchange Agent, Parent, US Holdco, Merger Sub, the Surviving Corporation and any other applicable withholding agent shall be entitled to deduct and withhold from any amounts payable to any Person pursuant to this Agreement such amounts as may be required to be deducted and withheld with respect to the making of such payment under any Tax Laws. Amounts so deducted and withheld (and, in the case of the Exchange Agent, Parent, US Holdco, Merger Sub, the Surviving Corporation or any Affiliate, paid over to the applicable Governmental Entity) shall be treated for all purposes of this Agreement as having been paid to the Person in respect of which such deduction and withholding was made.</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Lost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Parent or US Holdco, the posting by such Person of a bond, in such reasonable amount as Parent or US Holdco may direct, as indemnity against any claim that may be made against it with respect to such Certificate, the Exchange Agent will issue, in exchange for such lost, stolen, or destroyed Certificate, the Merger Consideration to be paid in respect of the shares of Company Common Stock formerly represented by such Certificate as contemplated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4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Treatment of Stock Options and Other Stock-Based Compensation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7" w:lineRule="auto"/>
        <w:tabs>
          <w:tab w:leader="none" w:pos="1399"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Company Stock Options</w:t>
      </w:r>
      <w:r>
        <w:rPr>
          <w:rFonts w:ascii="Arial" w:cs="Arial" w:eastAsia="Arial" w:hAnsi="Arial"/>
          <w:sz w:val="16"/>
          <w:szCs w:val="16"/>
          <w:color w:val="auto"/>
        </w:rPr>
        <w:t xml:space="preserve">. Each Company Stock Option that is outstanding immediately prior to the Effective Time, whether or not then vested or exercisable, shall, as of the Effective Time by virtue of the Merger and without any action on the part of the holder thereof, be assumed by Parent and be converted into a Parent Share Option, subject to the same terms and conditions, including vesting conditions, applicable to such Company Stock Option, to purchase the number of Parent Ordinary Shares equal to (i) the number of shares of Company Common Stock subject to such Company Stock Option, multiplied by (ii) the Parent Equity Conversion Ratio, rounding down to the nearest whole number of Parent Ordinary Shares, at an exercise price per Parent Ordinary Share equal to (x) the exercise price per share of Company Common Stock subject to such Company Stock Option, divided by (y) the Parent Equity Conversion Ratio, rounding up to the nearest whole cent;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exercise price, the number of Parent Ordinary Shares and the terms and conditions of such Parent Share Option shall be determined consistent with the applicable requirements for exempt, nonstatutory stock options under Section 409A of the Code.</w:t>
      </w:r>
    </w:p>
    <w:p>
      <w:pPr>
        <w:spacing w:after="0" w:line="100" w:lineRule="exact"/>
        <w:rPr>
          <w:rFonts w:ascii="Arial" w:cs="Arial" w:eastAsia="Arial" w:hAnsi="Arial"/>
          <w:sz w:val="16"/>
          <w:szCs w:val="16"/>
          <w:color w:val="auto"/>
        </w:rPr>
      </w:pPr>
    </w:p>
    <w:p>
      <w:pPr>
        <w:ind w:left="1400" w:hanging="388"/>
        <w:spacing w:after="0"/>
        <w:tabs>
          <w:tab w:leader="none" w:pos="14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Company Restricted Stock and Company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Each award of Company Restricted Stock that is outstanding immediately prior to the Effective Time shall, as of the Effective Time by virtue of the Merger and without any action on the part of the holder thereof, be cancelled and converted into the right to receive the Merger Consideration for each share of Company Restricted Stock, to be provided to such holder promptly but no later than five (5) Business Days following the Effective Time.</w:t>
      </w:r>
    </w:p>
    <w:p>
      <w:pPr>
        <w:spacing w:after="0" w:line="79" w:lineRule="exact"/>
        <w:rPr>
          <w:rFonts w:ascii="Arial" w:cs="Arial" w:eastAsia="Arial" w:hAnsi="Arial"/>
          <w:sz w:val="18"/>
          <w:szCs w:val="18"/>
          <w:color w:val="auto"/>
        </w:rPr>
      </w:pPr>
    </w:p>
    <w:p>
      <w:pPr>
        <w:jc w:val="both"/>
        <w:ind w:left="1020" w:right="299" w:firstLine="352"/>
        <w:spacing w:after="0" w:line="311" w:lineRule="auto"/>
        <w:tabs>
          <w:tab w:leader="none" w:pos="1846"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Each award of Company Restricted Stock Units that is outstanding immediately prior to the Effective Time shall, as of the Effective Time by virtue of the Merger and without any action on the part of the holder thereof, be assumed by Parent and be converted into a number of Parent Restricted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2" w:name="page263"/>
    <w:bookmarkEnd w:id="26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299"/>
        <w:spacing w:after="0" w:line="291" w:lineRule="auto"/>
        <w:rPr>
          <w:sz w:val="20"/>
          <w:szCs w:val="20"/>
          <w:color w:val="auto"/>
        </w:rPr>
      </w:pPr>
      <w:r>
        <w:rPr>
          <w:rFonts w:ascii="Arial" w:cs="Arial" w:eastAsia="Arial" w:hAnsi="Arial"/>
          <w:sz w:val="16"/>
          <w:szCs w:val="16"/>
          <w:color w:val="auto"/>
        </w:rPr>
        <w:t>Units, subject to the same terms and conditions, including vesting conditions, applicable to such Company Restricted Stock Units, equal to (i) the number of such Company Restricted Stock Units, multiplied by</w:t>
      </w:r>
    </w:p>
    <w:p>
      <w:pPr>
        <w:ind w:left="1020" w:right="299" w:hanging="8"/>
        <w:spacing w:after="0" w:line="260" w:lineRule="auto"/>
        <w:tabs>
          <w:tab w:leader="none" w:pos="129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Parent Equity Conversion Ratio, rounding down to the nearest whole number of Parent Restricted Share Units.</w:t>
      </w:r>
    </w:p>
    <w:p>
      <w:pPr>
        <w:spacing w:after="0" w:line="77" w:lineRule="exact"/>
        <w:rPr>
          <w:rFonts w:ascii="Arial" w:cs="Arial" w:eastAsia="Arial" w:hAnsi="Arial"/>
          <w:sz w:val="18"/>
          <w:szCs w:val="18"/>
          <w:color w:val="auto"/>
        </w:rPr>
      </w:pPr>
    </w:p>
    <w:p>
      <w:pPr>
        <w:jc w:val="both"/>
        <w:ind w:left="660" w:right="299" w:firstLine="352"/>
        <w:spacing w:after="0" w:line="284" w:lineRule="auto"/>
        <w:tabs>
          <w:tab w:leader="none" w:pos="1399"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Company Stock Purchase Plan</w:t>
      </w:r>
      <w:r>
        <w:rPr>
          <w:rFonts w:ascii="Arial" w:cs="Arial" w:eastAsia="Arial" w:hAnsi="Arial"/>
          <w:sz w:val="16"/>
          <w:szCs w:val="16"/>
          <w:color w:val="auto"/>
        </w:rPr>
        <w:t>. As soon as practicable following the date hereof, the Company, the Company Board or, as appropriate, any committee administering the Company Stock Purchase Plan shall adopt such resolutions or take such other actions as may be required to provide that, with respect to the Company Stock Purchase Plan: (i) the final exercise date shall be the Closing Date, (ii) each participant’s accumulated contributions under the Company Stock Purchase Plan shall be used to purchase shares of Company Common Stock in accordance with the terms of the Company Stock Purchase Plan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participants shall not be permitted to increase their payroll deductions in effect as of the date hereof), and</w:t>
      </w:r>
    </w:p>
    <w:p>
      <w:pPr>
        <w:spacing w:after="0" w:line="2" w:lineRule="exact"/>
        <w:rPr>
          <w:rFonts w:ascii="Arial" w:cs="Arial" w:eastAsia="Arial" w:hAnsi="Arial"/>
          <w:sz w:val="16"/>
          <w:szCs w:val="16"/>
          <w:color w:val="auto"/>
        </w:rPr>
      </w:pPr>
    </w:p>
    <w:p>
      <w:pPr>
        <w:jc w:val="both"/>
        <w:ind w:left="660" w:right="299" w:hanging="8"/>
        <w:spacing w:after="0" w:line="253" w:lineRule="auto"/>
        <w:tabs>
          <w:tab w:leader="none" w:pos="97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unless otherwise requested by Parent and US Holdco the Company Stock Purchase Plan shall terminate on such date and no further rights shall be granted or exercised under the Company Stock Purchase Plan. All shares of Company Common Stock purchased in accordance with this </w:t>
      </w:r>
      <w:r>
        <w:rPr>
          <w:rFonts w:ascii="Arial" w:cs="Arial" w:eastAsia="Arial" w:hAnsi="Arial"/>
          <w:sz w:val="18"/>
          <w:szCs w:val="18"/>
          <w:u w:val="single" w:color="auto"/>
          <w:color w:val="auto"/>
        </w:rPr>
        <w:t>Section 3.07(c)</w:t>
      </w:r>
      <w:r>
        <w:rPr>
          <w:rFonts w:ascii="Arial" w:cs="Arial" w:eastAsia="Arial" w:hAnsi="Arial"/>
          <w:sz w:val="18"/>
          <w:szCs w:val="18"/>
          <w:color w:val="auto"/>
        </w:rPr>
        <w:t xml:space="preserve"> shall be cancelled at the Effective Time and converted into the right to receive the Merger Consideration in accordance with the terms and conditions of this Agreement.</w:t>
      </w:r>
    </w:p>
    <w:p>
      <w:pPr>
        <w:spacing w:after="0" w:line="82"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Assumption of Company Stock Plans</w:t>
      </w:r>
      <w:r>
        <w:rPr>
          <w:rFonts w:ascii="Arial" w:cs="Arial" w:eastAsia="Arial" w:hAnsi="Arial"/>
          <w:sz w:val="16"/>
          <w:szCs w:val="16"/>
          <w:color w:val="auto"/>
        </w:rPr>
        <w:t xml:space="preserve">. At the Effective Time, subject to the requirements of applicable Law, Parent shall assume all rights and obligations in respect of each Company Stock Plan, including each outstanding Company Equity Award to be converted in accordance with the foregoing provisions of this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except that: (i) stock covered by such awards shall be Parent Ordinary Shares;</w:t>
      </w:r>
    </w:p>
    <w:p>
      <w:pPr>
        <w:spacing w:after="0" w:line="1" w:lineRule="exact"/>
        <w:rPr>
          <w:rFonts w:ascii="Arial" w:cs="Arial" w:eastAsia="Arial" w:hAnsi="Arial"/>
          <w:sz w:val="16"/>
          <w:szCs w:val="16"/>
          <w:color w:val="auto"/>
        </w:rPr>
      </w:pPr>
    </w:p>
    <w:p>
      <w:pPr>
        <w:jc w:val="both"/>
        <w:ind w:left="660" w:right="299" w:hanging="8"/>
        <w:spacing w:after="0" w:line="267" w:lineRule="auto"/>
        <w:tabs>
          <w:tab w:leader="none" w:pos="94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all references in such Company Stock Plan to a number of shares of Company Common Stock shall be amended or deemed amended to refer instead to a number of Parent Ordinary Shares determined by multiplying the number of referenced shares of Company Common Stock by the Parent Equity Conversion Ratio, rounding down to the nearest whole number of Parent Ordinary Shares; and (iii) the Parent Board or a committee thereof shall succeed to the authority and responsibility of the Company Board or any committee thereof with respect to the administration of such Company Stock Plan. Parent shall take all actions that are necessary for the assumption of the Company Equity Awards pursuant to this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including the reservation, issuance and listing of Parent Ordinary Shares as necessary to effect the transactions contemplated by this </w:t>
      </w:r>
      <w:r>
        <w:rPr>
          <w:rFonts w:ascii="Arial" w:cs="Arial" w:eastAsia="Arial" w:hAnsi="Arial"/>
          <w:sz w:val="17"/>
          <w:szCs w:val="17"/>
          <w:u w:val="single" w:color="auto"/>
          <w:color w:val="auto"/>
        </w:rPr>
        <w:t>Section 3.07</w:t>
      </w:r>
      <w:r>
        <w:rPr>
          <w:rFonts w:ascii="Arial" w:cs="Arial" w:eastAsia="Arial" w:hAnsi="Arial"/>
          <w:sz w:val="17"/>
          <w:szCs w:val="17"/>
          <w:color w:val="auto"/>
        </w:rPr>
        <w:t>. If registration of the Parent Ordinary Shares issuable thereunder is required under the Securities Act, Parent shall file with the SEC on the Closing Date a registration statement with respect to such Parent Ordinary Shares, and shall use its reasonable best efforts to maintain the effectiveness of such registration statement for so long as the relevant Company Stock Plans remain in effect and such registration of Parent Ordinary Shares continues to be required.</w:t>
      </w:r>
    </w:p>
    <w:p>
      <w:pPr>
        <w:spacing w:after="0" w:line="74" w:lineRule="exact"/>
        <w:rPr>
          <w:rFonts w:ascii="Arial" w:cs="Arial" w:eastAsia="Arial" w:hAnsi="Arial"/>
          <w:sz w:val="17"/>
          <w:szCs w:val="17"/>
          <w:color w:val="auto"/>
        </w:rPr>
      </w:pPr>
    </w:p>
    <w:p>
      <w:pPr>
        <w:jc w:val="both"/>
        <w:ind w:left="660" w:right="299" w:firstLine="352"/>
        <w:spacing w:after="0" w:line="269" w:lineRule="auto"/>
        <w:tabs>
          <w:tab w:leader="none" w:pos="1399"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Resolutions and Other Company Actions</w:t>
      </w:r>
      <w:r>
        <w:rPr>
          <w:rFonts w:ascii="Arial" w:cs="Arial" w:eastAsia="Arial" w:hAnsi="Arial"/>
          <w:sz w:val="17"/>
          <w:szCs w:val="17"/>
          <w:color w:val="auto"/>
        </w:rPr>
        <w:t xml:space="preserve">. At or prior to the Effective Time, the Company, the Company Board, and the compensation committee of such board, as applicable, Parent, the Parent Board and the compensation committee of such board, as applicable, and US Holdco, the US Holdco Board and the compensation committee of such board, as applicable, shall adopt any resolutions and take any actions (including obtaining any employee consents) that may be necessary to effectuate the foregoing provisions of this </w:t>
      </w:r>
      <w:r>
        <w:rPr>
          <w:rFonts w:ascii="Arial" w:cs="Arial" w:eastAsia="Arial" w:hAnsi="Arial"/>
          <w:sz w:val="17"/>
          <w:szCs w:val="17"/>
          <w:u w:val="single" w:color="auto"/>
          <w:color w:val="auto"/>
        </w:rPr>
        <w:t>Section 3.07</w:t>
      </w:r>
      <w:r>
        <w:rPr>
          <w:rFonts w:ascii="Arial" w:cs="Arial" w:eastAsia="Arial" w:hAnsi="Arial"/>
          <w:sz w:val="17"/>
          <w:szCs w:val="17"/>
          <w:color w:val="auto"/>
        </w:rPr>
        <w:t>, including any amendments, conditioned upon, and effective immediately after, the Effective Time, to the Company Stock Plans, Company Stock Purchase Plan or any applicable Parent Share Plans and such other actions as Parent or the Company, as applicable, may reasonably request or require (including, for the avoidance of doubt, as may be necessary or desirable to comply with any requirements of applicable Law or by virtue of the fact that Parent is an Irish public limited company).</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Tax Treatment</w:t>
      </w:r>
      <w:r>
        <w:rPr>
          <w:rFonts w:ascii="Arial" w:cs="Arial" w:eastAsia="Arial" w:hAnsi="Arial"/>
          <w:sz w:val="17"/>
          <w:szCs w:val="17"/>
          <w:color w:val="auto"/>
        </w:rPr>
        <w:t>. The Merger is intended to be treated for U.S. federal income tax purposes as (a) a taxable purchase by Parent of a portion of each share of the outstanding stock of the Company (other than the Cancelled Shares, Subsidiary-Held Shares and the Dissenting Shares) (b) (i) except to the extent that Section 304 of the Code applies, a taxable purchase by US Holdco and (ii) to the extent that Section 304 of the Code applies, an acquisition by US Holdco of a portion of each share of the outstanding stock of the Company (other than the Cancelled Shares, Subsidiary-Held Shares and the Dissenting Shares) and (c) a taxable redemption by the Company of a portion of each share of the outstanding stock of the Company (other than the Cancelled Shares, Subsidiary-Held Shares and the Dissenting Shares).</w:t>
      </w:r>
    </w:p>
    <w:p>
      <w:pPr>
        <w:spacing w:after="0" w:line="7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Closing of Transfer Books</w:t>
      </w:r>
      <w:r>
        <w:rPr>
          <w:rFonts w:ascii="Arial" w:cs="Arial" w:eastAsia="Arial" w:hAnsi="Arial"/>
          <w:sz w:val="18"/>
          <w:szCs w:val="18"/>
          <w:color w:val="auto"/>
        </w:rPr>
        <w:t>. At the Effective Time, the stock transfer books of the Company shall be closed and no transfer of Company Common Stock shall thereafter be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3" w:name="page264"/>
    <w:bookmarkEnd w:id="26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Further Action</w:t>
      </w:r>
      <w:r>
        <w:rPr>
          <w:rFonts w:ascii="Arial" w:cs="Arial" w:eastAsia="Arial" w:hAnsi="Arial"/>
          <w:sz w:val="18"/>
          <w:szCs w:val="18"/>
          <w:color w:val="auto"/>
        </w:rPr>
        <w:t xml:space="preserve">. If, at any time after the Effective Time, any further action is necessary or desirable to carry out the purposes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officers and directors of the Surviving Corporation, Parent and US Holdco shall be fully authorized (in the name of Merger Sub, the Company, the Surviving Corporation or otherwise) to take, and shall take, all such 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Except (a) as disclosed in the Company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will not apply to any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4.03</w:t>
      </w:r>
      <w:r>
        <w:rPr>
          <w:rFonts w:ascii="Arial" w:cs="Arial" w:eastAsia="Arial" w:hAnsi="Arial"/>
          <w:sz w:val="17"/>
          <w:szCs w:val="17"/>
          <w:color w:val="auto"/>
        </w:rPr>
        <w:t>); or (b) as set forth in the correspondingly numbered Section of the Company Disclosure Letter that relates to such Section or in another Section of the Company Disclosure Letter to the extent that it is reasonably apparent on the face of such disclosure that such disclosure is applicable to such Section, the Company hereby represents and warrants to Parent, US Holdco and Merger Sub as follows:</w:t>
      </w:r>
    </w:p>
    <w:p>
      <w:pPr>
        <w:spacing w:after="0" w:line="11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Organization; Standing and Power; Charter Documents; 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7" w:lineRule="auto"/>
        <w:tabs>
          <w:tab w:leader="none" w:pos="1399"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The Company and each of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the Company’s Subsidiaries, where the failure to be so organized, to be in good standing or to have such power, authority or standing (A) would not reasonably be expected to have a Company Material Adverse Effect or (B) would reasonably be expected to prevent, materially impede or materially delay the consummation of the Transactions on a timely basis and in any event on or before the End Date. Each of the Company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81" w:lineRule="exact"/>
        <w:rPr>
          <w:rFonts w:ascii="Arial" w:cs="Arial" w:eastAsia="Arial" w:hAnsi="Arial"/>
          <w:sz w:val="17"/>
          <w:szCs w:val="17"/>
          <w:color w:val="auto"/>
        </w:rPr>
      </w:pPr>
    </w:p>
    <w:p>
      <w:pPr>
        <w:jc w:val="both"/>
        <w:ind w:left="660" w:right="299" w:firstLine="352"/>
        <w:spacing w:after="0" w:line="257" w:lineRule="auto"/>
        <w:tabs>
          <w:tab w:leader="none" w:pos="141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copies of the Certificate of Incorporation and Bylaws of the Company incorporated by reference as exhibits to the Company’s Annual Report on Form 10-K for the fiscal year ended December 31, 2019, are true, correct, and complete copies of such documents as in effect as of the date of this Agreement. Neither the Company nor any of its Subsidiaries is in violation of any of the provisions of its respective Charter Documents.</w:t>
      </w:r>
    </w:p>
    <w:p>
      <w:pPr>
        <w:spacing w:after="0" w:line="79" w:lineRule="exact"/>
        <w:rPr>
          <w:rFonts w:ascii="Arial" w:cs="Arial" w:eastAsia="Arial" w:hAnsi="Arial"/>
          <w:sz w:val="18"/>
          <w:szCs w:val="18"/>
          <w:color w:val="auto"/>
        </w:rPr>
      </w:pPr>
    </w:p>
    <w:p>
      <w:pPr>
        <w:jc w:val="both"/>
        <w:ind w:left="660" w:right="299" w:firstLine="352"/>
        <w:spacing w:after="0" w:line="253" w:lineRule="auto"/>
        <w:tabs>
          <w:tab w:leader="none" w:pos="1399"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4.01(c)(i)</w:t>
      </w:r>
      <w:r>
        <w:rPr>
          <w:rFonts w:ascii="Arial" w:cs="Arial" w:eastAsia="Arial" w:hAnsi="Arial"/>
          <w:sz w:val="18"/>
          <w:szCs w:val="18"/>
          <w:color w:val="auto"/>
        </w:rPr>
        <w:t xml:space="preserve"> of the Company Disclosure Letter lists each of the Subsidiaries of the Company as of the date hereof and its jurisdiction of organization. All of the outstanding shares of capital stock of, or other equity or voting interests in, each Subsidiary of the Company that is owned directly or indirectly by the Company have been validly issued, free of pre-emptive rights, are fully paid and non-assessable, and are free and clear of all Liens, including any restriction on the right to vote, sell, or otherwise dispose of such capital stock or other equity or voting interests, except for any Liens: (x) imposed by applicable securities Laws; or (y) arising pursuant to the Charter Documents of any non-wholly-owned Subsidiary of the Company. Except for the capital stock of, or other equity or voting interests in, its wholly owned Subsidiaries, the Company does not own, directly or indirectly, any capital stock of, or other equity or voting interests in, any Person.</w:t>
      </w:r>
    </w:p>
    <w:p>
      <w:pPr>
        <w:spacing w:after="0" w:line="12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Capital Stock</w:t>
      </w:r>
      <w:r>
        <w:rPr>
          <w:rFonts w:ascii="Arial" w:cs="Arial" w:eastAsia="Arial" w:hAnsi="Arial"/>
          <w:sz w:val="17"/>
          <w:szCs w:val="17"/>
          <w:color w:val="auto"/>
        </w:rPr>
        <w:t>. The authorized capital stock of the Company consists of: (i) 1,000,000,000 shares of Company Common Stock; and (ii) 100,000,000 shares of preferred stock, par value $0.01 per share, of the Company (the “</w:t>
      </w:r>
      <w:r>
        <w:rPr>
          <w:rFonts w:ascii="Arial" w:cs="Arial" w:eastAsia="Arial" w:hAnsi="Arial"/>
          <w:sz w:val="17"/>
          <w:szCs w:val="17"/>
          <w:u w:val="single" w:color="auto"/>
          <w:color w:val="auto"/>
        </w:rPr>
        <w:t>Company Preferred Stock</w:t>
      </w:r>
      <w:r>
        <w:rPr>
          <w:rFonts w:ascii="Arial" w:cs="Arial" w:eastAsia="Arial" w:hAnsi="Arial"/>
          <w:sz w:val="17"/>
          <w:szCs w:val="17"/>
          <w:color w:val="auto"/>
        </w:rPr>
        <w:t>”). As of the close of business on the Capitalization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4" w:name="page265"/>
    <w:bookmarkEnd w:id="26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hanging="8"/>
        <w:spacing w:after="0" w:line="269" w:lineRule="auto"/>
        <w:tabs>
          <w:tab w:leader="none" w:pos="96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64,543,968 shares of Company Common Stock were issued and outstanding (not including shares held in treasury, but including, for the avoidance of doubt, 469,844 shares of Company Common Stock underlying outstanding Company Restricted Stock awards as described in </w:t>
      </w:r>
      <w:r>
        <w:rPr>
          <w:rFonts w:ascii="Arial" w:cs="Arial" w:eastAsia="Arial" w:hAnsi="Arial"/>
          <w:sz w:val="17"/>
          <w:szCs w:val="17"/>
          <w:u w:val="single" w:color="auto"/>
          <w:color w:val="auto"/>
        </w:rPr>
        <w:t>Section 4.02(b)(i)</w:t>
      </w:r>
      <w:r>
        <w:rPr>
          <w:rFonts w:ascii="Arial" w:cs="Arial" w:eastAsia="Arial" w:hAnsi="Arial"/>
          <w:sz w:val="17"/>
          <w:szCs w:val="17"/>
          <w:color w:val="auto"/>
        </w:rPr>
        <w:t xml:space="preserve"> below); (B) 0 shares of Company Common Stock were issued and held by the Company in its treasury; and (C) no shares of Company Preferred Stock were issued and outstanding or held by the Company in its treasury; and since the Capitalization Date and through the date hereof, no additional shares of Company Common Stock or shares of Company Preferred Stock have been issued other than the issuance of shares of Company Common Stock upon the exercise or settlement of Company Equity Awards. All of the outstanding shares of capital stock of the Company are, and all shares of capital stock of the Company which may be issued as contemplated or permitted by this Agreement will be, when issued, duly authorized, validly issued, fully paid, and non-assessable, and not subject to any pre-emptive rights. No Subsidiary of the Company owns any shares of Company Common Stock or Company Preferred Stock.</w:t>
      </w:r>
    </w:p>
    <w:p>
      <w:pPr>
        <w:spacing w:after="0" w:line="124" w:lineRule="exact"/>
        <w:rPr>
          <w:rFonts w:ascii="Arial" w:cs="Arial" w:eastAsia="Arial" w:hAnsi="Arial"/>
          <w:sz w:val="17"/>
          <w:szCs w:val="17"/>
          <w:color w:val="auto"/>
        </w:rPr>
      </w:pPr>
    </w:p>
    <w:p>
      <w:pPr>
        <w:ind w:left="1400" w:hanging="388"/>
        <w:spacing w:after="0"/>
        <w:tabs>
          <w:tab w:leader="none" w:pos="1400"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86" w:lineRule="auto"/>
        <w:tabs>
          <w:tab w:leader="none" w:pos="1720" w:val="left"/>
        </w:tabs>
        <w:numPr>
          <w:ilvl w:val="3"/>
          <w:numId w:val="259"/>
        </w:numPr>
        <w:rPr>
          <w:rFonts w:ascii="Arial" w:cs="Arial" w:eastAsia="Arial" w:hAnsi="Arial"/>
          <w:sz w:val="16"/>
          <w:szCs w:val="16"/>
          <w:color w:val="auto"/>
        </w:rPr>
      </w:pPr>
      <w:r>
        <w:rPr>
          <w:rFonts w:ascii="Arial" w:cs="Arial" w:eastAsia="Arial" w:hAnsi="Arial"/>
          <w:sz w:val="16"/>
          <w:szCs w:val="16"/>
          <w:color w:val="auto"/>
        </w:rPr>
        <w:t>As of the close of business on the Capitalization Date, an aggregate of 2,636,173 shares of Company Common Stock were reserved for issuance pursuant to Company Equity Awards not yet granted under the Company Stock Plans and an aggregate of 2,485,112 shares of Company Common Stock were reserved for issuance pursuant to the Company Stock Purchase Plan. As of the close of business on the Capitalization Date, 4,387,197 shares of Company Common Stock were reserved for issuance pursuant to outstanding Company Stock Options, 272,980 shares of Company Common Stock were reserved for issuance pursuant to outstanding Company Restricted Stock Units and 469,884 shares of Company Restricted Stock were issued and outstanding. Since the Capitalization Date and through the date hereof, no Company Equity Awards have been granted and no additional shares of Company Common Stock have become subject to issuance under the Company Stock Plans or Company Stock Purchase Plan. All shares of Company Common Stock subject to issuance under the Company Stock Plans and Company Stock Purchase Plan, upon issuance in accordance with the terms and conditions specified in the instruments pursuant to which they are issuable, will be duly authorized, validly issued, fully paid, and non-assessable.</w:t>
      </w:r>
    </w:p>
    <w:p>
      <w:pPr>
        <w:spacing w:after="0" w:line="65" w:lineRule="exact"/>
        <w:rPr>
          <w:rFonts w:ascii="Arial" w:cs="Arial" w:eastAsia="Arial" w:hAnsi="Arial"/>
          <w:sz w:val="16"/>
          <w:szCs w:val="16"/>
          <w:color w:val="auto"/>
        </w:rPr>
      </w:pPr>
    </w:p>
    <w:p>
      <w:pPr>
        <w:ind w:left="1780" w:hanging="408"/>
        <w:spacing w:after="0"/>
        <w:tabs>
          <w:tab w:leader="none" w:pos="1780" w:val="left"/>
        </w:tabs>
        <w:numPr>
          <w:ilvl w:val="3"/>
          <w:numId w:val="259"/>
        </w:numPr>
        <w:rPr>
          <w:rFonts w:ascii="Arial" w:cs="Arial" w:eastAsia="Arial" w:hAnsi="Arial"/>
          <w:sz w:val="17"/>
          <w:szCs w:val="17"/>
          <w:color w:val="auto"/>
        </w:rPr>
      </w:pPr>
      <w:r>
        <w:rPr>
          <w:rFonts w:ascii="Arial" w:cs="Arial" w:eastAsia="Arial" w:hAnsi="Arial"/>
          <w:sz w:val="17"/>
          <w:szCs w:val="17"/>
          <w:color w:val="auto"/>
        </w:rPr>
        <w:t>Other than the Company Equity Awards, as of the date hereof, there are no outstanding:</w:t>
      </w:r>
    </w:p>
    <w:p>
      <w:pPr>
        <w:spacing w:after="0" w:line="34" w:lineRule="exact"/>
        <w:rPr>
          <w:rFonts w:ascii="Arial" w:cs="Arial" w:eastAsia="Arial" w:hAnsi="Arial"/>
          <w:sz w:val="17"/>
          <w:szCs w:val="17"/>
          <w:color w:val="auto"/>
        </w:rPr>
      </w:pPr>
    </w:p>
    <w:p>
      <w:pPr>
        <w:jc w:val="both"/>
        <w:ind w:left="1020" w:right="299" w:hanging="8"/>
        <w:spacing w:after="0" w:line="284" w:lineRule="auto"/>
        <w:tabs>
          <w:tab w:leader="none" w:pos="1322" w:val="left"/>
        </w:tabs>
        <w:numPr>
          <w:ilvl w:val="2"/>
          <w:numId w:val="259"/>
        </w:numPr>
        <w:rPr>
          <w:rFonts w:ascii="Arial" w:cs="Arial" w:eastAsia="Arial" w:hAnsi="Arial"/>
          <w:sz w:val="16"/>
          <w:szCs w:val="16"/>
          <w:color w:val="auto"/>
        </w:rPr>
      </w:pPr>
      <w:r>
        <w:rPr>
          <w:rFonts w:ascii="Arial" w:cs="Arial" w:eastAsia="Arial" w:hAnsi="Arial"/>
          <w:sz w:val="16"/>
          <w:szCs w:val="16"/>
          <w:color w:val="auto"/>
        </w:rPr>
        <w:t xml:space="preserve">securities of the Company or any of its Subsidiaries convertible into or exchangeable for Voting Debt or shares of capital stock of the Company; (B) options, warrants, or other agreements or commitments to acquire from the Company or any of its Subsidiaries, or obligations of the Company or any of its Subsidiaries to issue, any Voting Debt or shares of capital stock of (or securities convertible into or exchangeable for shares of capital stock of) the Company; or (C)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of capital stock of the Company, in each case that have been issued by the Company or its Subsidiaries (the items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together with the capital stock of the Company,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All outstanding shares of Company Common Stock, all outstanding Company Equity Awards, and all outstanding shares of capital stock, voting securities, or other ownership interests in any Subsidiary of the Company, have been issued or granted, as applicable, in compliance in all material respects, as applicable, with the rules of Nasdaq or any other applicable stock exchange and the terms of any applicable securities listing agreement or requirement and all applicable securities Laws.</w:t>
      </w:r>
    </w:p>
    <w:p>
      <w:pPr>
        <w:spacing w:after="0" w:line="67" w:lineRule="exact"/>
        <w:rPr>
          <w:rFonts w:ascii="Arial" w:cs="Arial" w:eastAsia="Arial" w:hAnsi="Arial"/>
          <w:sz w:val="16"/>
          <w:szCs w:val="16"/>
          <w:color w:val="auto"/>
        </w:rPr>
      </w:pPr>
    </w:p>
    <w:p>
      <w:pPr>
        <w:jc w:val="both"/>
        <w:ind w:left="1020" w:right="299" w:firstLine="352"/>
        <w:spacing w:after="0" w:line="259" w:lineRule="auto"/>
        <w:tabs>
          <w:tab w:leader="none" w:pos="1826" w:val="left"/>
        </w:tabs>
        <w:numPr>
          <w:ilvl w:val="3"/>
          <w:numId w:val="260"/>
        </w:numPr>
        <w:rPr>
          <w:rFonts w:ascii="Arial" w:cs="Arial" w:eastAsia="Arial" w:hAnsi="Arial"/>
          <w:sz w:val="18"/>
          <w:szCs w:val="18"/>
          <w:color w:val="auto"/>
        </w:rPr>
      </w:pPr>
      <w:r>
        <w:rPr>
          <w:rFonts w:ascii="Arial" w:cs="Arial" w:eastAsia="Arial" w:hAnsi="Arial"/>
          <w:sz w:val="18"/>
          <w:szCs w:val="18"/>
          <w:color w:val="auto"/>
        </w:rPr>
        <w:t>There are no outstanding Contracts requiring the Company or any of its Subsidiaries to repurchase, redeem, or otherwise acquire any Company Securities or Company Subsidiary Securities. Neither the Company nor any of its Subsidiaries is a party to any voting agreement with respect to any Company Securities or Company Subsidiary Securities.</w:t>
      </w:r>
    </w:p>
    <w:p>
      <w:pPr>
        <w:spacing w:after="0" w:line="78" w:lineRule="exact"/>
        <w:rPr>
          <w:rFonts w:ascii="Arial" w:cs="Arial" w:eastAsia="Arial" w:hAnsi="Arial"/>
          <w:sz w:val="18"/>
          <w:szCs w:val="18"/>
          <w:color w:val="auto"/>
        </w:rPr>
      </w:pPr>
    </w:p>
    <w:p>
      <w:pPr>
        <w:jc w:val="both"/>
        <w:ind w:left="660" w:right="299" w:firstLine="352"/>
        <w:spacing w:after="0" w:line="255" w:lineRule="auto"/>
        <w:tabs>
          <w:tab w:leader="none" w:pos="1399"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Voting Debt</w:t>
      </w:r>
      <w:r>
        <w:rPr>
          <w:rFonts w:ascii="Arial" w:cs="Arial" w:eastAsia="Arial" w:hAnsi="Arial"/>
          <w:sz w:val="18"/>
          <w:szCs w:val="18"/>
          <w:color w:val="auto"/>
        </w:rPr>
        <w:t>. No bonds, debentures, notes, or other Indebtedness issued by the Company or any of its Subsidiaries: (i) having the right to vote on any matters on which stockholders or equityholders of the Company or any of its Subsidiaries may vote (or which is convertible into, or exchangeable for, securities having such right); or (ii) the value of which is directly based upon or derived from the capital stock, voting securities, or other ownership interests of the Company or any of its Subsidiaries, are issued or outstanding (collectively, “</w:t>
      </w:r>
      <w:r>
        <w:rPr>
          <w:rFonts w:ascii="Arial" w:cs="Arial" w:eastAsia="Arial" w:hAnsi="Arial"/>
          <w:sz w:val="18"/>
          <w:szCs w:val="18"/>
          <w:u w:val="single" w:color="auto"/>
          <w:color w:val="auto"/>
        </w:rPr>
        <w:t>Voting Debt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5" w:name="page266"/>
    <w:bookmarkEnd w:id="26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 xml:space="preserve">. As of the date hereof, there are no outstanding: (i) securities of the Company or any of its Subsidiaries convertible into or exchangeable for Voting Debt, capital stock, voting securities, or other ownership interests in any Subsidiary of the Company; (ii) options, warrants, or other agreements or commitments to acquire from the Company or any of its Subsidiaries, or obligations of the Company or any of its Subsidiaries to issue, any Voting Debt, capital stock, voting securities, or other ownership interests in (or securities convertible into or exchangeable for capital stock, voting securities, or other ownership interests in) any Subsidiary of the Company;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capital stock or voting securities of, or other ownership interests in, any Subsidiary of the Company, in each case that have been issued by a Subsidiary of the Company (the items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together with the capital stock, voting securities, or other ownership interests of such Subsidiaries, being referred to collectively as “</w:t>
      </w: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w:t>
      </w:r>
    </w:p>
    <w:p>
      <w:pPr>
        <w:spacing w:after="0" w:line="6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Authority; Non-Contravention; Governmental Consents; Board Approval; Anti-Takeover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Statutes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85" w:lineRule="auto"/>
        <w:tabs>
          <w:tab w:leader="none" w:pos="1399"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all requisite corporate power and authority to enter into and to perform its obligations under this Agreement and, subject to, in the case of the consummation of the Merger, adoption of this Agreement by the affirmative vote or consent of the holders of a majority of the outstanding shares of Company Common Stock (the “</w:t>
      </w:r>
      <w:r>
        <w:rPr>
          <w:rFonts w:ascii="Arial" w:cs="Arial" w:eastAsia="Arial" w:hAnsi="Arial"/>
          <w:sz w:val="16"/>
          <w:szCs w:val="16"/>
          <w:u w:val="single" w:color="auto"/>
          <w:color w:val="auto"/>
        </w:rPr>
        <w:t>Requisite Company Vote</w:t>
      </w:r>
      <w:r>
        <w:rPr>
          <w:rFonts w:ascii="Arial" w:cs="Arial" w:eastAsia="Arial" w:hAnsi="Arial"/>
          <w:sz w:val="16"/>
          <w:szCs w:val="16"/>
          <w:color w:val="auto"/>
        </w:rPr>
        <w:t>”), to consummate the transactions contemplated by this Agreement.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the execution and delivery of this Agreement or to consummate the Merger and the other transactions contemplated hereby, subject only, in the case of consummation of the Merger, to the receipt of the Requisite Company Vote. The Requisite Company Vote is the only vote or consent of the holders of any class or series of the Company’s capital stock necessary to approve and adopt this Agreement, approve the Merger, and consummate the Merger and the other transactions contemplated hereby. This Agreement has been duly executed and delivered by the Company and, assuming due execution and delivery by Parent, US Holdco and Merger Sub, constitutes the legal, valid, and binding obligation of the Company, enforceable against the Company in accordance with its terms, except as such enforceability may be limited by bankruptcy, insolvency, moratorium, and other similar Laws affecting creditors’ rights generally and by general principles of equity.</w:t>
      </w:r>
    </w:p>
    <w:p>
      <w:pPr>
        <w:spacing w:after="0" w:line="68"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of this Agreement by the Company, and the consummation by the Company of the transactions contemplated by this Agreement, including the Merger, do not and will not: (i) subject to obtaining the Requisite Company Vote, contravene or conflict with, or result in any violation or breach of, the Charter Documents of the Company or any of its Subsidiaries;</w:t>
      </w:r>
    </w:p>
    <w:p>
      <w:pPr>
        <w:spacing w:after="0" w:line="1" w:lineRule="exact"/>
        <w:rPr>
          <w:rFonts w:ascii="Arial" w:cs="Arial" w:eastAsia="Arial" w:hAnsi="Arial"/>
          <w:sz w:val="16"/>
          <w:szCs w:val="16"/>
          <w:color w:val="auto"/>
        </w:rPr>
      </w:pPr>
    </w:p>
    <w:p>
      <w:pPr>
        <w:jc w:val="both"/>
        <w:ind w:left="660" w:right="299" w:hanging="8"/>
        <w:spacing w:after="0" w:line="266" w:lineRule="auto"/>
        <w:tabs>
          <w:tab w:leader="none" w:pos="94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assuming that all consents, approvals, orders, authorizations, registrations, declarations, filings, or notices contemplated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4.03(c)</w:t>
      </w:r>
      <w:r>
        <w:rPr>
          <w:rFonts w:ascii="Arial" w:cs="Arial" w:eastAsia="Arial" w:hAnsi="Arial"/>
          <w:sz w:val="17"/>
          <w:szCs w:val="17"/>
          <w:color w:val="auto"/>
        </w:rPr>
        <w:t xml:space="preserve"> have been obtained or made and, in the case of the consummation of the Merger, obtaining the Requisite Company Vote, conflict with or violate any Law applicable to the Company, any of its Subsidiaries, or any of their respective properties or assets; (iii) result in any breach of or constitute a default (or an event that with notice or lapse of time or both would become a default) under, result in the Company’s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the Company or any of its Subsidiaries is a party or otherwise bound as of the date hereof; or (iv) result in the creation of a Lien (other than Permitted Liens) on any of the properties or assets of the Company or any of its Subsidiaries, except, in the case of each of the foregoing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6" w:name="page267"/>
    <w:bookmarkEnd w:id="26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399"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declaration, or filing with, or notice to, any Governmental Entity is required to be obtained or made by the Company in connection with the execution, delivery, and performance by the Company of this Agreement or the consummation by the Company of the Merger and the other transactions contemplated hereby, except for:</w:t>
      </w:r>
    </w:p>
    <w:p>
      <w:pPr>
        <w:spacing w:after="0" w:line="1" w:lineRule="exact"/>
        <w:rPr>
          <w:rFonts w:ascii="Arial" w:cs="Arial" w:eastAsia="Arial" w:hAnsi="Arial"/>
          <w:sz w:val="16"/>
          <w:szCs w:val="16"/>
          <w:color w:val="auto"/>
        </w:rPr>
      </w:pPr>
    </w:p>
    <w:p>
      <w:pPr>
        <w:jc w:val="both"/>
        <w:ind w:left="660" w:right="299" w:hanging="8"/>
        <w:spacing w:after="0" w:line="284" w:lineRule="auto"/>
        <w:tabs>
          <w:tab w:leader="none" w:pos="87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filing of the Certificate of Merger with the Secretary of State of the State of Delaware; (ii) the filing with the SEC of (A) the Company Proxy Statement in definitive form in accordance with the Exchange Act, (B) the Form F-4, and the declaration of its effectiveness under the Securities Act, and (C) the filing of such reports under the Exchange Act as may be required in connection with this Agreement, the Merger, and the other transactions contemplated by this Agreement; (iii) such consents, approvals, orders, authorizations, registrations, declarations, filings, or notices as may be required under (A)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or (B) any other Laws that are designed or intended to prohibit, restrict, or regulate actions having the purpose or effect of monopolization or restraint of trade or significant impediments or lessening of competition or creation or strengthening of a dominant position through merger or acquisition (“</w:t>
      </w:r>
      <w:r>
        <w:rPr>
          <w:rFonts w:ascii="Arial" w:cs="Arial" w:eastAsia="Arial" w:hAnsi="Arial"/>
          <w:sz w:val="16"/>
          <w:szCs w:val="16"/>
          <w:u w:val="single" w:color="auto"/>
          <w:color w:val="auto"/>
        </w:rPr>
        <w:t>Foreign Antitrust Laws</w:t>
      </w:r>
      <w:r>
        <w:rPr>
          <w:rFonts w:ascii="Arial" w:cs="Arial" w:eastAsia="Arial" w:hAnsi="Arial"/>
          <w:sz w:val="16"/>
          <w:szCs w:val="16"/>
          <w:color w:val="auto"/>
        </w:rPr>
        <w:t>” and, together with the HSR Act, the “</w:t>
      </w:r>
      <w:r>
        <w:rPr>
          <w:rFonts w:ascii="Arial" w:cs="Arial" w:eastAsia="Arial" w:hAnsi="Arial"/>
          <w:sz w:val="16"/>
          <w:szCs w:val="16"/>
          <w:u w:val="single" w:color="auto"/>
          <w:color w:val="auto"/>
        </w:rPr>
        <w:t>Antitrust Laws</w:t>
      </w:r>
      <w:r>
        <w:rPr>
          <w:rFonts w:ascii="Arial" w:cs="Arial" w:eastAsia="Arial" w:hAnsi="Arial"/>
          <w:sz w:val="16"/>
          <w:szCs w:val="16"/>
          <w:color w:val="auto"/>
        </w:rPr>
        <w:t xml:space="preserve">”),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consents, approvals, orders, or authorizations of, registrations, declarations, or filings with, or notices to, Governmental Entities listed in </w:t>
      </w:r>
      <w:r>
        <w:rPr>
          <w:rFonts w:ascii="Arial" w:cs="Arial" w:eastAsia="Arial" w:hAnsi="Arial"/>
          <w:sz w:val="16"/>
          <w:szCs w:val="16"/>
          <w:u w:val="single" w:color="auto"/>
          <w:color w:val="auto"/>
        </w:rPr>
        <w:t>Section 4.03(c)</w:t>
      </w:r>
      <w:r>
        <w:rPr>
          <w:rFonts w:ascii="Arial" w:cs="Arial" w:eastAsia="Arial" w:hAnsi="Arial"/>
          <w:sz w:val="16"/>
          <w:szCs w:val="16"/>
          <w:color w:val="auto"/>
        </w:rPr>
        <w:t xml:space="preserve"> of the Company Disclosure Letter (the “</w:t>
      </w:r>
      <w:r>
        <w:rPr>
          <w:rFonts w:ascii="Arial" w:cs="Arial" w:eastAsia="Arial" w:hAnsi="Arial"/>
          <w:sz w:val="16"/>
          <w:szCs w:val="16"/>
          <w:u w:val="single" w:color="auto"/>
          <w:color w:val="auto"/>
        </w:rPr>
        <w:t>Other Governmental Approvals</w:t>
      </w:r>
      <w:r>
        <w:rPr>
          <w:rFonts w:ascii="Arial" w:cs="Arial" w:eastAsia="Arial" w:hAnsi="Arial"/>
          <w:sz w:val="16"/>
          <w:szCs w:val="16"/>
          <w:color w:val="auto"/>
        </w:rPr>
        <w:t>”); and (vi) such other consents, approvals, orders, authorizations, registrations, declarations, filings, or notices which if not obtained or made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77" w:lineRule="exact"/>
        <w:rPr>
          <w:rFonts w:ascii="Arial" w:cs="Arial" w:eastAsia="Arial" w:hAnsi="Arial"/>
          <w:sz w:val="16"/>
          <w:szCs w:val="16"/>
          <w:color w:val="auto"/>
        </w:rPr>
      </w:pPr>
    </w:p>
    <w:p>
      <w:pPr>
        <w:jc w:val="both"/>
        <w:ind w:left="660" w:right="299" w:firstLine="352"/>
        <w:spacing w:after="0" w:line="287" w:lineRule="auto"/>
        <w:tabs>
          <w:tab w:leader="none" w:pos="1410"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Board Approval</w:t>
      </w:r>
      <w:r>
        <w:rPr>
          <w:rFonts w:ascii="Arial" w:cs="Arial" w:eastAsia="Arial" w:hAnsi="Arial"/>
          <w:sz w:val="16"/>
          <w:szCs w:val="16"/>
          <w:color w:val="auto"/>
        </w:rPr>
        <w:t>. The Company Board, by resolutions duly adopted by a unanimous vote at a meeting of all directors of the Company duly called and held (which, as of the execution and delivery of this Agreement by the parties hereto, have not been rescinded, withdrawn, or modified in any way), has: (i) determined that this Agreement and the transactions contemplated hereby, including the Merger, upon the terms and subject to the conditions set forth herein, are fair to, and in the best interests of, the Company and the Company’s stockholders; (ii) approved and declared advisable this Agreement, including the execution, delivery, and performance thereof, and the consummation of the transactions contemplated by this Agreement, including the Merger, upon the terms and subject to the conditions set forth herein; (iii) directed that this Agreement be submitted to a vote of the Company’s stockholders for adoption at the Company Stockholders Meeting; and (iv) resolved to recommend that Company stockholders vote in favor of adoption of this Agreement in accordance with the DGCL (collectively,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left="660" w:right="299" w:firstLine="352"/>
        <w:spacing w:after="0" w:line="257" w:lineRule="auto"/>
        <w:tabs>
          <w:tab w:leader="none" w:pos="1399"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Anti-Takeover Statutes</w:t>
      </w:r>
      <w:r>
        <w:rPr>
          <w:rFonts w:ascii="Arial" w:cs="Arial" w:eastAsia="Arial" w:hAnsi="Arial"/>
          <w:sz w:val="18"/>
          <w:szCs w:val="18"/>
          <w:color w:val="auto"/>
        </w:rPr>
        <w:t>. No “fair price,” “moratorium,” “control share acquisition,” “supermajority,” “affiliate transactions,” “business combination,” or other similar anti-takeover statute or regulation enacted under any federal, state, local, or foreign laws (such statute or regulations, “</w:t>
      </w:r>
      <w:r>
        <w:rPr>
          <w:rFonts w:ascii="Arial" w:cs="Arial" w:eastAsia="Arial" w:hAnsi="Arial"/>
          <w:sz w:val="18"/>
          <w:szCs w:val="18"/>
          <w:u w:val="single" w:color="auto"/>
          <w:color w:val="auto"/>
        </w:rPr>
        <w:t>Anti-Takeover Statutes</w:t>
      </w:r>
      <w:r>
        <w:rPr>
          <w:rFonts w:ascii="Arial" w:cs="Arial" w:eastAsia="Arial" w:hAnsi="Arial"/>
          <w:sz w:val="18"/>
          <w:szCs w:val="18"/>
          <w:color w:val="auto"/>
        </w:rPr>
        <w:t>”) applicable to the Company is applicable to this Agreement, the Merger, or any of the other transactions contemplated by this Agreement.</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SEC Filings; Financial Statements; Sarbanes-Oxley Act Compliance; Undisclosed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69" w:lineRule="auto"/>
        <w:tabs>
          <w:tab w:leader="none" w:pos="1399"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True, correct, and complete copies of all Company SEC Documents are publicly available in the Electronic Data Gathering, Analysis, and Retrieval database of the SEC (“</w:t>
      </w:r>
      <w:r>
        <w:rPr>
          <w:rFonts w:ascii="Arial" w:cs="Arial" w:eastAsia="Arial" w:hAnsi="Arial"/>
          <w:sz w:val="17"/>
          <w:szCs w:val="17"/>
          <w:u w:val="single" w:color="auto"/>
          <w:color w:val="auto"/>
        </w:rPr>
        <w:t>EDGAR</w:t>
      </w:r>
      <w:r>
        <w:rPr>
          <w:rFonts w:ascii="Arial" w:cs="Arial" w:eastAsia="Arial" w:hAnsi="Arial"/>
          <w:sz w:val="17"/>
          <w:szCs w:val="17"/>
          <w:color w:val="auto"/>
        </w:rPr>
        <w:t>”). To the extent that any Company SEC Document available on EDGAR contains redactions pursuant to a request for confidential treatment or otherwise, the Company has made available to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7" w:name="page268"/>
    <w:bookmarkEnd w:id="26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respectively), each of the Company SEC Documents complied as to form in all material respects with the applicable requirements of the Securities Act, the Exchange Act, and the Sarbanes-Oxley Act,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 None of the Company’s Subsidiaries is required to file or furnish any forms, reports, or other documents with the SEC.</w:t>
      </w:r>
    </w:p>
    <w:p>
      <w:pPr>
        <w:spacing w:after="0" w:line="60" w:lineRule="exact"/>
        <w:rPr>
          <w:sz w:val="20"/>
          <w:szCs w:val="20"/>
          <w:color w:val="auto"/>
        </w:rPr>
      </w:pPr>
    </w:p>
    <w:p>
      <w:pPr>
        <w:jc w:val="both"/>
        <w:ind w:left="660" w:right="319" w:firstLine="352"/>
        <w:spacing w:after="0" w:line="291" w:lineRule="auto"/>
        <w:tabs>
          <w:tab w:leader="none" w:pos="1410"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Each of the consolidated financial statements (including, in each case, any notes and schedules thereto) contained in or incorporated by reference into the Company SEC Documents:</w:t>
      </w:r>
    </w:p>
    <w:p>
      <w:pPr>
        <w:jc w:val="both"/>
        <w:ind w:left="660" w:right="299" w:hanging="8"/>
        <w:spacing w:after="0" w:line="281" w:lineRule="auto"/>
        <w:tabs>
          <w:tab w:leader="none" w:pos="87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and</w:t>
      </w:r>
    </w:p>
    <w:p>
      <w:pPr>
        <w:spacing w:after="0" w:line="2" w:lineRule="exact"/>
        <w:rPr>
          <w:rFonts w:ascii="Arial" w:cs="Arial" w:eastAsia="Arial" w:hAnsi="Arial"/>
          <w:sz w:val="16"/>
          <w:szCs w:val="16"/>
          <w:color w:val="auto"/>
        </w:rPr>
      </w:pPr>
    </w:p>
    <w:p>
      <w:pPr>
        <w:jc w:val="both"/>
        <w:ind w:left="660" w:right="319" w:hanging="8"/>
        <w:spacing w:after="0" w:line="252" w:lineRule="auto"/>
        <w:tabs>
          <w:tab w:leader="none" w:pos="99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fairly presented in all material respects the consolidated financial position and the results of operations, changes in stockholders’ equity, and cash flows of the Company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85" w:lineRule="exact"/>
        <w:rPr>
          <w:rFonts w:ascii="Arial" w:cs="Arial" w:eastAsia="Arial" w:hAnsi="Arial"/>
          <w:sz w:val="18"/>
          <w:szCs w:val="18"/>
          <w:color w:val="auto"/>
        </w:rPr>
      </w:pPr>
    </w:p>
    <w:p>
      <w:pPr>
        <w:jc w:val="both"/>
        <w:ind w:left="660" w:right="299" w:firstLine="352"/>
        <w:spacing w:after="0" w:line="285" w:lineRule="auto"/>
        <w:tabs>
          <w:tab w:leader="none" w:pos="1399"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consolidated Subsidiaries; (ii) provide reasonable assurance that transactions are recorded as necessary to permit preparation of financial statements in accordance with GAAP and that receipts and expenditures of the Company and its consolidated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consolidated Subsidiaries. The Company’s management has completed an assessment of the effectiveness of the Company’s internal controls over financial reporting in compliance with the requirements of Section 404 of the Sarbanes-Oxley Act for the fiscal year ended December 31, 2019, and that assessment concluded that those controls were effective and disclosed to the Company’s independent public accounting firm and audit committee of the Company Board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w:t>
      </w:r>
    </w:p>
    <w:p>
      <w:pPr>
        <w:spacing w:after="0" w:line="60" w:lineRule="exact"/>
        <w:rPr>
          <w:rFonts w:ascii="Arial" w:cs="Arial" w:eastAsia="Arial" w:hAnsi="Arial"/>
          <w:sz w:val="16"/>
          <w:szCs w:val="16"/>
          <w:color w:val="auto"/>
        </w:rPr>
      </w:pPr>
    </w:p>
    <w:p>
      <w:pPr>
        <w:jc w:val="both"/>
        <w:ind w:left="660" w:right="299" w:firstLine="352"/>
        <w:spacing w:after="0" w:line="287" w:lineRule="auto"/>
        <w:tabs>
          <w:tab w:leader="none" w:pos="1410"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“disclosure controls and procedures” (as defined in Rules 13a-15(e) and 15d-15(e) of the Exchange Act)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Since January 1, 2019, neither the Company nor, to the Knowledge of the Company, the Company’s independent registered public accounting firm has identified or been made aware of: (i) any “significant deficiency” or “material weakness” (each as defined in Rule 12b-2 of the Exchange Act) in the system of internal control over financial reporting utilized by the Company and 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8" w:name="page269"/>
    <w:bookmarkEnd w:id="26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57" w:lineRule="exact"/>
        <w:rPr>
          <w:sz w:val="20"/>
          <w:szCs w:val="20"/>
          <w:color w:val="auto"/>
        </w:rPr>
      </w:pPr>
    </w:p>
    <w:p>
      <w:pPr>
        <w:jc w:val="both"/>
        <w:ind w:left="660" w:right="319" w:firstLine="352"/>
        <w:spacing w:after="0" w:line="286" w:lineRule="auto"/>
        <w:tabs>
          <w:tab w:leader="none" w:pos="1399"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Undisclosed Liabilities</w:t>
      </w:r>
      <w:r>
        <w:rPr>
          <w:rFonts w:ascii="Arial" w:cs="Arial" w:eastAsia="Arial" w:hAnsi="Arial"/>
          <w:sz w:val="16"/>
          <w:szCs w:val="16"/>
          <w:color w:val="auto"/>
        </w:rPr>
        <w:t>. The audited balance sheet of the Company dated as of December 31, 2019, contained in the Company SEC Documents filed prior to the date hereof is hereinafter referred to as the “</w:t>
      </w:r>
      <w:r>
        <w:rPr>
          <w:rFonts w:ascii="Arial" w:cs="Arial" w:eastAsia="Arial" w:hAnsi="Arial"/>
          <w:sz w:val="16"/>
          <w:szCs w:val="16"/>
          <w:u w:val="single" w:color="auto"/>
          <w:color w:val="auto"/>
        </w:rPr>
        <w:t>Company Balance Sheet</w:t>
      </w:r>
      <w:r>
        <w:rPr>
          <w:rFonts w:ascii="Arial" w:cs="Arial" w:eastAsia="Arial" w:hAnsi="Arial"/>
          <w:sz w:val="16"/>
          <w:szCs w:val="16"/>
          <w:color w:val="auto"/>
        </w:rPr>
        <w:t>.” Neither the Company nor any of its Subsidiaries has any Liabilities that are required by GAAP to be included on a consolidated balance sheet of the Company other than Liabilities that:</w:t>
      </w:r>
    </w:p>
    <w:p>
      <w:pPr>
        <w:spacing w:after="0" w:line="1" w:lineRule="exact"/>
        <w:rPr>
          <w:rFonts w:ascii="Arial" w:cs="Arial" w:eastAsia="Arial" w:hAnsi="Arial"/>
          <w:sz w:val="16"/>
          <w:szCs w:val="16"/>
          <w:color w:val="auto"/>
        </w:rPr>
      </w:pPr>
    </w:p>
    <w:p>
      <w:pPr>
        <w:jc w:val="both"/>
        <w:ind w:left="660" w:right="299" w:hanging="8"/>
        <w:spacing w:after="0" w:line="253" w:lineRule="auto"/>
        <w:tabs>
          <w:tab w:leader="none" w:pos="89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are reflected or reserved against in the Company Balance Sheet (including in the notes thereto); (ii) were incurred since the date of the Company Balance Sheet in the ordinary course of business, including any Company COVID Actions; (iii) are incurred in connection with the transactions contemplated by this Agreement; or (iv) would not reasonably be expected to have, individually or in the aggregate, a Company Material Adverse Effect.</w:t>
      </w:r>
    </w:p>
    <w:p>
      <w:pPr>
        <w:spacing w:after="0" w:line="82" w:lineRule="exact"/>
        <w:rPr>
          <w:rFonts w:ascii="Arial" w:cs="Arial" w:eastAsia="Arial" w:hAnsi="Arial"/>
          <w:sz w:val="18"/>
          <w:szCs w:val="18"/>
          <w:color w:val="auto"/>
        </w:rPr>
      </w:pPr>
    </w:p>
    <w:p>
      <w:pPr>
        <w:jc w:val="both"/>
        <w:ind w:left="660" w:right="299" w:firstLine="352"/>
        <w:spacing w:after="0" w:line="263" w:lineRule="auto"/>
        <w:tabs>
          <w:tab w:leader="none" w:pos="1380"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Neither the Company nor any of its Subsidiaries is a party to, or has any commitment to become a party to any “off-balance sheet arrangements” (as defined in Item 303(a) of Regulation S-K under the Exchange Act).</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Sarbanes-Oxley and Nasdaq Compliance</w:t>
      </w:r>
      <w:r>
        <w:rPr>
          <w:rFonts w:ascii="Arial" w:cs="Arial" w:eastAsia="Arial" w:hAnsi="Arial"/>
          <w:sz w:val="17"/>
          <w:szCs w:val="17"/>
          <w:color w:val="auto"/>
        </w:rPr>
        <w:t>. 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with all of the other applicable provisions of the Sarbanes-Oxley Act and the applicable listing and corporate governance rules of Nasdaq, except for any non-compliance that would not reasonably be expected to have, individually or in the aggregate, a Company Material Adverse Effect.</w:t>
      </w:r>
    </w:p>
    <w:p>
      <w:pPr>
        <w:spacing w:after="0" w:line="77" w:lineRule="exact"/>
        <w:rPr>
          <w:rFonts w:ascii="Arial" w:cs="Arial" w:eastAsia="Arial" w:hAnsi="Arial"/>
          <w:sz w:val="17"/>
          <w:szCs w:val="17"/>
          <w:color w:val="auto"/>
        </w:rPr>
      </w:pPr>
    </w:p>
    <w:p>
      <w:pPr>
        <w:jc w:val="both"/>
        <w:ind w:left="660" w:right="319" w:firstLine="352"/>
        <w:spacing w:after="0" w:line="255" w:lineRule="auto"/>
        <w:tabs>
          <w:tab w:leader="none" w:pos="1410"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Accounting, Securities, or Other Related Complaints or Reports</w:t>
      </w:r>
      <w:r>
        <w:rPr>
          <w:rFonts w:ascii="Arial" w:cs="Arial" w:eastAsia="Arial" w:hAnsi="Arial"/>
          <w:sz w:val="18"/>
          <w:szCs w:val="18"/>
          <w:color w:val="auto"/>
        </w:rPr>
        <w:t>. Since January 1, 2019, the Company has not received or otherwise had or obtained Knowledge of any material complaint, allegation, assertion or claim, whether written or oral, regarding the accounting or auditing practices, procedures, methodologies or methods of the Company or its internal accounting controls, including any material complaint, allegation, assertion or claim that the Company has engaged in questionable accounting or auditing practices.</w:t>
      </w:r>
    </w:p>
    <w:p>
      <w:pPr>
        <w:spacing w:after="0" w:line="1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left="660" w:right="319" w:firstLine="352"/>
        <w:spacing w:after="0" w:line="277" w:lineRule="auto"/>
        <w:tabs>
          <w:tab w:leader="none" w:pos="14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Since the date of the Company Balance Sheet there has not been or occurred any Company Material Adverse Effect; or</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Since September 30, 2020 through the date of this Agreement, except in connection with the execution and delivery of this Agreement and the consummation of the transactions contemplated hereby, the business of the Company and each of its Subsidiaries has been conducted in the ordinary course of business other than Company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6.01(b)(x)</w:t>
      </w:r>
      <w:r>
        <w:rPr>
          <w:rFonts w:ascii="Arial" w:cs="Arial" w:eastAsia="Arial" w:hAnsi="Arial"/>
          <w:sz w:val="17"/>
          <w:szCs w:val="17"/>
          <w:color w:val="auto"/>
        </w:rPr>
        <w:t xml:space="preserve"> thereof).</w:t>
      </w:r>
    </w:p>
    <w:p>
      <w:pPr>
        <w:spacing w:after="0" w:line="11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87" w:lineRule="auto"/>
        <w:tabs>
          <w:tab w:leader="none" w:pos="1399"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Tax Returns and Payment of Taxes</w:t>
      </w:r>
      <w:r>
        <w:rPr>
          <w:rFonts w:ascii="Arial" w:cs="Arial" w:eastAsia="Arial" w:hAnsi="Arial"/>
          <w:sz w:val="16"/>
          <w:szCs w:val="16"/>
          <w:color w:val="auto"/>
        </w:rPr>
        <w:t>. Each of the Company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the Company will have no liability for any material amounts of unpaid Taxes accruing after the date of the Company’s most recent financial statements, other than Taxes accruing in the ordinary course of business conducted after the date of the Company’s most recent financial statements. Neither the Company nor any of its Subsidiaries has executed any waiver of any statute of limitations on, or extended the period for the assessment or collection of, any material amount of Tax, in each case, that has not since expired.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9" w:name="page270"/>
    <w:bookmarkEnd w:id="26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firstLine="352"/>
        <w:spacing w:after="0" w:line="277" w:lineRule="auto"/>
        <w:tabs>
          <w:tab w:leader="none" w:pos="141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Tax Returns Made Available</w:t>
      </w:r>
      <w:r>
        <w:rPr>
          <w:rFonts w:ascii="Arial" w:cs="Arial" w:eastAsia="Arial" w:hAnsi="Arial"/>
          <w:sz w:val="18"/>
          <w:szCs w:val="18"/>
          <w:color w:val="auto"/>
        </w:rPr>
        <w:t>. The copies of the Tax Returns made available to the Parent in the Company’s data room are complete and accurate copies in all material respects.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399"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the Company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There are no material Liens for Taxes upon the assets of the Company or any of its Subsidiaries other than Permitted Liens.</w:t>
      </w:r>
    </w:p>
    <w:p>
      <w:pPr>
        <w:spacing w:after="0" w:line="62" w:lineRule="exact"/>
        <w:rPr>
          <w:rFonts w:ascii="Arial" w:cs="Arial" w:eastAsia="Arial" w:hAnsi="Arial"/>
          <w:sz w:val="18"/>
          <w:szCs w:val="18"/>
          <w:color w:val="auto"/>
        </w:rPr>
      </w:pPr>
    </w:p>
    <w:p>
      <w:pPr>
        <w:jc w:val="both"/>
        <w:ind w:left="660" w:right="299" w:firstLine="352"/>
        <w:spacing w:after="0" w:line="293" w:lineRule="auto"/>
        <w:tabs>
          <w:tab w:leader="none" w:pos="1399"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Tax Deficiencies and Audits</w:t>
      </w:r>
      <w:r>
        <w:rPr>
          <w:rFonts w:ascii="Arial" w:cs="Arial" w:eastAsia="Arial" w:hAnsi="Arial"/>
          <w:sz w:val="16"/>
          <w:szCs w:val="16"/>
          <w:color w:val="auto"/>
        </w:rPr>
        <w:t>. No deficiency or other proposed assessment or adjustment for any material amounts of Taxes has been assessed, asserted, proposed or, to the Knowledge of the Company, threatened by any Governmental Entity against the Company or any of its Subsidiary which deficiency or other proposed assessment or adjustment has not since been paid in full, settled or withdrawn. There are no ongoing, pending or, to the Knowledge of the Company, threatened audits, examinations, investigations or other administrative or judicial proceedings with respect to any Taxes of the Company or any of its Subsidiaries.</w:t>
      </w:r>
    </w:p>
    <w:p>
      <w:pPr>
        <w:spacing w:after="0" w:line="56" w:lineRule="exact"/>
        <w:rPr>
          <w:rFonts w:ascii="Arial" w:cs="Arial" w:eastAsia="Arial" w:hAnsi="Arial"/>
          <w:sz w:val="16"/>
          <w:szCs w:val="16"/>
          <w:color w:val="auto"/>
        </w:rPr>
      </w:pPr>
    </w:p>
    <w:p>
      <w:pPr>
        <w:jc w:val="both"/>
        <w:ind w:left="660" w:right="299" w:firstLine="352"/>
        <w:spacing w:after="0" w:line="257" w:lineRule="auto"/>
        <w:tabs>
          <w:tab w:leader="none" w:pos="138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Tax Jurisdictions</w:t>
      </w:r>
      <w:r>
        <w:rPr>
          <w:rFonts w:ascii="Arial" w:cs="Arial" w:eastAsia="Arial" w:hAnsi="Arial"/>
          <w:sz w:val="18"/>
          <w:szCs w:val="18"/>
          <w:color w:val="auto"/>
        </w:rPr>
        <w:t>. No material claim has been made in writing since December 31, 2016, by any Governmental Entity in any jurisdiction where the Company or any of its Subsidiaries does not file Tax Returns that the Company or any of its Subsidiaries is or may be subject to Tax in that jurisdiction. The Company is resident for Tax purposes in its jurisdiction of incorporation only and is not resident in any jurisdiction other than (or in addition to) its jurisdiction of incorporation.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Closing Agreements and Tax Rulings</w:t>
      </w:r>
      <w:r>
        <w:rPr>
          <w:rFonts w:ascii="Arial" w:cs="Arial" w:eastAsia="Arial" w:hAnsi="Arial"/>
          <w:sz w:val="18"/>
          <w:szCs w:val="18"/>
          <w:color w:val="auto"/>
        </w:rPr>
        <w:t>. Neither the Company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the Company’s or any of its Subsidiaries’ liability for Taxes at any time after the Closing.</w:t>
      </w:r>
    </w:p>
    <w:p>
      <w:pPr>
        <w:spacing w:after="0" w:line="79"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Consolidated Groups, Transferee Liability, and Tax Agreements</w:t>
      </w:r>
      <w:r>
        <w:rPr>
          <w:rFonts w:ascii="Arial" w:cs="Arial" w:eastAsia="Arial" w:hAnsi="Arial"/>
          <w:sz w:val="18"/>
          <w:szCs w:val="18"/>
          <w:color w:val="auto"/>
        </w:rPr>
        <w:t>. Neither the Company nor any of its Subsidiaries (i) has any Tax Sharing Obligation other than any Tax Sharing Obligation solely among the Company and/or any of its Subsidiaries, (ii) has any liability for the Taxes of any Person (other than the Company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the Company and/or any of its current Subsidiaries or of which the Company was the common parent).</w:t>
      </w:r>
    </w:p>
    <w:p>
      <w:pPr>
        <w:spacing w:after="0" w:line="88" w:lineRule="exact"/>
        <w:rPr>
          <w:rFonts w:ascii="Arial" w:cs="Arial" w:eastAsia="Arial" w:hAnsi="Arial"/>
          <w:sz w:val="18"/>
          <w:szCs w:val="18"/>
          <w:color w:val="auto"/>
        </w:rPr>
      </w:pPr>
    </w:p>
    <w:p>
      <w:pPr>
        <w:jc w:val="both"/>
        <w:ind w:left="660" w:right="299" w:firstLine="352"/>
        <w:spacing w:after="0" w:line="259" w:lineRule="auto"/>
        <w:tabs>
          <w:tab w:leader="none" w:pos="137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Change in Accounting Method</w:t>
      </w:r>
      <w:r>
        <w:rPr>
          <w:rFonts w:ascii="Arial" w:cs="Arial" w:eastAsia="Arial" w:hAnsi="Arial"/>
          <w:sz w:val="18"/>
          <w:szCs w:val="18"/>
          <w:color w:val="auto"/>
        </w:rPr>
        <w:t>. With respect to any taxable period that remains open, neither the Company nor any of its Subsidiaries has agreed to make, or has been required to make, any material adjustment under Section 481(a) of the Code (or any similar provision of state, local or non-U.S. Law) by reason of a change in accounting method or otherwise.</w:t>
      </w:r>
    </w:p>
    <w:p>
      <w:pPr>
        <w:spacing w:after="0" w:line="78" w:lineRule="exact"/>
        <w:rPr>
          <w:rFonts w:ascii="Arial" w:cs="Arial" w:eastAsia="Arial" w:hAnsi="Arial"/>
          <w:sz w:val="18"/>
          <w:szCs w:val="18"/>
          <w:color w:val="auto"/>
        </w:rPr>
      </w:pPr>
    </w:p>
    <w:p>
      <w:pPr>
        <w:jc w:val="both"/>
        <w:ind w:left="660" w:right="299" w:firstLine="352"/>
        <w:spacing w:after="0" w:line="269" w:lineRule="auto"/>
        <w:tabs>
          <w:tab w:leader="none" w:pos="1370"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Post-Closing Tax Items</w:t>
      </w:r>
      <w:r>
        <w:rPr>
          <w:rFonts w:ascii="Arial" w:cs="Arial" w:eastAsia="Arial" w:hAnsi="Arial"/>
          <w:sz w:val="17"/>
          <w:szCs w:val="17"/>
          <w:color w:val="auto"/>
        </w:rPr>
        <w:t>. Neither the Company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0" w:name="page271"/>
    <w:bookmarkEnd w:id="27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Section 355</w:t>
      </w:r>
      <w:r>
        <w:rPr>
          <w:rFonts w:ascii="Arial" w:cs="Arial" w:eastAsia="Arial" w:hAnsi="Arial"/>
          <w:sz w:val="17"/>
          <w:szCs w:val="17"/>
          <w:color w:val="auto"/>
        </w:rPr>
        <w:t>. Since December 31, 2013, neither the Company nor any of its Subsidiaries has been a “distributing corporation” or a “controlled corporation” in connection with a distribution described in Section 355 of the Code (or any similar provision of applicable state, local or non-U.S. Law).</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37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Listed Transactions</w:t>
      </w:r>
      <w:r>
        <w:rPr>
          <w:rFonts w:ascii="Arial" w:cs="Arial" w:eastAsia="Arial" w:hAnsi="Arial"/>
          <w:sz w:val="18"/>
          <w:szCs w:val="18"/>
          <w:color w:val="auto"/>
        </w:rPr>
        <w:t>. Neither the Company nor any of its Subsidiaries has been a party to, participated in or been a material advisor with respect to, a “listed transaction” within the meaning of Treasury Regulation Section 1.6011-4(b) (or any similar provision of state, local or non-U.S. Law).</w:t>
      </w:r>
    </w:p>
    <w:p>
      <w:pPr>
        <w:spacing w:after="0" w:line="75" w:lineRule="exact"/>
        <w:rPr>
          <w:rFonts w:ascii="Arial" w:cs="Arial" w:eastAsia="Arial" w:hAnsi="Arial"/>
          <w:sz w:val="18"/>
          <w:szCs w:val="18"/>
          <w:color w:val="auto"/>
        </w:rPr>
      </w:pPr>
    </w:p>
    <w:p>
      <w:pPr>
        <w:jc w:val="both"/>
        <w:ind w:left="660" w:right="319" w:firstLine="352"/>
        <w:spacing w:after="0" w:line="286" w:lineRule="auto"/>
        <w:tabs>
          <w:tab w:leader="none" w:pos="14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Each of the Company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57" w:lineRule="exact"/>
        <w:rPr>
          <w:rFonts w:ascii="Arial" w:cs="Arial" w:eastAsia="Arial" w:hAnsi="Arial"/>
          <w:sz w:val="17"/>
          <w:szCs w:val="17"/>
          <w:color w:val="auto"/>
        </w:rPr>
      </w:pPr>
    </w:p>
    <w:p>
      <w:pPr>
        <w:ind w:left="660" w:right="319" w:firstLine="352"/>
        <w:spacing w:after="0" w:line="277" w:lineRule="auto"/>
        <w:tabs>
          <w:tab w:leader="none" w:pos="141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 equity interest in the Company is or, as of the Closing Date, will be a “United States real property interest” within the meaning of Section 897(c)(1)(A) of the Code.</w:t>
      </w:r>
    </w:p>
    <w:p>
      <w:pPr>
        <w:spacing w:after="0" w:line="62" w:lineRule="exact"/>
        <w:rPr>
          <w:rFonts w:ascii="Arial" w:cs="Arial" w:eastAsia="Arial" w:hAnsi="Arial"/>
          <w:sz w:val="18"/>
          <w:szCs w:val="18"/>
          <w:color w:val="auto"/>
        </w:rPr>
      </w:pPr>
    </w:p>
    <w:p>
      <w:pPr>
        <w:jc w:val="both"/>
        <w:ind w:left="660" w:right="299" w:firstLine="352"/>
        <w:spacing w:after="0" w:line="293" w:lineRule="auto"/>
        <w:tabs>
          <w:tab w:leader="none" w:pos="141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Section 4.06(o)</w:t>
      </w:r>
      <w:r>
        <w:rPr>
          <w:rFonts w:ascii="Arial" w:cs="Arial" w:eastAsia="Arial" w:hAnsi="Arial"/>
          <w:sz w:val="16"/>
          <w:szCs w:val="16"/>
          <w:color w:val="auto"/>
        </w:rPr>
        <w:t xml:space="preserve"> of the Company Disclosure Letter sets forth, for each calendar quarter ending after January 1, 2015, the aggregate repurchases by the Company of shares of capital stock or other voting securities of the Company, including the number of shares repurchased, the average purchase price for such repurchases, and the aggregate purchase price of such repurchases. The Company has made no other distributions (or completed other transactions that would be treated as distributions for U.S. federal income tax purposes) with respect to its capital stock or other voting securities since January 1, 2015, until the date hereof.</w:t>
      </w:r>
    </w:p>
    <w:p>
      <w:pPr>
        <w:spacing w:after="0" w:line="56" w:lineRule="exact"/>
        <w:rPr>
          <w:rFonts w:ascii="Arial" w:cs="Arial" w:eastAsia="Arial" w:hAnsi="Arial"/>
          <w:sz w:val="16"/>
          <w:szCs w:val="16"/>
          <w:color w:val="auto"/>
        </w:rPr>
      </w:pPr>
    </w:p>
    <w:p>
      <w:pPr>
        <w:ind w:left="660" w:right="299" w:firstLine="352"/>
        <w:spacing w:after="0" w:line="277" w:lineRule="auto"/>
        <w:tabs>
          <w:tab w:leader="none" w:pos="141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 asset of the Company or any of its Subsidiaries is currently escheatable or payable to any Governmental Entity under any applicable escheatment or unclaimed property Laws.</w:t>
      </w:r>
    </w:p>
    <w:p>
      <w:pPr>
        <w:spacing w:after="0" w:line="10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9"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Scheduled Company-Owned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of the Company Disclosure Letter contains a true and complete list, as of the date hereof, of all material Company-Owned IP that is the subject of any issuance, registration, certificate, application, or other filing by, to or with any Governmental Entity or authorized private domain name registrar, including patents, patent applications, trademark registrations and pending applications for registration, copyright registrations and pending applications for registration, and internet domain name registrations.</w:t>
      </w:r>
    </w:p>
    <w:p>
      <w:pPr>
        <w:spacing w:after="0" w:line="84" w:lineRule="exact"/>
        <w:rPr>
          <w:rFonts w:ascii="Arial" w:cs="Arial" w:eastAsia="Arial" w:hAnsi="Arial"/>
          <w:sz w:val="18"/>
          <w:szCs w:val="18"/>
          <w:color w:val="auto"/>
        </w:rPr>
      </w:pPr>
    </w:p>
    <w:p>
      <w:pPr>
        <w:jc w:val="both"/>
        <w:ind w:left="660" w:right="299" w:firstLine="352"/>
        <w:spacing w:after="0" w:line="271" w:lineRule="auto"/>
        <w:tabs>
          <w:tab w:leader="none" w:pos="141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Right to Use; Title</w:t>
      </w:r>
      <w:r>
        <w:rPr>
          <w:rFonts w:ascii="Arial" w:cs="Arial" w:eastAsia="Arial" w:hAnsi="Arial"/>
          <w:sz w:val="17"/>
          <w:szCs w:val="17"/>
          <w:color w:val="auto"/>
        </w:rPr>
        <w:t>. The Company or one of its Subsidiaries is the sole and exclusive owner of all right, title, and interest in and to the Company-Owned IP, and has the valid and enforceable right to use all other Intellectual Property used or held for use in the conduct of the business of the Company and its Subsidiaries as currently conducted (collectively, the “</w:t>
      </w:r>
      <w:r>
        <w:rPr>
          <w:rFonts w:ascii="Arial" w:cs="Arial" w:eastAsia="Arial" w:hAnsi="Arial"/>
          <w:sz w:val="17"/>
          <w:szCs w:val="17"/>
          <w:u w:val="single" w:color="auto"/>
          <w:color w:val="auto"/>
        </w:rPr>
        <w:t>Company IP</w:t>
      </w:r>
      <w:r>
        <w:rPr>
          <w:rFonts w:ascii="Arial" w:cs="Arial" w:eastAsia="Arial" w:hAnsi="Arial"/>
          <w:sz w:val="17"/>
          <w:szCs w:val="17"/>
          <w:color w:val="auto"/>
        </w:rPr>
        <w:t>”), in each case, free and clear of all Liens other than Permitted Liens, except as would not reasonably be expected to have, individually or in the aggregate, a Company Material Adverse Effect. The consummation of the transaction contemplated hereunder will not impair the Company and its Subsidiaries’ right to use Company IP, except as would not reasonably be expected to have, individually or in the aggregate, a Company Material Adverse Effect.</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399"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Validity and Enforceability</w:t>
      </w:r>
      <w:r>
        <w:rPr>
          <w:rFonts w:ascii="Arial" w:cs="Arial" w:eastAsia="Arial" w:hAnsi="Arial"/>
          <w:sz w:val="17"/>
          <w:szCs w:val="17"/>
          <w:color w:val="auto"/>
        </w:rPr>
        <w:t>. The Company and its Subsidiaries’ rights in the Company-Owned IP are valid, subsisting, and enforceable, except as would not reasonably be expected to have, individually or in the aggregate, a Company Material Adverse Effect. The Company and each of its Subsidiaries have taken reasonable steps to maintain the Company-Owned IP and to protect and preserve the confidentiality of all trade secrets included in the Company-Owned IP, except where the failure to take such actions would not reasonably be expected to have, individually or in the aggregate, a Company Material Adverse Effect.</w:t>
      </w:r>
    </w:p>
    <w:p>
      <w:pPr>
        <w:spacing w:after="0" w:line="69" w:lineRule="exact"/>
        <w:rPr>
          <w:rFonts w:ascii="Arial" w:cs="Arial" w:eastAsia="Arial" w:hAnsi="Arial"/>
          <w:sz w:val="17"/>
          <w:szCs w:val="17"/>
          <w:color w:val="auto"/>
        </w:rPr>
      </w:pPr>
    </w:p>
    <w:p>
      <w:pPr>
        <w:jc w:val="both"/>
        <w:ind w:left="660" w:right="299" w:firstLine="352"/>
        <w:spacing w:after="0" w:line="255" w:lineRule="auto"/>
        <w:tabs>
          <w:tab w:leader="none" w:pos="141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Except as would not reasonably be expected to have, individually or in the aggregate, a Company Material Adverse Effect: (i) since January 1, 2019, the conduct of the businesses of the Company and any of its Subsidiaries has not infringed, misappropriated, or otherwise violated, and is not infringing, misappropriating, or otherwise violating, any Intellectual Property of any other Person; and (ii) to the Knowledge of the Company, no Third Party is infringing upon, violating, or misappropriating any Company-Owned IP.</w:t>
      </w:r>
    </w:p>
    <w:p>
      <w:pPr>
        <w:spacing w:after="0" w:line="84" w:lineRule="exact"/>
        <w:rPr>
          <w:rFonts w:ascii="Arial" w:cs="Arial" w:eastAsia="Arial" w:hAnsi="Arial"/>
          <w:sz w:val="18"/>
          <w:szCs w:val="18"/>
          <w:color w:val="auto"/>
        </w:rPr>
      </w:pPr>
    </w:p>
    <w:p>
      <w:pPr>
        <w:jc w:val="both"/>
        <w:ind w:left="660" w:right="299" w:firstLine="352"/>
        <w:spacing w:after="0" w:line="257" w:lineRule="auto"/>
        <w:tabs>
          <w:tab w:leader="none" w:pos="1399"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IP Legal Actions and Orders</w:t>
      </w:r>
      <w:r>
        <w:rPr>
          <w:rFonts w:ascii="Arial" w:cs="Arial" w:eastAsia="Arial" w:hAnsi="Arial"/>
          <w:sz w:val="18"/>
          <w:szCs w:val="18"/>
          <w:color w:val="auto"/>
        </w:rPr>
        <w:t>. There are no Legal Actions pending or, to the Knowledge of the Company, threatened: (i) alleging any infringement, misappropriation, or violation by the Company or any of its Subsidiaries of the Intellectual Property of any Person; or (ii) challenging the validity, enforceability, or ownership of any Company-Owned IP or the Company or any of its Subsidiaries’ rights with respect to any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1" w:name="page272"/>
    <w:bookmarkEnd w:id="27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Company IP, in each case except for such Legal Actions that would not reasonably be expected to have, individually or in the aggregate, a Company Material Adverse Effect. The Company and its Subsidiaries are not subject to any outstanding Order that restricts or impairs the use of any Company-Owned IP, except where compliance with such Order would not reasonably be expected to have, individually or in the aggregate, a Company Material Adverse Effect.</w:t>
      </w:r>
    </w:p>
    <w:p>
      <w:pPr>
        <w:spacing w:after="0" w:line="80" w:lineRule="exact"/>
        <w:rPr>
          <w:sz w:val="20"/>
          <w:szCs w:val="20"/>
          <w:color w:val="auto"/>
        </w:rPr>
      </w:pPr>
    </w:p>
    <w:p>
      <w:pPr>
        <w:jc w:val="both"/>
        <w:ind w:left="660" w:right="299" w:firstLine="352"/>
        <w:spacing w:after="0" w:line="270" w:lineRule="auto"/>
        <w:tabs>
          <w:tab w:leader="none" w:pos="138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Company IT Systems</w:t>
      </w:r>
      <w:r>
        <w:rPr>
          <w:rFonts w:ascii="Arial" w:cs="Arial" w:eastAsia="Arial" w:hAnsi="Arial"/>
          <w:sz w:val="17"/>
          <w:szCs w:val="17"/>
          <w:color w:val="auto"/>
        </w:rPr>
        <w:t>. Since January 1, 2019, there has been no malfunction, disruption, continued substandard performance, denial-of-service, or other cyber incident, including any cyberattack, or other impairment of the Company IT Systems, in each case except as would not reasonably be expected to have, individually or in the aggregate, a Company Material Adverse Effect. The Company and its Subsidiaries have taken reasonable steps to safeguard the confidentiality, availability, security, and integrity of the Company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Company Material Adverse Effect.</w:t>
      </w:r>
    </w:p>
    <w:p>
      <w:pPr>
        <w:spacing w:after="0" w:line="72" w:lineRule="exact"/>
        <w:rPr>
          <w:rFonts w:ascii="Arial" w:cs="Arial" w:eastAsia="Arial" w:hAnsi="Arial"/>
          <w:sz w:val="17"/>
          <w:szCs w:val="17"/>
          <w:color w:val="auto"/>
        </w:rPr>
      </w:pPr>
    </w:p>
    <w:p>
      <w:pPr>
        <w:jc w:val="both"/>
        <w:ind w:left="660" w:right="299" w:firstLine="352"/>
        <w:spacing w:after="0" w:line="283" w:lineRule="auto"/>
        <w:tabs>
          <w:tab w:leader="none" w:pos="141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The Company and each of its Subsidiaries have complied with all applicable Laws, contractual obligations, and internal or publicly posted policies, procedures, notices, and statements concerning the collection, acquisition, use, processing, storage, transfer, distribution, dissemination, disclosure, protection and security (“</w:t>
      </w:r>
      <w:r>
        <w:rPr>
          <w:rFonts w:ascii="Arial" w:cs="Arial" w:eastAsia="Arial" w:hAnsi="Arial"/>
          <w:sz w:val="16"/>
          <w:szCs w:val="16"/>
          <w:u w:val="single" w:color="auto"/>
          <w:color w:val="auto"/>
        </w:rPr>
        <w:t>Data Activities</w:t>
      </w:r>
      <w:r>
        <w:rPr>
          <w:rFonts w:ascii="Arial" w:cs="Arial" w:eastAsia="Arial" w:hAnsi="Arial"/>
          <w:sz w:val="16"/>
          <w:szCs w:val="16"/>
          <w:color w:val="auto"/>
        </w:rPr>
        <w:t>”) of personally identifiable information of individual natural persons (including any information that alone or in combination with any other information held by the Company and its Subsidiaries, can be used to specifically identify an individual person and any “individually identifiable health information,” “personal data” or “personal information” or similar terms defined under applicable Law (“</w:t>
      </w:r>
      <w:r>
        <w:rPr>
          <w:rFonts w:ascii="Arial" w:cs="Arial" w:eastAsia="Arial" w:hAnsi="Arial"/>
          <w:sz w:val="16"/>
          <w:szCs w:val="16"/>
          <w:u w:val="single" w:color="auto"/>
          <w:color w:val="auto"/>
        </w:rPr>
        <w:t>Personal Data</w:t>
      </w:r>
      <w:r>
        <w:rPr>
          <w:rFonts w:ascii="Arial" w:cs="Arial" w:eastAsia="Arial" w:hAnsi="Arial"/>
          <w:sz w:val="16"/>
          <w:szCs w:val="16"/>
          <w:color w:val="auto"/>
        </w:rPr>
        <w:t>”) (such applicable Laws, contractual obligations, and internal or publicly posted policies, procedures notices and statements, collectively the “</w:t>
      </w:r>
      <w:r>
        <w:rPr>
          <w:rFonts w:ascii="Arial" w:cs="Arial" w:eastAsia="Arial" w:hAnsi="Arial"/>
          <w:sz w:val="16"/>
          <w:szCs w:val="16"/>
          <w:u w:val="single" w:color="auto"/>
          <w:color w:val="auto"/>
        </w:rPr>
        <w:t>Data Protection Requirements</w:t>
      </w:r>
      <w:r>
        <w:rPr>
          <w:rFonts w:ascii="Arial" w:cs="Arial" w:eastAsia="Arial" w:hAnsi="Arial"/>
          <w:sz w:val="16"/>
          <w:szCs w:val="16"/>
          <w:color w:val="auto"/>
        </w:rPr>
        <w:t>”) in the conduct of the Company’s and its Subsidiaries’ businesses, in each case except as would not reasonably be expected to have, individually or in the aggregate, a Company Material Adverse Effect. The Company and each of its Subsidiaries have all necessary authority, rights, consents and authorizations to engage in the Data Activities of Personal Data maintained by or for the Company and its Subsidiaries to the extent required in connection with the operation of the Company’s and its Subsidiaries’ business as currently conducted. Since January 1, 2019, the Company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the Company’s or any of its Subsidiaries’ Data Activities in relation to Personal Data or actual, alleged, or suspected violation of any Data Protection Requirement concerning privacy, data security, or data breach notification, and to the Company’s Knowledge, there are no facts or circumstances that could reasonably be expected to give rise to any such Legal Action, in each case except as would not reasonably be expected to have, individually or in the aggregate, a Company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Parent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Compliance;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The Company and each of its Subsidiaries are and, since January 1, 2019, have been in compliance with, all Laws or Orders applicable to the Company or any of its Subsidiaries or by which the Company or any of its Subsidiaries or any of their respective businesses or properties is bound, except where any instances of non-compliance have not had, and would not reasonably be expected to have, individually or in the aggregate, a Company Material Adverse Effect. Since January 1, 2019, no Governmental Entity has issued any notice or notification stating that the Company or any of its Subsidiaries is not in compliance with any Law in any material respect except as would not be reasonably be expected to have, individually or in the aggregate, a Company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2" w:name="page273"/>
    <w:bookmarkEnd w:id="27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9" w:lineRule="auto"/>
        <w:tabs>
          <w:tab w:leader="none" w:pos="141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Permits</w:t>
      </w:r>
      <w:r>
        <w:rPr>
          <w:rFonts w:ascii="Arial" w:cs="Arial" w:eastAsia="Arial" w:hAnsi="Arial"/>
          <w:sz w:val="17"/>
          <w:szCs w:val="17"/>
          <w:color w:val="auto"/>
        </w:rPr>
        <w:t>. The Company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Company Material Adverse Effect. No suspension, cancellation, non-renewal, or adverse modifications of any Permits of the Company or any of its Subsidiaries is pending or, to the Knowledge of the Company, threatened, except for any such suspension or cancellation which would not reasonably be expected to have, individually or in the aggregate, a Company Material Adverse Effect. The Company and each of its Subsidiaries is and, since January 1, 2019, has been in compliance with the terms of all Permits, except where the failure to be in such compliance would not reasonably be expected to have, individually or in the aggregate, a Company Material Adverse Effect.</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is no Legal Action pending or, to the Knowledge of the Company, threatened against the Company or any of its Subsidiaries or any of their respective properties or assets or, to the Knowledge of the Company, any officer or director of the Company or any of its Subsidiaries in their capacities as such other than any such Legal Action which would not reasonably be expected to have, individually or in the aggregate, a Company Material Adverse Effect. As of the date of this Agreement, none of the Company or any of its Subsidiaries or any of their respective properties or assets is subject to any Order which would reasonably be expected to have, individually or in the aggregate, a Company Material Adverse Effect. As of the date of this Agreement, to the Knowledge of the Company, there are no SEC inquiries or investigations, other governmental inquiries or investigations, or internal investigations pending or, to the Knowledge of the Company, threatened, in each case regarding any accounting practices of the Company or any of its Subsidiaries or any malfeasance by any officer or director of the Company except, in each case, as would not reasonably be expected to have a Company Material Adverse Effect.</w:t>
      </w:r>
    </w:p>
    <w:p>
      <w:pPr>
        <w:spacing w:after="0" w:line="7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Brokers’ and Finders’ Fees</w:t>
      </w:r>
      <w:r>
        <w:rPr>
          <w:rFonts w:ascii="Arial" w:cs="Arial" w:eastAsia="Arial" w:hAnsi="Arial"/>
          <w:sz w:val="17"/>
          <w:szCs w:val="17"/>
          <w:color w:val="auto"/>
        </w:rPr>
        <w:t xml:space="preserve">. Except for fees payable to the Person(s) listed in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Financial Advisor</w:t>
      </w:r>
      <w:r>
        <w:rPr>
          <w:rFonts w:ascii="Arial" w:cs="Arial" w:eastAsia="Arial" w:hAnsi="Arial"/>
          <w:sz w:val="17"/>
          <w:szCs w:val="17"/>
          <w:color w:val="auto"/>
        </w:rPr>
        <w:t xml:space="preserve">”) pursuant to an engagement letter listed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of the Company Disclosure Letter, a correct and complete copy of which has been provided to Parent, neither the Company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Related Person Transactions</w:t>
      </w:r>
      <w:r>
        <w:rPr>
          <w:rFonts w:ascii="Arial" w:cs="Arial" w:eastAsia="Arial" w:hAnsi="Arial"/>
          <w:sz w:val="17"/>
          <w:szCs w:val="17"/>
          <w:color w:val="auto"/>
        </w:rPr>
        <w:t>. There are, and since January 1, 2019, there have been, no Contracts, transactions, arrangements, or understandings between the Company or any of its Subsidiaries, on the one hand, and any Affiliate (including any director, officer, or employee or any of their respective family members) thereof or any holder of 5% or more of the shares of Company Common Stock (or any of their respective family members),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Employee Benefit Plan and Employees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Company Employee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contains a true and complete list, as of the date hereof, of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the Company or any of its Subsidiaries for the benefit of any current or former employee or other individual service provider of the Company or any of its Subsidiaries (each, a “</w:t>
      </w:r>
      <w:r>
        <w:rPr>
          <w:rFonts w:ascii="Arial" w:cs="Arial" w:eastAsia="Arial" w:hAnsi="Arial"/>
          <w:sz w:val="16"/>
          <w:szCs w:val="16"/>
          <w:u w:val="single" w:color="auto"/>
          <w:color w:val="auto"/>
        </w:rPr>
        <w:t>Company Employee</w:t>
      </w:r>
      <w:r>
        <w:rPr>
          <w:rFonts w:ascii="Arial" w:cs="Arial" w:eastAsia="Arial" w:hAnsi="Arial"/>
          <w:sz w:val="16"/>
          <w:szCs w:val="16"/>
          <w:color w:val="auto"/>
        </w:rPr>
        <w:t>”), or with respect to which the Company or any Company ERISA Affiliate has or may have any Liability (collectively, the “</w:t>
      </w:r>
      <w:r>
        <w:rPr>
          <w:rFonts w:ascii="Arial" w:cs="Arial" w:eastAsia="Arial" w:hAnsi="Arial"/>
          <w:sz w:val="16"/>
          <w:szCs w:val="16"/>
          <w:u w:val="single" w:color="auto"/>
          <w:color w:val="auto"/>
        </w:rPr>
        <w:t>Company Employee Plans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660" w:right="319" w:firstLine="352"/>
        <w:spacing w:after="0" w:line="311" w:lineRule="auto"/>
        <w:tabs>
          <w:tab w:leader="none" w:pos="141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Employee Plan Documents</w:t>
      </w:r>
      <w:r>
        <w:rPr>
          <w:rFonts w:ascii="Arial" w:cs="Arial" w:eastAsia="Arial" w:hAnsi="Arial"/>
          <w:sz w:val="16"/>
          <w:szCs w:val="16"/>
          <w:color w:val="auto"/>
        </w:rPr>
        <w:t>. The Company has made available to Parent correct and complete copies (or, if a plan or arrangement is not written, a written description) of all Company Employee Plans and amendments thereto, and, to the extent applicable: (i) all related trust agreements, funding arrangements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3" w:name="page274"/>
    <w:bookmarkEnd w:id="27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insurance contracts; (ii) the most recent determination letter received regarding the tax-qualified status of each Company Employee Plan; (iii) the most recent financial statements for each Company Employee Plan; (iv) the Form 5500 Annual Returns/Reports and Schedules for the most recent plan year for each Company Employee Plan; (v) the current summary plan description and any related summary of material modifications and, if applicable, summary of benefits and coverage, for each Company Employee Plan; and (vi) all actuarial valuation reports related to any Company Employee Plans.</w:t>
      </w:r>
    </w:p>
    <w:p>
      <w:pPr>
        <w:spacing w:after="0" w:line="70" w:lineRule="exact"/>
        <w:rPr>
          <w:sz w:val="20"/>
          <w:szCs w:val="20"/>
          <w:color w:val="auto"/>
        </w:rPr>
      </w:pPr>
    </w:p>
    <w:p>
      <w:pPr>
        <w:jc w:val="both"/>
        <w:ind w:left="660" w:right="299" w:firstLine="352"/>
        <w:spacing w:after="0" w:line="285" w:lineRule="auto"/>
        <w:tabs>
          <w:tab w:leader="none" w:pos="1399"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Employee Plan Compliance</w:t>
      </w:r>
      <w:r>
        <w:rPr>
          <w:rFonts w:ascii="Arial" w:cs="Arial" w:eastAsia="Arial" w:hAnsi="Arial"/>
          <w:sz w:val="16"/>
          <w:szCs w:val="16"/>
          <w:color w:val="auto"/>
        </w:rPr>
        <w:t>. (i) Each Company Employee Plan has been established, administered, and maintained in accordance with its terms and in compliance with applicable Laws, including but not limited to ERISA and the Code; (ii) all the Company Employee Plans that are intended to be qualified under Section 401(a) of the Code are so qualified and have received timely determination letters from the IRS and no such determination letter has been revoked nor, to the Knowledge of the Company,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the Company no circumstance exists that is reasonably likely to result in the loss of such qualified status under Section 401(a) of the Code; (iii) the Company and its Subsidiaries, where applicable, have timely paid or accrued all contributions, benefits, premiums, and other payments required by the terms of each Company Employee Plan and applicable Law and accounting principles; (iv) except to the extent limited by applicable Law, each Company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the Company, neither the Company nor any of its Company ERISA Affiliates has engaged in a transaction that could reasonably subject the Company or any Company ERISA Affiliate to a tax or penalty imposed by either Section 4975 of the Code or Section 502(i) of ERISA, except in each case, as would not reasonably be expected to have, individually or in the aggregate, a Company Material Adverse Effect.</w:t>
      </w:r>
    </w:p>
    <w:p>
      <w:pPr>
        <w:spacing w:after="0" w:line="60"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Plan Liabilities</w:t>
      </w:r>
      <w:r>
        <w:rPr>
          <w:rFonts w:ascii="Arial" w:cs="Arial" w:eastAsia="Arial" w:hAnsi="Arial"/>
          <w:sz w:val="16"/>
          <w:szCs w:val="16"/>
          <w:color w:val="auto"/>
        </w:rPr>
        <w:t>. Neither the Company nor any Company ERISA Affiliate has: (i) incurred or reasonably expects to incur, either directly or indirectly, any material liability under Title I or Title IV of ERISA, or related provisions of the Code or foreign Law and nothing has occurred that could reasonably be expected to constitute grounds under Title IV of ERISA to terminate, or appoint a trustee to administer, any Company Employee Plan; (ii) except for payments of premiums to the Pension Benefit Guaranty Corporation (“</w:t>
      </w:r>
      <w:r>
        <w:rPr>
          <w:rFonts w:ascii="Arial" w:cs="Arial" w:eastAsia="Arial" w:hAnsi="Arial"/>
          <w:sz w:val="16"/>
          <w:szCs w:val="16"/>
          <w:u w:val="single" w:color="auto"/>
          <w:color w:val="auto"/>
        </w:rPr>
        <w:t>PBGC</w:t>
      </w:r>
      <w:r>
        <w:rPr>
          <w:rFonts w:ascii="Arial" w:cs="Arial" w:eastAsia="Arial" w:hAnsi="Arial"/>
          <w:sz w:val="16"/>
          <w:szCs w:val="16"/>
          <w:color w:val="auto"/>
        </w:rPr>
        <w:t>”) which have been timely paid in full, not incurred any material liability to the PBGC in connection with any Company Employee Plan covering any active, retired, or former employees or directors of the Company or any Company ERISA Affiliate, including, without limitation, any material liability under Section 4069 of ERISA or any material penalty imposed under Section 4071 of ERISA, or ceased operations at any facility, or withdrawn from any such Company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Company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Company Material Adverse Effect; (v) failed to comply with the privacy, security, and breach notification requirements under HIPAA except as would not reasonably be expected to have, individually or in the aggregate, a Company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the Company or any Company ERISA Affiliate to any such multiemployer plan. No complete or partial termination of any Company Employee Plan has occurred or is reasonably expected to occur.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4" w:name="page275"/>
    <w:bookmarkEnd w:id="27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40" w:hanging="388"/>
        <w:spacing w:after="0"/>
        <w:tabs>
          <w:tab w:leader="none" w:pos="104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Certain Company Employee Plans</w:t>
      </w:r>
      <w:r>
        <w:rPr>
          <w:rFonts w:ascii="Arial" w:cs="Arial" w:eastAsia="Arial" w:hAnsi="Arial"/>
          <w:sz w:val="18"/>
          <w:szCs w:val="18"/>
          <w:color w:val="auto"/>
        </w:rPr>
        <w:t>. With respect to each Company Employee Plan:</w:t>
      </w:r>
    </w:p>
    <w:p>
      <w:pPr>
        <w:spacing w:after="0" w:line="117" w:lineRule="exact"/>
        <w:rPr>
          <w:rFonts w:ascii="Arial" w:cs="Arial" w:eastAsia="Arial" w:hAnsi="Arial"/>
          <w:sz w:val="18"/>
          <w:szCs w:val="18"/>
          <w:color w:val="auto"/>
        </w:rPr>
      </w:pPr>
    </w:p>
    <w:p>
      <w:pPr>
        <w:jc w:val="both"/>
        <w:ind w:left="1020" w:right="299" w:firstLine="352"/>
        <w:spacing w:after="0" w:line="275" w:lineRule="auto"/>
        <w:tabs>
          <w:tab w:leader="none" w:pos="1730" w:val="left"/>
        </w:tabs>
        <w:numPr>
          <w:ilvl w:val="2"/>
          <w:numId w:val="283"/>
        </w:numPr>
        <w:rPr>
          <w:rFonts w:ascii="Arial" w:cs="Arial" w:eastAsia="Arial" w:hAnsi="Arial"/>
          <w:sz w:val="17"/>
          <w:szCs w:val="17"/>
          <w:color w:val="auto"/>
        </w:rPr>
      </w:pPr>
      <w:r>
        <w:rPr>
          <w:rFonts w:ascii="Arial" w:cs="Arial" w:eastAsia="Arial" w:hAnsi="Arial"/>
          <w:sz w:val="17"/>
          <w:szCs w:val="17"/>
          <w:color w:val="auto"/>
        </w:rPr>
        <w:t>no such plan is a “multiemployer plan” within the meaning of Section 3(37) of ERISA or a “multiple employer plan” within the meaning of Section 413(c) of the Code and neither the Company nor any Company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68" w:lineRule="exact"/>
        <w:rPr>
          <w:rFonts w:ascii="Arial" w:cs="Arial" w:eastAsia="Arial" w:hAnsi="Arial"/>
          <w:sz w:val="17"/>
          <w:szCs w:val="17"/>
          <w:color w:val="auto"/>
        </w:rPr>
      </w:pPr>
    </w:p>
    <w:p>
      <w:pPr>
        <w:ind w:left="1020" w:right="319" w:firstLine="352"/>
        <w:spacing w:after="0" w:line="277" w:lineRule="auto"/>
        <w:tabs>
          <w:tab w:leader="none" w:pos="178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no Legal Action has been initiated by the PBGC to terminate any such Company Employee Plan or to appoint a trustee for any such Company Employee Plan;</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no such plan is subject to the minimum funding standards of Section 302 of ERISA or Sections 412, 418(b), or 430 of the Code, and none of the assets of the Company or any Company ERISA Affiliate is, or may reasonably be expected to become, the subject of any lien arising under Section 303 of ERISA or Sections 430 or 436 of the Code; and</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has occurred, or is reasonably expected to occur, with respect to any such Company Employee Plan.</w:t>
      </w:r>
    </w:p>
    <w:p>
      <w:pPr>
        <w:spacing w:after="0" w:line="62" w:lineRule="exact"/>
        <w:rPr>
          <w:rFonts w:ascii="Arial" w:cs="Arial" w:eastAsia="Arial" w:hAnsi="Arial"/>
          <w:sz w:val="18"/>
          <w:szCs w:val="18"/>
          <w:color w:val="auto"/>
        </w:rPr>
      </w:pPr>
    </w:p>
    <w:p>
      <w:pPr>
        <w:jc w:val="both"/>
        <w:ind w:left="660" w:right="299" w:firstLine="352"/>
        <w:spacing w:after="0" w:line="286" w:lineRule="auto"/>
        <w:tabs>
          <w:tab w:leader="none" w:pos="1380"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Non-US Employee Plans</w:t>
      </w:r>
      <w:r>
        <w:rPr>
          <w:rFonts w:ascii="Arial" w:cs="Arial" w:eastAsia="Arial" w:hAnsi="Arial"/>
          <w:sz w:val="16"/>
          <w:szCs w:val="16"/>
          <w:color w:val="auto"/>
        </w:rPr>
        <w:t>. With respect to each Company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 (iii) 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reasonably be expected to have a Company Material Adverse Effect.</w:t>
      </w:r>
    </w:p>
    <w:p>
      <w:pPr>
        <w:spacing w:after="0" w:line="65"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No Post-Employment Obligations</w:t>
      </w:r>
      <w:r>
        <w:rPr>
          <w:rFonts w:ascii="Arial" w:cs="Arial" w:eastAsia="Arial" w:hAnsi="Arial"/>
          <w:sz w:val="18"/>
          <w:szCs w:val="18"/>
          <w:color w:val="auto"/>
        </w:rPr>
        <w:t>. No Company Employee Plan provides post-termination or retiree health benefits to any person for any reason, except as may be required by COBRA or other applicable Law, and neither the Company nor any Subsidiary has any Liability to provide post-termination or retiree health benefits to any person or ever represented, promised, or contracted to any Company Employee (either individually or to Company Employees as a group) or any other person that such Company Employee(s) or other person would be provided with post-termination or retiree health benefits, except to the extent required by COBRA or other applicable Law.</w:t>
      </w:r>
    </w:p>
    <w:p>
      <w:pPr>
        <w:spacing w:after="0" w:line="86"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Potential Governmental or Lawsuit Liability</w:t>
      </w:r>
      <w:r>
        <w:rPr>
          <w:rFonts w:ascii="Arial" w:cs="Arial" w:eastAsia="Arial" w:hAnsi="Arial"/>
          <w:sz w:val="18"/>
          <w:szCs w:val="18"/>
          <w:color w:val="auto"/>
        </w:rPr>
        <w:t>. Other than routine claims for benefits, there are no pending or, to the Knowledge of the Company as of the date of this Agreement, threatened claims by or on behalf of any participant in any Company Employee Plan, or otherwise involving any Company Employee Plan or the assets of any Company Employee Plan, and no Company Employee Plan is the subject of Legal Action by any Governmental Entity, except as would not reasonably be expected to have, individually or in the aggregate, a Company Material Adverse Effect.</w:t>
      </w:r>
    </w:p>
    <w:p>
      <w:pPr>
        <w:spacing w:after="0" w:line="84" w:lineRule="exact"/>
        <w:rPr>
          <w:rFonts w:ascii="Arial" w:cs="Arial" w:eastAsia="Arial" w:hAnsi="Arial"/>
          <w:sz w:val="18"/>
          <w:szCs w:val="18"/>
          <w:color w:val="auto"/>
        </w:rPr>
      </w:pPr>
    </w:p>
    <w:p>
      <w:pPr>
        <w:jc w:val="both"/>
        <w:ind w:left="660" w:right="299" w:firstLine="352"/>
        <w:spacing w:after="0" w:line="272" w:lineRule="auto"/>
        <w:tabs>
          <w:tab w:leader="none" w:pos="1370"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Each Company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the Company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69" w:lineRule="exact"/>
        <w:rPr>
          <w:rFonts w:ascii="Arial" w:cs="Arial" w:eastAsia="Arial" w:hAnsi="Arial"/>
          <w:sz w:val="17"/>
          <w:szCs w:val="17"/>
          <w:color w:val="auto"/>
        </w:rPr>
      </w:pPr>
    </w:p>
    <w:p>
      <w:pPr>
        <w:jc w:val="both"/>
        <w:ind w:left="660" w:right="299" w:firstLine="352"/>
        <w:spacing w:after="0" w:line="301" w:lineRule="auto"/>
        <w:tabs>
          <w:tab w:leader="none" w:pos="1370"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Effect of Transaction</w:t>
      </w:r>
      <w:r>
        <w:rPr>
          <w:rFonts w:ascii="Arial" w:cs="Arial" w:eastAsia="Arial" w:hAnsi="Arial"/>
          <w:sz w:val="16"/>
          <w:szCs w:val="16"/>
          <w:color w:val="auto"/>
        </w:rPr>
        <w:t>. Neither the execution or delivery of this Agreement, the consummation of the Merger, nor any of the other transactions contemplated by this Agreement will (either alone or in combination with any other event): (i) entitle any current or former Company Employee to severance pay or any increase in severance pay; (ii) accelerate the timing of payment, funding, or vesting, or increase the amount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5" w:name="page276"/>
    <w:bookmarkEnd w:id="27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7"/>
          <w:szCs w:val="17"/>
          <w:color w:val="auto"/>
        </w:rPr>
        <w:t>compensation (other than severance) due to any such individual; (iii) limit or restrict the right of the Company to merge, amend or terminate any Company Employee Plan or (iv) increase the amount payable or result in any other material obligation pursuant to any Company Employee Plan. No amount that could be received (whether in cash or property or the vesting of any property) as a result of the consummation of the transactions contemplated by this Agreement by any Company Employee under any Company Employee Plan or otherwise would not be deductible by reason of Section 280G of the Code nor would be subject to an excise tax under Section 4999 of the Code, nor would any Company Employee Plan provide for the payment or “gross up” of any excise or other Taxes under Sections 280G or 4999 of the Code.</w:t>
      </w:r>
    </w:p>
    <w:p>
      <w:pPr>
        <w:spacing w:after="0" w:line="70" w:lineRule="exact"/>
        <w:rPr>
          <w:sz w:val="20"/>
          <w:szCs w:val="20"/>
          <w:color w:val="auto"/>
        </w:rPr>
      </w:pPr>
    </w:p>
    <w:p>
      <w:pPr>
        <w:jc w:val="both"/>
        <w:ind w:left="660" w:right="299" w:firstLine="352"/>
        <w:spacing w:after="0" w:line="286" w:lineRule="auto"/>
        <w:tabs>
          <w:tab w:leader="none" w:pos="141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Employment Law Matters</w:t>
      </w:r>
      <w:r>
        <w:rPr>
          <w:rFonts w:ascii="Arial" w:cs="Arial" w:eastAsia="Arial" w:hAnsi="Arial"/>
          <w:sz w:val="16"/>
          <w:szCs w:val="16"/>
          <w:color w:val="auto"/>
        </w:rPr>
        <w:t>. The Company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Company Employees and contingent workers; and (ii) is in compliance with all applicable Laws relating to the relations between it and any labor organization, trade union, work council, or other body representing Company Employees, except, in each case, as would not reasonably be expected to have, individually or in the aggregate, a Company Material Adverse Effect. There is no administrative, judicial, arbitral or other proceeding, suit, action, hearing, indictment, prosecution or litigation pending, or, to the Knowledge of the Company, threatened relating to any employment-related matter involving any Company Employee, except as would not reasonably be expected to have, individually or in the aggregate, a Company Material Adverse Effect.</w:t>
      </w:r>
    </w:p>
    <w:p>
      <w:pPr>
        <w:spacing w:after="0" w:line="65" w:lineRule="exact"/>
        <w:rPr>
          <w:rFonts w:ascii="Arial" w:cs="Arial" w:eastAsia="Arial" w:hAnsi="Arial"/>
          <w:sz w:val="16"/>
          <w:szCs w:val="16"/>
          <w:color w:val="auto"/>
        </w:rPr>
      </w:pPr>
    </w:p>
    <w:p>
      <w:pPr>
        <w:jc w:val="both"/>
        <w:ind w:left="660" w:right="299" w:firstLine="352"/>
        <w:spacing w:after="0" w:line="287" w:lineRule="auto"/>
        <w:tabs>
          <w:tab w:leader="none" w:pos="137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Labor Matters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4.12(l)</w:t>
      </w:r>
      <w:r>
        <w:rPr>
          <w:rFonts w:ascii="Arial" w:cs="Arial" w:eastAsia="Arial" w:hAnsi="Arial"/>
          <w:sz w:val="16"/>
          <w:szCs w:val="16"/>
          <w:color w:val="auto"/>
        </w:rPr>
        <w:t xml:space="preserve"> of the Company Disclosure Letter contains a true and complete list of each collective bargaining agreement or other agreement with any labor organization, work council, or trade union to which the Company or any of its Subsidiaries is a party or by which the Company or its Subsidiaries is otherwise bound, with respect to any of its or their operations. No material work stoppage, slowdown, or labor strike against the Company or any of its Subsidiaries is pending, threatened, or has occurred in the last three years. None of the Company Employees is represented by a labor organization, work council, or trade union and, to the Knowledge of the Company, there is no organizing activity, election petition, union card signing or other union activity, or union corporate campaigns of or by any labor organization, trade union, or work council directed at the Company or any of its Subsidiaries, or any Company Employees. Neither the Company nor any Subsidiary of the Company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59" w:lineRule="exact"/>
        <w:rPr>
          <w:rFonts w:ascii="Arial" w:cs="Arial" w:eastAsia="Arial" w:hAnsi="Arial"/>
          <w:sz w:val="16"/>
          <w:szCs w:val="16"/>
          <w:color w:val="auto"/>
        </w:rPr>
      </w:pPr>
    </w:p>
    <w:p>
      <w:pPr>
        <w:jc w:val="both"/>
        <w:ind w:left="660" w:right="299" w:firstLine="352"/>
        <w:spacing w:after="0" w:line="284" w:lineRule="auto"/>
        <w:tabs>
          <w:tab w:leader="none" w:pos="146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Company Equity Awards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4.12(m)</w:t>
      </w:r>
      <w:r>
        <w:rPr>
          <w:rFonts w:ascii="Arial" w:cs="Arial" w:eastAsia="Arial" w:hAnsi="Arial"/>
          <w:sz w:val="16"/>
          <w:szCs w:val="16"/>
          <w:color w:val="auto"/>
        </w:rPr>
        <w:t xml:space="preserve"> of the Company Disclosure Letter sets forth as of the date of this Agreement a list of each outstanding Company Equity Award granted under the Company Stock Plans and: (A) the name or employee identification number of the holder of such Company Equity Award; (B) the number of shares of Company Common Stock subject to such outstanding Company Equity Award; (C) if applicable, the exercise price, purchase price, or similar pricing of such Company Equity Award; (D) the date on which such Company Equity Award was granted or issued; (E) the applicable vesting, repurchase, or other lapse of restrictions schedule, and the extent to which such Company Equity Award is vested and exercisable as of the date hereof; and (F) with respect to Company Stock Options, the date on which such Company Stock Option expires. Except as set forth on </w:t>
      </w:r>
      <w:r>
        <w:rPr>
          <w:rFonts w:ascii="Arial" w:cs="Arial" w:eastAsia="Arial" w:hAnsi="Arial"/>
          <w:sz w:val="16"/>
          <w:szCs w:val="16"/>
          <w:u w:val="single" w:color="auto"/>
          <w:color w:val="auto"/>
        </w:rPr>
        <w:t>Section 4.12(m)</w:t>
      </w:r>
      <w:r>
        <w:rPr>
          <w:rFonts w:ascii="Arial" w:cs="Arial" w:eastAsia="Arial" w:hAnsi="Arial"/>
          <w:sz w:val="16"/>
          <w:szCs w:val="16"/>
          <w:color w:val="auto"/>
        </w:rPr>
        <w:t xml:space="preserve"> of the Company Disclosure Letter, there are no other Company Equity Awards and the Company Stock Plans and Company Stock Purchase Plan are the only plans, programs or arrangements sponsored or maintained by the Company or any or its Subsidiaries under which stock options, restricted stock, restricted stock units or other equity or equity-based compensation are outstanding or may be granted. With respect to each grant of a Company Equity Award, (i) each such grant was made in accordance with the terms of the applicable Company Stock Plan and applicable Law (including the rules of Nasdaq or any applicable stock exchange and the terms of any applicable securities listing agreement or requirement) and was properly accounted for in accordance with GAAP in the Company SEC Documents (including financial statements) and other applicable Law and (ii) each Company Stock Option has an exercise price per share equal to or greater than the fair market value of a share of Company Common Stock on the date of such grant and a grant date identical to the date the Company Board or the compensation committee of such board approved as the grant date for such Company Stock Option, with such approval occurring on or prior to such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6" w:name="page277"/>
    <w:bookmarkEnd w:id="27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Real Property and Personal Property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9"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Owned Real Estate</w:t>
      </w:r>
      <w:r>
        <w:rPr>
          <w:rFonts w:ascii="Arial" w:cs="Arial" w:eastAsia="Arial" w:hAnsi="Arial"/>
          <w:sz w:val="18"/>
          <w:szCs w:val="18"/>
          <w:color w:val="auto"/>
        </w:rPr>
        <w:t>. Neither the Company nor any of its Subsidiaries owns any real property. Neither the Company nor any Subsidiary is a party to any agreement or option to purchase any real property or interest therein.</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Leased Real Estate</w:t>
      </w:r>
      <w:r>
        <w:rPr>
          <w:rFonts w:ascii="Arial" w:cs="Arial" w:eastAsia="Arial" w:hAnsi="Arial"/>
          <w:sz w:val="16"/>
          <w:szCs w:val="16"/>
          <w:color w:val="auto"/>
        </w:rPr>
        <w:t xml:space="preserve">. Except as would not reasonably be expected to have, individually or in the aggregate, a Company Material Adverse Effect or as set forth on </w:t>
      </w:r>
      <w:r>
        <w:rPr>
          <w:rFonts w:ascii="Arial" w:cs="Arial" w:eastAsia="Arial" w:hAnsi="Arial"/>
          <w:sz w:val="16"/>
          <w:szCs w:val="16"/>
          <w:u w:val="single" w:color="auto"/>
          <w:color w:val="auto"/>
        </w:rPr>
        <w:t>Section 4.13(b)</w:t>
      </w:r>
      <w:r>
        <w:rPr>
          <w:rFonts w:ascii="Arial" w:cs="Arial" w:eastAsia="Arial" w:hAnsi="Arial"/>
          <w:sz w:val="16"/>
          <w:szCs w:val="16"/>
          <w:color w:val="auto"/>
        </w:rPr>
        <w:t xml:space="preserve"> of the Company Disclosure Letter, (A) with respect to each of the Leases: (i) such Lease is legal, valid, binding, enforceable, and in full force and effect; (ii) neither the Company nor any of its Subsidiaries nor, to the Knowledge of the Company, any other party to the Lease, is in breach or default under such Lease, and no event has occurred or circumstance exists which, with or without notice, lapse of time, or both, would constitute a breach or default under such Lease; (iii) the Company’s or its Subsidiary’s possession and quiet enjoyment of the Leased Real Estate under such Lease has not been disturbed, and to the Knowledge of the Company, there are no disputes with respect to such Lease; and (iv) there are no Liens on the estate created by such Lease other than Permitted Liens and (B) neither the Company nor any of its Subsidiaries has assigned, pledged, mortgaged, hypothecated, or otherwise transferred any Lease or any interest therein nor has the Company or any of its Subsidiaries subleased, licensed, or otherwise granted any Person (other than another wholly owned Subsidiary of the Company) a right to use or occupy such Leased Real Estate.</w:t>
      </w:r>
    </w:p>
    <w:p>
      <w:pPr>
        <w:spacing w:after="0" w:line="65" w:lineRule="exact"/>
        <w:rPr>
          <w:rFonts w:ascii="Arial" w:cs="Arial" w:eastAsia="Arial" w:hAnsi="Arial"/>
          <w:sz w:val="16"/>
          <w:szCs w:val="16"/>
          <w:color w:val="auto"/>
        </w:rPr>
      </w:pPr>
    </w:p>
    <w:p>
      <w:pPr>
        <w:jc w:val="both"/>
        <w:ind w:left="660" w:right="299" w:firstLine="352"/>
        <w:spacing w:after="0" w:line="296" w:lineRule="auto"/>
        <w:tabs>
          <w:tab w:leader="none" w:pos="1399"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Personal Property</w:t>
      </w:r>
      <w:r>
        <w:rPr>
          <w:rFonts w:ascii="Arial" w:cs="Arial" w:eastAsia="Arial" w:hAnsi="Arial"/>
          <w:sz w:val="16"/>
          <w:szCs w:val="16"/>
          <w:color w:val="auto"/>
        </w:rPr>
        <w:t>. Except as would not reasonably be expected to have, individually or in the aggregate, a Company Material Adverse Effect, the Company and each of its Subsidiaries are in possession of and have good and marketable title to, or valid leasehold interests in or valid rights under contract to use, the machinery, equipment, furniture, fixtures, and other tangible personal property and assets owned, leased, or used by the Company or any of its Subsidiaries, free and clear of all Liens other than Permitted Liens.</w:t>
      </w:r>
    </w:p>
    <w:p>
      <w:pPr>
        <w:spacing w:after="0" w:line="5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matters as would not reasonably be expected to have, individually or in the aggregate, a Company Material Adverse Effect:</w:t>
      </w:r>
    </w:p>
    <w:p>
      <w:pPr>
        <w:spacing w:after="0" w:line="62" w:lineRule="exact"/>
        <w:rPr>
          <w:sz w:val="20"/>
          <w:szCs w:val="20"/>
          <w:color w:val="auto"/>
        </w:rPr>
      </w:pPr>
    </w:p>
    <w:p>
      <w:pPr>
        <w:jc w:val="both"/>
        <w:ind w:left="660" w:right="299" w:firstLine="352"/>
        <w:spacing w:after="0" w:line="301" w:lineRule="auto"/>
        <w:tabs>
          <w:tab w:leader="none" w:pos="1399"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The Company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the Company and its Subsidiaries as currently conducted.</w:t>
      </w:r>
    </w:p>
    <w:p>
      <w:pPr>
        <w:spacing w:after="0" w:line="49" w:lineRule="exact"/>
        <w:rPr>
          <w:rFonts w:ascii="Arial" w:cs="Arial" w:eastAsia="Arial" w:hAnsi="Arial"/>
          <w:sz w:val="16"/>
          <w:szCs w:val="16"/>
          <w:color w:val="auto"/>
        </w:rPr>
      </w:pPr>
    </w:p>
    <w:p>
      <w:pPr>
        <w:jc w:val="both"/>
        <w:ind w:left="660" w:right="319" w:firstLine="352"/>
        <w:spacing w:after="0" w:line="263" w:lineRule="auto"/>
        <w:tabs>
          <w:tab w:leader="none" w:pos="140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any location that would reasonably be expected to cause the Company or any of its Subsidiaries to incur or be subject to liability under Environmental Laws;</w:t>
      </w:r>
    </w:p>
    <w:p>
      <w:pPr>
        <w:spacing w:after="0" w:line="75" w:lineRule="exact"/>
        <w:rPr>
          <w:rFonts w:ascii="Arial" w:cs="Arial" w:eastAsia="Arial" w:hAnsi="Arial"/>
          <w:sz w:val="18"/>
          <w:szCs w:val="18"/>
          <w:color w:val="auto"/>
        </w:rPr>
      </w:pPr>
    </w:p>
    <w:p>
      <w:pPr>
        <w:jc w:val="both"/>
        <w:ind w:left="660" w:right="299" w:firstLine="352"/>
        <w:spacing w:after="0" w:line="296" w:lineRule="auto"/>
        <w:tabs>
          <w:tab w:leader="none" w:pos="14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nor knows of any basis for any written notice of and there is no Legal Action pending, or to the Knowledge of the Company, threatened against the Company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53"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No Assumption of Environmental Law Liabilities</w:t>
      </w:r>
      <w:r>
        <w:rPr>
          <w:rFonts w:ascii="Arial" w:cs="Arial" w:eastAsia="Arial" w:hAnsi="Arial"/>
          <w:sz w:val="18"/>
          <w:szCs w:val="18"/>
          <w:color w:val="auto"/>
        </w:rPr>
        <w:t>. Neither the Company nor any of its Subsidiaries has expressly assumed or retained any Liabilities under any Environmental Laws of any other Person, including in any acquisition or divestiture of any property or business.</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shall mean the following to which the Company or any of its Subsidiaries is a party or any of the respective assets are bound (excluding any Leases and Company Employee Plans), as of the date of this Agreement:</w:t>
      </w:r>
    </w:p>
    <w:p>
      <w:pPr>
        <w:spacing w:after="0" w:line="76" w:lineRule="exact"/>
        <w:rPr>
          <w:sz w:val="20"/>
          <w:szCs w:val="20"/>
          <w:color w:val="auto"/>
        </w:rPr>
      </w:pPr>
    </w:p>
    <w:p>
      <w:pPr>
        <w:ind w:left="1020" w:right="299" w:firstLine="352"/>
        <w:spacing w:after="0" w:line="277" w:lineRule="auto"/>
        <w:tabs>
          <w:tab w:leader="none" w:pos="173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Securities Act), whether or not filed by the Company with the SEC;</w:t>
      </w:r>
    </w:p>
    <w:p>
      <w:pPr>
        <w:spacing w:after="0" w:line="62" w:lineRule="exact"/>
        <w:rPr>
          <w:rFonts w:ascii="Arial" w:cs="Arial" w:eastAsia="Arial" w:hAnsi="Arial"/>
          <w:sz w:val="18"/>
          <w:szCs w:val="18"/>
          <w:color w:val="auto"/>
        </w:rPr>
      </w:pPr>
    </w:p>
    <w:p>
      <w:pPr>
        <w:jc w:val="both"/>
        <w:ind w:left="1020" w:right="299" w:firstLine="352"/>
        <w:spacing w:after="0" w:line="301" w:lineRule="auto"/>
        <w:tabs>
          <w:tab w:leader="none" w:pos="17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Contract providing for indemnification or any guaranty by the Company or any Subsidiary thereof, in each case that is material to the Company and its Subsidiaries, taken as a whole, other than (A) any guaranty by the Company or a Subsidiary thereof of any of the obligations of (1) the Company or another wholly-owned Subsidiary thereof or (2) any Subsidiary (other than a wholly-owned Subsidiary)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7" w:name="page278"/>
    <w:bookmarkEnd w:id="27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the Company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57" w:lineRule="exact"/>
        <w:rPr>
          <w:sz w:val="20"/>
          <w:szCs w:val="20"/>
          <w:color w:val="auto"/>
        </w:rPr>
      </w:pPr>
    </w:p>
    <w:p>
      <w:pPr>
        <w:jc w:val="both"/>
        <w:ind w:left="1020" w:right="299" w:firstLine="352"/>
        <w:spacing w:after="0" w:line="274" w:lineRule="auto"/>
        <w:tabs>
          <w:tab w:leader="none" w:pos="1830" w:val="left"/>
        </w:tabs>
        <w:numPr>
          <w:ilvl w:val="3"/>
          <w:numId w:val="288"/>
        </w:numPr>
        <w:rPr>
          <w:rFonts w:ascii="Arial" w:cs="Arial" w:eastAsia="Arial" w:hAnsi="Arial"/>
          <w:sz w:val="17"/>
          <w:szCs w:val="17"/>
          <w:color w:val="auto"/>
        </w:rPr>
      </w:pPr>
      <w:r>
        <w:rPr>
          <w:rFonts w:ascii="Arial" w:cs="Arial" w:eastAsia="Arial" w:hAnsi="Arial"/>
          <w:sz w:val="17"/>
          <w:szCs w:val="17"/>
          <w:color w:val="auto"/>
        </w:rPr>
        <w:t>any Contract that purports to limit the right of the Company or any of its Subsidiaries (A) to engage in any line of business, (B) compete with any Person or solicit any client or customer, or</w:t>
      </w:r>
    </w:p>
    <w:p>
      <w:pPr>
        <w:ind w:left="1020" w:right="319" w:hanging="8"/>
        <w:spacing w:after="0" w:line="260" w:lineRule="auto"/>
        <w:tabs>
          <w:tab w:leader="none" w:pos="1365" w:val="left"/>
        </w:tabs>
        <w:numPr>
          <w:ilvl w:val="2"/>
          <w:numId w:val="289"/>
        </w:numPr>
        <w:rPr>
          <w:rFonts w:ascii="Arial" w:cs="Arial" w:eastAsia="Arial" w:hAnsi="Arial"/>
          <w:sz w:val="18"/>
          <w:szCs w:val="18"/>
          <w:color w:val="auto"/>
        </w:rPr>
      </w:pPr>
      <w:r>
        <w:rPr>
          <w:rFonts w:ascii="Arial" w:cs="Arial" w:eastAsia="Arial" w:hAnsi="Arial"/>
          <w:sz w:val="18"/>
          <w:szCs w:val="18"/>
          <w:color w:val="auto"/>
        </w:rPr>
        <w:t>operate in any geographical location that is, in each case, material to the Company and its Subsidiaries, taken as a whole;</w:t>
      </w:r>
    </w:p>
    <w:p>
      <w:pPr>
        <w:spacing w:after="0" w:line="77" w:lineRule="exact"/>
        <w:rPr>
          <w:rFonts w:ascii="Arial" w:cs="Arial" w:eastAsia="Arial" w:hAnsi="Arial"/>
          <w:sz w:val="18"/>
          <w:szCs w:val="18"/>
          <w:color w:val="auto"/>
        </w:rPr>
      </w:pPr>
    </w:p>
    <w:p>
      <w:pPr>
        <w:jc w:val="both"/>
        <w:ind w:left="1020" w:right="299" w:firstLine="352"/>
        <w:spacing w:after="0" w:line="286" w:lineRule="auto"/>
        <w:tabs>
          <w:tab w:leader="none" w:pos="1820" w:val="left"/>
        </w:tabs>
        <w:numPr>
          <w:ilvl w:val="3"/>
          <w:numId w:val="289"/>
        </w:numPr>
        <w:rPr>
          <w:rFonts w:ascii="Arial" w:cs="Arial" w:eastAsia="Arial" w:hAnsi="Arial"/>
          <w:sz w:val="17"/>
          <w:szCs w:val="17"/>
          <w:color w:val="auto"/>
        </w:rPr>
      </w:pPr>
      <w:r>
        <w:rPr>
          <w:rFonts w:ascii="Arial" w:cs="Arial" w:eastAsia="Arial" w:hAnsi="Arial"/>
          <w:sz w:val="17"/>
          <w:szCs w:val="17"/>
          <w:color w:val="auto"/>
        </w:rPr>
        <w:t>any Contract with respect to any acquisition or divestiture of assets or capital stock or other equity interests pursuant to which the Company or any of its Subsidiaries has any continuing material obligations, except for acquisitions or divestitures in the ordinary course of business;</w:t>
      </w:r>
    </w:p>
    <w:p>
      <w:pPr>
        <w:spacing w:after="0" w:line="57" w:lineRule="exact"/>
        <w:rPr>
          <w:rFonts w:ascii="Arial" w:cs="Arial" w:eastAsia="Arial" w:hAnsi="Arial"/>
          <w:sz w:val="17"/>
          <w:szCs w:val="17"/>
          <w:color w:val="auto"/>
        </w:rPr>
      </w:pPr>
    </w:p>
    <w:p>
      <w:pPr>
        <w:ind w:left="1020" w:right="299" w:firstLine="352"/>
        <w:spacing w:after="0" w:line="277" w:lineRule="auto"/>
        <w:tabs>
          <w:tab w:leader="none" w:pos="1770" w:val="left"/>
        </w:tabs>
        <w:numPr>
          <w:ilvl w:val="3"/>
          <w:numId w:val="289"/>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right of first offer, or similar right with respect to any material assets, rights, or properties of the Company or any of its Subsidiaries;</w:t>
      </w:r>
    </w:p>
    <w:p>
      <w:pPr>
        <w:spacing w:after="0" w:line="62" w:lineRule="exact"/>
        <w:rPr>
          <w:rFonts w:ascii="Arial" w:cs="Arial" w:eastAsia="Arial" w:hAnsi="Arial"/>
          <w:sz w:val="18"/>
          <w:szCs w:val="18"/>
          <w:color w:val="auto"/>
        </w:rPr>
      </w:pPr>
    </w:p>
    <w:p>
      <w:pPr>
        <w:jc w:val="both"/>
        <w:ind w:left="1020" w:right="299" w:firstLine="352"/>
        <w:spacing w:after="0" w:line="311" w:lineRule="auto"/>
        <w:tabs>
          <w:tab w:leader="none" w:pos="1820" w:val="left"/>
        </w:tabs>
        <w:numPr>
          <w:ilvl w:val="3"/>
          <w:numId w:val="289"/>
        </w:numPr>
        <w:rPr>
          <w:rFonts w:ascii="Arial" w:cs="Arial" w:eastAsia="Arial" w:hAnsi="Arial"/>
          <w:sz w:val="16"/>
          <w:szCs w:val="16"/>
          <w:color w:val="auto"/>
        </w:rPr>
      </w:pPr>
      <w:r>
        <w:rPr>
          <w:rFonts w:ascii="Arial" w:cs="Arial" w:eastAsia="Arial" w:hAnsi="Arial"/>
          <w:sz w:val="16"/>
          <w:szCs w:val="16"/>
          <w:color w:val="auto"/>
        </w:rPr>
        <w:t>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spacing w:after="0" w:line="40" w:lineRule="exact"/>
        <w:rPr>
          <w:rFonts w:ascii="Arial" w:cs="Arial" w:eastAsia="Arial" w:hAnsi="Arial"/>
          <w:sz w:val="16"/>
          <w:szCs w:val="16"/>
          <w:color w:val="auto"/>
        </w:rPr>
      </w:pPr>
    </w:p>
    <w:p>
      <w:pPr>
        <w:jc w:val="both"/>
        <w:ind w:left="1020" w:right="299" w:firstLine="352"/>
        <w:spacing w:after="0" w:line="263" w:lineRule="auto"/>
        <w:tabs>
          <w:tab w:leader="none" w:pos="1870" w:val="left"/>
        </w:tabs>
        <w:numPr>
          <w:ilvl w:val="3"/>
          <w:numId w:val="289"/>
        </w:numPr>
        <w:rPr>
          <w:rFonts w:ascii="Arial" w:cs="Arial" w:eastAsia="Arial" w:hAnsi="Arial"/>
          <w:sz w:val="18"/>
          <w:szCs w:val="18"/>
          <w:color w:val="auto"/>
        </w:rPr>
      </w:pPr>
      <w:r>
        <w:rPr>
          <w:rFonts w:ascii="Arial" w:cs="Arial" w:eastAsia="Arial" w:hAnsi="Arial"/>
          <w:sz w:val="18"/>
          <w:szCs w:val="18"/>
          <w:color w:val="auto"/>
        </w:rPr>
        <w:t>any Contract that obligates the Company or any of its Subsidiaries to conduct business on an exclusive basis or that contains a “most favored nation” or similar covenant with any Third Party that is material to the Company and its Subsidiaries, taken as a whole;</w:t>
      </w:r>
    </w:p>
    <w:p>
      <w:pPr>
        <w:spacing w:after="0" w:line="75" w:lineRule="exact"/>
        <w:rPr>
          <w:rFonts w:ascii="Arial" w:cs="Arial" w:eastAsia="Arial" w:hAnsi="Arial"/>
          <w:sz w:val="18"/>
          <w:szCs w:val="18"/>
          <w:color w:val="auto"/>
        </w:rPr>
      </w:pPr>
    </w:p>
    <w:p>
      <w:pPr>
        <w:jc w:val="both"/>
        <w:ind w:left="1020" w:right="299" w:firstLine="352"/>
        <w:spacing w:after="0" w:line="279" w:lineRule="auto"/>
        <w:tabs>
          <w:tab w:leader="none" w:pos="1920" w:val="left"/>
        </w:tabs>
        <w:numPr>
          <w:ilvl w:val="3"/>
          <w:numId w:val="289"/>
        </w:numPr>
        <w:rPr>
          <w:rFonts w:ascii="Arial" w:cs="Arial" w:eastAsia="Arial" w:hAnsi="Arial"/>
          <w:sz w:val="17"/>
          <w:szCs w:val="17"/>
          <w:color w:val="auto"/>
        </w:rPr>
      </w:pPr>
      <w:r>
        <w:rPr>
          <w:rFonts w:ascii="Arial" w:cs="Arial" w:eastAsia="Arial" w:hAnsi="Arial"/>
          <w:sz w:val="17"/>
          <w:szCs w:val="17"/>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the Company and its wholly-owned Subsidiaries or among the Company’s wholly-owned Subsidiaries;</w:t>
      </w:r>
    </w:p>
    <w:p>
      <w:pPr>
        <w:spacing w:after="0" w:line="63" w:lineRule="exact"/>
        <w:rPr>
          <w:rFonts w:ascii="Arial" w:cs="Arial" w:eastAsia="Arial" w:hAnsi="Arial"/>
          <w:sz w:val="17"/>
          <w:szCs w:val="17"/>
          <w:color w:val="auto"/>
        </w:rPr>
      </w:pPr>
    </w:p>
    <w:p>
      <w:pPr>
        <w:jc w:val="both"/>
        <w:ind w:left="1020" w:right="299" w:firstLine="352"/>
        <w:spacing w:after="0" w:line="259" w:lineRule="auto"/>
        <w:tabs>
          <w:tab w:leader="none" w:pos="1820" w:val="left"/>
        </w:tabs>
        <w:numPr>
          <w:ilvl w:val="3"/>
          <w:numId w:val="289"/>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the Company;</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3"/>
          <w:numId w:val="289"/>
        </w:numPr>
        <w:rPr>
          <w:rFonts w:ascii="Arial" w:cs="Arial" w:eastAsia="Arial" w:hAnsi="Arial"/>
          <w:sz w:val="18"/>
          <w:szCs w:val="18"/>
          <w:color w:val="auto"/>
        </w:rPr>
      </w:pPr>
      <w:r>
        <w:rPr>
          <w:rFonts w:ascii="Arial" w:cs="Arial" w:eastAsia="Arial" w:hAnsi="Arial"/>
          <w:sz w:val="18"/>
          <w:szCs w:val="18"/>
          <w:color w:val="auto"/>
        </w:rPr>
        <w:t>any material Company IP Agreement, other than licenses for shrinkwrap, clickwrap, or other similar commercially available off-the-shelf software that has not been modified or customized by a Third Party for the Company or any of its Subsidiaries;</w:t>
      </w:r>
    </w:p>
    <w:p>
      <w:pPr>
        <w:spacing w:after="0" w:line="75" w:lineRule="exact"/>
        <w:rPr>
          <w:rFonts w:ascii="Arial" w:cs="Arial" w:eastAsia="Arial" w:hAnsi="Arial"/>
          <w:sz w:val="18"/>
          <w:szCs w:val="18"/>
          <w:color w:val="auto"/>
        </w:rPr>
      </w:pPr>
    </w:p>
    <w:p>
      <w:pPr>
        <w:jc w:val="both"/>
        <w:ind w:left="1020" w:right="299" w:firstLine="352"/>
        <w:spacing w:after="0" w:line="263" w:lineRule="auto"/>
        <w:tabs>
          <w:tab w:leader="none" w:pos="1820" w:val="left"/>
        </w:tabs>
        <w:numPr>
          <w:ilvl w:val="3"/>
          <w:numId w:val="289"/>
        </w:numPr>
        <w:rPr>
          <w:rFonts w:ascii="Arial" w:cs="Arial" w:eastAsia="Arial" w:hAnsi="Arial"/>
          <w:sz w:val="18"/>
          <w:szCs w:val="18"/>
          <w:color w:val="auto"/>
        </w:rPr>
      </w:pPr>
      <w:r>
        <w:rPr>
          <w:rFonts w:ascii="Arial" w:cs="Arial" w:eastAsia="Arial" w:hAnsi="Arial"/>
          <w:sz w:val="18"/>
          <w:szCs w:val="18"/>
          <w:color w:val="auto"/>
        </w:rPr>
        <w:t>any active Contract with a top ten (10) supplier or service provider of the Company and its Subsidiaries, taken as a whole, based on aggregate expenditures, for the fiscal year ended December 31, 2020;</w:t>
      </w:r>
    </w:p>
    <w:p>
      <w:pPr>
        <w:spacing w:after="0" w:line="75" w:lineRule="exact"/>
        <w:rPr>
          <w:rFonts w:ascii="Arial" w:cs="Arial" w:eastAsia="Arial" w:hAnsi="Arial"/>
          <w:sz w:val="18"/>
          <w:szCs w:val="18"/>
          <w:color w:val="auto"/>
        </w:rPr>
      </w:pPr>
    </w:p>
    <w:p>
      <w:pPr>
        <w:ind w:left="1020" w:right="319" w:firstLine="352"/>
        <w:spacing w:after="0" w:line="308" w:lineRule="auto"/>
        <w:tabs>
          <w:tab w:leader="none" w:pos="1870" w:val="left"/>
        </w:tabs>
        <w:numPr>
          <w:ilvl w:val="3"/>
          <w:numId w:val="289"/>
        </w:numPr>
        <w:rPr>
          <w:rFonts w:ascii="Arial" w:cs="Arial" w:eastAsia="Arial" w:hAnsi="Arial"/>
          <w:sz w:val="17"/>
          <w:szCs w:val="17"/>
          <w:color w:val="auto"/>
        </w:rPr>
      </w:pPr>
      <w:r>
        <w:rPr>
          <w:rFonts w:ascii="Arial" w:cs="Arial" w:eastAsia="Arial" w:hAnsi="Arial"/>
          <w:sz w:val="17"/>
          <w:szCs w:val="17"/>
          <w:color w:val="auto"/>
        </w:rPr>
        <w:t>any active Contract with a top ten (10) customer of the Company and its Subsidiaries, taken as a whole, based on aggregate expenditures, for the fiscal year ended December 31, 2020;</w:t>
      </w:r>
    </w:p>
    <w:p>
      <w:pPr>
        <w:spacing w:after="0" w:line="78" w:lineRule="exact"/>
        <w:rPr>
          <w:rFonts w:ascii="Arial" w:cs="Arial" w:eastAsia="Arial" w:hAnsi="Arial"/>
          <w:sz w:val="17"/>
          <w:szCs w:val="17"/>
          <w:color w:val="auto"/>
        </w:rPr>
      </w:pPr>
    </w:p>
    <w:p>
      <w:pPr>
        <w:ind w:left="1920" w:hanging="548"/>
        <w:spacing w:after="0"/>
        <w:tabs>
          <w:tab w:leader="none" w:pos="1920" w:val="left"/>
        </w:tabs>
        <w:numPr>
          <w:ilvl w:val="3"/>
          <w:numId w:val="289"/>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 or</w:t>
      </w:r>
    </w:p>
    <w:p>
      <w:pPr>
        <w:spacing w:after="0" w:line="117" w:lineRule="exact"/>
        <w:rPr>
          <w:rFonts w:ascii="Arial" w:cs="Arial" w:eastAsia="Arial" w:hAnsi="Arial"/>
          <w:sz w:val="18"/>
          <w:szCs w:val="18"/>
          <w:color w:val="auto"/>
        </w:rPr>
      </w:pPr>
    </w:p>
    <w:p>
      <w:pPr>
        <w:jc w:val="both"/>
        <w:ind w:left="1020" w:right="299" w:firstLine="352"/>
        <w:spacing w:after="0" w:line="311" w:lineRule="auto"/>
        <w:tabs>
          <w:tab w:leader="none" w:pos="1909" w:val="left"/>
        </w:tabs>
        <w:numPr>
          <w:ilvl w:val="3"/>
          <w:numId w:val="289"/>
        </w:numPr>
        <w:rPr>
          <w:rFonts w:ascii="Arial" w:cs="Arial" w:eastAsia="Arial" w:hAnsi="Arial"/>
          <w:sz w:val="16"/>
          <w:szCs w:val="16"/>
          <w:color w:val="auto"/>
        </w:rPr>
      </w:pPr>
      <w:r>
        <w:rPr>
          <w:rFonts w:ascii="Arial" w:cs="Arial" w:eastAsia="Arial" w:hAnsi="Arial"/>
          <w:sz w:val="16"/>
          <w:szCs w:val="16"/>
          <w:color w:val="auto"/>
        </w:rPr>
        <w:t>any other Contract that is reasonably expected to result in the payment or receipt of more than $10,000,000 by the Company or any of its Subsidiaries during the Company’s current fiscal year (other than Contracts with customers or suppliers or service providers of the Company and its Subsidiaries).</w:t>
      </w:r>
    </w:p>
    <w:p>
      <w:pPr>
        <w:spacing w:after="0" w:line="40" w:lineRule="exact"/>
        <w:rPr>
          <w:rFonts w:ascii="Arial" w:cs="Arial" w:eastAsia="Arial" w:hAnsi="Arial"/>
          <w:sz w:val="16"/>
          <w:szCs w:val="16"/>
          <w:color w:val="auto"/>
        </w:rPr>
      </w:pPr>
    </w:p>
    <w:p>
      <w:pPr>
        <w:jc w:val="both"/>
        <w:ind w:left="660" w:right="299" w:firstLine="352"/>
        <w:spacing w:after="0" w:line="301" w:lineRule="auto"/>
        <w:tabs>
          <w:tab w:leader="none" w:pos="1410"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Documents Made Available</w:t>
      </w:r>
      <w:r>
        <w:rPr>
          <w:rFonts w:ascii="Arial" w:cs="Arial" w:eastAsia="Arial" w:hAnsi="Arial"/>
          <w:sz w:val="16"/>
          <w:szCs w:val="16"/>
          <w:color w:val="auto"/>
        </w:rPr>
        <w:t xml:space="preserve">. The Company has made available to Parent correct and complete copies of all Company Material Contracts, including any material amendments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the obligation to make such Contracts available shall be limited to master service agreements or similar Contracts with such suppliers or customers, as applicable.</w:t>
      </w:r>
    </w:p>
    <w:p>
      <w:pPr>
        <w:spacing w:after="0" w:line="49" w:lineRule="exact"/>
        <w:rPr>
          <w:rFonts w:ascii="Arial" w:cs="Arial" w:eastAsia="Arial" w:hAnsi="Arial"/>
          <w:sz w:val="16"/>
          <w:szCs w:val="16"/>
          <w:color w:val="auto"/>
        </w:rPr>
      </w:pPr>
    </w:p>
    <w:p>
      <w:pPr>
        <w:jc w:val="both"/>
        <w:ind w:left="660" w:right="299" w:firstLine="352"/>
        <w:spacing w:after="0" w:line="291" w:lineRule="auto"/>
        <w:tabs>
          <w:tab w:leader="none" w:pos="1399"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Filed Contracts</w:t>
      </w:r>
      <w:r>
        <w:rPr>
          <w:rFonts w:ascii="Arial" w:cs="Arial" w:eastAsia="Arial" w:hAnsi="Arial"/>
          <w:sz w:val="16"/>
          <w:szCs w:val="16"/>
          <w:color w:val="auto"/>
        </w:rPr>
        <w:t>. As of the date of this Agreement, neither the Company nor any of its Subsidiaries is a party to any Contract required to be filed by the Company as a “material contract” pursuant to Item 601(b)</w:t>
      </w:r>
    </w:p>
    <w:p>
      <w:pPr>
        <w:ind w:left="1000" w:hanging="348"/>
        <w:spacing w:after="0"/>
        <w:tabs>
          <w:tab w:leader="none" w:pos="10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of Regulation S-K under the Securities Act that has not been so filed.</w:t>
      </w:r>
    </w:p>
    <w:p>
      <w:pPr>
        <w:spacing w:after="0" w:line="102"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No Breach</w:t>
      </w:r>
      <w:r>
        <w:rPr>
          <w:rFonts w:ascii="Arial" w:cs="Arial" w:eastAsia="Arial" w:hAnsi="Arial"/>
          <w:sz w:val="18"/>
          <w:szCs w:val="18"/>
          <w:color w:val="auto"/>
        </w:rPr>
        <w:t>. Except as would not, individually or in the aggregate, be material to the Company and its Subsidiaries, taken as a whole, (i) all the Company Material Contracts are legal, valid, and binding on the Company or its applicable Subsidiary, enforceable against it in accordance with its terms, and is in full force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8" w:name="page279"/>
    <w:bookmarkEnd w:id="27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effect; (ii) neither the Company nor any of its Subsidiaries nor, to the Knowledge of the Company, any Third Party has violated any provision of, or failed to perform any obligation required under the provisions of, any Company Material Contract; and (iii) neither the Company nor any of its Subsidiaries nor, to the Knowledge of the Company, any Third Party is in breach, or has received written notice of breach, of any Company Material Contract.</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Company Material Adverse Effect, all material insurance policies of the Company and its Subsidiaries are in full force and effect and provide insurance in such amounts and against such risks as the Company reasonably has determined to be prudent, taking into account the industries in which the Company and its Subsidiaries operate, and as is sufficient to comply with applicable Law. As of the date of this Agreement, except as would not, individually or in the aggregate, reasonably be expected to have a Company Material Adverse Effect,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of such insurance policies. As of the date of this Agreement, except as would not, individually or in the aggregate, reasonably be expected to have a Company Material Adverse Effect and to the Knowledge of the Company: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or on behalf of the Company for inclusion or incorporation by reference in the registration statement on Form F-4 to be filed with the SEC by Parent in connection with the Parent Share Issuance (the “</w:t>
      </w:r>
      <w:r>
        <w:rPr>
          <w:rFonts w:ascii="Arial" w:cs="Arial" w:eastAsia="Arial" w:hAnsi="Arial"/>
          <w:sz w:val="17"/>
          <w:szCs w:val="17"/>
          <w:u w:val="single" w:color="auto"/>
          <w:color w:val="auto"/>
        </w:rPr>
        <w:t>Form F-4</w:t>
      </w:r>
      <w:r>
        <w:rPr>
          <w:rFonts w:ascii="Arial" w:cs="Arial" w:eastAsia="Arial" w:hAnsi="Arial"/>
          <w:sz w:val="17"/>
          <w:szCs w:val="17"/>
          <w:color w:val="auto"/>
        </w:rPr>
        <w:t>”)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the Company for inclusion or incorporation by reference in the proxy statement to be filed with the SEC and sent to the Company’s stockholders in connection with the Merger and the other transactions contemplated by this Agreement (including any amendments or supplements thereto, the “</w:t>
      </w:r>
      <w:r>
        <w:rPr>
          <w:rFonts w:ascii="Arial" w:cs="Arial" w:eastAsia="Arial" w:hAnsi="Arial"/>
          <w:sz w:val="17"/>
          <w:szCs w:val="17"/>
          <w:u w:val="single" w:color="auto"/>
          <w:color w:val="auto"/>
        </w:rPr>
        <w:t>Company Proxy Statement</w:t>
      </w:r>
      <w:r>
        <w:rPr>
          <w:rFonts w:ascii="Arial" w:cs="Arial" w:eastAsia="Arial" w:hAnsi="Arial"/>
          <w:sz w:val="17"/>
          <w:szCs w:val="17"/>
          <w:color w:val="auto"/>
        </w:rPr>
        <w:t>”) and the extraordinary general meeting notice to be sent to Parent’s shareholders in connection with the approval of the grant of authority to the Parent Board to effect the Parent Share Issuance to be included with the F-4 filed with the SEC (including any amendments or supplements thereto, the “</w:t>
      </w:r>
      <w:r>
        <w:rPr>
          <w:rFonts w:ascii="Arial" w:cs="Arial" w:eastAsia="Arial" w:hAnsi="Arial"/>
          <w:sz w:val="17"/>
          <w:szCs w:val="17"/>
          <w:u w:val="single" w:color="auto"/>
          <w:color w:val="auto"/>
        </w:rPr>
        <w:t>EGM Notice</w:t>
      </w:r>
      <w:r>
        <w:rPr>
          <w:rFonts w:ascii="Arial" w:cs="Arial" w:eastAsia="Arial" w:hAnsi="Arial"/>
          <w:sz w:val="17"/>
          <w:szCs w:val="17"/>
          <w:color w:val="auto"/>
        </w:rPr>
        <w:t>” and, together with the Company Proxy Statement, the “</w:t>
      </w:r>
      <w:r>
        <w:rPr>
          <w:rFonts w:ascii="Arial" w:cs="Arial" w:eastAsia="Arial" w:hAnsi="Arial"/>
          <w:sz w:val="17"/>
          <w:szCs w:val="17"/>
          <w:u w:val="single" w:color="auto"/>
          <w:color w:val="auto"/>
        </w:rPr>
        <w:t>Proxy Statement/EGM Notice</w:t>
      </w:r>
      <w:r>
        <w:rPr>
          <w:rFonts w:ascii="Arial" w:cs="Arial" w:eastAsia="Arial" w:hAnsi="Arial"/>
          <w:sz w:val="17"/>
          <w:szCs w:val="17"/>
          <w:color w:val="auto"/>
        </w:rPr>
        <w:t>”) will, at the date it is first mailed to the Company’s and Parent’s stockholders and shareholders, respectively,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and the Irish Companies Act. Notwithstanding the foregoing, no representation or warranty is made by the Company with respect to statements made or incorporated by reference therein based on information that was not supplied by or on behalf of the Company.</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Anti-Corruption Matters</w:t>
      </w:r>
      <w:r>
        <w:rPr>
          <w:rFonts w:ascii="Arial" w:cs="Arial" w:eastAsia="Arial" w:hAnsi="Arial"/>
          <w:sz w:val="17"/>
          <w:szCs w:val="17"/>
          <w:color w:val="auto"/>
        </w:rPr>
        <w:t>. Except as would not, individually or in the aggregate, be material to the Company and its Subsidiaries, taken as a whole, since January 1, 2018, none of the Company, any of its Subsidiaries or any director, officer or, to the Knowledge of the Company, employee or agent of the Company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the Company nor any of its Subsidiaries has disclosed to any Governmental Entity that it violated or may have violated any Law relating to anti-corruption, bribery, or similar matters. To the Knowledge of the Company, no Governmental Entity is investigating, examining, or reviewing the Company’s compliance with any applicable provisions of any Law relating to anti-corruption, bribery, or similar matters. The Company and its Subsidiaries have instituted, maintain and enforce policies and procedures reasonably designed to comply with all applicable anti-bribery and anti-corruption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9" w:name="page280"/>
    <w:bookmarkEnd w:id="27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Neither the Company nor any of its Subsidiaries, nor, to the Knowledge of the Company, any directors, officers, employees, or Representatives acting on behalf of the Company or any of its Subsidiaries is currently the subject or the target of any sanctions administered or enforced by the U.S. Government, (including, but not limited to,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or Her Majesty’s Treasury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region or territory that is the subject or the target of comprehensive Sanctions, including, without limitation, Crimea, Cuba, Iran, North Korea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During the five-year period ending on the date hereof, the Company and its Subsidiaries have not engaged in and are not now engaged in any dealings or transactions with any person that at the time of the dealing or transaction is or was the subject or the target of Sanctions or with any Sanctioned Country.</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u w:val="single" w:color="auto"/>
          <w:color w:val="auto"/>
        </w:rPr>
        <w:t>Health Care Laws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87" w:lineRule="auto"/>
        <w:tabs>
          <w:tab w:leader="none" w:pos="140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of the Company and its Subsidiaries is and, since January 1, 2019, has been, in compliance with all applicable foreign, federal, state and local health care laws including those laws related to:</w:t>
      </w:r>
    </w:p>
    <w:p>
      <w:pPr>
        <w:spacing w:after="0" w:line="2" w:lineRule="exact"/>
        <w:rPr>
          <w:rFonts w:ascii="Arial" w:cs="Arial" w:eastAsia="Arial" w:hAnsi="Arial"/>
          <w:sz w:val="16"/>
          <w:szCs w:val="16"/>
          <w:color w:val="auto"/>
        </w:rPr>
      </w:pPr>
    </w:p>
    <w:p>
      <w:pPr>
        <w:jc w:val="both"/>
        <w:ind w:left="660" w:right="299" w:hanging="8"/>
        <w:spacing w:after="0" w:line="281" w:lineRule="auto"/>
        <w:tabs>
          <w:tab w:leader="none" w:pos="89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regulation of drugs, biological products and devices, including the Federal Food, Drug, and Cosmetic Act, as amended, and comparable foreign laws, (ii) fraud and abuse, false claims, anti-kickback, and physician self-referral laws, including those that apply to all payors, (iii) the regulation of the privacy and security of personal health care information, including HIPAA, as amended by HITECH to the extent applicable, and</w:t>
      </w:r>
    </w:p>
    <w:p>
      <w:pPr>
        <w:spacing w:after="0" w:line="2" w:lineRule="exact"/>
        <w:rPr>
          <w:rFonts w:ascii="Arial" w:cs="Arial" w:eastAsia="Arial" w:hAnsi="Arial"/>
          <w:sz w:val="16"/>
          <w:szCs w:val="16"/>
          <w:color w:val="auto"/>
        </w:rPr>
      </w:pPr>
    </w:p>
    <w:p>
      <w:pPr>
        <w:ind w:left="660" w:right="299" w:hanging="8"/>
        <w:spacing w:after="0" w:line="260" w:lineRule="auto"/>
        <w:tabs>
          <w:tab w:leader="none" w:pos="100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regulations promulgated pursuant to such laws, each as amended from time to time (collectively, “</w:t>
      </w:r>
      <w:r>
        <w:rPr>
          <w:rFonts w:ascii="Arial" w:cs="Arial" w:eastAsia="Arial" w:hAnsi="Arial"/>
          <w:sz w:val="18"/>
          <w:szCs w:val="18"/>
          <w:u w:val="single" w:color="auto"/>
          <w:color w:val="auto"/>
        </w:rPr>
        <w:t>Health Care Laws</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jc w:val="both"/>
        <w:ind w:left="660" w:right="299" w:firstLine="352"/>
        <w:spacing w:after="0" w:line="271" w:lineRule="auto"/>
        <w:tabs>
          <w:tab w:leader="none" w:pos="141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Since January 1, 2019, neither the Company nor any of its Subsidiaries has received any notice or communication from any Governmental Entity of any noncompliance by, or liability of, the Company or its Subsidiaries under any Health Care Law that would reasonably be expected to have, individually or in the aggregate, a Company Material Adverse Effect. Except as set forth in </w:t>
      </w:r>
      <w:r>
        <w:rPr>
          <w:rFonts w:ascii="Arial" w:cs="Arial" w:eastAsia="Arial" w:hAnsi="Arial"/>
          <w:sz w:val="17"/>
          <w:szCs w:val="17"/>
          <w:u w:val="single" w:color="auto"/>
          <w:color w:val="auto"/>
        </w:rPr>
        <w:t>Section 4.20(b)</w:t>
      </w:r>
      <w:r>
        <w:rPr>
          <w:rFonts w:ascii="Arial" w:cs="Arial" w:eastAsia="Arial" w:hAnsi="Arial"/>
          <w:sz w:val="17"/>
          <w:szCs w:val="17"/>
          <w:color w:val="auto"/>
        </w:rPr>
        <w:t xml:space="preserve"> of the Company Disclosure Letter, since January 1, 2019, none of the Company, its Subsidiaries, or their respective directors, officers, employees and, to the Knowledge of the Company, agents, has been debarred, disqualified, suspended, or excluded from participation in any foreign, federal or state health care program or governmental program or under any Health Care Law.</w:t>
      </w:r>
    </w:p>
    <w:p>
      <w:pPr>
        <w:spacing w:after="0" w:line="70" w:lineRule="exact"/>
        <w:rPr>
          <w:rFonts w:ascii="Arial" w:cs="Arial" w:eastAsia="Arial" w:hAnsi="Arial"/>
          <w:sz w:val="17"/>
          <w:szCs w:val="17"/>
          <w:color w:val="auto"/>
        </w:rPr>
      </w:pPr>
    </w:p>
    <w:p>
      <w:pPr>
        <w:jc w:val="both"/>
        <w:ind w:left="660" w:right="299" w:firstLine="352"/>
        <w:spacing w:after="0" w:line="279" w:lineRule="auto"/>
        <w:tabs>
          <w:tab w:leader="none" w:pos="1399"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Section 4.20(c)</w:t>
      </w:r>
      <w:r>
        <w:rPr>
          <w:rFonts w:ascii="Arial" w:cs="Arial" w:eastAsia="Arial" w:hAnsi="Arial"/>
          <w:sz w:val="17"/>
          <w:szCs w:val="17"/>
          <w:color w:val="auto"/>
        </w:rPr>
        <w:t xml:space="preserve"> of the Company Disclosure Letter, sets forth, with respect to the Company or any of its Subsidiaries (i) all inspection findings, including all FDA Form 483s, warning letters or other similar enforcement actions, notices or findings received and (ii) all critical or similar findings or audit results by customers or regulators (including any Governmental Entity), for each of (i) and (ii) since January 1, 2019.</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Government Contracts</w:t>
      </w:r>
      <w:r>
        <w:rPr>
          <w:rFonts w:ascii="Arial" w:cs="Arial" w:eastAsia="Arial" w:hAnsi="Arial"/>
          <w:sz w:val="16"/>
          <w:szCs w:val="16"/>
          <w:color w:val="auto"/>
        </w:rPr>
        <w:t xml:space="preserve">. Except as (x) set forth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of the Company Disclosure Letter or (y) would not reasonably be expected to have, individually or in the aggregate, a Company Material Adverse Effect, since January 1, 2019, the Company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Company Material Adverse Effect, since January 1, 2019, neither the Company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66"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u w:val="single" w:color="auto"/>
          <w:color w:val="auto"/>
        </w:rPr>
        <w:t>Fairness Opinion</w:t>
      </w:r>
      <w:r>
        <w:rPr>
          <w:rFonts w:ascii="Arial" w:cs="Arial" w:eastAsia="Arial" w:hAnsi="Arial"/>
          <w:sz w:val="16"/>
          <w:szCs w:val="16"/>
          <w:color w:val="auto"/>
        </w:rPr>
        <w:t>. The Company Board has received the opinions (whether oral or in writing) from each of BofA Securities, Inc. and UBS Securities LLC, each a Company Financial Advisor, to the effect that, as of the date noted in each respective opinion, based upon and subject to the various qualifications and/or assumptions set forth therein, the Merger Consideration to be received as a result of the Merger by the holders of Company Common Stock is fair, from a financial point of view, to such holders (other than Dissenting Shares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0" w:name="page281"/>
    <w:bookmarkEnd w:id="28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Cancelled Shares), and, as of the date of this Agreement, such opinion has not been withdrawn, revoked, or modified. The Company shall, as soon as practicable following the execution and delivery of this Agreement by all parties, furnish a copy of such written opinion to Parent solely for information purposes (it being agreed that none of Parent, US Holdco or Merger Sub, nor any of their respective Affiliates or Representatives, shall have the right to rely on such opinion).</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No Additional Representations</w:t>
      </w:r>
      <w:r>
        <w:rPr>
          <w:rFonts w:ascii="Arial" w:cs="Arial" w:eastAsia="Arial" w:hAnsi="Arial"/>
          <w:sz w:val="16"/>
          <w:szCs w:val="16"/>
          <w:color w:val="auto"/>
        </w:rPr>
        <w:t xml:space="preserve">. The Company acknowledges and agrees that, except for the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in any certificate delivered by Parent pursuant to this Agreement (a) neither Parent, US Holdco nor Merger Sub makes, nor has made, and the Company has not relied on, any representations or warranties relating to Parent, US Holdco, Merger Sub or their respective businesses or otherwise, (b) no person has been authorized by Parent, US Holdco or Merger Sub to make any representation or warranty relating to themselves or their business or otherwise in connection with the transactions contemplated by this Agreement, and if made, such representation or warranty must not be relied upon by the Company as having been authorized by such party, and (c)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Without limiting the foregoing, the Company acknowledges and agrees that, except for any remedies available under this Agreement with respect to the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qualified by the Parent Disclosure Letter) neither Parent, US Holdco, Merger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connection with the transactions contemplated by this Agreement. Notwithstanding the foregoing, nothing in this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is intended or shall be deemed to have the effect of eliminating, limiting or restricting in any way any Person’s rights or remedies in the event of fraud. The Company has conducted its own independent investigation of Parent and its Subsidiaries and the transactions contemplated hereby and have had an opportunity to discuss and ask questions regarding Parent’s and its Subsidiaries’ businesses with the management of Parent.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US HOLDCO AND MERGER SUB</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Except (a) as disclosed in the Parent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will not apply to any of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5.03</w:t>
      </w:r>
      <w:r>
        <w:rPr>
          <w:rFonts w:ascii="Arial" w:cs="Arial" w:eastAsia="Arial" w:hAnsi="Arial"/>
          <w:sz w:val="17"/>
          <w:szCs w:val="17"/>
          <w:color w:val="auto"/>
        </w:rPr>
        <w:t>); or (b) as set forth in the correspondingly numbered Section of the Parent Disclosure Letter that relates to such Section or in another Section of the Parent Disclosure Letter to the extent that it is reasonably apparent on the face of such disclosure that such disclosure is applicable to such Section; Parent, US Holdco and Merger Sub hereby jointly and severally represent and warrant to the Company as follows:</w:t>
      </w:r>
    </w:p>
    <w:p>
      <w:pPr>
        <w:spacing w:after="0" w:line="10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Organization; Standing and Power; Charter Documents; 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Organization; Standing and Power</w:t>
      </w:r>
      <w:r>
        <w:rPr>
          <w:rFonts w:ascii="Arial" w:cs="Arial" w:eastAsia="Arial" w:hAnsi="Arial"/>
          <w:sz w:val="16"/>
          <w:szCs w:val="16"/>
          <w:color w:val="auto"/>
        </w:rPr>
        <w:t>. Each of Parent and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Parent’s Subsidiaries, where the failure to be so organized, to be in good standing or to have such power, authority or standing (A) would not reasonably be expected to have a Parent Material Adverse Effect or (B) would reasonably be expected to prevent, materially impede or materially delay the consummation of the Transactions on a timely basis and in any event on or before the End Date. Each of Parent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1" w:name="page282"/>
    <w:bookmarkEnd w:id="28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9" w:lineRule="auto"/>
        <w:rPr>
          <w:sz w:val="20"/>
          <w:szCs w:val="20"/>
          <w:color w:val="auto"/>
        </w:rPr>
      </w:pPr>
      <w:r>
        <w:rPr>
          <w:rFonts w:ascii="Arial" w:cs="Arial" w:eastAsia="Arial" w:hAnsi="Arial"/>
          <w:sz w:val="17"/>
          <w:szCs w:val="17"/>
          <w:color w:val="auto"/>
        </w:rPr>
        <w:t>qualification or license necessary, except where the failure to be so qualified or licensed or to be in good standing,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63" w:lineRule="exact"/>
        <w:rPr>
          <w:sz w:val="20"/>
          <w:szCs w:val="20"/>
          <w:color w:val="auto"/>
        </w:rPr>
      </w:pPr>
    </w:p>
    <w:p>
      <w:pPr>
        <w:jc w:val="both"/>
        <w:ind w:left="660" w:right="299" w:firstLine="352"/>
        <w:spacing w:after="0" w:line="255" w:lineRule="auto"/>
        <w:tabs>
          <w:tab w:leader="none" w:pos="141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copy of the Description of the Constitution of the Company of Parent incorporated by reference as an exhibit to Parent’s Annual Report on Form 20-F for the fiscal year ended December 31, 2019 is a true, correct, and complete copy of such document as in effect as of the date of this Agreement. Parent has delivered or made available to the Company true and correct copies of the Charter Documents of Merger Sub. Neither Parent nor Merger Sub, nor any of their respective Subsidiaries is in violation of any of the provisions of its Charter Documents.</w:t>
      </w:r>
    </w:p>
    <w:p>
      <w:pPr>
        <w:spacing w:after="0" w:line="84" w:lineRule="exact"/>
        <w:rPr>
          <w:rFonts w:ascii="Arial" w:cs="Arial" w:eastAsia="Arial" w:hAnsi="Arial"/>
          <w:sz w:val="18"/>
          <w:szCs w:val="18"/>
          <w:color w:val="auto"/>
        </w:rPr>
      </w:pPr>
    </w:p>
    <w:p>
      <w:pPr>
        <w:jc w:val="both"/>
        <w:ind w:left="660" w:right="299" w:firstLine="352"/>
        <w:spacing w:after="0" w:line="269" w:lineRule="auto"/>
        <w:tabs>
          <w:tab w:leader="none" w:pos="1399"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5.01(c)(i)</w:t>
      </w:r>
      <w:r>
        <w:rPr>
          <w:rFonts w:ascii="Arial" w:cs="Arial" w:eastAsia="Arial" w:hAnsi="Arial"/>
          <w:sz w:val="17"/>
          <w:szCs w:val="17"/>
          <w:color w:val="auto"/>
        </w:rPr>
        <w:t xml:space="preserve"> of the Parent Disclosure Letter lists each of the Subsidiaries of Parent as of the date hereof and its jurisdiction of organization. All of the outstanding shares of capital stock of, or other equity or voting interests in, each Subsidiary of Parent have been validly issued and are owned by Parent, directly or indirectly, free of pre-emptive rights, are fully paid and non-assessable, and are free and clear of all Liens, including any restriction on the right to vote, sell, or otherwise dispose of such capital stock or other equity or voting interests, except for any Liens: (i) imposed by applicable securities Laws; or (ii) arising pursuant to the Charter Documents of any non-wholly owned Subsidiary of Parent. Except (i) for the capital stock of, or other equity or voting interests in, its Subsidiaries, or (ii) as set forth in </w:t>
      </w:r>
      <w:r>
        <w:rPr>
          <w:rFonts w:ascii="Arial" w:cs="Arial" w:eastAsia="Arial" w:hAnsi="Arial"/>
          <w:sz w:val="17"/>
          <w:szCs w:val="17"/>
          <w:u w:val="single" w:color="auto"/>
          <w:color w:val="auto"/>
        </w:rPr>
        <w:t>Section 5.01(c)(ii)</w:t>
      </w:r>
      <w:r>
        <w:rPr>
          <w:rFonts w:ascii="Arial" w:cs="Arial" w:eastAsia="Arial" w:hAnsi="Arial"/>
          <w:sz w:val="17"/>
          <w:szCs w:val="17"/>
          <w:color w:val="auto"/>
        </w:rPr>
        <w:t xml:space="preserve"> of the Parent Disclosure Letter, Parent does not own, directly or indirectly, any capital stock of, or other equity or voting interests in, any Person.</w:t>
      </w:r>
    </w:p>
    <w:p>
      <w:pPr>
        <w:spacing w:after="0" w:line="11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Share Capital</w:t>
      </w:r>
      <w:r>
        <w:rPr>
          <w:rFonts w:ascii="Arial" w:cs="Arial" w:eastAsia="Arial" w:hAnsi="Arial"/>
          <w:sz w:val="17"/>
          <w:szCs w:val="17"/>
          <w:color w:val="auto"/>
        </w:rPr>
        <w:t>. The authorized share capital of Parent is €6,000,000 divided into 100,000,000 Parent Ordinary Shares. As of the close of business on the Capitalization Date: (A) 52,788,093 Parent Ordinary Shares were issued and outstanding (not including shares held in treasury); (B) no Parent Ordinary Shares were issued and held by Parent in its treasury; and since the Capitalization Date and through the date hereof, no additional Parent Ordinary Shares have been issued other than the issuance of Parent Ordinary Shares upon the exercise or settlement of Parent Equity Awards. All of the outstanding shares of Parent are, and all shares of Parent which may be issued as contemplated or permitted by this Agreement, including the Parent Ordinary Shares constituting the Share Consideration, will be, when issued, duly authorized, validly issued, fully paid, and non-assessable, and not subject to any pre-emptive rights. No Subsidiary of Parent owns any Parent Ordinary Shares.</w:t>
      </w:r>
    </w:p>
    <w:p>
      <w:pPr>
        <w:spacing w:after="0" w:line="117" w:lineRule="exact"/>
        <w:rPr>
          <w:rFonts w:ascii="Arial" w:cs="Arial" w:eastAsia="Arial" w:hAnsi="Arial"/>
          <w:sz w:val="17"/>
          <w:szCs w:val="17"/>
          <w:color w:val="auto"/>
        </w:rPr>
      </w:pPr>
    </w:p>
    <w:p>
      <w:pPr>
        <w:ind w:left="1400" w:hanging="388"/>
        <w:spacing w:after="0"/>
        <w:tabs>
          <w:tab w:leader="none" w:pos="140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Share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87" w:lineRule="auto"/>
        <w:tabs>
          <w:tab w:leader="none" w:pos="1720" w:val="left"/>
        </w:tabs>
        <w:numPr>
          <w:ilvl w:val="2"/>
          <w:numId w:val="297"/>
        </w:numPr>
        <w:rPr>
          <w:rFonts w:ascii="Arial" w:cs="Arial" w:eastAsia="Arial" w:hAnsi="Arial"/>
          <w:sz w:val="16"/>
          <w:szCs w:val="16"/>
          <w:color w:val="auto"/>
        </w:rPr>
      </w:pPr>
      <w:r>
        <w:rPr>
          <w:rFonts w:ascii="Arial" w:cs="Arial" w:eastAsia="Arial" w:hAnsi="Arial"/>
          <w:sz w:val="16"/>
          <w:szCs w:val="16"/>
          <w:color w:val="auto"/>
        </w:rPr>
        <w:t>As of the close of business on the Capitalization Date, an aggregate of 5,026,669 Parent Ordinary Shares were reserved for issuance pursuant to Parent Equity Awards not yet granted under the Parent Share Plans. As of the close of business on the Capitalization Date, 339,144 Parent Ordinary Shares were reserved for issuance pursuant to outstanding Parent Restricted Share Units, 87,702 Parent Ordinary Shares were reserved for issuance pursuant to outstanding Parent Performance Share Units (assuming target performance), and 553,746 Parent Ordinary Shares were reserved for issuance pursuant to outstanding Parent Share Options. Since the Capitalization Date and through the date hereof, no Parent Equity Awards have been granted and no additional Parent Ordinary Shares have become subject to issuance under the Parent Share Plans. All Parent Ordinary Shares subject to issuance under the Parent Share Plans upon issuance in accordance with the terms and conditions specified in the instruments pursuant to which they are issuable, will be duly authorized, validly issued, fully paid, and non-assessable.</w:t>
      </w:r>
    </w:p>
    <w:p>
      <w:pPr>
        <w:spacing w:after="0" w:line="63" w:lineRule="exact"/>
        <w:rPr>
          <w:rFonts w:ascii="Arial" w:cs="Arial" w:eastAsia="Arial" w:hAnsi="Arial"/>
          <w:sz w:val="16"/>
          <w:szCs w:val="16"/>
          <w:color w:val="auto"/>
        </w:rPr>
      </w:pPr>
    </w:p>
    <w:p>
      <w:pPr>
        <w:ind w:left="1780" w:hanging="408"/>
        <w:spacing w:after="0"/>
        <w:tabs>
          <w:tab w:leader="none" w:pos="17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Other than the Parent Equity Awards, as of the date hereof, there are no outstanding</w:t>
      </w:r>
    </w:p>
    <w:p>
      <w:pPr>
        <w:spacing w:after="0" w:line="23" w:lineRule="exact"/>
        <w:rPr>
          <w:rFonts w:ascii="Arial" w:cs="Arial" w:eastAsia="Arial" w:hAnsi="Arial"/>
          <w:sz w:val="18"/>
          <w:szCs w:val="18"/>
          <w:color w:val="auto"/>
        </w:rPr>
      </w:pPr>
    </w:p>
    <w:p>
      <w:pPr>
        <w:jc w:val="both"/>
        <w:ind w:left="1020" w:right="299" w:hanging="8"/>
        <w:spacing w:after="0" w:line="251" w:lineRule="auto"/>
        <w:tabs>
          <w:tab w:leader="none" w:pos="132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securities of Parent or any of its Subsidiaries convertible into or exchangeable for Parent Voting Debt or shares of Parent, (B) options, warrants, or other agreements or commitments to acquire from Parent or any of its Subsidiaries, or obligations of Parent or any of its Subsidiaries to issue, any Parent Voting Debt or shares of (or securities convertible into or exchangeable for shares of) Parent, or (C) restricted shares, restricted share units, share appreciation rights, performance shares, profit participation rights, contingent value rights, “phantom” shares, or similar securities or rights that are derivative of, or provide economic benefits based, directly or indirectly, on the value or price of, any shares of Parent, in each case that have been issued by Parent or its Subsidiaries (the items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together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2" w:name="page283"/>
    <w:bookmarkEnd w:id="28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96" w:lineRule="auto"/>
        <w:rPr>
          <w:sz w:val="20"/>
          <w:szCs w:val="20"/>
          <w:color w:val="auto"/>
        </w:rPr>
      </w:pPr>
      <w:r>
        <w:rPr>
          <w:rFonts w:ascii="Arial" w:cs="Arial" w:eastAsia="Arial" w:hAnsi="Arial"/>
          <w:sz w:val="16"/>
          <w:szCs w:val="16"/>
          <w:color w:val="auto"/>
        </w:rPr>
        <w:t>shares of Parent, being referred to collectively as “</w:t>
      </w:r>
      <w:r>
        <w:rPr>
          <w:rFonts w:ascii="Arial" w:cs="Arial" w:eastAsia="Arial" w:hAnsi="Arial"/>
          <w:sz w:val="16"/>
          <w:szCs w:val="16"/>
          <w:u w:val="single" w:color="auto"/>
          <w:color w:val="auto"/>
        </w:rPr>
        <w:t>Parent Securities</w:t>
      </w:r>
      <w:r>
        <w:rPr>
          <w:rFonts w:ascii="Arial" w:cs="Arial" w:eastAsia="Arial" w:hAnsi="Arial"/>
          <w:sz w:val="16"/>
          <w:szCs w:val="16"/>
          <w:color w:val="auto"/>
        </w:rPr>
        <w:t>”). All outstanding Parent Ordinary Shares, all outstanding Parent Equity Awards, and all outstanding shares of, voting securities, or other ownership interests in any Subsidiary of Parent, have been issued or granted, as applicable, in compliance in all material respects, as applicable, the rules of Nasdaq or any other applicable stock exchange and the terms of any applicable securities listing agreement or requirement with all applicable securities Laws.</w:t>
      </w:r>
    </w:p>
    <w:p>
      <w:pPr>
        <w:spacing w:after="0" w:line="53" w:lineRule="exact"/>
        <w:rPr>
          <w:sz w:val="20"/>
          <w:szCs w:val="20"/>
          <w:color w:val="auto"/>
        </w:rPr>
      </w:pPr>
    </w:p>
    <w:p>
      <w:pPr>
        <w:jc w:val="both"/>
        <w:ind w:left="1020" w:right="299" w:firstLine="352"/>
        <w:spacing w:after="0" w:line="263" w:lineRule="auto"/>
        <w:tabs>
          <w:tab w:leader="none" w:pos="1826"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There are no outstanding Contracts requiring Parent or any of its Subsidiaries to repurchase, redeem, or otherwise acquire any Parent Securities. Neither Parent nor any of its Subsidiaries is a party to any voting agreement with respect to any Parent Securities.</w:t>
      </w:r>
    </w:p>
    <w:p>
      <w:pPr>
        <w:spacing w:after="0" w:line="75" w:lineRule="exact"/>
        <w:rPr>
          <w:rFonts w:ascii="Arial" w:cs="Arial" w:eastAsia="Arial" w:hAnsi="Arial"/>
          <w:sz w:val="18"/>
          <w:szCs w:val="18"/>
          <w:color w:val="auto"/>
        </w:rPr>
      </w:pPr>
    </w:p>
    <w:p>
      <w:pPr>
        <w:jc w:val="both"/>
        <w:ind w:left="660" w:right="299" w:firstLine="352"/>
        <w:spacing w:after="0" w:line="287" w:lineRule="auto"/>
        <w:tabs>
          <w:tab w:leader="none" w:pos="1399"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Voting Debt</w:t>
      </w:r>
      <w:r>
        <w:rPr>
          <w:rFonts w:ascii="Arial" w:cs="Arial" w:eastAsia="Arial" w:hAnsi="Arial"/>
          <w:sz w:val="16"/>
          <w:szCs w:val="16"/>
          <w:color w:val="auto"/>
        </w:rPr>
        <w:t>. No bonds, debentures, notes, or other Indebtedness issued by Parent or any of its Subsidiaries: (i) having the right to vote on any matters on which shareholders or equityholders of Parent or any of its Subsidiaries may vote (or which is convertible into, or exchangeable for, securities having such right); or</w:t>
      </w:r>
    </w:p>
    <w:p>
      <w:pPr>
        <w:spacing w:after="0" w:line="2" w:lineRule="exact"/>
        <w:rPr>
          <w:rFonts w:ascii="Arial" w:cs="Arial" w:eastAsia="Arial" w:hAnsi="Arial"/>
          <w:sz w:val="16"/>
          <w:szCs w:val="16"/>
          <w:color w:val="auto"/>
        </w:rPr>
      </w:pPr>
    </w:p>
    <w:p>
      <w:pPr>
        <w:ind w:left="660" w:right="299" w:hanging="8"/>
        <w:spacing w:after="0" w:line="323" w:lineRule="auto"/>
        <w:tabs>
          <w:tab w:leader="none" w:pos="93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value of which is directly based upon or derived from the shares, voting securities, or other ownership interests of Parent or any of its Subsidiaries, are issued or outstanding (collectively, “</w:t>
      </w:r>
      <w:r>
        <w:rPr>
          <w:rFonts w:ascii="Arial" w:cs="Arial" w:eastAsia="Arial" w:hAnsi="Arial"/>
          <w:sz w:val="16"/>
          <w:szCs w:val="16"/>
          <w:u w:val="single" w:color="auto"/>
          <w:color w:val="auto"/>
        </w:rPr>
        <w:t>Parent Voting Debt</w:t>
      </w:r>
      <w:r>
        <w:rPr>
          <w:rFonts w:ascii="Arial" w:cs="Arial" w:eastAsia="Arial" w:hAnsi="Arial"/>
          <w:sz w:val="16"/>
          <w:szCs w:val="16"/>
          <w:color w:val="auto"/>
        </w:rPr>
        <w:t>”).</w:t>
      </w:r>
    </w:p>
    <w:p>
      <w:pPr>
        <w:spacing w:after="0" w:line="30" w:lineRule="exact"/>
        <w:rPr>
          <w:rFonts w:ascii="Arial" w:cs="Arial" w:eastAsia="Arial" w:hAnsi="Arial"/>
          <w:sz w:val="16"/>
          <w:szCs w:val="16"/>
          <w:color w:val="auto"/>
        </w:rPr>
      </w:pPr>
    </w:p>
    <w:p>
      <w:pPr>
        <w:jc w:val="both"/>
        <w:ind w:left="660" w:right="299" w:firstLine="352"/>
        <w:spacing w:after="0" w:line="268" w:lineRule="auto"/>
        <w:tabs>
          <w:tab w:leader="none" w:pos="1410" w:val="left"/>
        </w:tabs>
        <w:numPr>
          <w:ilvl w:val="1"/>
          <w:numId w:val="300"/>
        </w:numPr>
        <w:rPr>
          <w:rFonts w:ascii="Arial" w:cs="Arial" w:eastAsia="Arial" w:hAnsi="Arial"/>
          <w:sz w:val="17"/>
          <w:szCs w:val="17"/>
          <w:color w:val="auto"/>
        </w:rPr>
      </w:pPr>
      <w:r>
        <w:rPr>
          <w:rFonts w:ascii="Arial" w:cs="Arial" w:eastAsia="Arial" w:hAnsi="Arial"/>
          <w:sz w:val="17"/>
          <w:szCs w:val="17"/>
          <w:u w:val="single" w:color="auto"/>
          <w:color w:val="auto"/>
        </w:rPr>
        <w:t>Parent Subsidiary Securities</w:t>
      </w:r>
      <w:r>
        <w:rPr>
          <w:rFonts w:ascii="Arial" w:cs="Arial" w:eastAsia="Arial" w:hAnsi="Arial"/>
          <w:sz w:val="17"/>
          <w:szCs w:val="17"/>
          <w:color w:val="auto"/>
        </w:rPr>
        <w:t>. As of the date hereof, there are no outstanding: (i) securities of Parent or any of its Subsidiaries convertible into or exchangeable for Parent Voting Debt, shares, voting securities, or other ownership interests in any Subsidiary of Parent; (ii) options, warrants, or other agreements or commitments to acquire from Parent or any of its Subsidiaries, or obligations of Parent or any of its Subsidiaries to issue, any Parent Voting Debt, shares, voting securities, or other ownership interests in (or securities convertible into or exchangeable for shares, voting securities, or other ownership interests in) any Subsidiary of Parent;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or voting securities of, or other ownership interests in, any Subsidiary of Parent, in each case that have been issued by a Subsidiary of Parent (the items in clauses (i), (ii), and (iii), together with the shares, voting securities, or other ownership interests of such Subsidiaries, being referred to collectively as “</w:t>
      </w:r>
      <w:r>
        <w:rPr>
          <w:rFonts w:ascii="Arial" w:cs="Arial" w:eastAsia="Arial" w:hAnsi="Arial"/>
          <w:sz w:val="17"/>
          <w:szCs w:val="17"/>
          <w:u w:val="single" w:color="auto"/>
          <w:color w:val="auto"/>
        </w:rPr>
        <w:t>Parent 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1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Authority; Non-Contravention; Governmental Consents; Board Approval</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5" w:lineRule="auto"/>
        <w:tabs>
          <w:tab w:leader="none" w:pos="1399"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Each of Parent, US Holdco and Merger Sub has all requisite corporate power and authority to enter into and to perform its obligations under this Agreement and, subject to, in the case of the consummation of the Merger: (i) the adoption of this Agreement by Parent and US Holdco as the sole stockholders of Merger Sub; and (ii) the need to obtain the affirmative vote or consent in respect of resolutions to grant authority to the Parent Board to issue Parent Ordinary Shares, of a simple majority of 50% plus one vote of every shareholder present and voting in person or by proxy at the Parent Shareholders Meeting (the “</w:t>
      </w:r>
      <w:r>
        <w:rPr>
          <w:rFonts w:ascii="Arial" w:cs="Arial" w:eastAsia="Arial" w:hAnsi="Arial"/>
          <w:sz w:val="16"/>
          <w:szCs w:val="16"/>
          <w:u w:val="single" w:color="auto"/>
          <w:color w:val="auto"/>
        </w:rPr>
        <w:t>Requisite Parent Vote</w:t>
      </w:r>
      <w:r>
        <w:rPr>
          <w:rFonts w:ascii="Arial" w:cs="Arial" w:eastAsia="Arial" w:hAnsi="Arial"/>
          <w:sz w:val="16"/>
          <w:szCs w:val="16"/>
          <w:color w:val="auto"/>
        </w:rPr>
        <w:t>”), to enable the Parent Share Issuance in order to consummate the transactions contemplated by this Agreement. The execution and delivery of this Agreement by Parent, US Holdco and Merger Sub and the consummation by Parent, US Holdco and Merger Sub of the transactions contemplated by this Agreement have been duly authorized by all necessary corporate action on the part of Parent, US Holdco and Merger Sub and no other corporate proceedings on the part of Parent, US Holdco or Merger Sub are necessary to authorize the execution and delivery of this Agreement or to consummate the Merger, the Parent Share Issuance, and the other transactions contemplated by this Agreement, subject only, in the case of consummation of the Merger, to: (i) the adoption of this Agreement by Parent and US Holdco as the sole stockholders of Merger Sub; and (ii) the need to obtain the Requisite Parent Vote. This Agreement has been duly executed and delivered by Parent, US Holdco and Merger Sub and, assuming due execution and delivery by the Company, constitutes the legal, valid, and binding obligation of Parent, US Holdco and Merger Sub, enforceable against Parent, US Holdco and Merger Sub in accordance with its terms, except as such enforceability may be limited by bankruptcy, insolvency, moratorium, and other similar Laws affecting creditors’ rights generally and by general principles of equity.</w:t>
      </w:r>
    </w:p>
    <w:p>
      <w:pPr>
        <w:spacing w:after="0" w:line="276"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The execution, delivery, and performance of this Agreement by Parent, US Holdco and Merger Sub and the consummation by Parent, US Holdco and Merger Sub of the transactions contemplated by this Agreement, do not and will not: (i) contravene or conflict with, or result in any violation or breach of, Parent’s, US Holdco’s or Merger Sub’s Charter Documents; (ii) assuming that all of the consents, approvals, orders, authorizations, registrations, declarations, filings, or notices contemplated by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5.03(c)</w:t>
      </w:r>
      <w:r>
        <w:rPr>
          <w:rFonts w:ascii="Arial" w:cs="Arial" w:eastAsia="Arial" w:hAnsi="Arial"/>
          <w:sz w:val="18"/>
          <w:szCs w:val="18"/>
          <w:color w:val="auto"/>
        </w:rPr>
        <w:t xml:space="preserve"> have been obtained or made, and in the case of the consummation of the Merger, obtaining the Requisite Parent Vote, conflict with or violate any Law applicable to Parent, US Holdco or Merger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3" w:name="page284"/>
    <w:bookmarkEnd w:id="28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3" w:lineRule="auto"/>
        <w:rPr>
          <w:sz w:val="20"/>
          <w:szCs w:val="20"/>
          <w:color w:val="auto"/>
        </w:rPr>
      </w:pPr>
      <w:r>
        <w:rPr>
          <w:rFonts w:ascii="Arial" w:cs="Arial" w:eastAsia="Arial" w:hAnsi="Arial"/>
          <w:sz w:val="16"/>
          <w:szCs w:val="16"/>
          <w:color w:val="auto"/>
        </w:rPr>
        <w:t xml:space="preserve">Sub or any of their respective properties or assets; (iii) result in any breach of or constitute a default (or an event that with notice or lapse of time or both would become a default) under, result in Parent’s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Parent or any of its Subsidiaries is a party or otherwise bound as of the date hereof; or (iv) result in the creation of a Lien (other than Permitted Liens) on any of the properties or assets of Parent or any of its Subsidiaries, except, in the case of each of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Parent Material Adverse Effect or</w:t>
      </w:r>
    </w:p>
    <w:p>
      <w:pPr>
        <w:spacing w:after="0" w:line="3" w:lineRule="exact"/>
        <w:rPr>
          <w:sz w:val="20"/>
          <w:szCs w:val="20"/>
          <w:color w:val="auto"/>
        </w:rPr>
      </w:pPr>
    </w:p>
    <w:p>
      <w:pPr>
        <w:ind w:left="660" w:right="319" w:hanging="8"/>
        <w:spacing w:after="0" w:line="260" w:lineRule="auto"/>
        <w:tabs>
          <w:tab w:leader="none" w:pos="95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would reasonably be expected to prevent, materially impede or materially delay the consummation of the Transactions on a timely basis and in any event on or before the End Date.</w:t>
      </w:r>
    </w:p>
    <w:p>
      <w:pPr>
        <w:spacing w:after="0" w:line="77" w:lineRule="exact"/>
        <w:rPr>
          <w:rFonts w:ascii="Arial" w:cs="Arial" w:eastAsia="Arial" w:hAnsi="Arial"/>
          <w:sz w:val="18"/>
          <w:szCs w:val="18"/>
          <w:color w:val="auto"/>
        </w:rPr>
      </w:pPr>
    </w:p>
    <w:p>
      <w:pPr>
        <w:jc w:val="both"/>
        <w:ind w:left="660" w:right="299" w:firstLine="352"/>
        <w:spacing w:after="0" w:line="285" w:lineRule="auto"/>
        <w:tabs>
          <w:tab w:leader="none" w:pos="1399"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declaration, or filing with, or notice to any Governmental Entity is required to be obtained or made by Parent, US Holdco or Merger Sub in connection with the execution, delivery, and performance by Parent, US Holdco and Merger Sub of this Agreement or the consummation by Parent, US Holdco and Merger Sub of the Merger, the Parent Share Issuance, and the other transactions contemplated hereby, except for: (i) the filing of the Certificate of Merger with the Secretary of State of the State of Delaware; (ii) the filing with the SEC of (A) the Proxy Statement/EGM Notice in definitive form in accordance with the Exchange Act, (B) the Form F-4, and the declaration of its effectiveness under the Securities Act, and (C) the filing of such reports under the Exchange Act as may be required in connection with this Agreement, the Merger, the Parent Share Issuance, and the other transactions contemplated by this Agreement; (iii) such consents, approvals, orders, authorizations, registrations, declarations, filings, or notices as may be required under the HSR Act or other Antitrust Laws,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Governmental Approvals; and (vi) such other consents, approvals, orders, authorizations, registrations, declarations, filings, or notices which if not obtained or made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114" w:lineRule="exact"/>
        <w:rPr>
          <w:rFonts w:ascii="Arial" w:cs="Arial" w:eastAsia="Arial" w:hAnsi="Arial"/>
          <w:sz w:val="16"/>
          <w:szCs w:val="16"/>
          <w:color w:val="auto"/>
        </w:rPr>
      </w:pPr>
    </w:p>
    <w:p>
      <w:pPr>
        <w:ind w:left="1400" w:hanging="388"/>
        <w:spacing w:after="0"/>
        <w:tabs>
          <w:tab w:leader="none" w:pos="1400"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68" w:lineRule="auto"/>
        <w:tabs>
          <w:tab w:leader="none" w:pos="1726" w:val="left"/>
        </w:tabs>
        <w:numPr>
          <w:ilvl w:val="2"/>
          <w:numId w:val="302"/>
        </w:numPr>
        <w:rPr>
          <w:rFonts w:ascii="Arial" w:cs="Arial" w:eastAsia="Arial" w:hAnsi="Arial"/>
          <w:sz w:val="17"/>
          <w:szCs w:val="17"/>
          <w:color w:val="auto"/>
        </w:rPr>
      </w:pPr>
      <w:r>
        <w:rPr>
          <w:rFonts w:ascii="Arial" w:cs="Arial" w:eastAsia="Arial" w:hAnsi="Arial"/>
          <w:sz w:val="17"/>
          <w:szCs w:val="17"/>
          <w:color w:val="auto"/>
        </w:rPr>
        <w:t>The Parent Board by resolutions duly adopted by a unanimous vote at a meeting of all directors of Parent duly called and held (which, as of the execution and delivery of this Agreement by the parties hereto, have not been rescinded, modified or withdrawn in any way), has (A) determined that this Agreement and the transactions contemplated hereby, including the Merger, and the Parent Share Issuance, upon the terms and subject to the conditions set forth herein, are fair to, and in the best interests of, Parent and Parent’s shareholders, (B) approved and declared advisable this Agreement, including the execution, delivery, and performance thereof, and the consummation of the transactions contemplated by this Agreement, including the Merger and the Parent Share Issuance, upon the terms and subject to the conditions set forth herein, (C) directed that the granting of authority to the Parent Board to effect the Parent Share Issuance be submitted to a vote of Parent’s shareholders for adoption at the Parent Shareholders Meeting, and (D) resolved to recommend that Parent’s shareholders vote in favor of approval of granting the Parent Board authority to effect the Parent Share Issuance (collectively, the “</w:t>
      </w:r>
      <w:r>
        <w:rPr>
          <w:rFonts w:ascii="Arial" w:cs="Arial" w:eastAsia="Arial" w:hAnsi="Arial"/>
          <w:sz w:val="17"/>
          <w:szCs w:val="17"/>
          <w:u w:val="single" w:color="auto"/>
          <w:color w:val="auto"/>
        </w:rPr>
        <w:t>Parent 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1020" w:right="319" w:firstLine="352"/>
        <w:spacing w:after="0" w:line="311" w:lineRule="auto"/>
        <w:tabs>
          <w:tab w:leader="none" w:pos="1776" w:val="left"/>
        </w:tabs>
        <w:numPr>
          <w:ilvl w:val="2"/>
          <w:numId w:val="302"/>
        </w:numPr>
        <w:rPr>
          <w:rFonts w:ascii="Arial" w:cs="Arial" w:eastAsia="Arial" w:hAnsi="Arial"/>
          <w:sz w:val="16"/>
          <w:szCs w:val="16"/>
          <w:color w:val="auto"/>
        </w:rPr>
      </w:pPr>
      <w:r>
        <w:rPr>
          <w:rFonts w:ascii="Arial" w:cs="Arial" w:eastAsia="Arial" w:hAnsi="Arial"/>
          <w:sz w:val="16"/>
          <w:szCs w:val="16"/>
          <w:color w:val="auto"/>
        </w:rPr>
        <w:t>The US Holdco Board by resolutions duly adopted by a unanimous vote at a meeting of all directors of US Holdco duly called and held, has (A) determined that this Agreement and the transactions contemplated hereby, including the Merger, upon the terms and subject to the conditions set forth 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4" w:name="page285"/>
    <w:bookmarkEnd w:id="28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are fair to, and in the best interests of, US Holdco, and (B) approved and declared advisable this Agreement, including the execution, delivery, and performance thereof, and the consummation of the transactions contemplated by this Agreement, including the Merger, upon the terms and subject to the conditions set forth herein.</w:t>
      </w:r>
    </w:p>
    <w:p>
      <w:pPr>
        <w:spacing w:after="0" w:line="79" w:lineRule="exact"/>
        <w:rPr>
          <w:sz w:val="20"/>
          <w:szCs w:val="20"/>
          <w:color w:val="auto"/>
        </w:rPr>
      </w:pPr>
    </w:p>
    <w:p>
      <w:pPr>
        <w:jc w:val="both"/>
        <w:ind w:left="1020" w:right="299" w:firstLine="352"/>
        <w:spacing w:after="0" w:line="270" w:lineRule="auto"/>
        <w:tabs>
          <w:tab w:leader="none" w:pos="1826"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Merger Sub Board by resolutions duly adopted by a unanimous vote at a meeting of all directors of Merger Sub duly called and held, has (A) determined that this Agreement and the transactions contemplated hereby, including the Merger, upon the terms and subject to the conditions set forth herein, are fair to, and in the best interests of, Merger Sub and Parent and US Holdco, as the sole stockholders of Merger Sub, (B) approved and declared advisable this Agreement, including the execution, delivery, and performance thereof, and the consummation of the transactions contemplated by this Agreement, including the Merger, upon the terms and subject to the conditions set forth herein, and (C) resolved to recommend that Parent and US Holdco, as the sole stockholders of Merger Sub, approve the adoption of this Agreement in accordance with the DGCL.</w:t>
      </w:r>
    </w:p>
    <w:p>
      <w:pPr>
        <w:spacing w:after="0" w:line="7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SEC Filings; Financial Statements; Sarbanes-Oxley Act Compliance; Undisclosed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84" w:lineRule="auto"/>
        <w:tabs>
          <w:tab w:leader="none" w:pos="1399"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Parent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True, correct, and complete copies of all Parent SEC Documents are publicly available on EDGAR. To the extent that any Parent SEC Document available on EDGAR contains redactions pursuant to a request for confidential treatment or otherwise, Parent has made available to the Company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and the rules and regulations of the SEC thereunder applicable to such Parent SEC Documents.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Parent, none of the Parent SEC Documents is the subject of ongoing SEC review or outstanding SEC investigation and there are no outstanding or unresolved comments received from the SEC with respect to any of the Parent SEC Documents. None of Parent’s Subsidiaries is required to file or furnish any forms, reports, or other documents with the SEC.</w:t>
      </w:r>
    </w:p>
    <w:p>
      <w:pPr>
        <w:spacing w:after="0" w:line="287" w:lineRule="exact"/>
        <w:rPr>
          <w:rFonts w:ascii="Arial" w:cs="Arial" w:eastAsia="Arial" w:hAnsi="Arial"/>
          <w:sz w:val="16"/>
          <w:szCs w:val="16"/>
          <w:color w:val="auto"/>
        </w:rPr>
      </w:pPr>
    </w:p>
    <w:p>
      <w:pPr>
        <w:jc w:val="both"/>
        <w:ind w:left="660" w:right="319" w:firstLine="352"/>
        <w:spacing w:after="0" w:line="274" w:lineRule="auto"/>
        <w:tabs>
          <w:tab w:leader="none" w:pos="1410"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Each of the consolidated financial statements (including, in each case, any notes and schedules thereto) contained in or incorporated by reference into the Parent SEC Documents:</w:t>
      </w:r>
    </w:p>
    <w:p>
      <w:pPr>
        <w:jc w:val="both"/>
        <w:ind w:left="660" w:right="299" w:hanging="8"/>
        <w:spacing w:after="0" w:line="268" w:lineRule="auto"/>
        <w:tabs>
          <w:tab w:leader="none" w:pos="87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Current Reports on Form 6-K); and (iii) fairly presented in all material respects the consolidated financial position and the results of operations, changes in stockholders’ equity, and cash flows of Parent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70" w:lineRule="exact"/>
        <w:rPr>
          <w:rFonts w:ascii="Arial" w:cs="Arial" w:eastAsia="Arial" w:hAnsi="Arial"/>
          <w:sz w:val="17"/>
          <w:szCs w:val="17"/>
          <w:color w:val="auto"/>
        </w:rPr>
      </w:pPr>
    </w:p>
    <w:p>
      <w:pPr>
        <w:jc w:val="both"/>
        <w:ind w:left="660" w:right="299" w:firstLine="352"/>
        <w:spacing w:after="0" w:line="296" w:lineRule="auto"/>
        <w:tabs>
          <w:tab w:leader="none" w:pos="1399" w:val="left"/>
        </w:tabs>
        <w:numPr>
          <w:ilvl w:val="1"/>
          <w:numId w:val="305"/>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Parent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Parent and 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5" w:name="page286"/>
    <w:bookmarkEnd w:id="28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consolidated Subsidiaries; (ii) provide reasonable assurance that transactions are recorded as necessary to permit preparation of financial statements in accordance with GAAP and that receipts and expenditures of Parent and its consolidated Subsidiaries are being made only in accordance with appropriate authorizations of Parent’s management and the Parent Board; and (iii) provide assurance regarding prevention or timely detection of unauthorized acquisition, use, or disposition of the assets of Parent and its consolidated Subsidiaries. Parent’s management has completed an assessment of the effectiveness of Parent’s internal controls over financial reporting in compliance with the requirements of Section 404 of the Sarbanes-Oxley Act for the fiscal year ended December 31, 2019, and that assessment concluded that those controls were effective and disclosed to Parent’s independent public accounting firm and audit committee of the Parent Board (A) all significant deficiencies and material weaknesses in the design or operation of internal control over financial reporting which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w:t>
      </w:r>
    </w:p>
    <w:p>
      <w:pPr>
        <w:spacing w:after="0" w:line="66" w:lineRule="exact"/>
        <w:rPr>
          <w:sz w:val="20"/>
          <w:szCs w:val="20"/>
          <w:color w:val="auto"/>
        </w:rPr>
      </w:pPr>
    </w:p>
    <w:p>
      <w:pPr>
        <w:jc w:val="both"/>
        <w:ind w:left="660" w:right="299" w:firstLine="352"/>
        <w:spacing w:after="0" w:line="286" w:lineRule="auto"/>
        <w:tabs>
          <w:tab w:leader="none" w:pos="1410"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Since January 1, 2019, neither Parent nor, to the Knowledge of Parent, Parent’s independent registered public accounting firm has identified or been made aware of: (i) any “significant deficiency” or “material weakness” (each as defined in Rule 12b-2 of the Exchange Act) in the system of internal control over financial reporting utilized by Parent and its Subsidiaries that has not been subsequently remediated; or (ii) any fraud that involves Parent’s management or other employees who have a role in the preparation of financial statements or the internal control over financial reporting utilized by Parent and its Subsidiaries.</w:t>
      </w:r>
    </w:p>
    <w:p>
      <w:pPr>
        <w:spacing w:after="0" w:line="65" w:lineRule="exact"/>
        <w:rPr>
          <w:rFonts w:ascii="Arial" w:cs="Arial" w:eastAsia="Arial" w:hAnsi="Arial"/>
          <w:sz w:val="16"/>
          <w:szCs w:val="16"/>
          <w:color w:val="auto"/>
        </w:rPr>
      </w:pPr>
    </w:p>
    <w:p>
      <w:pPr>
        <w:jc w:val="both"/>
        <w:ind w:left="660" w:right="299" w:firstLine="352"/>
        <w:spacing w:after="0" w:line="271" w:lineRule="auto"/>
        <w:tabs>
          <w:tab w:leader="none" w:pos="1399"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Undisclosed Liabilities</w:t>
      </w:r>
      <w:r>
        <w:rPr>
          <w:rFonts w:ascii="Arial" w:cs="Arial" w:eastAsia="Arial" w:hAnsi="Arial"/>
          <w:sz w:val="17"/>
          <w:szCs w:val="17"/>
          <w:color w:val="auto"/>
        </w:rPr>
        <w:t>. The audited balance sheet of Parent dated as of December 31, 2019, contained in the Parent SEC Documents filed prior to the date hereof is hereinafter referred to as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Balance Sheet</w:t>
      </w:r>
      <w:r>
        <w:rPr>
          <w:rFonts w:ascii="Arial" w:cs="Arial" w:eastAsia="Arial" w:hAnsi="Arial"/>
          <w:sz w:val="17"/>
          <w:szCs w:val="17"/>
          <w:color w:val="auto"/>
        </w:rPr>
        <w:t>.” Neither Parent nor any of its Subsidiaries has any Liabilities that are required by GAAP to be included on a consolidated balance sheet of Parent other than Liabilities that: (i) are reflected or reserved against in the Parent Balance Sheet (including in the notes thereto); (ii) were incurred since the date of the Parent Balance Sheet in the ordinary course of business, including any Parent COVID Actions; (iii) are incurred in connection with the transactions contemplated by this Agreement; or (iv) would not reasonably be expected to have, individually or in the aggregate, a Parent Material Adverse Effect.</w:t>
      </w:r>
    </w:p>
    <w:p>
      <w:pPr>
        <w:spacing w:after="0" w:line="70" w:lineRule="exact"/>
        <w:rPr>
          <w:rFonts w:ascii="Arial" w:cs="Arial" w:eastAsia="Arial" w:hAnsi="Arial"/>
          <w:sz w:val="17"/>
          <w:szCs w:val="17"/>
          <w:color w:val="auto"/>
        </w:rPr>
      </w:pPr>
    </w:p>
    <w:p>
      <w:pPr>
        <w:jc w:val="both"/>
        <w:ind w:left="660" w:right="319" w:firstLine="352"/>
        <w:spacing w:after="0" w:line="263" w:lineRule="auto"/>
        <w:tabs>
          <w:tab w:leader="none" w:pos="13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Neither Parent nor any of its Subsidiaries is a party to, or has any commitment to become a party to any “off-balance sheet arrangements” (as defined in Item 303(a) of Regulation S-K under the Exchange Act).</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Sarbanes-Oxley and Nasdaq Compliance</w:t>
      </w:r>
      <w:r>
        <w:rPr>
          <w:rFonts w:ascii="Arial" w:cs="Arial" w:eastAsia="Arial" w:hAnsi="Arial"/>
          <w:sz w:val="17"/>
          <w:szCs w:val="17"/>
          <w:color w:val="auto"/>
        </w:rPr>
        <w:t>. Each of the principal executive officer and the principal financial officer of Parent (or each former principal executive officer and each former principal financial officer of the Company, as applicable) has made all certifications required by Rule 13a-14 or 15d-14 under the Exchange Act and Sections 302 and 906 of the Sarbanes-Oxley Act with respect to the Parent SEC Documents, and the statements contained in such certifications are true and accurate in all material respects. For purposes of this Agreement, “principal executive officer” and “principal financial officer” shall have the meanings given to such terms in the Sarbanes-Oxley Act. Parent is also in compliance with all of the other applicable provisions of the Sarbanes-Oxley Act and the applicable listing and corporate governance rules of Nasdaq, except for any non-compliance that would not reasonably be expected to have, individually or in the aggregate, a Parent Material Adverse Effect.</w:t>
      </w:r>
    </w:p>
    <w:p>
      <w:pPr>
        <w:spacing w:after="0" w:line="77" w:lineRule="exact"/>
        <w:rPr>
          <w:rFonts w:ascii="Arial" w:cs="Arial" w:eastAsia="Arial" w:hAnsi="Arial"/>
          <w:sz w:val="17"/>
          <w:szCs w:val="17"/>
          <w:color w:val="auto"/>
        </w:rPr>
      </w:pPr>
    </w:p>
    <w:p>
      <w:pPr>
        <w:jc w:val="both"/>
        <w:ind w:left="660" w:right="299" w:firstLine="352"/>
        <w:spacing w:after="0" w:line="275" w:lineRule="auto"/>
        <w:tabs>
          <w:tab w:leader="none" w:pos="1410"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Accounting, Securities, or Other Related Complaints or Reports</w:t>
      </w:r>
      <w:r>
        <w:rPr>
          <w:rFonts w:ascii="Arial" w:cs="Arial" w:eastAsia="Arial" w:hAnsi="Arial"/>
          <w:sz w:val="17"/>
          <w:szCs w:val="17"/>
          <w:color w:val="auto"/>
        </w:rPr>
        <w:t>. Since January 1, 2019, Parent has not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6" w:name="page287"/>
    <w:bookmarkEnd w:id="28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left="660" w:right="299" w:firstLine="352"/>
        <w:spacing w:after="0" w:line="277" w:lineRule="auto"/>
        <w:tabs>
          <w:tab w:leader="none" w:pos="14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Since the date of the Parent Balance Sheet there has not been or occurred any Parent Material Adverse Effect; or</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 xml:space="preserve"> of the Parent Disclosure Letter, since September 30, 2020, through the date of this Agreement, except in connection with the execution and delivery of this Agreement and the consummation of the transactions contemplated hereby, the business of Parent and each of its Subsidiaries has been conducted in the ordinary course of business other than Parent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2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Tax Returns and Payment of Taxes</w:t>
      </w:r>
      <w:r>
        <w:rPr>
          <w:rFonts w:ascii="Arial" w:cs="Arial" w:eastAsia="Arial" w:hAnsi="Arial"/>
          <w:sz w:val="17"/>
          <w:szCs w:val="17"/>
          <w:color w:val="auto"/>
        </w:rPr>
        <w:t>. Each of Parent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Parent will have no liability for any material amounts of unpaid Taxes accruing after the date of Parent’s most recent financial statements, other than Taxes accruing in the ordinary course of business conducted after the date of Parent’s most recent financial statements. Neither Parent nor any of its Subsidiaries has executed any waiver of any statute of limitations on, or extended the period for the assessment or collection of, any material amount of Tax, in each case, that has not since expired.</w:t>
      </w:r>
    </w:p>
    <w:p>
      <w:pPr>
        <w:spacing w:after="0" w:line="73" w:lineRule="exact"/>
        <w:rPr>
          <w:rFonts w:ascii="Arial" w:cs="Arial" w:eastAsia="Arial" w:hAnsi="Arial"/>
          <w:sz w:val="17"/>
          <w:szCs w:val="17"/>
          <w:color w:val="auto"/>
        </w:rPr>
      </w:pPr>
    </w:p>
    <w:p>
      <w:pPr>
        <w:ind w:left="660" w:right="319" w:firstLine="352"/>
        <w:spacing w:after="0" w:line="277" w:lineRule="auto"/>
        <w:tabs>
          <w:tab w:leader="none" w:pos="141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Tax Returns Made Available</w:t>
      </w:r>
      <w:r>
        <w:rPr>
          <w:rFonts w:ascii="Arial" w:cs="Arial" w:eastAsia="Arial" w:hAnsi="Arial"/>
          <w:sz w:val="18"/>
          <w:szCs w:val="18"/>
          <w:color w:val="auto"/>
        </w:rPr>
        <w:t>. The copies of the Tax Returns made available to the Company in Parent’s data room are complete and accurate copies in all material respects.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399"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Parent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There are no material Liens for Taxes upon the assets of Parent or any of its Subsidiaries other than Permitted Liens.</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399"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Tax Deficiencies and Audits</w:t>
      </w:r>
      <w:r>
        <w:rPr>
          <w:rFonts w:ascii="Arial" w:cs="Arial" w:eastAsia="Arial" w:hAnsi="Arial"/>
          <w:sz w:val="17"/>
          <w:szCs w:val="17"/>
          <w:color w:val="auto"/>
        </w:rPr>
        <w:t>. No deficiency or other proposed assessment or adjustment for any material amounts of Taxes has been assessed, asserted, proposed or, to the Knowledge of Parent, threatened by any Governmental Entity against Parent or any of its Subsidiary which deficiency or other proposed assessment or adjustment has not since been paid in full, settled or withdrawn. There are no ongoing, pending or, to the Knowledge of Parent, threatened audits, examinations, investigations or other administrative or judicial proceedings with respect to any Taxes of Parent or any of its Subsidiaries.</w:t>
      </w:r>
    </w:p>
    <w:p>
      <w:pPr>
        <w:spacing w:after="0" w:line="69" w:lineRule="exact"/>
        <w:rPr>
          <w:rFonts w:ascii="Arial" w:cs="Arial" w:eastAsia="Arial" w:hAnsi="Arial"/>
          <w:sz w:val="17"/>
          <w:szCs w:val="17"/>
          <w:color w:val="auto"/>
        </w:rPr>
      </w:pPr>
    </w:p>
    <w:p>
      <w:pPr>
        <w:jc w:val="both"/>
        <w:ind w:left="660" w:right="299" w:firstLine="352"/>
        <w:spacing w:after="0" w:line="257" w:lineRule="auto"/>
        <w:tabs>
          <w:tab w:leader="none" w:pos="138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Tax Jurisdictions</w:t>
      </w:r>
      <w:r>
        <w:rPr>
          <w:rFonts w:ascii="Arial" w:cs="Arial" w:eastAsia="Arial" w:hAnsi="Arial"/>
          <w:sz w:val="18"/>
          <w:szCs w:val="18"/>
          <w:color w:val="auto"/>
        </w:rPr>
        <w:t>. No material claim has been made in writing since December 31, 2016, by any Governmental Entity in any jurisdiction where Parent or any of its Subsidiaries does not file Tax Returns that Parent or any of its Subsidiaries is or may be subject to Tax in that jurisdiction. Parent is resident for Tax purposes in its jurisdiction of incorporation only and is not resident in any jurisdiction other than (or in addition to) its jurisdiction of incorporation.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Closing Agreements and Tax Rulings</w:t>
      </w:r>
      <w:r>
        <w:rPr>
          <w:rFonts w:ascii="Arial" w:cs="Arial" w:eastAsia="Arial" w:hAnsi="Arial"/>
          <w:sz w:val="18"/>
          <w:szCs w:val="18"/>
          <w:color w:val="auto"/>
        </w:rPr>
        <w:t>. Neither Parent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Parent’s or any of its Subsidiaries’ liability for Taxes at any time after the Closing.</w:t>
      </w:r>
    </w:p>
    <w:p>
      <w:pPr>
        <w:spacing w:after="0" w:line="79" w:lineRule="exact"/>
        <w:rPr>
          <w:rFonts w:ascii="Arial" w:cs="Arial" w:eastAsia="Arial" w:hAnsi="Arial"/>
          <w:sz w:val="18"/>
          <w:szCs w:val="18"/>
          <w:color w:val="auto"/>
        </w:rPr>
      </w:pPr>
    </w:p>
    <w:p>
      <w:pPr>
        <w:jc w:val="both"/>
        <w:ind w:left="660" w:right="299" w:firstLine="352"/>
        <w:spacing w:after="0" w:line="311" w:lineRule="auto"/>
        <w:tabs>
          <w:tab w:leader="none" w:pos="141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Consolidated Groups, Transferee Liability, and Tax Agreements</w:t>
      </w:r>
      <w:r>
        <w:rPr>
          <w:rFonts w:ascii="Arial" w:cs="Arial" w:eastAsia="Arial" w:hAnsi="Arial"/>
          <w:sz w:val="16"/>
          <w:szCs w:val="16"/>
          <w:color w:val="auto"/>
        </w:rPr>
        <w:t>. Neither Parent nor any of its Subsidiaries (i) has any Tax Sharing Obligation other than any Tax Sharing Obligation solely among Parent and/or any of its Subsidiaries, (ii) has any liability for the Taxes of any Person (other than Parent or any of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7" w:name="page288"/>
    <w:bookmarkEnd w:id="28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color w:val="auto"/>
        </w:rPr>
        <w:t>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Parent and/or any of its current Subsidiaries or of which Parent was the common parent).</w:t>
      </w:r>
    </w:p>
    <w:p>
      <w:pPr>
        <w:spacing w:after="0" w:line="68" w:lineRule="exact"/>
        <w:rPr>
          <w:sz w:val="20"/>
          <w:szCs w:val="20"/>
          <w:color w:val="auto"/>
        </w:rPr>
      </w:pPr>
    </w:p>
    <w:p>
      <w:pPr>
        <w:jc w:val="both"/>
        <w:ind w:left="660" w:right="319" w:firstLine="352"/>
        <w:spacing w:after="0" w:line="259" w:lineRule="auto"/>
        <w:tabs>
          <w:tab w:leader="none" w:pos="1370"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Change in Accounting Method</w:t>
      </w:r>
      <w:r>
        <w:rPr>
          <w:rFonts w:ascii="Arial" w:cs="Arial" w:eastAsia="Arial" w:hAnsi="Arial"/>
          <w:sz w:val="18"/>
          <w:szCs w:val="18"/>
          <w:color w:val="auto"/>
        </w:rPr>
        <w:t>. With respect to any taxable period that remains open, neither Parent nor any of its Subsidiaries has agreed to make, or has been required to make, any material adjustment under Section 481(a) of the Code (or any similar provision of state, local or non-U.S. Law) by reason of a change in accounting method or otherwise.</w:t>
      </w:r>
    </w:p>
    <w:p>
      <w:pPr>
        <w:spacing w:after="0" w:line="78" w:lineRule="exact"/>
        <w:rPr>
          <w:rFonts w:ascii="Arial" w:cs="Arial" w:eastAsia="Arial" w:hAnsi="Arial"/>
          <w:sz w:val="18"/>
          <w:szCs w:val="18"/>
          <w:color w:val="auto"/>
        </w:rPr>
      </w:pPr>
    </w:p>
    <w:p>
      <w:pPr>
        <w:jc w:val="both"/>
        <w:ind w:left="660" w:right="319" w:firstLine="352"/>
        <w:spacing w:after="0" w:line="286" w:lineRule="auto"/>
        <w:tabs>
          <w:tab w:leader="none" w:pos="1370"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Post-Closing Tax Items</w:t>
      </w:r>
      <w:r>
        <w:rPr>
          <w:rFonts w:ascii="Arial" w:cs="Arial" w:eastAsia="Arial" w:hAnsi="Arial"/>
          <w:sz w:val="16"/>
          <w:szCs w:val="16"/>
          <w:color w:val="auto"/>
        </w:rPr>
        <w:t>. Neither Parent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w:t>
      </w:r>
    </w:p>
    <w:p>
      <w:pPr>
        <w:spacing w:after="0" w:line="1" w:lineRule="exact"/>
        <w:rPr>
          <w:rFonts w:ascii="Arial" w:cs="Arial" w:eastAsia="Arial" w:hAnsi="Arial"/>
          <w:sz w:val="16"/>
          <w:szCs w:val="16"/>
          <w:color w:val="auto"/>
        </w:rPr>
      </w:pPr>
    </w:p>
    <w:p>
      <w:pPr>
        <w:jc w:val="both"/>
        <w:ind w:left="660" w:right="299" w:hanging="8"/>
        <w:spacing w:after="0" w:line="252" w:lineRule="auto"/>
        <w:tabs>
          <w:tab w:leader="none" w:pos="95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85" w:lineRule="exact"/>
        <w:rPr>
          <w:rFonts w:ascii="Arial" w:cs="Arial" w:eastAsia="Arial" w:hAnsi="Arial"/>
          <w:sz w:val="18"/>
          <w:szCs w:val="18"/>
          <w:color w:val="auto"/>
        </w:rPr>
      </w:pPr>
    </w:p>
    <w:p>
      <w:pPr>
        <w:jc w:val="both"/>
        <w:ind w:left="660" w:right="319" w:firstLine="352"/>
        <w:spacing w:after="0" w:line="263" w:lineRule="auto"/>
        <w:tabs>
          <w:tab w:leader="none" w:pos="1410"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Section 355</w:t>
      </w:r>
      <w:r>
        <w:rPr>
          <w:rFonts w:ascii="Arial" w:cs="Arial" w:eastAsia="Arial" w:hAnsi="Arial"/>
          <w:sz w:val="18"/>
          <w:szCs w:val="18"/>
          <w:color w:val="auto"/>
        </w:rPr>
        <w:t>. Since December 31, 2013, neither Parent nor any of its Subsidiaries has been a “distributing corporation” or a “controlled corporation” in connection with a distribution described in Section 355 of the Code (or any similar provision of applicable state, local or non-U.S. Law).</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Listed Transactions</w:t>
      </w:r>
      <w:r>
        <w:rPr>
          <w:rFonts w:ascii="Arial" w:cs="Arial" w:eastAsia="Arial" w:hAnsi="Arial"/>
          <w:sz w:val="18"/>
          <w:szCs w:val="18"/>
          <w:color w:val="auto"/>
        </w:rPr>
        <w:t>. Neither Parent nor any of its Subsidiaries has been a party to, participated in or been a material advisor with respect to, a “listed transaction” within the meaning of Treasury Regulation Section 1.6011-4(b) (or any similar provision of state, local or non-U.S. Law).</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Each of Parent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57" w:lineRule="exact"/>
        <w:rPr>
          <w:rFonts w:ascii="Arial" w:cs="Arial" w:eastAsia="Arial" w:hAnsi="Arial"/>
          <w:sz w:val="17"/>
          <w:szCs w:val="17"/>
          <w:color w:val="auto"/>
        </w:rPr>
      </w:pPr>
    </w:p>
    <w:p>
      <w:pPr>
        <w:ind w:left="660" w:right="299" w:firstLine="352"/>
        <w:spacing w:after="0" w:line="277" w:lineRule="auto"/>
        <w:tabs>
          <w:tab w:leader="none" w:pos="141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 asset of Parent or any of its Subsidiaries is currently escheatable or payable to any Governmental Entity under any applicable escheatment or unclaimed property Laws.</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9"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Right to Use; Title</w:t>
      </w:r>
      <w:r>
        <w:rPr>
          <w:rFonts w:ascii="Arial" w:cs="Arial" w:eastAsia="Arial" w:hAnsi="Arial"/>
          <w:sz w:val="17"/>
          <w:szCs w:val="17"/>
          <w:color w:val="auto"/>
        </w:rPr>
        <w:t>. Parent or one of its Subsidiaries is the sole and exclusive owner of all right, title, and interest in and to the Parent-Owned IP, and has the valid and enforceable right to use all other Intellectual Property used or held for use in the conduct of the business of Parent and its Subsidiaries as currently conducted (collectively, the “</w:t>
      </w:r>
      <w:r>
        <w:rPr>
          <w:rFonts w:ascii="Arial" w:cs="Arial" w:eastAsia="Arial" w:hAnsi="Arial"/>
          <w:sz w:val="17"/>
          <w:szCs w:val="17"/>
          <w:u w:val="single" w:color="auto"/>
          <w:color w:val="auto"/>
        </w:rPr>
        <w:t>Parent IP</w:t>
      </w:r>
      <w:r>
        <w:rPr>
          <w:rFonts w:ascii="Arial" w:cs="Arial" w:eastAsia="Arial" w:hAnsi="Arial"/>
          <w:sz w:val="17"/>
          <w:szCs w:val="17"/>
          <w:color w:val="auto"/>
        </w:rPr>
        <w:t>”), in each case, free and clear of all Liens other than Permitted Liens, except as would not reasonably be expected to have, individually or in the aggregate, a Parent Material Adverse Effect. The consummation of the transaction contemplated hereunder will not impair Parent and its Subsidiaries’ right to use Parent IP, except as would not reasonably be expected to have, individually or in the aggregate, a Parent Material Adverse Effect.</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410"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Validity and Enforceability</w:t>
      </w:r>
      <w:r>
        <w:rPr>
          <w:rFonts w:ascii="Arial" w:cs="Arial" w:eastAsia="Arial" w:hAnsi="Arial"/>
          <w:sz w:val="17"/>
          <w:szCs w:val="17"/>
          <w:color w:val="auto"/>
        </w:rPr>
        <w:t>. Parent and its Subsidiaries’ rights in the Parent-Owned IP are valid, subsisting, and enforceable, except as would not reasonably be expected to have, individually or in the aggregate, a Parent Material Adverse Effect. Parent and each of its Subsidiaries have taken reasonable steps to maintain the Parent-Owned IP and to protect and preserve the confidentiality of all trade secrets included in the Parent-Owned IP, except where the failure to take such actions would not reasonably be expected to have, individually or in the aggregate, a Parent Material Adverse Effect.</w:t>
      </w:r>
    </w:p>
    <w:p>
      <w:pPr>
        <w:spacing w:after="0" w:line="69" w:lineRule="exact"/>
        <w:rPr>
          <w:rFonts w:ascii="Arial" w:cs="Arial" w:eastAsia="Arial" w:hAnsi="Arial"/>
          <w:sz w:val="17"/>
          <w:szCs w:val="17"/>
          <w:color w:val="auto"/>
        </w:rPr>
      </w:pPr>
    </w:p>
    <w:p>
      <w:pPr>
        <w:jc w:val="both"/>
        <w:ind w:left="660" w:right="299" w:firstLine="352"/>
        <w:spacing w:after="0" w:line="296" w:lineRule="auto"/>
        <w:tabs>
          <w:tab w:leader="none" w:pos="1399"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Non-Infringement</w:t>
      </w:r>
      <w:r>
        <w:rPr>
          <w:rFonts w:ascii="Arial" w:cs="Arial" w:eastAsia="Arial" w:hAnsi="Arial"/>
          <w:sz w:val="16"/>
          <w:szCs w:val="16"/>
          <w:color w:val="auto"/>
        </w:rPr>
        <w:t>. Except as would not reasonably be expected to have, individually or in the aggregate, a Parent Material Adverse Effect: (i) since January 1, 2019, the conduct of the businesses of Parent and any of its Subsidiaries has not infringed, misappropriated, or otherwise violated, and is not infringing, misappropriating, or otherwise violating, any Intellectual Property of any other Person; and (ii) to the Knowledge of Parent, no Third Party is infringing upon, violating, or misappropriating any Parent-Owned IP.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8" w:name="page289"/>
    <w:bookmarkEnd w:id="28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41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IP Legal Actions and Orders</w:t>
      </w:r>
      <w:r>
        <w:rPr>
          <w:rFonts w:ascii="Arial" w:cs="Arial" w:eastAsia="Arial" w:hAnsi="Arial"/>
          <w:sz w:val="16"/>
          <w:szCs w:val="16"/>
          <w:color w:val="auto"/>
        </w:rPr>
        <w:t>. There are no Legal Actions pending or, to the Knowledge of Parent, threatened: (i) alleging any infringement, misappropriation, or violation by Parent or any of its Subsidiaries of the Intellectual Property of any Person; or (ii) challenging the validity, enforceability, or ownership of any Parent-Owned IP or Parent or any of its Subsidiaries’ rights with respect to any other Parent IP, in each case except for such Legal Actions that would not reasonably be expected to have, individually or in the aggregate, a Parent Material Adverse Effect. Parent and its Subsidiaries are not subject to any outstanding Order that restricts or impairs the use of any Parent-Owned IP, except where compliance with such Order would not reasonably be expected to have, individually or in the aggregate, a Parent Material Adverse Effect.</w:t>
      </w:r>
    </w:p>
    <w:p>
      <w:pPr>
        <w:spacing w:after="0" w:line="57" w:lineRule="exact"/>
        <w:rPr>
          <w:rFonts w:ascii="Arial" w:cs="Arial" w:eastAsia="Arial" w:hAnsi="Arial"/>
          <w:sz w:val="16"/>
          <w:szCs w:val="16"/>
          <w:color w:val="auto"/>
        </w:rPr>
      </w:pPr>
    </w:p>
    <w:p>
      <w:pPr>
        <w:jc w:val="both"/>
        <w:ind w:left="660" w:right="299" w:firstLine="352"/>
        <w:spacing w:after="0" w:line="270" w:lineRule="auto"/>
        <w:tabs>
          <w:tab w:leader="none" w:pos="1399"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Parent IT Systems</w:t>
      </w:r>
      <w:r>
        <w:rPr>
          <w:rFonts w:ascii="Arial" w:cs="Arial" w:eastAsia="Arial" w:hAnsi="Arial"/>
          <w:sz w:val="17"/>
          <w:szCs w:val="17"/>
          <w:color w:val="auto"/>
        </w:rPr>
        <w:t>. Since January 1, 2019, there has been no malfunction, disruption, continued substandard performance, denial-of-service, or other cyber incident, including any cyberattack, or other impairment of the Parent IT Systems, in each case except as would not reasonably be expected to have, individually or in the aggregate, a Parent Material Adverse Effect. Parent and its Subsidiaries have taken reasonable steps to safeguard the confidentiality, availability, security, and integrity of the Parent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Parent Material Adverse Effect.</w:t>
      </w:r>
    </w:p>
    <w:p>
      <w:pPr>
        <w:spacing w:after="0" w:line="72" w:lineRule="exact"/>
        <w:rPr>
          <w:rFonts w:ascii="Arial" w:cs="Arial" w:eastAsia="Arial" w:hAnsi="Arial"/>
          <w:sz w:val="17"/>
          <w:szCs w:val="17"/>
          <w:color w:val="auto"/>
        </w:rPr>
      </w:pPr>
    </w:p>
    <w:p>
      <w:pPr>
        <w:jc w:val="both"/>
        <w:ind w:left="660" w:right="299" w:firstLine="352"/>
        <w:spacing w:after="0" w:line="284" w:lineRule="auto"/>
        <w:tabs>
          <w:tab w:leader="none" w:pos="138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Parent and each of its Subsidiaries have complied with all Data Protection Requirements in the conduct of Parent’s and its Subsidiaries’ businesses, in each case except as would not reasonably be expected to have, individually or in the aggregate, a Parent Material Adverse Effect. Parent and each of its Subsidiaries have all necessary authority, rights, consents and authorizations to engage in the Data Activities of Personal Data maintained by or for Parent and its Subsidiaries to the extent required in connection with the operation of Parent’s and its Subsidiaries’ business as currently conducted. Since January 1, 2019, Parent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Parent’s or any of its Subsidiaries’ Data Activities in relation to Personal Data or actual, alleged, or suspected violation of any Data Protection Requirement concerning privacy, data security, or data breach notification, and to Parent’s Knowledge, there are no facts or circumstances that could reasonably be expected to give rise to any such Legal Action, in each case except as would not reasonably be expected to have, individually or in the aggregate, a Parent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The Company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Compliance;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9"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Parent and each of its Subsidiaries are and, since January 1, 2019, have been in compliance with, all Laws or Orders applicable to Parent or any of its Subsidiaries or by which Parent or any of its Subsidiaries or any of their respective businesses or properties is bound, except where any instances of non-compliance have not had, and would not reasonably be expected to have, individually or in the aggregate, a Parent Material Adverse Effect. Since January 1, 2019, no Governmental Entity has issued any notice or notification stating that Parent or any of its Subsidiaries is not in compliance with any Law in any material respect except as would not reasonably be expected to have, individually or in the aggregate, a Parent Material Adverse Effect.</w:t>
      </w:r>
    </w:p>
    <w:p>
      <w:pPr>
        <w:spacing w:after="0" w:line="83"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Parent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Parent Material Adverse Effect. No suspension, cancellation, non-renewal, or adverse modifications of any Permits of Parent or any of its Subsidiaries is pending or, to the Knowledge of Parent, threatened, except for any such suspension or cancellation which would not reasonably be expected to have, individually or in the aggregate,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9" w:name="page290"/>
    <w:bookmarkEnd w:id="28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a Parent Material Adverse Effect. Parent and each of its Subsidiaries is and, since January 1, 2019, has been in compliance with the terms of all Permits, except where the failure to be in such compliance would not reasonably be expected to have, individually or in the aggregate, a Parent Material Adverse Effect.</w:t>
      </w:r>
    </w:p>
    <w:p>
      <w:pPr>
        <w:spacing w:after="0" w:line="5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of this Agreement, there is no Legal Action pending or, to the Knowledge of Parent, threatened against Parent or any of its Subsidiaries or any of their respective properties or assets or, to the Knowledge of Parent, any officer or director of Parent or any of its Subsidiaries in their capacities as such other than any such Legal Action which would not reasonably be expected to have, individually or in the aggregate, a Parent Material Adverse Effect. As of the date of this Agreement, none of Parent or any of its Subsidiaries or any of their respective properties or assets is subject to any Order which would reasonably be expected to have, individually or in the aggregate, a Parent Material Adverse Effect. As of the date of this Agreement, to the Knowledge of Parent, there are no SEC inquiries or investigations, other governmental inquiries or investigations, or internal investigations pending or, to the Knowledge of Parent, threatened, in each case regarding any accounting practices of Parent or any of its Subsidiaries or any malfeasance by any officer or director of Parent except, in each case, as would not reasonably be expected to have a Parent Material Adverse Effect.</w:t>
      </w:r>
    </w:p>
    <w:p>
      <w:pPr>
        <w:spacing w:after="0" w:line="6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Brokers’ and Finders’ Fees</w:t>
      </w:r>
      <w:r>
        <w:rPr>
          <w:rFonts w:ascii="Arial" w:cs="Arial" w:eastAsia="Arial" w:hAnsi="Arial"/>
          <w:sz w:val="16"/>
          <w:szCs w:val="16"/>
          <w:color w:val="auto"/>
        </w:rPr>
        <w:t xml:space="preserve">. Except for fees payable to the Person(s) listed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Parent Disclosure Letter (the “</w:t>
      </w:r>
      <w:r>
        <w:rPr>
          <w:rFonts w:ascii="Arial" w:cs="Arial" w:eastAsia="Arial" w:hAnsi="Arial"/>
          <w:sz w:val="16"/>
          <w:szCs w:val="16"/>
          <w:u w:val="single" w:color="auto"/>
          <w:color w:val="auto"/>
        </w:rPr>
        <w:t>Parent and US Holdco Financial Advisor</w:t>
      </w:r>
      <w:r>
        <w:rPr>
          <w:rFonts w:ascii="Arial" w:cs="Arial" w:eastAsia="Arial" w:hAnsi="Arial"/>
          <w:sz w:val="16"/>
          <w:szCs w:val="16"/>
          <w:color w:val="auto"/>
        </w:rPr>
        <w:t xml:space="preserve">”) pursuant to an engagement letter listed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Parent Disclosure Letter, neither Parent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5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Related Person Transactions</w:t>
      </w:r>
      <w:r>
        <w:rPr>
          <w:rFonts w:ascii="Arial" w:cs="Arial" w:eastAsia="Arial" w:hAnsi="Arial"/>
          <w:sz w:val="17"/>
          <w:szCs w:val="17"/>
          <w:color w:val="auto"/>
        </w:rPr>
        <w:t>. There are, and since January 1, 2019, there have been, no Contracts, transactions, arrangements, or understandings between Parent or any of its Subsidiaries, on the one hand, and any Affiliate (including any director, officer, or employee or any of their respective family members) thereof or any holder of 5% or more of the shares of Parent Ordinary Shares (or any of their respective family members), but not including any wholly owned Subsidiary of Parent, on the other hand, that would be required to be disclosed pursuant to Item 404 of Regulation S-K promulgated by the SEC in Parent’s Form 20-F or annual general meeting notice pertaining to an annual meeting of shareholders.</w:t>
      </w:r>
    </w:p>
    <w:p>
      <w:pPr>
        <w:spacing w:after="0" w:line="1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Employee Benefit Plan and Employees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Parent Employee Plan Compliance</w:t>
      </w:r>
      <w:r>
        <w:rPr>
          <w:rFonts w:ascii="Arial" w:cs="Arial" w:eastAsia="Arial" w:hAnsi="Arial"/>
          <w:sz w:val="16"/>
          <w:szCs w:val="16"/>
          <w:color w:val="auto"/>
        </w:rPr>
        <w:t>. (i)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or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Parent or any of its Subsidiaries for the benefit of any current or former employee or other individual service provider of Parent or any of its Subsidiaries (each, a “</w:t>
      </w:r>
      <w:r>
        <w:rPr>
          <w:rFonts w:ascii="Arial" w:cs="Arial" w:eastAsia="Arial" w:hAnsi="Arial"/>
          <w:sz w:val="16"/>
          <w:szCs w:val="16"/>
          <w:u w:val="single" w:color="auto"/>
          <w:color w:val="auto"/>
        </w:rPr>
        <w:t>Parent Employee</w:t>
      </w:r>
      <w:r>
        <w:rPr>
          <w:rFonts w:ascii="Arial" w:cs="Arial" w:eastAsia="Arial" w:hAnsi="Arial"/>
          <w:sz w:val="16"/>
          <w:szCs w:val="16"/>
          <w:color w:val="auto"/>
        </w:rPr>
        <w:t>”), or with respect to which Parent or any Parent ERISA Affiliate has or may have any Liability (collectively, the “</w:t>
      </w:r>
      <w:r>
        <w:rPr>
          <w:rFonts w:ascii="Arial" w:cs="Arial" w:eastAsia="Arial" w:hAnsi="Arial"/>
          <w:sz w:val="16"/>
          <w:szCs w:val="16"/>
          <w:u w:val="single" w:color="auto"/>
          <w:color w:val="auto"/>
        </w:rPr>
        <w:t>Parent 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has been established, administered, and maintained in accordance with its terms and in compliance with applicable Laws, including but not limited to ERISA and the Code; (ii) all the Parent Employee Plans that are intended to be qualified under Section 401(a) of the Code are so qualified and have received timely determination letters from the IRS and no such determination letter has been revoked nor, to the Knowledge of Parent,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Parent no circumstance exists that is reasonably likely to result in the loss of such qualified status under Section 401(a) of the Code; (iii) Parent and its Subsidiaries, where applicable, have timely paid or accrued all contributions, benefits, premiums, and other payments required by the terms of each Parent Employee Plan and applicable Law and accounting principles; (iv) except to the extent limited by applicable Law, each Parent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Parent,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0" w:name="page291"/>
    <w:bookmarkEnd w:id="29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neither Parent nor any of its Parent ERISA Affiliates has engaged in a transaction that could reasonably subject Parent or any Parent ERISA Affiliate to a tax or penalty imposed by either Section 4975 of the Code or Section 502(i) of ERISA, except, in each case, as would not reasonably be expected to have, individually or in the aggregate, a Parent Material Adverse Effect.</w:t>
      </w:r>
    </w:p>
    <w:p>
      <w:pPr>
        <w:spacing w:after="0" w:line="79" w:lineRule="exact"/>
        <w:rPr>
          <w:sz w:val="20"/>
          <w:szCs w:val="20"/>
          <w:color w:val="auto"/>
        </w:rPr>
      </w:pPr>
    </w:p>
    <w:p>
      <w:pPr>
        <w:jc w:val="both"/>
        <w:ind w:left="660" w:right="299" w:firstLine="352"/>
        <w:spacing w:after="0" w:line="286" w:lineRule="auto"/>
        <w:tabs>
          <w:tab w:leader="none" w:pos="1410"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Plan Liabilities</w:t>
      </w:r>
      <w:r>
        <w:rPr>
          <w:rFonts w:ascii="Arial" w:cs="Arial" w:eastAsia="Arial" w:hAnsi="Arial"/>
          <w:sz w:val="16"/>
          <w:szCs w:val="16"/>
          <w:color w:val="auto"/>
        </w:rPr>
        <w:t>. Neither Parent nor any Parent ERISA Affiliate has: (i) incurred or reasonably expects to incur, either directly or indirectly, any liability under Title I or Title IV of ERISA, or related provisions of the Code or foreign Law and nothing has occurred that could reasonably be expected to constitute grounds under Title IV of ERISA to terminate, or appoint a trustee to administer, any Parent Employee Plan;</w:t>
      </w:r>
    </w:p>
    <w:p>
      <w:pPr>
        <w:spacing w:after="0" w:line="1" w:lineRule="exact"/>
        <w:rPr>
          <w:rFonts w:ascii="Arial" w:cs="Arial" w:eastAsia="Arial" w:hAnsi="Arial"/>
          <w:sz w:val="16"/>
          <w:szCs w:val="16"/>
          <w:color w:val="auto"/>
        </w:rPr>
      </w:pPr>
    </w:p>
    <w:p>
      <w:pPr>
        <w:jc w:val="both"/>
        <w:ind w:left="660" w:right="299" w:hanging="8"/>
        <w:spacing w:after="0" w:line="281" w:lineRule="auto"/>
        <w:tabs>
          <w:tab w:leader="none" w:pos="95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except for payments of premiums to the PBGC which have been timely paid in full, not incurred any material liability to the PBGC in connection with any Parent Employee Plan covering any active, retired, or former employees or directors of Parent or any Parent ERISA Affiliate, including, without limitation, any liability under Sections 4069 or 4212(c) of ERISA or any material penalty imposed under Section 4071 of ERISA, or ceased operations at any facility, or withdrawn from any such Parent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Parent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Parent Material Adverse Effect;</w:t>
      </w:r>
    </w:p>
    <w:p>
      <w:pPr>
        <w:spacing w:after="0" w:line="7" w:lineRule="exact"/>
        <w:rPr>
          <w:rFonts w:ascii="Arial" w:cs="Arial" w:eastAsia="Arial" w:hAnsi="Arial"/>
          <w:sz w:val="16"/>
          <w:szCs w:val="16"/>
          <w:color w:val="auto"/>
        </w:rPr>
      </w:pPr>
    </w:p>
    <w:p>
      <w:pPr>
        <w:jc w:val="both"/>
        <w:ind w:left="660" w:right="299" w:hanging="8"/>
        <w:spacing w:after="0" w:line="268" w:lineRule="auto"/>
        <w:tabs>
          <w:tab w:leader="none" w:pos="932" w:val="left"/>
        </w:tabs>
        <w:numPr>
          <w:ilvl w:val="0"/>
          <w:numId w:val="317"/>
        </w:numPr>
        <w:rPr>
          <w:rFonts w:ascii="Arial" w:cs="Arial" w:eastAsia="Arial" w:hAnsi="Arial"/>
          <w:sz w:val="17"/>
          <w:szCs w:val="17"/>
          <w:color w:val="auto"/>
        </w:rPr>
      </w:pPr>
      <w:r>
        <w:rPr>
          <w:rFonts w:ascii="Arial" w:cs="Arial" w:eastAsia="Arial" w:hAnsi="Arial"/>
          <w:sz w:val="17"/>
          <w:szCs w:val="17"/>
          <w:color w:val="auto"/>
        </w:rPr>
        <w:t>failed to comply with the privacy, security, and breach notification requirements under HIPAA, except as would not reasonably be expected to have, individually or in the aggregate, a Parent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Parent or any Parent ERISA Affiliate to any such multiemployer plan. No complete or partial termination of any Parent Employee Plan has occurred or is reasonably expected to occur.</w:t>
      </w:r>
    </w:p>
    <w:p>
      <w:pPr>
        <w:spacing w:after="0" w:line="115" w:lineRule="exact"/>
        <w:rPr>
          <w:rFonts w:ascii="Arial" w:cs="Arial" w:eastAsia="Arial" w:hAnsi="Arial"/>
          <w:sz w:val="17"/>
          <w:szCs w:val="17"/>
          <w:color w:val="auto"/>
        </w:rPr>
      </w:pPr>
    </w:p>
    <w:p>
      <w:pPr>
        <w:ind w:left="1400" w:hanging="388"/>
        <w:spacing w:after="0"/>
        <w:tabs>
          <w:tab w:leader="none" w:pos="1400"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Certain Parent Employee Plans</w:t>
      </w:r>
      <w:r>
        <w:rPr>
          <w:rFonts w:ascii="Arial" w:cs="Arial" w:eastAsia="Arial" w:hAnsi="Arial"/>
          <w:sz w:val="18"/>
          <w:szCs w:val="18"/>
          <w:color w:val="auto"/>
        </w:rPr>
        <w:t>. With respect to each Parent Employee Plan:</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no such plan is a “multiemployer plan” within the meaning of Section 3(37) of ERISA or a “multiple employer plan” within the meaning of Section 413(c) of the Code and neither Parent nor any Parent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79" w:lineRule="exact"/>
        <w:rPr>
          <w:rFonts w:ascii="Arial" w:cs="Arial" w:eastAsia="Arial" w:hAnsi="Arial"/>
          <w:sz w:val="18"/>
          <w:szCs w:val="18"/>
          <w:color w:val="auto"/>
        </w:rPr>
      </w:pPr>
    </w:p>
    <w:p>
      <w:pPr>
        <w:ind w:left="1020" w:right="319" w:firstLine="352"/>
        <w:spacing w:after="0" w:line="277" w:lineRule="auto"/>
        <w:tabs>
          <w:tab w:leader="none" w:pos="178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no Legal Action has been initiated by the PBGC to terminate any such Parent Employee Plan or to appoint a trustee for any such Parent Employee Plan;</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no such plan is subject to the minimum funding standards of Section 302 of ERISA or Sections 412, 418(b), or 430 of the Code, and none of the assets of Parent or any Parent ERISA Affiliate is, or may reasonably be expected to become, the subject of any lien arising under Section 303 of ERISA or Sections 430 or 436 of the Code; and</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has occurred, or is reasonably expected to occur, with respect to any such Parent Employee Plan.</w:t>
      </w:r>
    </w:p>
    <w:p>
      <w:pPr>
        <w:spacing w:after="0" w:line="62"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1"/>
          <w:numId w:val="317"/>
        </w:numPr>
        <w:rPr>
          <w:rFonts w:ascii="Arial" w:cs="Arial" w:eastAsia="Arial" w:hAnsi="Arial"/>
          <w:sz w:val="17"/>
          <w:szCs w:val="17"/>
          <w:color w:val="auto"/>
        </w:rPr>
      </w:pPr>
      <w:r>
        <w:rPr>
          <w:rFonts w:ascii="Arial" w:cs="Arial" w:eastAsia="Arial" w:hAnsi="Arial"/>
          <w:sz w:val="17"/>
          <w:szCs w:val="17"/>
          <w:u w:val="single" w:color="auto"/>
          <w:color w:val="auto"/>
        </w:rPr>
        <w:t>Non-US Employee Plans</w:t>
      </w:r>
      <w:r>
        <w:rPr>
          <w:rFonts w:ascii="Arial" w:cs="Arial" w:eastAsia="Arial" w:hAnsi="Arial"/>
          <w:sz w:val="17"/>
          <w:szCs w:val="17"/>
          <w:color w:val="auto"/>
        </w:rPr>
        <w:t>. With respect to each Parent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 (iii) each such plan intended to qualify for special Tax treatment meets all requirements for such treatment; and (iv) each such plan required to be registered has been registered and has been maintained in good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1" w:name="page292"/>
    <w:bookmarkEnd w:id="29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standing with applicable regulatory authorities and all regulatory filings for each such plan, in each case as required by applicable Law or by such plan’s governing documents, have been timely made except, in each case, as would not reasonably be expected to have, individually or in the aggregate, a Parent Material Adverse Effect.</w:t>
      </w:r>
    </w:p>
    <w:p>
      <w:pPr>
        <w:spacing w:after="0" w:line="79" w:lineRule="exact"/>
        <w:rPr>
          <w:sz w:val="20"/>
          <w:szCs w:val="20"/>
          <w:color w:val="auto"/>
        </w:rPr>
      </w:pPr>
    </w:p>
    <w:p>
      <w:pPr>
        <w:jc w:val="both"/>
        <w:ind w:left="660" w:right="299" w:firstLine="352"/>
        <w:spacing w:after="0" w:line="254" w:lineRule="auto"/>
        <w:tabs>
          <w:tab w:leader="none" w:pos="1399"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No Post-Employment Obligations</w:t>
      </w:r>
      <w:r>
        <w:rPr>
          <w:rFonts w:ascii="Arial" w:cs="Arial" w:eastAsia="Arial" w:hAnsi="Arial"/>
          <w:sz w:val="18"/>
          <w:szCs w:val="18"/>
          <w:color w:val="auto"/>
        </w:rPr>
        <w:t>. No Parent Employee Plan provides post-termination or retiree health benefits to any person for any reason, except as may be required by COBRA or other applicable Law, and neither Parent nor any Subsidiary has any Liability to provide post-termination or retiree health benefits to any person or ever represented, promised, or contracted to any Parent Employee (either individually or to Parent Employees as a group) or any other person that such Parent Employee(s) or other person would be provided with post-termination or retiree health benefits, except to the extent required by COBRA or other applicable Law.</w:t>
      </w:r>
    </w:p>
    <w:p>
      <w:pPr>
        <w:spacing w:after="0" w:line="86" w:lineRule="exact"/>
        <w:rPr>
          <w:rFonts w:ascii="Arial" w:cs="Arial" w:eastAsia="Arial" w:hAnsi="Arial"/>
          <w:sz w:val="18"/>
          <w:szCs w:val="18"/>
          <w:color w:val="auto"/>
        </w:rPr>
      </w:pPr>
    </w:p>
    <w:p>
      <w:pPr>
        <w:jc w:val="both"/>
        <w:ind w:left="660" w:right="299" w:firstLine="352"/>
        <w:spacing w:after="0" w:line="255" w:lineRule="auto"/>
        <w:tabs>
          <w:tab w:leader="none" w:pos="138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Potential Governmental or Lawsuit Liability</w:t>
      </w:r>
      <w:r>
        <w:rPr>
          <w:rFonts w:ascii="Arial" w:cs="Arial" w:eastAsia="Arial" w:hAnsi="Arial"/>
          <w:sz w:val="18"/>
          <w:szCs w:val="18"/>
          <w:color w:val="auto"/>
        </w:rPr>
        <w:t>. Other than routine claims for benefits, there are no pending or, to the Knowledge of Parent, as of the date of this Agreement, threatened claims by or on behalf of any participant in any Parent Employee Plan, or otherwise involving any Parent Employee Plan or the assets of any Parent Employee Plan, and no Parent Employee Plan is the subject of Legal Action by any Governmental Entity, except as would not reasonably be expected to have, individually or in the aggregate, a Parent Material Adverse Effect.</w:t>
      </w:r>
    </w:p>
    <w:p>
      <w:pPr>
        <w:spacing w:after="0" w:line="84" w:lineRule="exact"/>
        <w:rPr>
          <w:rFonts w:ascii="Arial" w:cs="Arial" w:eastAsia="Arial" w:hAnsi="Arial"/>
          <w:sz w:val="18"/>
          <w:szCs w:val="18"/>
          <w:color w:val="auto"/>
        </w:rPr>
      </w:pPr>
    </w:p>
    <w:p>
      <w:pPr>
        <w:jc w:val="both"/>
        <w:ind w:left="660" w:right="299" w:firstLine="352"/>
        <w:spacing w:after="0" w:line="272" w:lineRule="auto"/>
        <w:tabs>
          <w:tab w:leader="none" w:pos="141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Each Parent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Parent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69" w:lineRule="exact"/>
        <w:rPr>
          <w:rFonts w:ascii="Arial" w:cs="Arial" w:eastAsia="Arial" w:hAnsi="Arial"/>
          <w:sz w:val="17"/>
          <w:szCs w:val="17"/>
          <w:color w:val="auto"/>
        </w:rPr>
      </w:pPr>
    </w:p>
    <w:p>
      <w:pPr>
        <w:jc w:val="both"/>
        <w:ind w:left="660" w:right="299" w:firstLine="352"/>
        <w:spacing w:after="0" w:line="257" w:lineRule="auto"/>
        <w:tabs>
          <w:tab w:leader="none" w:pos="141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Effect of Transaction</w:t>
      </w:r>
      <w:r>
        <w:rPr>
          <w:rFonts w:ascii="Arial" w:cs="Arial" w:eastAsia="Arial" w:hAnsi="Arial"/>
          <w:sz w:val="18"/>
          <w:szCs w:val="18"/>
          <w:color w:val="auto"/>
        </w:rPr>
        <w:t>. Neither the execution or delivery of this Agreement, the consummation of the Merger, nor any of the other transactions contemplated by this Agreement will: (i) accelerate the timing of payment, funding, or vesting, or increase the amount of compensation (other than severance) due to any such individual; or (ii) increase the amount payable or result in any other material obligation pursuant to any Parent Employee Plan.</w:t>
      </w:r>
    </w:p>
    <w:p>
      <w:pPr>
        <w:spacing w:after="0" w:line="79" w:lineRule="exact"/>
        <w:rPr>
          <w:rFonts w:ascii="Arial" w:cs="Arial" w:eastAsia="Arial" w:hAnsi="Arial"/>
          <w:sz w:val="18"/>
          <w:szCs w:val="18"/>
          <w:color w:val="auto"/>
        </w:rPr>
      </w:pPr>
    </w:p>
    <w:p>
      <w:pPr>
        <w:jc w:val="both"/>
        <w:ind w:left="660" w:right="299" w:firstLine="352"/>
        <w:spacing w:after="0" w:line="286" w:lineRule="auto"/>
        <w:tabs>
          <w:tab w:leader="none" w:pos="1370"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Employment Law Matters</w:t>
      </w:r>
      <w:r>
        <w:rPr>
          <w:rFonts w:ascii="Arial" w:cs="Arial" w:eastAsia="Arial" w:hAnsi="Arial"/>
          <w:sz w:val="16"/>
          <w:szCs w:val="16"/>
          <w:color w:val="auto"/>
        </w:rPr>
        <w:t>. Parent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Parent Employees and contingent workers; and (ii) is in compliance with all applicable Laws relating to the relations between it and any labor organization, trade union, work council, or other body representing Parent Employees, except, in each case, as would not reasonably be expected to have, individually or in the aggregate, a Parent Material Adverse Effect. There is no administrative, judicial, arbitral or other proceeding, suit, action, hearing, indictment, prosecution or litigation pending, or, to the Knowledge of Parent, threatened relating to any employment-related matter involving any Parent Employee, except as would not reasonably be expected to have, individually or in the aggregate, a Parent Material Adverse Effect.</w:t>
      </w:r>
    </w:p>
    <w:p>
      <w:pPr>
        <w:spacing w:after="0" w:line="65" w:lineRule="exact"/>
        <w:rPr>
          <w:rFonts w:ascii="Arial" w:cs="Arial" w:eastAsia="Arial" w:hAnsi="Arial"/>
          <w:sz w:val="16"/>
          <w:szCs w:val="16"/>
          <w:color w:val="auto"/>
        </w:rPr>
      </w:pPr>
    </w:p>
    <w:p>
      <w:pPr>
        <w:jc w:val="both"/>
        <w:ind w:left="660" w:right="299" w:firstLine="352"/>
        <w:spacing w:after="0" w:line="269" w:lineRule="auto"/>
        <w:tabs>
          <w:tab w:leader="none" w:pos="137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Labor Matters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5.12(j)</w:t>
      </w:r>
      <w:r>
        <w:rPr>
          <w:rFonts w:ascii="Arial" w:cs="Arial" w:eastAsia="Arial" w:hAnsi="Arial"/>
          <w:sz w:val="17"/>
          <w:szCs w:val="17"/>
          <w:color w:val="auto"/>
        </w:rPr>
        <w:t xml:space="preserve"> of the Parent Disclosure Letter contains a true and complete list of each collective bargaining agreement or other agreement with any labor organization, work council, or trade union to which Parent or any of its Subsidiaries is a party or by which Parent or its Subsidiaries is otherwise bound, with respect to any of its or their operations. No material work stoppage, slowdown, or labor strike against Parent or any of its Subsidiaries is pending, threatened, or has occurred in the last three years and, to the Knowledge of Parent, there is no organizing activity, election petition, union card signing or other union activity, or union corporate campaigns of or by any labor organization, trade union, or work council directed at Parent or any of its Subsidiaries, or any employee thereof. Neither Parent nor any Subsidiary of Parent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2" w:name="page293"/>
    <w:bookmarkEnd w:id="29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410"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Parent Equity Awards</w:t>
      </w:r>
      <w:r>
        <w:rPr>
          <w:rFonts w:ascii="Arial" w:cs="Arial" w:eastAsia="Arial" w:hAnsi="Arial"/>
          <w:sz w:val="16"/>
          <w:szCs w:val="16"/>
          <w:color w:val="auto"/>
        </w:rPr>
        <w:t>. With respect to each grant of a Parent Equity Award, (i) each such grant was made in accordance with the terms of the applicable Parent Share Plan and applicable Law (including the rules of Nasdaq or any other applicable stock exchange and the terms of any applicable securities listing agreement or requirement) and was properly accounted for in accordance with GAAP in the Parent SEC Documents (including financial statements) and other applicable Law and (ii) each Parent Share Option has an exercise price per share equal to or greater than the fair market value of a Parent Ordinary Share on the date of such grant and a grant date identical to the date the Parent Board or the compensation committee of such board approved as the grant date for such Parent Share Option, with such approval occurring on or prior to such date.</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Real Property and Personal Property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9" w:lineRule="auto"/>
        <w:tabs>
          <w:tab w:leader="none" w:pos="1399"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Owned Real Estate</w:t>
      </w:r>
      <w:r>
        <w:rPr>
          <w:rFonts w:ascii="Arial" w:cs="Arial" w:eastAsia="Arial" w:hAnsi="Arial"/>
          <w:sz w:val="18"/>
          <w:szCs w:val="18"/>
          <w:color w:val="auto"/>
        </w:rPr>
        <w:t>. Parent or one or more of its Subsidiaries has good and marketable fee simple title to the material Parent Owned Real Estate free and clear of any Liens other than Permitted Liens. Neither Parent nor any of its Subsidiaries is a party to any agreement or option to purchase any real property or interest therein.</w:t>
      </w:r>
    </w:p>
    <w:p>
      <w:pPr>
        <w:spacing w:after="0" w:line="78" w:lineRule="exact"/>
        <w:rPr>
          <w:rFonts w:ascii="Arial" w:cs="Arial" w:eastAsia="Arial" w:hAnsi="Arial"/>
          <w:sz w:val="18"/>
          <w:szCs w:val="18"/>
          <w:color w:val="auto"/>
        </w:rPr>
      </w:pPr>
    </w:p>
    <w:p>
      <w:pPr>
        <w:jc w:val="both"/>
        <w:ind w:left="660" w:right="299" w:firstLine="352"/>
        <w:spacing w:after="0" w:line="270" w:lineRule="auto"/>
        <w:tabs>
          <w:tab w:leader="none" w:pos="141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Leased Real Estate</w:t>
      </w:r>
      <w:r>
        <w:rPr>
          <w:rFonts w:ascii="Arial" w:cs="Arial" w:eastAsia="Arial" w:hAnsi="Arial"/>
          <w:sz w:val="17"/>
          <w:szCs w:val="17"/>
          <w:color w:val="auto"/>
        </w:rPr>
        <w:t xml:space="preserve">. Except as would not reasonably be expected to have, individually or in the aggregate, a Parent Material Adverse Effect or as set forth on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of the Parent Disclosure Letter, with respect to each of the Leases: (i) such Lease is legal, valid, binding, enforceable, and in full force and effect; (ii) neither Parent nor any of its Subsidiaries nor, to the Knowledge of Parent, any other party to the Lease, is in breach or default under such Lease, and no event has occurred or circumstance exists which, with or without notice, lapse of time, or both, would constitute a breach or default under such Lease; (iii) Parent’s or its Subsidiary’s possession and quiet enjoyment of the Leased Real Estate under such Lease has not been disturbed, and to the Knowledge of Parent, there are no disputes with respect to such Lease; and (iv) there are no Liens on the estate created by such Lease other than Permitted Liens.</w:t>
      </w:r>
    </w:p>
    <w:p>
      <w:pPr>
        <w:spacing w:after="0" w:line="72" w:lineRule="exact"/>
        <w:rPr>
          <w:rFonts w:ascii="Arial" w:cs="Arial" w:eastAsia="Arial" w:hAnsi="Arial"/>
          <w:sz w:val="17"/>
          <w:szCs w:val="17"/>
          <w:color w:val="auto"/>
        </w:rPr>
      </w:pPr>
    </w:p>
    <w:p>
      <w:pPr>
        <w:jc w:val="both"/>
        <w:ind w:left="660" w:right="299" w:firstLine="352"/>
        <w:spacing w:after="0" w:line="275" w:lineRule="auto"/>
        <w:tabs>
          <w:tab w:leader="none" w:pos="1399"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Except as would not reasonably be expected to have, individually or in the aggregate, a Parent Material Adverse Effect, Parent and each of its Subsidiaries are in possession of and have good and marketable title to, or valid leasehold interests in or valid rights under contract to use, the machinery, equipment, furniture, fixtures, and other tangible personal property and assets owned, leased, or used by Parent or any of its Subsidiaries, free and clear of all Liens other than Permitted Liens.</w:t>
      </w:r>
    </w:p>
    <w:p>
      <w:pPr>
        <w:spacing w:after="0" w:line="6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matters as would not reasonably be expected to have, individually or in the aggregate, a Parent Material Adverse Effect:</w:t>
      </w:r>
    </w:p>
    <w:p>
      <w:pPr>
        <w:spacing w:after="0" w:line="62" w:lineRule="exact"/>
        <w:rPr>
          <w:sz w:val="20"/>
          <w:szCs w:val="20"/>
          <w:color w:val="auto"/>
        </w:rPr>
      </w:pPr>
    </w:p>
    <w:p>
      <w:pPr>
        <w:jc w:val="both"/>
        <w:ind w:left="660" w:right="299" w:firstLine="352"/>
        <w:spacing w:after="0" w:line="279" w:lineRule="auto"/>
        <w:tabs>
          <w:tab w:leader="none" w:pos="1399"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Parent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Parent and its Subsidiaries as currently conducted.</w:t>
      </w:r>
    </w:p>
    <w:p>
      <w:pPr>
        <w:spacing w:after="0" w:line="63" w:lineRule="exact"/>
        <w:rPr>
          <w:rFonts w:ascii="Arial" w:cs="Arial" w:eastAsia="Arial" w:hAnsi="Arial"/>
          <w:sz w:val="17"/>
          <w:szCs w:val="17"/>
          <w:color w:val="auto"/>
        </w:rPr>
      </w:pPr>
    </w:p>
    <w:p>
      <w:pPr>
        <w:jc w:val="both"/>
        <w:ind w:left="660" w:right="299" w:firstLine="352"/>
        <w:spacing w:after="0" w:line="263" w:lineRule="auto"/>
        <w:tabs>
          <w:tab w:leader="none" w:pos="140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any location that would reasonably be expected to cause Parent or any of its Subsidiaries to incur or be subject to liability under Environmental Laws;</w:t>
      </w:r>
    </w:p>
    <w:p>
      <w:pPr>
        <w:spacing w:after="0" w:line="75" w:lineRule="exact"/>
        <w:rPr>
          <w:rFonts w:ascii="Arial" w:cs="Arial" w:eastAsia="Arial" w:hAnsi="Arial"/>
          <w:sz w:val="18"/>
          <w:szCs w:val="18"/>
          <w:color w:val="auto"/>
        </w:rPr>
      </w:pPr>
    </w:p>
    <w:p>
      <w:pPr>
        <w:jc w:val="both"/>
        <w:ind w:left="660" w:right="319" w:firstLine="352"/>
        <w:spacing w:after="0" w:line="275" w:lineRule="auto"/>
        <w:tabs>
          <w:tab w:leader="none" w:pos="14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Neither Parent nor any of its Subsidiaries has received nor knows of any basis for any written notice of and there is no Legal Action pending, or to the Knowledge of Parent, threatened against Parent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68" w:lineRule="exact"/>
        <w:rPr>
          <w:rFonts w:ascii="Arial" w:cs="Arial" w:eastAsia="Arial" w:hAnsi="Arial"/>
          <w:sz w:val="17"/>
          <w:szCs w:val="17"/>
          <w:color w:val="auto"/>
        </w:rPr>
      </w:pPr>
    </w:p>
    <w:p>
      <w:pPr>
        <w:jc w:val="both"/>
        <w:ind w:left="660" w:right="299" w:firstLine="352"/>
        <w:spacing w:after="0" w:line="263" w:lineRule="auto"/>
        <w:tabs>
          <w:tab w:leader="none" w:pos="141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No Assumption of Environmental Law Liabilities</w:t>
      </w:r>
      <w:r>
        <w:rPr>
          <w:rFonts w:ascii="Arial" w:cs="Arial" w:eastAsia="Arial" w:hAnsi="Arial"/>
          <w:sz w:val="18"/>
          <w:szCs w:val="18"/>
          <w:color w:val="auto"/>
        </w:rPr>
        <w:t>. Neither Parent nor any of its Subsidiaries has expressly assumed or retained any Liabilities under any Environmental Laws of any other Person, including in any acquisition or divestiture of any property or business.</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9"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mean the following to which Parent or any of its Subsidiaries is a party or any of the respective assets are bound (excluding any Leases and Parent Employee Plans), as of the date of this Agreement:</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3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Securities Act), whether or not filed by the Company with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3" w:name="page294"/>
    <w:bookmarkEnd w:id="29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85" w:lineRule="auto"/>
        <w:tabs>
          <w:tab w:leader="none" w:pos="1780" w:val="left"/>
        </w:tabs>
        <w:numPr>
          <w:ilvl w:val="2"/>
          <w:numId w:val="323"/>
        </w:numPr>
        <w:rPr>
          <w:rFonts w:ascii="Arial" w:cs="Arial" w:eastAsia="Arial" w:hAnsi="Arial"/>
          <w:sz w:val="16"/>
          <w:szCs w:val="16"/>
          <w:color w:val="auto"/>
        </w:rPr>
      </w:pPr>
      <w:r>
        <w:rPr>
          <w:rFonts w:ascii="Arial" w:cs="Arial" w:eastAsia="Arial" w:hAnsi="Arial"/>
          <w:sz w:val="16"/>
          <w:szCs w:val="16"/>
          <w:color w:val="auto"/>
        </w:rPr>
        <w:t>any Contract providing for indemnification or any guaranty by Parent or any Subsidiary thereof, in each case that is material to the Company and its Subsidiaries, taken as a whole, other than (A) any guaranty by Parent or a Subsidiary thereof of any of the obligations of (1) Parent or another wholly owned Subsidiary thereof or (2) any Subsidiary (other than a wholly owned Subsidiary) of Parent that was entered into in the ordinary course of business pursuant to or in connection with a customer Contract, or</w:t>
      </w:r>
    </w:p>
    <w:p>
      <w:pPr>
        <w:spacing w:after="0" w:line="1" w:lineRule="exact"/>
        <w:rPr>
          <w:rFonts w:ascii="Arial" w:cs="Arial" w:eastAsia="Arial" w:hAnsi="Arial"/>
          <w:sz w:val="16"/>
          <w:szCs w:val="16"/>
          <w:color w:val="auto"/>
        </w:rPr>
      </w:pPr>
    </w:p>
    <w:p>
      <w:pPr>
        <w:ind w:left="1020" w:right="299" w:hanging="8"/>
        <w:spacing w:after="0" w:line="260" w:lineRule="auto"/>
        <w:tabs>
          <w:tab w:leader="none" w:pos="134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Contract providing for indemnification of customers or other Persons pursuant to Contracts entered into in the ordinary course of business;</w:t>
      </w:r>
    </w:p>
    <w:p>
      <w:pPr>
        <w:spacing w:after="0" w:line="77" w:lineRule="exact"/>
        <w:rPr>
          <w:rFonts w:ascii="Arial" w:cs="Arial" w:eastAsia="Arial" w:hAnsi="Arial"/>
          <w:sz w:val="18"/>
          <w:szCs w:val="18"/>
          <w:color w:val="auto"/>
        </w:rPr>
      </w:pPr>
    </w:p>
    <w:p>
      <w:pPr>
        <w:jc w:val="both"/>
        <w:ind w:left="1020" w:right="299" w:firstLine="352"/>
        <w:spacing w:after="0" w:line="311" w:lineRule="auto"/>
        <w:tabs>
          <w:tab w:leader="none" w:pos="1830" w:val="left"/>
        </w:tabs>
        <w:numPr>
          <w:ilvl w:val="2"/>
          <w:numId w:val="324"/>
        </w:numPr>
        <w:rPr>
          <w:rFonts w:ascii="Arial" w:cs="Arial" w:eastAsia="Arial" w:hAnsi="Arial"/>
          <w:sz w:val="16"/>
          <w:szCs w:val="16"/>
          <w:color w:val="auto"/>
        </w:rPr>
      </w:pPr>
      <w:r>
        <w:rPr>
          <w:rFonts w:ascii="Arial" w:cs="Arial" w:eastAsia="Arial" w:hAnsi="Arial"/>
          <w:sz w:val="16"/>
          <w:szCs w:val="16"/>
          <w:color w:val="auto"/>
        </w:rPr>
        <w:t>any Contract that purports to limit the right of Parent or any of its Subsidiaries (A) to engage in any line of business, (B) compete with any Person or solicit any client or customer, or (C) operate in any geographical location that is, in each case, material to Parent and its Subsidiaries, taken as a whole;</w:t>
      </w:r>
    </w:p>
    <w:p>
      <w:pPr>
        <w:spacing w:after="0" w:line="40" w:lineRule="exact"/>
        <w:rPr>
          <w:rFonts w:ascii="Arial" w:cs="Arial" w:eastAsia="Arial" w:hAnsi="Arial"/>
          <w:sz w:val="16"/>
          <w:szCs w:val="16"/>
          <w:color w:val="auto"/>
        </w:rPr>
      </w:pPr>
    </w:p>
    <w:p>
      <w:pPr>
        <w:jc w:val="both"/>
        <w:ind w:left="1020" w:right="299" w:firstLine="352"/>
        <w:spacing w:after="0" w:line="263" w:lineRule="auto"/>
        <w:tabs>
          <w:tab w:leader="none" w:pos="18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Contract with respect to any acquisition or divestiture of assets or capital stock or other equity interests pursuant to which Parent or any of its Subsidiaries has any continuing material obligations, except for acquisitions or divestitures in the ordinary course of business;</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7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right of first offer, or similar right with respect to any material assets, rights, or properties of Parent or any of its Subsidiaries;</w:t>
      </w:r>
    </w:p>
    <w:p>
      <w:pPr>
        <w:spacing w:after="0" w:line="62" w:lineRule="exact"/>
        <w:rPr>
          <w:rFonts w:ascii="Arial" w:cs="Arial" w:eastAsia="Arial" w:hAnsi="Arial"/>
          <w:sz w:val="18"/>
          <w:szCs w:val="18"/>
          <w:color w:val="auto"/>
        </w:rPr>
      </w:pPr>
    </w:p>
    <w:p>
      <w:pPr>
        <w:jc w:val="both"/>
        <w:ind w:left="1020" w:right="299" w:firstLine="352"/>
        <w:spacing w:after="0" w:line="286" w:lineRule="auto"/>
        <w:tabs>
          <w:tab w:leader="none" w:pos="1820" w:val="left"/>
        </w:tabs>
        <w:numPr>
          <w:ilvl w:val="2"/>
          <w:numId w:val="324"/>
        </w:numPr>
        <w:rPr>
          <w:rFonts w:ascii="Arial" w:cs="Arial" w:eastAsia="Arial" w:hAnsi="Arial"/>
          <w:sz w:val="17"/>
          <w:szCs w:val="17"/>
          <w:color w:val="auto"/>
        </w:rPr>
      </w:pPr>
      <w:r>
        <w:rPr>
          <w:rFonts w:ascii="Arial" w:cs="Arial" w:eastAsia="Arial" w:hAnsi="Arial"/>
          <w:sz w:val="17"/>
          <w:szCs w:val="17"/>
          <w:color w:val="auto"/>
        </w:rPr>
        <w:t>any Contract that contains any provision that requires the purchase of all or a material portion of Parent’s or any of its Subsidiaries’ requirements for a given product or service from a given Third Party, which product or service is material to Parent and its Subsidiaries, taken as a whole;</w:t>
      </w:r>
    </w:p>
    <w:p>
      <w:pPr>
        <w:spacing w:after="0" w:line="57" w:lineRule="exact"/>
        <w:rPr>
          <w:rFonts w:ascii="Arial" w:cs="Arial" w:eastAsia="Arial" w:hAnsi="Arial"/>
          <w:sz w:val="17"/>
          <w:szCs w:val="17"/>
          <w:color w:val="auto"/>
        </w:rPr>
      </w:pPr>
    </w:p>
    <w:p>
      <w:pPr>
        <w:jc w:val="both"/>
        <w:ind w:left="1020" w:right="299" w:firstLine="352"/>
        <w:spacing w:after="0" w:line="263" w:lineRule="auto"/>
        <w:tabs>
          <w:tab w:leader="none" w:pos="187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Contract that obligates Parent or any of its Subsidiaries to conduct business on an exclusive basis or that contains a “most favored nation” or similar covenant with any Third Party that is material to Parent and its Subsidiaries, taken as a whole;</w:t>
      </w:r>
    </w:p>
    <w:p>
      <w:pPr>
        <w:spacing w:after="0" w:line="75" w:lineRule="exact"/>
        <w:rPr>
          <w:rFonts w:ascii="Arial" w:cs="Arial" w:eastAsia="Arial" w:hAnsi="Arial"/>
          <w:sz w:val="18"/>
          <w:szCs w:val="18"/>
          <w:color w:val="auto"/>
        </w:rPr>
      </w:pPr>
    </w:p>
    <w:p>
      <w:pPr>
        <w:jc w:val="both"/>
        <w:ind w:left="1020" w:right="299" w:firstLine="352"/>
        <w:spacing w:after="0" w:line="259" w:lineRule="auto"/>
        <w:tabs>
          <w:tab w:leader="none" w:pos="19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Parent and its wholly owned Subsidiaries or among Parent’s wholly owned Subsidiaries;</w:t>
      </w:r>
    </w:p>
    <w:p>
      <w:pPr>
        <w:spacing w:after="0" w:line="78" w:lineRule="exact"/>
        <w:rPr>
          <w:rFonts w:ascii="Arial" w:cs="Arial" w:eastAsia="Arial" w:hAnsi="Arial"/>
          <w:sz w:val="18"/>
          <w:szCs w:val="18"/>
          <w:color w:val="auto"/>
        </w:rPr>
      </w:pPr>
    </w:p>
    <w:p>
      <w:pPr>
        <w:jc w:val="both"/>
        <w:ind w:left="1020" w:right="299" w:firstLine="352"/>
        <w:spacing w:after="0" w:line="259" w:lineRule="auto"/>
        <w:tabs>
          <w:tab w:leader="none" w:pos="18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Parent;</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material Parent IP Agreement, other than licenses for shrinkwrap, clickwrap, or other similar commercially available off-the-shelf software that has not been modified or customized by a Third Party for Parent or any of its Subsidiaries;</w:t>
      </w:r>
    </w:p>
    <w:p>
      <w:pPr>
        <w:spacing w:after="0" w:line="75" w:lineRule="exact"/>
        <w:rPr>
          <w:rFonts w:ascii="Arial" w:cs="Arial" w:eastAsia="Arial" w:hAnsi="Arial"/>
          <w:sz w:val="18"/>
          <w:szCs w:val="18"/>
          <w:color w:val="auto"/>
        </w:rPr>
      </w:pPr>
    </w:p>
    <w:p>
      <w:pPr>
        <w:jc w:val="both"/>
        <w:ind w:left="1020" w:right="319" w:firstLine="352"/>
        <w:spacing w:after="0" w:line="263" w:lineRule="auto"/>
        <w:tabs>
          <w:tab w:leader="none" w:pos="18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active Contract with a top ten (10) supplier or service provider of Parent and its Subsidiaries, taken as a whole, based on aggregate expenditures, for the fiscal year ended December 31, 2020;</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87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active Contract with a top ten (10) customer of Parent and its Subsidiaries, taken as a whole, based on aggregate expenditures, for the fiscal year ended December 31, 2020;</w:t>
      </w:r>
    </w:p>
    <w:p>
      <w:pPr>
        <w:spacing w:after="0" w:line="102" w:lineRule="exact"/>
        <w:rPr>
          <w:rFonts w:ascii="Arial" w:cs="Arial" w:eastAsia="Arial" w:hAnsi="Arial"/>
          <w:sz w:val="18"/>
          <w:szCs w:val="18"/>
          <w:color w:val="auto"/>
        </w:rPr>
      </w:pPr>
    </w:p>
    <w:p>
      <w:pPr>
        <w:ind w:left="1920" w:hanging="548"/>
        <w:spacing w:after="0"/>
        <w:tabs>
          <w:tab w:leader="none" w:pos="19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 or</w:t>
      </w:r>
    </w:p>
    <w:p>
      <w:pPr>
        <w:spacing w:after="0" w:line="117" w:lineRule="exact"/>
        <w:rPr>
          <w:rFonts w:ascii="Arial" w:cs="Arial" w:eastAsia="Arial" w:hAnsi="Arial"/>
          <w:sz w:val="18"/>
          <w:szCs w:val="18"/>
          <w:color w:val="auto"/>
        </w:rPr>
      </w:pPr>
    </w:p>
    <w:p>
      <w:pPr>
        <w:jc w:val="both"/>
        <w:ind w:left="1020" w:right="299" w:firstLine="352"/>
        <w:spacing w:after="0" w:line="286" w:lineRule="auto"/>
        <w:tabs>
          <w:tab w:leader="none" w:pos="1909" w:val="left"/>
        </w:tabs>
        <w:numPr>
          <w:ilvl w:val="2"/>
          <w:numId w:val="324"/>
        </w:numPr>
        <w:rPr>
          <w:rFonts w:ascii="Arial" w:cs="Arial" w:eastAsia="Arial" w:hAnsi="Arial"/>
          <w:sz w:val="17"/>
          <w:szCs w:val="17"/>
          <w:color w:val="auto"/>
        </w:rPr>
      </w:pPr>
      <w:r>
        <w:rPr>
          <w:rFonts w:ascii="Arial" w:cs="Arial" w:eastAsia="Arial" w:hAnsi="Arial"/>
          <w:sz w:val="17"/>
          <w:szCs w:val="17"/>
          <w:color w:val="auto"/>
        </w:rPr>
        <w:t>any other Contract that is reasonably expected to result in the payment or receipt of more than $10,000,000 by Parent or any of its Subsidiaries during Parent’s current fiscal year (other than Contracts with customers or suppliers or service providers of Parent and its Subsidiaries).</w:t>
      </w:r>
    </w:p>
    <w:p>
      <w:pPr>
        <w:spacing w:after="0" w:line="57" w:lineRule="exact"/>
        <w:rPr>
          <w:rFonts w:ascii="Arial" w:cs="Arial" w:eastAsia="Arial" w:hAnsi="Arial"/>
          <w:sz w:val="17"/>
          <w:szCs w:val="17"/>
          <w:color w:val="auto"/>
        </w:rPr>
      </w:pPr>
    </w:p>
    <w:p>
      <w:pPr>
        <w:jc w:val="both"/>
        <w:ind w:left="660" w:right="299" w:firstLine="352"/>
        <w:spacing w:after="0" w:line="301" w:lineRule="auto"/>
        <w:tabs>
          <w:tab w:leader="none" w:pos="1410"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Documents Made Available</w:t>
      </w:r>
      <w:r>
        <w:rPr>
          <w:rFonts w:ascii="Arial" w:cs="Arial" w:eastAsia="Arial" w:hAnsi="Arial"/>
          <w:sz w:val="16"/>
          <w:szCs w:val="16"/>
          <w:color w:val="auto"/>
        </w:rPr>
        <w:t xml:space="preserve">. Parent has made available to the Company correct and complete copies of all Parent Material Contracts, including any material amendments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the obligation to make such Contracts available shall be limited to master service agreements or similar Contracts with such suppliers or customers, as applicable.</w:t>
      </w:r>
    </w:p>
    <w:p>
      <w:pPr>
        <w:spacing w:after="0" w:line="49" w:lineRule="exact"/>
        <w:rPr>
          <w:rFonts w:ascii="Arial" w:cs="Arial" w:eastAsia="Arial" w:hAnsi="Arial"/>
          <w:sz w:val="16"/>
          <w:szCs w:val="16"/>
          <w:color w:val="auto"/>
        </w:rPr>
      </w:pPr>
    </w:p>
    <w:p>
      <w:pPr>
        <w:jc w:val="both"/>
        <w:ind w:left="660" w:right="299" w:firstLine="352"/>
        <w:spacing w:after="0" w:line="263" w:lineRule="auto"/>
        <w:tabs>
          <w:tab w:leader="none" w:pos="1399"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Filed Contracts</w:t>
      </w:r>
      <w:r>
        <w:rPr>
          <w:rFonts w:ascii="Arial" w:cs="Arial" w:eastAsia="Arial" w:hAnsi="Arial"/>
          <w:sz w:val="18"/>
          <w:szCs w:val="18"/>
          <w:color w:val="auto"/>
        </w:rPr>
        <w:t>. As of the date of this Agreement, neither Parent nor any of its Subsidiaries is a party to any Contract required to be filed by Parent as a “material contract” pursuant to Item 601(b)(10) of Regulation S-K under the Securities Act that has not been so filed.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4" w:name="page295"/>
    <w:bookmarkEnd w:id="29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52"/>
        <w:spacing w:after="0" w:line="287" w:lineRule="auto"/>
        <w:tabs>
          <w:tab w:leader="none" w:pos="1410"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No Breach</w:t>
      </w:r>
      <w:r>
        <w:rPr>
          <w:rFonts w:ascii="Arial" w:cs="Arial" w:eastAsia="Arial" w:hAnsi="Arial"/>
          <w:sz w:val="16"/>
          <w:szCs w:val="16"/>
          <w:color w:val="auto"/>
        </w:rPr>
        <w:t>. Except as would not, individually or in the aggregate, be material to Parent and its Subsidiaries, taken as a whole, (i) all the Parent Material Contracts are legal, valid, and binding on Parent or its applicable Subsidiary, enforceable against it in accordance with its terms, and is in full force and effect;</w:t>
      </w:r>
    </w:p>
    <w:p>
      <w:pPr>
        <w:spacing w:after="0" w:line="2" w:lineRule="exact"/>
        <w:rPr>
          <w:rFonts w:ascii="Arial" w:cs="Arial" w:eastAsia="Arial" w:hAnsi="Arial"/>
          <w:sz w:val="16"/>
          <w:szCs w:val="16"/>
          <w:color w:val="auto"/>
        </w:rPr>
      </w:pPr>
    </w:p>
    <w:p>
      <w:pPr>
        <w:jc w:val="both"/>
        <w:ind w:left="660" w:right="299" w:hanging="8"/>
        <w:spacing w:after="0" w:line="273" w:lineRule="auto"/>
        <w:tabs>
          <w:tab w:leader="none" w:pos="92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neither Parent nor any of its Subsidiaries nor, to the Knowledge of Parent, any Third Party has violated any provision of, or failed to perform any obligation required under the provisions of, any Parent Material Contract; and (iii) neither Parent nor any of its Subsidiaries nor, to the Knowledge of Parent, any Third Party is in breach, or has received written notice of breach, of any Parent Material Contract.</w:t>
      </w:r>
    </w:p>
    <w:p>
      <w:pPr>
        <w:spacing w:after="0" w:line="68"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Parent Material Adverse Effect, all material insurance policies of Parent and its Subsidiaries are in full force and effect and provide insurance in such amounts and against such risks as Parent reasonably has determined to be prudent, taking into account the industries in which Parent and its Subsidiaries operate, and as is sufficient to comply with applicable Law. As of the date of this Agreement, except as would not, individually or in the aggregate, reasonably be expected to have a Parent Material Adverse Effect, neither Parent nor any of its Subsidiaries is in breach or default, and neither Parent nor any of its Subsidiaries has taken any action or failed to take any action which, with notice or the lapse of time, would constitute such a breach or default, or permit termination or modification of, any of such insurance policies. As of the date hereof, except as would not, individually or in the aggregate, reasonably be expected to have a Parent Material Adverse Effect and to the Knowledge of Parent: (i) no insurer of any such policy has been declared insolvent or placed in receivership, conservatorship, or liquidation; and</w:t>
      </w:r>
    </w:p>
    <w:p>
      <w:pPr>
        <w:spacing w:after="0" w:line="4" w:lineRule="exact"/>
        <w:rPr>
          <w:sz w:val="20"/>
          <w:szCs w:val="20"/>
          <w:color w:val="auto"/>
        </w:rPr>
      </w:pPr>
    </w:p>
    <w:p>
      <w:pPr>
        <w:ind w:left="300" w:right="319" w:hanging="8"/>
        <w:spacing w:after="0" w:line="260" w:lineRule="auto"/>
        <w:tabs>
          <w:tab w:leader="none" w:pos="57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notice of cancellation or termination, other than pursuant to the expiration of a term in accordance with the terms thereof, has been received with respect to any such policy.</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or on behalf of Parent for inclusion or incorporation by reference in the Form F-4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Parent for inclusion or incorporation by reference in the Company Proxy Statement and in the EGM Notice will, at the date it is first mailed to the Company’s and Parent’s stockholders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Notwithstanding the foregoing, no representation or warranty is made by Parent with respect to statements made or incorporated by reference therein based on information that was not supplied by or on behalf of Parent.</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Anti-Corruption Matters</w:t>
      </w:r>
      <w:r>
        <w:rPr>
          <w:rFonts w:ascii="Arial" w:cs="Arial" w:eastAsia="Arial" w:hAnsi="Arial"/>
          <w:sz w:val="17"/>
          <w:szCs w:val="17"/>
          <w:color w:val="auto"/>
        </w:rPr>
        <w:t>. Except as would not, individually or in the aggregate, be material to Parent and its Subsidiaries, taken as a whole, since January 1, 2018, none of Parent, any of its Subsidiaries or any director, officer or, to the Knowledge of Parent, employee or agent of Parent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Parent nor any of its Subsidiaries has disclosed to any Governmental Entity that it violated or may have violated any Law relating to anti-corruption, bribery, or similar matters. To the Knowledge of Parent, no Governmental Entity is investigating, examining, or reviewing Parent’s compliance with any applicable provisions of any Law relating to anti-corruption, bribery, or similar matters. Parent and its Subsidiaries have instituted, maintain and enforce policies and procedures reasonably designed to comply with all applicable anti-bribery and anti-corruption laws.</w:t>
      </w:r>
    </w:p>
    <w:p>
      <w:pPr>
        <w:spacing w:after="0" w:line="7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Neither Parent nor any of its Subsidiaries, nor, to the Knowledge of Parent, any directors, officers, employees, or Representatives acting on behalf of Parent or any of its Subsidiaries is currently the subject or the target of any Sanctions, nor is Parent or any of its Subsidiaries located, organized or resident in a Sanctioned Country. During the five-year period ending on the date hereof, Parent and its Subsidiaries have not engaged in and are not now engaged in any dealings or transactions with any person that at the time of the dealing or transaction is or was the subject or the target of Sanctions or with any Sanctioned Country.</w:t>
      </w:r>
    </w:p>
    <w:p>
      <w:pPr>
        <w:spacing w:after="0" w:line="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u w:val="single" w:color="auto"/>
          <w:color w:val="auto"/>
        </w:rPr>
        <w:t>Health Care Laws</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5" w:name="page296"/>
    <w:bookmarkEnd w:id="29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4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Parent Material Adverse Effect, each of Parent and its Subsidiaries is and, since January 1, 2019, has been, in compliance with all Health Care Laws.</w:t>
      </w:r>
    </w:p>
    <w:p>
      <w:pPr>
        <w:spacing w:after="0" w:line="75"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Since January 1, 2019, neither Parent nor any of its Subsidiaries has received any notice or communication from any Governmental Entity of any noncompliance by, or liability of, Parent or its Subsidiaries under any Health Care Law that would reasonably be expected to have, individually or in the aggregate, a Parent Material Adverse Effect. Except as set forth in </w:t>
      </w:r>
      <w:r>
        <w:rPr>
          <w:rFonts w:ascii="Arial" w:cs="Arial" w:eastAsia="Arial" w:hAnsi="Arial"/>
          <w:sz w:val="18"/>
          <w:szCs w:val="18"/>
          <w:u w:val="single" w:color="auto"/>
          <w:color w:val="auto"/>
        </w:rPr>
        <w:t>Section 5.20(b)</w:t>
      </w:r>
      <w:r>
        <w:rPr>
          <w:rFonts w:ascii="Arial" w:cs="Arial" w:eastAsia="Arial" w:hAnsi="Arial"/>
          <w:sz w:val="18"/>
          <w:szCs w:val="18"/>
          <w:color w:val="auto"/>
        </w:rPr>
        <w:t xml:space="preserve"> of the Parent Disclosure Letter, since January 1, 2019, none of Parent, its Subsidiaries, or their respective directors, officers, employees and, to the Knowledge of Parent, agents, has been debarred, disqualified, suspended, or excluded from participation in any foreign, federal or state health care program or governmental program or under any Health Care Law.</w:t>
      </w:r>
    </w:p>
    <w:p>
      <w:pPr>
        <w:spacing w:after="0" w:line="83" w:lineRule="exact"/>
        <w:rPr>
          <w:rFonts w:ascii="Arial" w:cs="Arial" w:eastAsia="Arial" w:hAnsi="Arial"/>
          <w:sz w:val="18"/>
          <w:szCs w:val="18"/>
          <w:color w:val="auto"/>
        </w:rPr>
      </w:pPr>
    </w:p>
    <w:p>
      <w:pPr>
        <w:jc w:val="both"/>
        <w:ind w:left="660" w:right="299" w:firstLine="352"/>
        <w:spacing w:after="0" w:line="259" w:lineRule="auto"/>
        <w:tabs>
          <w:tab w:leader="none" w:pos="1399"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Section 5.20(c)</w:t>
      </w:r>
      <w:r>
        <w:rPr>
          <w:rFonts w:ascii="Arial" w:cs="Arial" w:eastAsia="Arial" w:hAnsi="Arial"/>
          <w:sz w:val="18"/>
          <w:szCs w:val="18"/>
          <w:color w:val="auto"/>
        </w:rPr>
        <w:t xml:space="preserve"> of the Parent Disclosure Letter, sets forth, with respect to Parent or any of its Subsidiaries (i) all Governmental Entity critical inspection findings resulting in FDA Form 483s, warning letters or other similar enforcement actions and (ii) all critical or similar findings by customers or regulators (including any Governmental Entity), for each of (i) and (ii) since January 1, 2019.</w:t>
      </w:r>
    </w:p>
    <w:p>
      <w:pPr>
        <w:spacing w:after="0" w:line="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6"/>
          <w:szCs w:val="16"/>
          <w:u w:val="single" w:color="auto"/>
          <w:color w:val="auto"/>
        </w:rPr>
        <w:t>Government Contracts</w:t>
      </w:r>
      <w:r>
        <w:rPr>
          <w:rFonts w:ascii="Arial" w:cs="Arial" w:eastAsia="Arial" w:hAnsi="Arial"/>
          <w:sz w:val="16"/>
          <w:szCs w:val="16"/>
          <w:color w:val="auto"/>
        </w:rPr>
        <w:t>. Except as (i) set forth in</w:t>
      </w:r>
      <w:r>
        <w:rPr>
          <w:rFonts w:ascii="Arial" w:cs="Arial" w:eastAsia="Arial" w:hAnsi="Arial"/>
          <w:sz w:val="16"/>
          <w:szCs w:val="16"/>
          <w:u w:val="single" w:color="auto"/>
          <w:color w:val="auto"/>
        </w:rPr>
        <w:t xml:space="preserve"> Section 5.21 </w:t>
      </w:r>
      <w:r>
        <w:rPr>
          <w:rFonts w:ascii="Arial" w:cs="Arial" w:eastAsia="Arial" w:hAnsi="Arial"/>
          <w:sz w:val="16"/>
          <w:szCs w:val="16"/>
          <w:color w:val="auto"/>
        </w:rPr>
        <w:t>of the Parent Disclosure Letter or</w:t>
      </w:r>
    </w:p>
    <w:p>
      <w:pPr>
        <w:spacing w:after="0" w:line="23" w:lineRule="exact"/>
        <w:rPr>
          <w:sz w:val="20"/>
          <w:szCs w:val="20"/>
          <w:color w:val="auto"/>
        </w:rPr>
      </w:pPr>
    </w:p>
    <w:p>
      <w:pPr>
        <w:jc w:val="both"/>
        <w:ind w:left="300" w:right="299" w:hanging="8"/>
        <w:spacing w:after="0" w:line="285" w:lineRule="auto"/>
        <w:tabs>
          <w:tab w:leader="none" w:pos="581"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would not reasonably be expected to have, individually or in the aggregate, a Parent Material Adverse Effect, since January 1, 2019, Parent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Parent Material Adverse Effect, since January 1, 2019, neither Parent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6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Fairness Opinion</w:t>
      </w:r>
      <w:r>
        <w:rPr>
          <w:rFonts w:ascii="Arial" w:cs="Arial" w:eastAsia="Arial" w:hAnsi="Arial"/>
          <w:sz w:val="16"/>
          <w:szCs w:val="16"/>
          <w:color w:val="auto"/>
        </w:rPr>
        <w:t>. Parent has received the opinion of Centerview Partners LLC, a Parent and US Holdco Financial Advisor that, as of the date of such opinion and based upon and subject to the various assumptions made, procedures followed and matters considered during, and qualifications and limitations on, the review undertaken in preparing such opinion as set forth therein, the Merger Consideration to be paid by Parent and its Subsidiaries as provided herein is fair, from a financial point of view, to Parent. Parent shall, as soon as practicable following the execution and delivery of this Agreement by all parties, furnish a copy of such written opinion to the Company solely for informational purposes (it being agreed that none of the Company or its Subsidiaries, nor any of their respective Affiliates or Representatives, shall have the right to rely on such opinion).</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5.23</w:t>
      </w:r>
      <w:r>
        <w:rPr>
          <w:sz w:val="20"/>
          <w:szCs w:val="20"/>
          <w:color w:val="auto"/>
        </w:rPr>
        <w:tab/>
      </w:r>
      <w:r>
        <w:rPr>
          <w:rFonts w:ascii="Arial" w:cs="Arial" w:eastAsia="Arial" w:hAnsi="Arial"/>
          <w:sz w:val="16"/>
          <w:szCs w:val="16"/>
          <w:u w:val="single" w:color="auto"/>
          <w:color w:val="auto"/>
        </w:rPr>
        <w:t>Debt Financing</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3" w:lineRule="auto"/>
        <w:tabs>
          <w:tab w:leader="none" w:pos="1399"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Commitment Letter</w:t>
      </w:r>
      <w:r>
        <w:rPr>
          <w:rFonts w:ascii="Arial" w:cs="Arial" w:eastAsia="Arial" w:hAnsi="Arial"/>
          <w:sz w:val="18"/>
          <w:szCs w:val="18"/>
          <w:color w:val="auto"/>
        </w:rPr>
        <w:t>. Parent has delivered to the Company a true, correct, and complete fully executed copy of the commitment letter, dated as of the date of this Agreement, among the Debt Financing Sources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Parent (as amended, modified, supplemented, extended, or replaced from time to time in compliance with this Agreement,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 and the Fee Letter (redacted in a manner as described below). Pursuant to, and subject to the terms and conditions of, the Commitment Letter, the Lenders have committed to lend the amounts set forth therein (the provision of such funds as set forth therein, the “</w:t>
      </w:r>
      <w:r>
        <w:rPr>
          <w:rFonts w:ascii="Arial" w:cs="Arial" w:eastAsia="Arial" w:hAnsi="Arial"/>
          <w:sz w:val="18"/>
          <w:szCs w:val="18"/>
          <w:u w:val="single" w:color="auto"/>
          <w:color w:val="auto"/>
        </w:rPr>
        <w:t>Debt Financing</w:t>
      </w:r>
      <w:r>
        <w:rPr>
          <w:rFonts w:ascii="Arial" w:cs="Arial" w:eastAsia="Arial" w:hAnsi="Arial"/>
          <w:sz w:val="18"/>
          <w:szCs w:val="18"/>
          <w:color w:val="auto"/>
        </w:rPr>
        <w:t>”) for the purposes set forth in the Commitment Letter. Parent has also delivered to the Company a true, correct, and complete copy of each fee letter (which may be redacted as to fee amounts and other economic terms so long as such redactions would not adversely affect the amount or conditionality of the Debt Financing) issued in connection with the Commitment Letter (collectively, the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660" w:right="299" w:firstLine="352"/>
        <w:spacing w:after="0" w:line="296" w:lineRule="auto"/>
        <w:tabs>
          <w:tab w:leader="none" w:pos="1410"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No Amendments; No Side Letters</w:t>
      </w:r>
      <w:r>
        <w:rPr>
          <w:rFonts w:ascii="Arial" w:cs="Arial" w:eastAsia="Arial" w:hAnsi="Arial"/>
          <w:sz w:val="16"/>
          <w:szCs w:val="16"/>
          <w:color w:val="auto"/>
        </w:rPr>
        <w:t>. The Commitment Letter has not been amended, restated, or otherwise modified or supplemented prior to the execution and delivery of this Agreement, and the respective commitments contained in the Commitment Letter have not been withdrawn, terminated, or rescinded, or otherwise modified in any respect prior to the execution and delivery of this Agreement (and, to the Knowledge of Parent, no such withdrawal, termination, rescission, or other modification is pending). As of the date of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6" w:name="page297"/>
    <w:bookmarkEnd w:id="29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4" w:lineRule="auto"/>
        <w:rPr>
          <w:sz w:val="20"/>
          <w:szCs w:val="20"/>
          <w:color w:val="auto"/>
        </w:rPr>
      </w:pPr>
      <w:r>
        <w:rPr>
          <w:rFonts w:ascii="Arial" w:cs="Arial" w:eastAsia="Arial" w:hAnsi="Arial"/>
          <w:sz w:val="17"/>
          <w:szCs w:val="17"/>
          <w:color w:val="auto"/>
        </w:rPr>
        <w:t>Agreement, there are no side letters or Contracts to which Parent, US Holdco or Merger Sub is a party related to the conditionality, funding, or consummation of the Debt Financing except for: (i) the Fee Letter;</w:t>
      </w:r>
    </w:p>
    <w:p>
      <w:pPr>
        <w:ind w:left="660" w:right="299" w:hanging="8"/>
        <w:spacing w:after="0" w:line="260" w:lineRule="auto"/>
        <w:tabs>
          <w:tab w:leader="none" w:pos="95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customary engagement letters for any Take-Out Financing; and (iii) customary agency fee letters with respect to the Debt Financing.</w:t>
      </w:r>
    </w:p>
    <w:p>
      <w:pPr>
        <w:spacing w:after="0" w:line="77" w:lineRule="exact"/>
        <w:rPr>
          <w:rFonts w:ascii="Arial" w:cs="Arial" w:eastAsia="Arial" w:hAnsi="Arial"/>
          <w:sz w:val="18"/>
          <w:szCs w:val="18"/>
          <w:color w:val="auto"/>
        </w:rPr>
      </w:pPr>
    </w:p>
    <w:p>
      <w:pPr>
        <w:jc w:val="both"/>
        <w:ind w:left="660" w:right="299" w:firstLine="352"/>
        <w:spacing w:after="0" w:line="275" w:lineRule="auto"/>
        <w:tabs>
          <w:tab w:leader="none" w:pos="1399"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As of the execution and delivery of this Agreement, the Commitment Letter is in full force and effect and constitutes the legal, valid, and binding obligation of Parent, and, to the Knowledge of Parent, the other parties thereto, enforceable in accordance with its terms against Parent and, to the Knowledge of Parent, each of the other parties thereto, subject to applicable bankruptcy, insolvency, moratorium, and other similar Laws affecting creditors’ rights generally and by general principles of equity.</w:t>
      </w:r>
    </w:p>
    <w:p>
      <w:pPr>
        <w:spacing w:after="0" w:line="68" w:lineRule="exact"/>
        <w:rPr>
          <w:rFonts w:ascii="Arial" w:cs="Arial" w:eastAsia="Arial" w:hAnsi="Arial"/>
          <w:sz w:val="17"/>
          <w:szCs w:val="17"/>
          <w:color w:val="auto"/>
        </w:rPr>
      </w:pPr>
    </w:p>
    <w:p>
      <w:pPr>
        <w:jc w:val="both"/>
        <w:ind w:left="660" w:right="299" w:firstLine="352"/>
        <w:spacing w:after="0" w:line="287" w:lineRule="auto"/>
        <w:tabs>
          <w:tab w:leader="none" w:pos="1410"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No Breaches or Defaults</w:t>
      </w:r>
      <w:r>
        <w:rPr>
          <w:rFonts w:ascii="Arial" w:cs="Arial" w:eastAsia="Arial" w:hAnsi="Arial"/>
          <w:sz w:val="16"/>
          <w:szCs w:val="16"/>
          <w:color w:val="auto"/>
        </w:rPr>
        <w:t xml:space="preserve">. As of the execution and delivery of this Agreement: (i) no event has occurred which would reasonably be expected to: (A) constitute a breach or default (or an event that with notice or lapse of time or both would constitute a breach or default) on the part of Parent or, to the Knowledge of Parent, any other applicable party to the Commitment Letter, or (B) result in a failure to satisfy any condition precedent under the Commitment Letter; and (ii) Parent does not have any reason to believe that any of the conditions to the funding of the full amount of the Debt Financing will not be satisfied at or prior to the Closing Date or that the Debt Financing or any other funds necessary for the satisfaction of all of Parent’s and Merger Sub’s obligations under this Agreement will not be available to Parent at or prior to the Closing Date, in each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assuming the satisfaction of the conditions to the Closing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9.02(b)</w:t>
      </w:r>
      <w:r>
        <w:rPr>
          <w:rFonts w:ascii="Arial" w:cs="Arial" w:eastAsia="Arial" w:hAnsi="Arial"/>
          <w:sz w:val="16"/>
          <w:szCs w:val="16"/>
          <w:color w:val="auto"/>
        </w:rPr>
        <w:t>. Parent has fully paid or caused to be fully paid all commitment fees or other fees to the extent required to be paid on or prior to the date of this Agreement in connection with the Debt Financing.</w:t>
      </w:r>
    </w:p>
    <w:p>
      <w:pPr>
        <w:spacing w:after="0" w:line="63" w:lineRule="exact"/>
        <w:rPr>
          <w:rFonts w:ascii="Arial" w:cs="Arial" w:eastAsia="Arial" w:hAnsi="Arial"/>
          <w:sz w:val="16"/>
          <w:szCs w:val="16"/>
          <w:color w:val="auto"/>
        </w:rPr>
      </w:pPr>
    </w:p>
    <w:p>
      <w:pPr>
        <w:jc w:val="both"/>
        <w:ind w:left="660" w:right="299" w:firstLine="352"/>
        <w:spacing w:after="0" w:line="269" w:lineRule="auto"/>
        <w:tabs>
          <w:tab w:leader="none" w:pos="1399"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Sufficiency of Financing</w:t>
      </w:r>
      <w:r>
        <w:rPr>
          <w:rFonts w:ascii="Arial" w:cs="Arial" w:eastAsia="Arial" w:hAnsi="Arial"/>
          <w:sz w:val="17"/>
          <w:szCs w:val="17"/>
          <w:color w:val="auto"/>
        </w:rPr>
        <w:t xml:space="preserve">. There are no conditions precedent related to the funding of the Debt Financing, other than as expressly set forth in the Commitment Letter. Assuming the satisfaction of the conditions to the Closing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and that the Debt Financing is funded in accordance with the Commitment Letter, the net proceeds of the Debt Financing, together with cash on hand and cash equivalents of Parent, US Holdco and Merger Sub and any Escrowed Take-Out Financing Proceeds, will, in the aggregate, be sufficient for the payment of all amounts required under the terms of this Agreement to be paid by Parent, US Holdco or Merger Sub in cash in connection with the Merger and the other transactions contemplated by this Agreement (collectively, the “</w:t>
      </w:r>
      <w:r>
        <w:rPr>
          <w:rFonts w:ascii="Arial" w:cs="Arial" w:eastAsia="Arial" w:hAnsi="Arial"/>
          <w:sz w:val="17"/>
          <w:szCs w:val="17"/>
          <w:u w:val="single" w:color="auto"/>
          <w:color w:val="auto"/>
        </w:rPr>
        <w:t>Required Amount</w:t>
      </w:r>
      <w:r>
        <w:rPr>
          <w:rFonts w:ascii="Arial" w:cs="Arial" w:eastAsia="Arial" w:hAnsi="Arial"/>
          <w:sz w:val="17"/>
          <w:szCs w:val="17"/>
          <w:color w:val="auto"/>
        </w:rPr>
        <w:t>”). Parent and US Holdco acknowledge and agree that it is not a condition to the Closing or to any of the obligations under this Agreement that Parent and US Holdco obtain the Debt Financing, the Take-Out Financing or any other financing for or relating to the Merger or the other transactions contemplated by this Agreement.</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Merger Sub; US Holdco</w:t>
      </w:r>
      <w:r>
        <w:rPr>
          <w:rFonts w:ascii="Arial" w:cs="Arial" w:eastAsia="Arial" w:hAnsi="Arial"/>
          <w:sz w:val="18"/>
          <w:szCs w:val="18"/>
          <w:color w:val="auto"/>
        </w:rPr>
        <w:t>. (a) Merger Sub has engaged in no business activities other than those related to the transactions contemplated by this Agreement and (b) each of Merger Sub and US Holdco is a wholly owned Subsidiary of Parent.</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5.25 </w:t>
      </w:r>
      <w:r>
        <w:rPr>
          <w:rFonts w:ascii="Arial" w:cs="Arial" w:eastAsia="Arial" w:hAnsi="Arial"/>
          <w:sz w:val="17"/>
          <w:szCs w:val="17"/>
          <w:u w:val="single" w:color="auto"/>
          <w:color w:val="auto"/>
        </w:rPr>
        <w:t>No Additional Representations</w:t>
      </w:r>
      <w:r>
        <w:rPr>
          <w:rFonts w:ascii="Arial" w:cs="Arial" w:eastAsia="Arial" w:hAnsi="Arial"/>
          <w:sz w:val="17"/>
          <w:szCs w:val="17"/>
          <w:color w:val="auto"/>
        </w:rPr>
        <w:t xml:space="preserve">. Parent and US Holdco acknowledge and agree that, except for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in any certificate delivered by the Company pursuant to this Agreement (a) the Company doesn’t make, nor has made, and Parent and US Holdco have not relied on, any representations or warranties relating to the Company or its business or otherwise, (b) no person has been authorized by the Company to make any representation or warranty relating to itself or its business or otherwise in connection with the transactions contemplated by this Agreement, and if made, such representation or warranty must not be relied upon by Parent or US Holdco as having been authorized by such party and (c) any estimates, projections, predictions, data, financial information, memoranda, presentations or any other materials or information provided or addressed to Parent, US Holdco or any of their respective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foregoing, Parent and US Holdco acknowledge and agree that, except for any remedies available under this Agreement with respect to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(as qualified by the Company Disclosure Letter) neither the Company nor any other Person will have or be subject to any Liability or other obligation to Parent, US Holdco or their respective Representatives or Affiliates or any other Person resulting from Parent’s, US Holdco’s or their respective Representatives’ or Affiliates’ use of any information, documents, projections, forecasts or other material made available to Parent or its Representatives or Affiliates in connection with the transactions contemplated by this Agreement. Notwithstanding the foregoing, nothing in this </w:t>
      </w:r>
      <w:r>
        <w:rPr>
          <w:rFonts w:ascii="Arial" w:cs="Arial" w:eastAsia="Arial" w:hAnsi="Arial"/>
          <w:sz w:val="17"/>
          <w:szCs w:val="17"/>
          <w:u w:val="single" w:color="auto"/>
          <w:color w:val="auto"/>
        </w:rPr>
        <w:t>Section 5.26</w:t>
      </w:r>
      <w:r>
        <w:rPr>
          <w:rFonts w:ascii="Arial" w:cs="Arial" w:eastAsia="Arial" w:hAnsi="Arial"/>
          <w:sz w:val="17"/>
          <w:szCs w:val="17"/>
          <w:color w:val="auto"/>
        </w:rPr>
        <w:t xml:space="preserve"> is intended or shall be deemed to have the effect of eliminating, limiting or restricting in any way any Person’s rights or remedies in the event of fraud. Parent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7" w:name="page298"/>
    <w:bookmarkEnd w:id="29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has conducted its own independent investigation of the Company and its Subsidiaries and the transactions contemplated hereby and have had an opportunity to discuss and ask questions regarding the Company’s and its Subsidiaries’ businesses with the management of the Company.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660" w:right="3099" w:firstLine="2442"/>
        <w:spacing w:after="0" w:line="385" w:lineRule="auto"/>
        <w:rPr>
          <w:sz w:val="20"/>
          <w:szCs w:val="20"/>
          <w:color w:val="auto"/>
        </w:rPr>
      </w:pPr>
      <w:r>
        <w:rPr>
          <w:rFonts w:ascii="Arial" w:cs="Arial" w:eastAsia="Arial" w:hAnsi="Arial"/>
          <w:sz w:val="18"/>
          <w:szCs w:val="18"/>
          <w:b w:val="1"/>
          <w:bCs w:val="1"/>
          <w:color w:val="auto"/>
        </w:rPr>
        <w:t xml:space="preserve">COVENANTS OF THE COMPANY </w:t>
      </w: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w:t>
      </w:r>
    </w:p>
    <w:p>
      <w:pPr>
        <w:spacing w:after="0" w:line="1" w:lineRule="exact"/>
        <w:rPr>
          <w:sz w:val="20"/>
          <w:szCs w:val="20"/>
          <w:color w:val="auto"/>
        </w:rPr>
      </w:pPr>
    </w:p>
    <w:p>
      <w:pPr>
        <w:jc w:val="both"/>
        <w:ind w:left="660" w:right="299" w:firstLine="352"/>
        <w:spacing w:after="0" w:line="290" w:lineRule="auto"/>
        <w:tabs>
          <w:tab w:leader="none" w:pos="140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During the period from the date of this Agreement until the earlier of the termination of the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the Effective Time (such period of time, the “</w:t>
      </w:r>
      <w:r>
        <w:rPr>
          <w:rFonts w:ascii="Arial" w:cs="Arial" w:eastAsia="Arial" w:hAnsi="Arial"/>
          <w:sz w:val="16"/>
          <w:szCs w:val="16"/>
          <w:u w:val="single" w:color="auto"/>
          <w:color w:val="auto"/>
        </w:rPr>
        <w:t>Interim Period</w:t>
      </w:r>
      <w:r>
        <w:rPr>
          <w:rFonts w:ascii="Arial" w:cs="Arial" w:eastAsia="Arial" w:hAnsi="Arial"/>
          <w:sz w:val="16"/>
          <w:szCs w:val="16"/>
          <w:color w:val="auto"/>
        </w:rPr>
        <w:t>”), the Company shall, and shall cause each of its Subsidiaries, except (i) as expressly permitted or required by this Agreement, (ii) as required by applicable Law, (iii) in connection with a Company COVID Action or (iv) with the prior written consent of Parent and US Holdco (which consent shall not be unreasonably withheld, conditioned, or delayed), to use reasonable best efforts to operate in the ordinary course of business. Notwithstanding the foregoing, the Company and its Subsidiaries shall be permitted to take, and nothing in this Agreement shall prohibit the Company or its Subsidiaries from taking, any Company COVID Action.</w:t>
      </w:r>
    </w:p>
    <w:p>
      <w:pPr>
        <w:spacing w:after="0" w:line="57" w:lineRule="exact"/>
        <w:rPr>
          <w:rFonts w:ascii="Arial" w:cs="Arial" w:eastAsia="Arial" w:hAnsi="Arial"/>
          <w:sz w:val="16"/>
          <w:szCs w:val="16"/>
          <w:color w:val="auto"/>
        </w:rPr>
      </w:pPr>
    </w:p>
    <w:p>
      <w:pPr>
        <w:jc w:val="both"/>
        <w:ind w:left="660" w:right="299" w:firstLine="352"/>
        <w:spacing w:after="0" w:line="296" w:lineRule="auto"/>
        <w:tabs>
          <w:tab w:leader="none" w:pos="140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of the Company Disclosure Letter, (C) as required by and not in contravention of applicable Law or (D) in connection with a Company COVID Action, the Company shall not, nor shall it permit any of its Subsidiaries to, without the prior written consent of Parent (which consent shall not be unreasonably withheld, conditioned, or delayed):</w:t>
      </w:r>
    </w:p>
    <w:p>
      <w:pPr>
        <w:spacing w:after="0" w:line="53" w:lineRule="exact"/>
        <w:rPr>
          <w:rFonts w:ascii="Arial" w:cs="Arial" w:eastAsia="Arial" w:hAnsi="Arial"/>
          <w:sz w:val="16"/>
          <w:szCs w:val="16"/>
          <w:color w:val="auto"/>
        </w:rPr>
      </w:pPr>
    </w:p>
    <w:p>
      <w:pPr>
        <w:ind w:left="1020" w:right="299" w:firstLine="352"/>
        <w:spacing w:after="0" w:line="277" w:lineRule="auto"/>
        <w:tabs>
          <w:tab w:leader="none" w:pos="173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amend or propose to amend the respective Charter Documents of the Company or its Subsidiaries (whether by merger, consolidation or otherwise);</w:t>
      </w:r>
    </w:p>
    <w:p>
      <w:pPr>
        <w:spacing w:after="0" w:line="62" w:lineRule="exact"/>
        <w:rPr>
          <w:rFonts w:ascii="Arial" w:cs="Arial" w:eastAsia="Arial" w:hAnsi="Arial"/>
          <w:sz w:val="18"/>
          <w:szCs w:val="18"/>
          <w:color w:val="auto"/>
        </w:rPr>
      </w:pPr>
    </w:p>
    <w:p>
      <w:pPr>
        <w:jc w:val="both"/>
        <w:ind w:left="1020" w:right="299" w:firstLine="352"/>
        <w:spacing w:after="0" w:line="257" w:lineRule="auto"/>
        <w:tabs>
          <w:tab w:leader="none" w:pos="17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of arrangement, tender offer or dissolution of the Company or any of its Subsidiaries, file a petition in bankruptcy under any provisions of federal or state bankruptcy Law on behalf of the Company or any of its Subsidiaries or consent to the filing of any bankruptcy petition against the Company or any of its material Subsidiaries under any similar applicable Law;</w:t>
      </w:r>
    </w:p>
    <w:p>
      <w:pPr>
        <w:spacing w:after="0" w:line="79" w:lineRule="exact"/>
        <w:rPr>
          <w:rFonts w:ascii="Arial" w:cs="Arial" w:eastAsia="Arial" w:hAnsi="Arial"/>
          <w:sz w:val="18"/>
          <w:szCs w:val="18"/>
          <w:color w:val="auto"/>
        </w:rPr>
      </w:pPr>
    </w:p>
    <w:p>
      <w:pPr>
        <w:jc w:val="both"/>
        <w:ind w:left="1020" w:right="299" w:firstLine="352"/>
        <w:spacing w:after="0" w:line="286" w:lineRule="auto"/>
        <w:tabs>
          <w:tab w:leader="none" w:pos="183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(A) split, combine, or reclassify or otherwise amend the terms of any Company Securities or Company Subsidiary Securities, (B) repurchase, redeem, or otherwise acquire, or offer to repurchase, redeem, or otherwise acquire, any Company Securities or Company Subsidiary Securities (other than for purposes of effecting a net exercise or settlement or net share withholding, in satisfaction of any exercise price or required tax withholdings, under, or in connection with the forfeiture of, any Company Equity Award outstanding on the date of this Agreement), (C) issue or authorize the issuance of any other securities in respect of, in lieu of or in substitution for, shares of capital stock of the Company or any of its Subsidiaries (other than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6"/>
          <w:szCs w:val="16"/>
          <w:u w:val="single" w:color="auto"/>
          <w:color w:val="auto"/>
        </w:rPr>
        <w:t>Section 3.07(c)</w:t>
      </w:r>
      <w:r>
        <w:rPr>
          <w:rFonts w:ascii="Arial" w:cs="Arial" w:eastAsia="Arial" w:hAnsi="Arial"/>
          <w:sz w:val="16"/>
          <w:szCs w:val="16"/>
          <w:color w:val="auto"/>
        </w:rPr>
        <w:t>) or (D)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65" w:lineRule="exact"/>
        <w:rPr>
          <w:rFonts w:ascii="Arial" w:cs="Arial" w:eastAsia="Arial" w:hAnsi="Arial"/>
          <w:sz w:val="16"/>
          <w:szCs w:val="16"/>
          <w:color w:val="auto"/>
        </w:rPr>
      </w:pPr>
    </w:p>
    <w:p>
      <w:pPr>
        <w:jc w:val="both"/>
        <w:ind w:left="1020" w:right="299" w:firstLine="352"/>
        <w:spacing w:after="0" w:line="255" w:lineRule="auto"/>
        <w:tabs>
          <w:tab w:leader="none" w:pos="18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issue, sell, pledge, dispose of, transfer, lease, grant any Lien on, or otherwise encumber or enter into any Contract or other agreement with respect to any Company Securities or Company Subsidiary Securities, other than the issuance of shares of Company Common Stock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8"/>
          <w:szCs w:val="18"/>
          <w:u w:val="single" w:color="auto"/>
          <w:color w:val="auto"/>
        </w:rPr>
        <w:t>Section 3.07(c)</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1020" w:right="299" w:firstLine="352"/>
        <w:spacing w:after="0" w:line="255" w:lineRule="auto"/>
        <w:tabs>
          <w:tab w:leader="none" w:pos="177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except as required by applicable Law or the terms of any Company Employee Plan as in effect as of the date of this Agreement (i) increase the compensation payable or that could become payable by the Company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8" w:name="page299"/>
    <w:bookmarkEnd w:id="29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3" w:lineRule="auto"/>
        <w:rPr>
          <w:sz w:val="20"/>
          <w:szCs w:val="20"/>
          <w:color w:val="auto"/>
        </w:rPr>
      </w:pPr>
      <w:r>
        <w:rPr>
          <w:rFonts w:ascii="Arial" w:cs="Arial" w:eastAsia="Arial" w:hAnsi="Arial"/>
          <w:sz w:val="16"/>
          <w:szCs w:val="16"/>
          <w:color w:val="auto"/>
        </w:rPr>
        <w:t>positions at the level of Vice President or above, or (iii) establish, adopt, enter into, amend, terminate, or take any action to grant or accelerate vesting, payment or other rights or awards (including any action to accelerate the vesting or exercisability of any Company Equity Award or other equity-based or long-term incentive compensation award) under any Company Employee Plans or any plan, agreement, program, policy, trust, fund, or other arrangement that would be a Company Employee Plan if it were in existence as of the date of this Agreement, or make any contribution to any Company Employee Plan;</w:t>
      </w:r>
    </w:p>
    <w:p>
      <w:pPr>
        <w:spacing w:after="0" w:line="56" w:lineRule="exact"/>
        <w:rPr>
          <w:sz w:val="20"/>
          <w:szCs w:val="20"/>
          <w:color w:val="auto"/>
        </w:rPr>
      </w:pPr>
    </w:p>
    <w:p>
      <w:pPr>
        <w:jc w:val="both"/>
        <w:ind w:left="1020" w:right="299" w:firstLine="352"/>
        <w:spacing w:after="0" w:line="272" w:lineRule="auto"/>
        <w:tabs>
          <w:tab w:leader="none" w:pos="18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directly or indirectly acquire or purchase, or agree to acquire or purchase, by merger, consolidation, acquisition of stock or assets, business combination or otherwise, (A) any business or Person or division thereof or (B) any assets, real property, or personal property, in each case of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other than acquisitions or purchases of (1) in the ordinary course of business consistent with past practice with a sale price or market value not in excess of $10,000,000 in the aggregate for all such acquisitions during the Interim Period or (2) raw materials, supplies, equipment and inventory in the ordinary course of business consistent with past practice;</w:t>
      </w:r>
    </w:p>
    <w:p>
      <w:pPr>
        <w:spacing w:after="0" w:line="69" w:lineRule="exact"/>
        <w:rPr>
          <w:rFonts w:ascii="Arial" w:cs="Arial" w:eastAsia="Arial" w:hAnsi="Arial"/>
          <w:sz w:val="17"/>
          <w:szCs w:val="17"/>
          <w:color w:val="auto"/>
        </w:rPr>
      </w:pPr>
    </w:p>
    <w:p>
      <w:pPr>
        <w:jc w:val="both"/>
        <w:ind w:left="1020" w:right="299" w:firstLine="352"/>
        <w:spacing w:after="0" w:line="273" w:lineRule="auto"/>
        <w:tabs>
          <w:tab w:leader="none" w:pos="187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make any material capital investment in or material loan or advance to, or forgive any material loan to, any other Person, except (A) for loans, capital contributions, advances or investments between the Company and any wholly owned Subsidiary thereof or between wholly owned Subsidiaries of the Company and (B) advances to employees and consultants for travel and other business-related expenses in the ordinary course of business consistent with past practice and in compliance with the Company’s policies related thereto in effect on the date hereof;</w:t>
      </w:r>
    </w:p>
    <w:p>
      <w:pPr>
        <w:spacing w:after="0" w:line="69" w:lineRule="exact"/>
        <w:rPr>
          <w:rFonts w:ascii="Arial" w:cs="Arial" w:eastAsia="Arial" w:hAnsi="Arial"/>
          <w:sz w:val="17"/>
          <w:szCs w:val="17"/>
          <w:color w:val="auto"/>
        </w:rPr>
      </w:pPr>
    </w:p>
    <w:p>
      <w:pPr>
        <w:jc w:val="both"/>
        <w:ind w:left="1020" w:right="299" w:firstLine="352"/>
        <w:spacing w:after="0" w:line="269" w:lineRule="auto"/>
        <w:tabs>
          <w:tab w:leader="none" w:pos="19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(A)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the Company, or any business thereof, with a sale price or fair market value in excess of $10,000,000 in the aggregate during the Interim Period;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prohibit the Company and its Subsidiaries from transferring, selling, leasing, or disposing of obsolete equipment or assets being replaced, or granting non-exclusive licenses or sublicenses under the Company IP, in each case in the ordinary course of business consistent with past practice, or (B) adopt or effect a plan of complete or partial liquidation, dissolution, restructuring, recapitalization, or other reorganization;</w:t>
      </w:r>
    </w:p>
    <w:p>
      <w:pPr>
        <w:spacing w:after="0" w:line="77" w:lineRule="exact"/>
        <w:rPr>
          <w:rFonts w:ascii="Arial" w:cs="Arial" w:eastAsia="Arial" w:hAnsi="Arial"/>
          <w:sz w:val="17"/>
          <w:szCs w:val="17"/>
          <w:color w:val="auto"/>
        </w:rPr>
      </w:pPr>
    </w:p>
    <w:p>
      <w:pPr>
        <w:jc w:val="both"/>
        <w:ind w:left="1020" w:right="299" w:firstLine="352"/>
        <w:spacing w:after="0" w:line="270" w:lineRule="auto"/>
        <w:tabs>
          <w:tab w:leader="none" w:pos="18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repurchase, prepay, assume or incur any Indebtedness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or borrowings under any existing revolving facility or receivables facility) that do not, at any time, exceed $10,000,000 in the aggregate;</w:t>
      </w:r>
    </w:p>
    <w:p>
      <w:pPr>
        <w:spacing w:after="0" w:line="72" w:lineRule="exact"/>
        <w:rPr>
          <w:rFonts w:ascii="Arial" w:cs="Arial" w:eastAsia="Arial" w:hAnsi="Arial"/>
          <w:sz w:val="17"/>
          <w:szCs w:val="17"/>
          <w:color w:val="auto"/>
        </w:rPr>
      </w:pPr>
    </w:p>
    <w:p>
      <w:pPr>
        <w:jc w:val="both"/>
        <w:ind w:left="1020" w:right="299" w:firstLine="352"/>
        <w:spacing w:after="0" w:line="286" w:lineRule="auto"/>
        <w:tabs>
          <w:tab w:leader="none" w:pos="177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(A) enter into or amend or modify in any material respect (including extending the term of any Lease), or consent to the acceleration, cancelation or termination of (other than at its stated expiry date), any Company Material Contract or any Lease with respect to Real Estate or any other Contract or Lease that, if in effect as of the date hereof would constitute a Company Material Contract or Lease with respect to Real Estate hereunder (other than extensions to any existing Lease that would have the effect of extending the term of such Lease to a date not to exceed the date twelve (12) months from the date of this Agreement), or (B) enter into any Contract with respect to any Company IT System with a term of greater than twelve (12) months or annual spend in excess of $500,000 per year or amend or modify any existing Contract with respect to any Company IT System that would have the effect of extending the term of, or commitment under, such Contract for a period that would exceed twelve (12) months from the date of this Agreement or increasing annual spend under such contract to be in excess of $500,000 per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(x) shall not apply to any Contract described in clauses (xi) or (xii) of the definition of Company Material Contract so long as such any such changes as described above are made in the ordinary course of business substantially consistent with past practice;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9" w:name="page300"/>
    <w:bookmarkEnd w:id="29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85" w:lineRule="auto"/>
        <w:tabs>
          <w:tab w:leader="none" w:pos="18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settle, pay, discharge or satisfy any Legal Action (or agree to do any of the foregoing), other than any settlement, payment, discharge or satisfaction that (A) does not relate to any Transaction Litigation (with respect to which any settlements, releases, waivers or compromises shall be subject to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and (B) (1) either (x) results solely in a monetary obligation involving only the payment of monies by the Company or its Subsidiaries of not more than $10,000,000 individually or $15,000,000 in the aggregate (as well as related non-substantive incidental provisions and other remedies or obligations that are not material in the context of the applicable resolution), individually or in the aggregate for all such Legal Actions (excluding any settlements made under the following </w:t>
      </w:r>
      <w:r>
        <w:rPr>
          <w:rFonts w:ascii="Arial" w:cs="Arial" w:eastAsia="Arial" w:hAnsi="Arial"/>
          <w:sz w:val="16"/>
          <w:szCs w:val="16"/>
          <w:u w:val="single" w:color="auto"/>
          <w:color w:val="auto"/>
        </w:rPr>
        <w:t>clause (y)</w:t>
      </w:r>
      <w:r>
        <w:rPr>
          <w:rFonts w:ascii="Arial" w:cs="Arial" w:eastAsia="Arial" w:hAnsi="Arial"/>
          <w:sz w:val="16"/>
          <w:szCs w:val="16"/>
          <w:color w:val="auto"/>
        </w:rPr>
        <w:t>), or (y) results solely in a monetary obligation that is funded by an indemnity obligation to, or an insurance policy of, the Company or any of its Subsidiaries and the payment of monies by the Company 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(2) does not involve any admission of guilt or impose any material restrictions or material limitations upon the operations or business of or other conduct remedy or injunctive relief applicable to the Company or any of its Subsidiaries, whether before, on or after the Effective Time;</w:t>
      </w:r>
    </w:p>
    <w:p>
      <w:pPr>
        <w:spacing w:after="0" w:line="68" w:lineRule="exact"/>
        <w:rPr>
          <w:rFonts w:ascii="Arial" w:cs="Arial" w:eastAsia="Arial" w:hAnsi="Arial"/>
          <w:sz w:val="16"/>
          <w:szCs w:val="16"/>
          <w:color w:val="auto"/>
        </w:rPr>
      </w:pPr>
    </w:p>
    <w:p>
      <w:pPr>
        <w:ind w:left="1020" w:right="299" w:firstLine="352"/>
        <w:spacing w:after="0" w:line="308" w:lineRule="auto"/>
        <w:tabs>
          <w:tab w:leader="none" w:pos="187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make any material change in any method of financial accounting principles or practices, in each case except for any such change required by a change in GAAP or applicable Law;</w:t>
      </w:r>
    </w:p>
    <w:p>
      <w:pPr>
        <w:spacing w:after="0" w:line="38" w:lineRule="exact"/>
        <w:rPr>
          <w:rFonts w:ascii="Arial" w:cs="Arial" w:eastAsia="Arial" w:hAnsi="Arial"/>
          <w:sz w:val="17"/>
          <w:szCs w:val="17"/>
          <w:color w:val="auto"/>
        </w:rPr>
      </w:pPr>
    </w:p>
    <w:p>
      <w:pPr>
        <w:ind w:left="1920" w:hanging="548"/>
        <w:spacing w:after="0"/>
        <w:tabs>
          <w:tab w:leader="none" w:pos="19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amend any material Tax Return;</w:t>
      </w:r>
    </w:p>
    <w:p>
      <w:pPr>
        <w:spacing w:after="0" w:line="46" w:lineRule="exact"/>
        <w:rPr>
          <w:rFonts w:ascii="Arial" w:cs="Arial" w:eastAsia="Arial" w:hAnsi="Arial"/>
          <w:sz w:val="16"/>
          <w:szCs w:val="16"/>
          <w:color w:val="auto"/>
        </w:rPr>
      </w:pPr>
    </w:p>
    <w:p>
      <w:pPr>
        <w:jc w:val="both"/>
        <w:ind w:left="1020" w:right="299" w:hanging="8"/>
        <w:spacing w:after="0" w:line="292" w:lineRule="auto"/>
        <w:tabs>
          <w:tab w:leader="none" w:pos="1316" w:val="left"/>
        </w:tabs>
        <w:numPr>
          <w:ilvl w:val="0"/>
          <w:numId w:val="336"/>
        </w:numPr>
        <w:rPr>
          <w:rFonts w:ascii="Arial" w:cs="Arial" w:eastAsia="Arial" w:hAnsi="Arial"/>
          <w:sz w:val="16"/>
          <w:szCs w:val="16"/>
          <w:color w:val="auto"/>
        </w:rPr>
      </w:pPr>
      <w:r>
        <w:rPr>
          <w:rFonts w:ascii="Arial" w:cs="Arial" w:eastAsia="Arial" w:hAnsi="Arial"/>
          <w:sz w:val="16"/>
          <w:szCs w:val="16"/>
          <w:color w:val="auto"/>
        </w:rPr>
        <w:t>make, change or revoke any Tax accounting method; (D) enter into any closing or similar agreement regarding any material Tax liability or assessment; (E) enter into or materially change or terminate any Tax Sharing Obligation; (F) settle or resolve any controversy that relates to a material amount of Taxes; (G) consent to any extension or waiver of the limitation period applicable to any material Tax audit, material Tax assessment or other material Tax matter; or (H) surrender any right to claim a material Tax refund;</w:t>
      </w:r>
    </w:p>
    <w:p>
      <w:pPr>
        <w:spacing w:after="0" w:line="54" w:lineRule="exact"/>
        <w:rPr>
          <w:rFonts w:ascii="Arial" w:cs="Arial" w:eastAsia="Arial" w:hAnsi="Arial"/>
          <w:sz w:val="16"/>
          <w:szCs w:val="16"/>
          <w:color w:val="auto"/>
        </w:rPr>
      </w:pPr>
    </w:p>
    <w:p>
      <w:pPr>
        <w:ind w:left="1020" w:right="319" w:firstLine="352"/>
        <w:spacing w:after="0" w:line="308" w:lineRule="auto"/>
        <w:tabs>
          <w:tab w:leader="none" w:pos="1909" w:val="left"/>
        </w:tabs>
        <w:numPr>
          <w:ilvl w:val="1"/>
          <w:numId w:val="336"/>
        </w:numPr>
        <w:rPr>
          <w:rFonts w:ascii="Arial" w:cs="Arial" w:eastAsia="Arial" w:hAnsi="Arial"/>
          <w:sz w:val="17"/>
          <w:szCs w:val="17"/>
          <w:color w:val="auto"/>
        </w:rPr>
      </w:pPr>
      <w:r>
        <w:rPr>
          <w:rFonts w:ascii="Arial" w:cs="Arial" w:eastAsia="Arial" w:hAnsi="Arial"/>
          <w:sz w:val="17"/>
          <w:szCs w:val="17"/>
          <w:color w:val="auto"/>
        </w:rPr>
        <w:t>enter into any material agreement, agreement in principle, letter of intent, memorandum of understanding, or similar Contract with respect to any joint venture, strategic partnership, or alliance;</w:t>
      </w:r>
    </w:p>
    <w:p>
      <w:pPr>
        <w:spacing w:after="0" w:line="38" w:lineRule="exact"/>
        <w:rPr>
          <w:rFonts w:ascii="Arial" w:cs="Arial" w:eastAsia="Arial" w:hAnsi="Arial"/>
          <w:sz w:val="17"/>
          <w:szCs w:val="17"/>
          <w:color w:val="auto"/>
        </w:rPr>
      </w:pPr>
    </w:p>
    <w:p>
      <w:pPr>
        <w:jc w:val="both"/>
        <w:ind w:left="1020" w:right="299" w:firstLine="352"/>
        <w:spacing w:after="0" w:line="257" w:lineRule="auto"/>
        <w:tabs>
          <w:tab w:leader="none" w:pos="186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except in connection with actions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hereof, take any action to exempt any Person from, or make any acquisition of securities of the Company by any Person not subject to the restrictions on “business combinations” set forth in Section 203 of the DGCL, except for Parent, Merger Sub, or any of their respective Subsidiaries or Affiliates, or the transactions contemplated by this Agreement;</w:t>
      </w:r>
    </w:p>
    <w:p>
      <w:pPr>
        <w:spacing w:after="0" w:line="79" w:lineRule="exact"/>
        <w:rPr>
          <w:rFonts w:ascii="Arial" w:cs="Arial" w:eastAsia="Arial" w:hAnsi="Arial"/>
          <w:sz w:val="18"/>
          <w:szCs w:val="18"/>
          <w:color w:val="auto"/>
        </w:rPr>
      </w:pPr>
    </w:p>
    <w:p>
      <w:pPr>
        <w:jc w:val="both"/>
        <w:ind w:left="1020" w:right="299" w:firstLine="352"/>
        <w:spacing w:after="0" w:line="254" w:lineRule="auto"/>
        <w:tabs>
          <w:tab w:leader="none" w:pos="190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 abandon, allow to lapse, sell, assign, transfer, grant any security interest in otherwise encumber or dispose of any material Company IP, or grant any right or license to any material Company IP other than pursuant to non-exclusive licenses or sublicenses entered into in the ordinary course of business consistent with past practice, or (B) make any investments in Company IT Systems that exceed, in the aggregate, the amounts set forth with respect to Company IT Systems in any budget or capital expenditure plan made available to Parent prior to the date hereof, other than investments in any Company IT System that are not material;</w:t>
      </w:r>
    </w:p>
    <w:p>
      <w:pPr>
        <w:spacing w:after="0" w:line="86" w:lineRule="exact"/>
        <w:rPr>
          <w:rFonts w:ascii="Arial" w:cs="Arial" w:eastAsia="Arial" w:hAnsi="Arial"/>
          <w:sz w:val="18"/>
          <w:szCs w:val="18"/>
          <w:color w:val="auto"/>
        </w:rPr>
      </w:pPr>
    </w:p>
    <w:p>
      <w:pPr>
        <w:ind w:left="1020" w:right="299" w:firstLine="352"/>
        <w:spacing w:after="0" w:line="277" w:lineRule="auto"/>
        <w:tabs>
          <w:tab w:leader="none" w:pos="195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200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spacing w:after="0" w:line="78" w:lineRule="exact"/>
        <w:rPr>
          <w:rFonts w:ascii="Arial" w:cs="Arial" w:eastAsia="Arial" w:hAnsi="Arial"/>
          <w:sz w:val="18"/>
          <w:szCs w:val="18"/>
          <w:color w:val="auto"/>
        </w:rPr>
      </w:pPr>
    </w:p>
    <w:p>
      <w:pPr>
        <w:jc w:val="both"/>
        <w:ind w:left="1020" w:right="319" w:firstLine="352"/>
        <w:spacing w:after="0" w:line="263" w:lineRule="auto"/>
        <w:tabs>
          <w:tab w:leader="none" w:pos="190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become a party to, establish, adopt, amend, commence participation in or terminate any collective bargaining agreement or other agreement with a labor union, works council or similar organization;</w:t>
      </w:r>
    </w:p>
    <w:p>
      <w:pPr>
        <w:spacing w:after="0" w:line="75" w:lineRule="exact"/>
        <w:rPr>
          <w:rFonts w:ascii="Arial" w:cs="Arial" w:eastAsia="Arial" w:hAnsi="Arial"/>
          <w:sz w:val="18"/>
          <w:szCs w:val="18"/>
          <w:color w:val="auto"/>
        </w:rPr>
      </w:pPr>
    </w:p>
    <w:p>
      <w:pPr>
        <w:jc w:val="both"/>
        <w:ind w:left="1020" w:right="299" w:firstLine="352"/>
        <w:spacing w:after="0" w:line="263" w:lineRule="auto"/>
        <w:tabs>
          <w:tab w:leader="none" w:pos="186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make any capital expenditures that exceed, in the aggregate, the aggregate capital expenditures set forth in a budget or a capital expenditure plan made available to Parent prior to the date hereof, other than capital expenditures that are not material;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0" w:name="page301"/>
    <w:bookmarkEnd w:id="30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firstLine="352"/>
        <w:spacing w:after="0" w:line="277" w:lineRule="auto"/>
        <w:tabs>
          <w:tab w:leader="none" w:pos="1909"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enter into any new material line of business or abandon or discontinue any material existing line of business;</w:t>
      </w:r>
    </w:p>
    <w:p>
      <w:pPr>
        <w:spacing w:after="0" w:line="62" w:lineRule="exact"/>
        <w:rPr>
          <w:rFonts w:ascii="Arial" w:cs="Arial" w:eastAsia="Arial" w:hAnsi="Arial"/>
          <w:sz w:val="18"/>
          <w:szCs w:val="18"/>
          <w:color w:val="auto"/>
        </w:rPr>
      </w:pPr>
    </w:p>
    <w:p>
      <w:pPr>
        <w:jc w:val="both"/>
        <w:ind w:left="1020" w:right="299" w:firstLine="352"/>
        <w:spacing w:after="0" w:line="274" w:lineRule="auto"/>
        <w:tabs>
          <w:tab w:leader="none" w:pos="1959"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adopt or implement any stockholder rights plan or similar arrangement that (A) does not exempt Parent, its Subsidiaries, the Merger and the transactions contemplated by this Agreement, or</w:t>
      </w:r>
    </w:p>
    <w:p>
      <w:pPr>
        <w:ind w:left="1020" w:right="319" w:hanging="8"/>
        <w:spacing w:after="0" w:line="260" w:lineRule="auto"/>
        <w:tabs>
          <w:tab w:leader="none" w:pos="135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would cause any meaningful delay to the Closing or impose any additional conditions on the transactions contemplated by this Agreement, including the Merger;</w:t>
      </w:r>
    </w:p>
    <w:p>
      <w:pPr>
        <w:spacing w:after="0" w:line="131" w:lineRule="exact"/>
        <w:rPr>
          <w:rFonts w:ascii="Arial" w:cs="Arial" w:eastAsia="Arial" w:hAnsi="Arial"/>
          <w:sz w:val="18"/>
          <w:szCs w:val="18"/>
          <w:color w:val="auto"/>
        </w:rPr>
      </w:pPr>
    </w:p>
    <w:p>
      <w:pPr>
        <w:ind w:left="2000" w:hanging="628"/>
        <w:spacing w:after="0"/>
        <w:tabs>
          <w:tab w:leader="none" w:pos="20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Company No Solicitation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2" w:lineRule="auto"/>
        <w:tabs>
          <w:tab w:leader="none" w:pos="1399" w:val="left"/>
        </w:tabs>
        <w:numPr>
          <w:ilvl w:val="1"/>
          <w:numId w:val="339"/>
        </w:numPr>
        <w:rPr>
          <w:rFonts w:ascii="Arial" w:cs="Arial" w:eastAsia="Arial" w:hAnsi="Arial"/>
          <w:sz w:val="16"/>
          <w:szCs w:val="16"/>
          <w:color w:val="auto"/>
        </w:rPr>
      </w:pP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xml:space="preserve">. During the Interim Period, the Company shall not, shall cause its Subsidiaries and its and their officers, employees and directors not to, and shall use reasonable best efforts to cause the other Representatives of the Company and its Subsidiaries not to, directly or indirectly, solicit, initiate, propose, or knowingly facilitate or knowingly encourage the submission of any Company Takeover Proposal or the making of any proposal that would reasonably be expected to lead to any Company Takeover Proposal, or, except as expressly permitted by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(i) enter into, continue, conduct, engage or otherwise participate in any discussions or negotiations with, disclose any non-public information relating to the Company or its Subsidiaries to, afford access to the business, properties, assets, books, or records of the Company or its Subsidiaries to, or knowingly assist, knowingly facilitate, or knowingly encourage the making of any proposal or offer that constitutes, or would reasonably be expected to result in, a Company Takeover Proposal; (ii) (A) amend or grant any waiver or release under, or fail to enforce, any standstill or similar agreement with respect to any class of equity securities of the Company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be permitted on a confidential non-public basis to release or waive any explicit or implicit standstill or similar agreement solely to the extent necessary to permit the relevant party thereto to submit a Company Takeover Proposal to the Company Board on a confidential non-public basis and solely to the extent the Company Board determines in good faith that the failure to do so would be inconsistent with the Company Board’s fiduciary duties under applicable Law), or (B) approve any transaction under, or any Third Party becoming an “interested stockholder” under, Section 203 of the DGCL; (iii) enter into any agreement in principle, memorandum of understanding, letter of intent, term sheet, acquisition agreement, merger agreement, option agreement, joint venture agreement, partnership agreement, or other Contract (other than an Acceptable Confidentiality Agreement as provided in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entered into compliance with </w:t>
      </w:r>
      <w:r>
        <w:rPr>
          <w:rFonts w:ascii="Arial" w:cs="Arial" w:eastAsia="Arial" w:hAnsi="Arial"/>
          <w:sz w:val="16"/>
          <w:szCs w:val="16"/>
          <w:u w:val="single" w:color="auto"/>
          <w:color w:val="auto"/>
        </w:rPr>
        <w:t>Section 6.02(b)</w:t>
      </w:r>
      <w:r>
        <w:rPr>
          <w:rFonts w:ascii="Arial" w:cs="Arial" w:eastAsia="Arial" w:hAnsi="Arial"/>
          <w:sz w:val="16"/>
          <w:szCs w:val="16"/>
          <w:color w:val="auto"/>
        </w:rPr>
        <w:t>) relating to any Company Takeover Proposal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or</w:t>
      </w:r>
    </w:p>
    <w:p>
      <w:pPr>
        <w:spacing w:after="0" w:line="10" w:lineRule="exact"/>
        <w:rPr>
          <w:rFonts w:ascii="Arial" w:cs="Arial" w:eastAsia="Arial" w:hAnsi="Arial"/>
          <w:sz w:val="16"/>
          <w:szCs w:val="16"/>
          <w:color w:val="auto"/>
        </w:rPr>
      </w:pPr>
    </w:p>
    <w:p>
      <w:pPr>
        <w:jc w:val="both"/>
        <w:ind w:left="660" w:right="299" w:hanging="8"/>
        <w:spacing w:after="0" w:line="266" w:lineRule="auto"/>
        <w:tabs>
          <w:tab w:leader="none" w:pos="994"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approve, authorize, agree or publicly announce an intention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this Agreement, the Company or any of its Representatives may, in response to an inquiry or proposal from a Third Party, inform such Third Party of the restrictions imposed by the provisions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Except as expressly permitted by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the Company Board shall not effect a Company Adverse Recommendation Change. The Company shall not, shall cause its Subsidiaries and its and their officers, employees and directors not to, and shall use reasonable best efforts to cause the other Representatives of the Company and its Subsidiaries not to continue, any and all existing activities, discussions, or negotiations, if any, with any Third Party conducted prior to the date hereof with respect to any Company Takeover Proposal and shall use its reasonable best efforts to cause any such Third Party (or its agents or advisors) in possession of non-public information in respect of the Company and its Subsidiaries that was furnished by or on behalf of the Company or its Subsidiaries to return or destroy (and confirm destruction of) all such information and immediately terminate access by any Third Party to any physical or electronic data room relating to any potential Company Takeover Proposal. Without limiting the generality of the foregoing, it is understood that any breach of the restrictions set forth in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by the Company.</w:t>
      </w:r>
    </w:p>
    <w:p>
      <w:pPr>
        <w:spacing w:after="0" w:line="82"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Company Superior Proposal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prior to the receipt of the Requisite Company Vote, the Company directly or indirectly through any Representative, may, subject to </w:t>
      </w:r>
      <w:r>
        <w:rPr>
          <w:rFonts w:ascii="Arial" w:cs="Arial" w:eastAsia="Arial" w:hAnsi="Arial"/>
          <w:sz w:val="16"/>
          <w:szCs w:val="16"/>
          <w:u w:val="single" w:color="auto"/>
          <w:color w:val="auto"/>
        </w:rPr>
        <w:t>Section 6.02(c)</w:t>
      </w:r>
      <w:r>
        <w:rPr>
          <w:rFonts w:ascii="Arial" w:cs="Arial" w:eastAsia="Arial" w:hAnsi="Arial"/>
          <w:sz w:val="16"/>
          <w:szCs w:val="16"/>
          <w:color w:val="auto"/>
        </w:rPr>
        <w:t>:</w:t>
      </w:r>
    </w:p>
    <w:p>
      <w:pPr>
        <w:jc w:val="both"/>
        <w:ind w:left="660" w:right="299" w:hanging="8"/>
        <w:spacing w:after="0" w:line="292" w:lineRule="auto"/>
        <w:tabs>
          <w:tab w:leader="none" w:pos="893"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participate in negotiations or discussions with any Third Party that has made (and not withdrawn) a bona fide Company Takeover Proposal that did not arise from a breach of the obligations set forth in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in writing that the Company Board believes in good faith, after consultation with outside legal counsel and the Company Financial Advisor constitutes or would reasonably be expected to lead to a Company Superior Proposal; (ii) thereafter furnish to such Third Party non-public information relating to the Company or 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1" w:name="page302"/>
    <w:bookmarkEnd w:id="30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 xml:space="preserve">Subsidiaries pursuant to an executed confidentiality agreement that constitutes an Acceptable Confidentiality Agreement (a copy of which confidentiality agreement shall be promptly (in all events within twenty-four (24) hours) provided for informational purposes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non-public information relating to the Company or its Subsidiaries was previously made available to, or is concurrently made available to, Parent;</w:t>
      </w:r>
    </w:p>
    <w:p>
      <w:pPr>
        <w:spacing w:after="0" w:line="1" w:lineRule="exact"/>
        <w:rPr>
          <w:sz w:val="20"/>
          <w:szCs w:val="20"/>
          <w:color w:val="auto"/>
        </w:rPr>
      </w:pPr>
    </w:p>
    <w:p>
      <w:pPr>
        <w:jc w:val="both"/>
        <w:ind w:left="660" w:right="299" w:hanging="8"/>
        <w:spacing w:after="0" w:line="285" w:lineRule="auto"/>
        <w:tabs>
          <w:tab w:leader="none" w:pos="102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following receipt of and on account of a Company Superior Proposal, make a Company Adverse Recommendation Change; and/or (iv) take any action that any court of competent jurisdiction orders the Company to take (which order remains unstayed), but in each case referred to in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only if the Company Board determines in good faith, after consultation with outside legal counsel, that the failure to take such action would be inconsistent with the Company Board’s fiduciary duties under applicable Law. Nothing contained herein shall prevent the Company Board from disclosing to its stockholders a position contemplated by Rule 14d-9 and Rule 14e-2(a) promulgated under the Exchange Act with regard to a Company Takeover Proposal, if the Company determines, after consultation with outside legal counsel, that the disclosure of such position is required by applicable Law. Without limiting the generality of the foregoing, it is understood that any breach of the restrictions set forth in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by the Company.</w:t>
      </w:r>
    </w:p>
    <w:p>
      <w:pPr>
        <w:spacing w:after="0" w:line="63" w:lineRule="exact"/>
        <w:rPr>
          <w:rFonts w:ascii="Arial" w:cs="Arial" w:eastAsia="Arial" w:hAnsi="Arial"/>
          <w:sz w:val="16"/>
          <w:szCs w:val="16"/>
          <w:color w:val="auto"/>
        </w:rPr>
      </w:pPr>
    </w:p>
    <w:p>
      <w:pPr>
        <w:jc w:val="both"/>
        <w:ind w:left="660" w:right="299" w:firstLine="352"/>
        <w:spacing w:after="0" w:line="287" w:lineRule="auto"/>
        <w:tabs>
          <w:tab w:leader="none" w:pos="1399" w:val="left"/>
        </w:tabs>
        <w:numPr>
          <w:ilvl w:val="1"/>
          <w:numId w:val="342"/>
        </w:numPr>
        <w:rPr>
          <w:rFonts w:ascii="Arial" w:cs="Arial" w:eastAsia="Arial" w:hAnsi="Arial"/>
          <w:sz w:val="16"/>
          <w:szCs w:val="16"/>
          <w:color w:val="auto"/>
        </w:rPr>
      </w:pPr>
      <w:r>
        <w:rPr>
          <w:rFonts w:ascii="Arial" w:cs="Arial" w:eastAsia="Arial" w:hAnsi="Arial"/>
          <w:sz w:val="16"/>
          <w:szCs w:val="16"/>
          <w:u w:val="single" w:color="auto"/>
          <w:color w:val="auto"/>
        </w:rPr>
        <w:t>Notification to Parent and US Holdco</w:t>
      </w:r>
      <w:r>
        <w:rPr>
          <w:rFonts w:ascii="Arial" w:cs="Arial" w:eastAsia="Arial" w:hAnsi="Arial"/>
          <w:sz w:val="16"/>
          <w:szCs w:val="16"/>
          <w:color w:val="auto"/>
        </w:rPr>
        <w:t>. The Company shall notify Parent and US Holdco promptly (but in no event later than twenty-four (24) hours) after the receipt by the Company (or any of its Representatives) of any Company Takeover Proposal, any inquiry that would reasonably be expected to lead to a Company Takeover Proposal, any request for non-public information relating to the Company or its Subsidiaries or for access to the business, properties, assets, books, or records of the Company or its Subsidiaries by any Third Party that would reasonably be expected to lead to a Company Takeover Proposal. In such notice, the Company shall identify the Third Party making, and details of the material terms and conditions of, any such Company Takeover Proposal, indication or request, including any proposed financing. The Company shall keep Parent reasonably informed, on a reasonably current basis, of the status and material terms of any such Company Takeover Proposal, indication or request, including any material amendments or proposed amendments as to price, proposed financing, and other material terms thereof.</w:t>
      </w:r>
    </w:p>
    <w:p>
      <w:pPr>
        <w:spacing w:after="0" w:line="63"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1"/>
          <w:numId w:val="342"/>
        </w:numPr>
        <w:rPr>
          <w:rFonts w:ascii="Arial" w:cs="Arial" w:eastAsia="Arial" w:hAnsi="Arial"/>
          <w:sz w:val="16"/>
          <w:szCs w:val="16"/>
          <w:color w:val="auto"/>
        </w:rPr>
      </w:pPr>
      <w:r>
        <w:rPr>
          <w:rFonts w:ascii="Arial" w:cs="Arial" w:eastAsia="Arial" w:hAnsi="Arial"/>
          <w:sz w:val="16"/>
          <w:szCs w:val="16"/>
          <w:u w:val="single" w:color="auto"/>
          <w:color w:val="auto"/>
        </w:rPr>
        <w:t>Company Superior Proposal or Company Acquisition Agreement</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6.02</w:t>
      </w:r>
      <w:r>
        <w:rPr>
          <w:rFonts w:ascii="Arial" w:cs="Arial" w:eastAsia="Arial" w:hAnsi="Arial"/>
          <w:sz w:val="16"/>
          <w:szCs w:val="16"/>
          <w:color w:val="auto"/>
        </w:rPr>
        <w:t>, the Company Board shall not effect a Company Adverse Recommendation Change or enter into (or permit any of its Subsidiaries to enter into) a Company Acquisition Agreement. Notwithstanding the foregoing, at any time prior to the receipt of the Requisite Company Vote, the Company Board may effect a Company Adverse Recommendation Change or enter into (or permit any Subsidiary to enter into) a Company Acquisition Agreement only if (i) the Company Board determines in good faith after consultation with its outside legal counsel and financial advisor of national reputation that a given Company Takeover Proposal constitutes or would reasonably be expected to lead to a Superior Proposal and that failure to effect a Company Adverse Recommendation Change in response to such actual or potential Company Superior Proposal would be inconsistent with the fiduciary duties owed by the Company Board to the stockholders of the Company under applicable Law, (ii) the Company promptly notifies Parent, in writing, at least three (3) Business Days (the “</w:t>
      </w:r>
      <w:r>
        <w:rPr>
          <w:rFonts w:ascii="Arial" w:cs="Arial" w:eastAsia="Arial" w:hAnsi="Arial"/>
          <w:sz w:val="16"/>
          <w:szCs w:val="16"/>
          <w:u w:val="single" w:color="auto"/>
          <w:color w:val="auto"/>
        </w:rPr>
        <w:t>Company Superior Proposal Notice Period</w:t>
      </w:r>
      <w:r>
        <w:rPr>
          <w:rFonts w:ascii="Arial" w:cs="Arial" w:eastAsia="Arial" w:hAnsi="Arial"/>
          <w:sz w:val="16"/>
          <w:szCs w:val="16"/>
          <w:color w:val="auto"/>
        </w:rPr>
        <w:t>”) before making a Company Adverse Recommendation Change with respect to a Company Superior Proposal or entering into (or causing one of its Subsidiaries to enter into) a Company Acquisition Agreement, of its intention to take such action with respect to a Company Superior Proposal, which notice shall state expressly that the Company has received a Company Takeover Proposal that the Company Board (or a committee thereof) intends to declare a Company Superior Proposal and that it intends to effect a Company Adverse Recommendation Change and/or the Company intends to enter into a Company Acquisition Agreement in connection with such Company Superior Proposal (it being understood that the delivery and receipt of any such notice shall not, in and of itself, be a Company Adverse Recommendation Change), (iii) the Company specifies the identity of the party making the Company Superior Proposal and the material terms and conditions thereof in such notice and includes an unredacted copy of the Company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Company Superior Proposal, (iv) the Company shall, and shall cause its Representatives to, during the Company Superior Proposal Notice Period, negotiate with Parent in good faith to make such adjustments in the terms and conditions of this Agreement so that such Company Takeover Proposal ceases to constitute a Company Superior Proposal, if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2" w:name="page303"/>
    <w:bookmarkEnd w:id="30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Parent, in its discretion, proposes to make such adjustments (it being understood and agreed that in the event that, after commencement of the Company Superior Proposal Notice Period, there is any material revision to the terms of a Company Superior Proposal, including, any revision in price or financing, the Company Superior Proposal Notice Period shall be extended, if applicable, to ensure that at least two (2) Business Days remains in the Company Superior Proposal Notice Period subsequent to the time the Company notifies Parent of any such material revision (it being understood that there may be multiple extensions)), and (v) at the conclusion of the Company Superior Proposal Notice Period, the Company Board (or a committee thereof) determines in good faith, after consulting with outside legal counsel and its financial advisor, that such Company Takeover Proposal continues to constitute a Company Superior Proposal after taking into account any adjustments made by Parent during the Company Superior Proposal Notice Period in the terms and conditions of this Agreement or otherwise and that the failure to make a Company Adverse Recommendation Change would be inconsistent with the Company directors’ fiduciary duties under applicable Law.</w:t>
      </w:r>
    </w:p>
    <w:p>
      <w:pPr>
        <w:spacing w:after="0" w:line="60" w:lineRule="exact"/>
        <w:rPr>
          <w:sz w:val="20"/>
          <w:szCs w:val="20"/>
          <w:color w:val="auto"/>
        </w:rPr>
      </w:pPr>
    </w:p>
    <w:p>
      <w:pPr>
        <w:jc w:val="both"/>
        <w:ind w:left="660" w:right="299" w:firstLine="352"/>
        <w:spacing w:after="0" w:line="259" w:lineRule="auto"/>
        <w:tabs>
          <w:tab w:leader="none" w:pos="1399"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Notwithstanding anything in this Agreement to the contrary, at any time prior to the receipt of the Requisite Company Vote, upon the occurrence of a Company Intervening Event, the Company Board may effect a Company Adverse Recommendation Change only if all of the following conditions are satisfied:</w:t>
      </w:r>
    </w:p>
    <w:p>
      <w:pPr>
        <w:spacing w:after="0" w:line="78" w:lineRule="exact"/>
        <w:rPr>
          <w:rFonts w:ascii="Arial" w:cs="Arial" w:eastAsia="Arial" w:hAnsi="Arial"/>
          <w:sz w:val="18"/>
          <w:szCs w:val="18"/>
          <w:color w:val="auto"/>
        </w:rPr>
      </w:pPr>
    </w:p>
    <w:p>
      <w:pPr>
        <w:jc w:val="both"/>
        <w:ind w:left="1020" w:right="319" w:firstLine="352"/>
        <w:spacing w:after="0" w:line="257" w:lineRule="auto"/>
        <w:tabs>
          <w:tab w:leader="none" w:pos="173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its outside legal counsel and financial advisor of national reputation that a Company Intervening Event has occurred and that failure to effect a Company Adverse Recommendation Change in response to such Company Intervening Event would be inconsistent with the fiduciary duties owed by the Company Board to the stockholders of the Company under applicable Law;</w:t>
      </w:r>
    </w:p>
    <w:p>
      <w:pPr>
        <w:spacing w:after="0" w:line="79" w:lineRule="exact"/>
        <w:rPr>
          <w:rFonts w:ascii="Arial" w:cs="Arial" w:eastAsia="Arial" w:hAnsi="Arial"/>
          <w:sz w:val="18"/>
          <w:szCs w:val="18"/>
          <w:color w:val="auto"/>
        </w:rPr>
      </w:pPr>
    </w:p>
    <w:p>
      <w:pPr>
        <w:jc w:val="both"/>
        <w:ind w:left="1020" w:right="299" w:firstLine="352"/>
        <w:spacing w:after="0" w:line="267" w:lineRule="auto"/>
        <w:tabs>
          <w:tab w:leader="none" w:pos="178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the Company (A) promptly notifies Parent, in writing, at least three (3) Business Days (the “</w:t>
      </w:r>
      <w:r>
        <w:rPr>
          <w:rFonts w:ascii="Arial" w:cs="Arial" w:eastAsia="Arial" w:hAnsi="Arial"/>
          <w:sz w:val="17"/>
          <w:szCs w:val="17"/>
          <w:u w:val="single" w:color="auto"/>
          <w:color w:val="auto"/>
        </w:rPr>
        <w:t>Company Intervening Event Notice Period</w:t>
      </w:r>
      <w:r>
        <w:rPr>
          <w:rFonts w:ascii="Arial" w:cs="Arial" w:eastAsia="Arial" w:hAnsi="Arial"/>
          <w:sz w:val="17"/>
          <w:szCs w:val="17"/>
          <w:color w:val="auto"/>
        </w:rPr>
        <w:t xml:space="preserve">”) before making a Company Adverse Recommendation Change with respect to a Company Intervening Event of its intention to take such action, which notice shall describe in reasonable detail the Company Intervening Event (it being understood that the delivery and receipt of any such notice shall not, in and of itself, be deemed to be a Company Adverse Recommendation Change) and (B) prior to making such a Company Adverse Recommendation Change, to the extent requested in writing by Parent, engages in good faith negotiations with Parent during such three (3) Business Day period to amend this Agreement in such a manner that the failure of the Company Board to make a Company Adverse Recommendation Change with respect to such Company Intervening Event would no longer be, in the good faith determination of the Company Board in consultation with its outside legal counsel and financial advisor of national reputation, inconsistent with the directors’ fiduciary duties under applicable Law (it being understood that, if after commencement of the Company Intervening Event Notice Period, there is any material change to the circumstances giving rise to the Company Intervening Event that was previously the subject of a notice hereunder, a new notice to Parent shall be required as provided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such material change, each reference in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to a “three (3) Business Day” period shall be changed to refer to a “two (2) Business day” period); and</w:t>
      </w:r>
    </w:p>
    <w:p>
      <w:pPr>
        <w:spacing w:after="0" w:line="83" w:lineRule="exact"/>
        <w:rPr>
          <w:rFonts w:ascii="Arial" w:cs="Arial" w:eastAsia="Arial" w:hAnsi="Arial"/>
          <w:sz w:val="17"/>
          <w:szCs w:val="17"/>
          <w:color w:val="auto"/>
        </w:rPr>
      </w:pPr>
    </w:p>
    <w:p>
      <w:pPr>
        <w:jc w:val="both"/>
        <w:ind w:left="1020" w:right="319" w:firstLine="352"/>
        <w:spacing w:after="0" w:line="255" w:lineRule="auto"/>
        <w:tabs>
          <w:tab w:leader="none" w:pos="183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at the conclusion of the Company Intervening Event Notice Period, the Company Board (or a committee thereof) shall have determined in good faith, after consultation with its outside legal counsel and financial advisor of national reputation, that in light of such Company Intervening Event and taking into account any revised terms proposed by Parent, the failure to make a Company Adverse Recommendation Change would be inconsistent with the Company directors’ fiduciary duties under applicable Law.</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Company Stockholders Meeting</w:t>
      </w:r>
      <w:r>
        <w:rPr>
          <w:rFonts w:ascii="Arial" w:cs="Arial" w:eastAsia="Arial" w:hAnsi="Arial"/>
          <w:sz w:val="17"/>
          <w:szCs w:val="17"/>
          <w:color w:val="auto"/>
        </w:rPr>
        <w:t xml:space="preserve">. The Company shall take all action necessary to duly call, give notice of, convene, and hold the Company Stockholders Meeting as soon as reasonably practicable after the Form F-4 is declared effective, and, in connection therewith, the Company shall mail the Company Proxy Statement to the holders of Company Common Stock in advance of such meeting. Except to the extent that the Company Board shall have effected a Company Adverse Recommendation Change as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the Company Proxy Statement shall include the Company Board Recommendation. Subject to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the Company shall use reasonable best efforts to: (a) solicit from the holders of Company Common Stock proxies in favor of the adoption of this Agreement and approval of the Merger; and (b) take all other actions necessary or advisable to secure the vote or consent of the holders of Company Common Stock required by applicable Law to obtain such approval. The Company shall keep Parent, US Holdco and Merger Sub updated with respect to proxy solicitation results as requested by Parent, US Holdco or Merger Sub. Once the Company Stockholders Meeting has been called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3" w:name="page304"/>
    <w:bookmarkEnd w:id="30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noticed, the Company shall not postpone or adjourn the Company Stockholders Meeting without the consent of Parent and US Holdco (other than: (i) in order to obtain a quorum of its stockholders; or (ii) as reasonably determined by the Company to comply with applicable Law). The Company shall use its reasonable best efforts to cooperate with Parent to hold the Company Stockholders Meeting on the same day and at the same time as the Parent Shareholders Meeting as soon as reasonably practicable after the date of this Agreement, and to set the same record date for each such meeting. Without the prior written consent of Parent and US Holdco or as required by applicable Law, (i) the adoption of this Agreement shall be the only matter (other than a non-binding advisory proposal regarding compensation that may be paid or become payable to the named executive officers of the Company in connection with the Merger and matters of procedure) that the Company shall propose to be acted on by the stockholders of the Company at the Company Stockholders Meeting and the Company shall not submit any other proposal to such stockholders in connection with the Company Stockholders Meeting or otherwise (including any proposal inconsistent with the adoption of this Agreement or the consummation of the transactions contemplated by this Agreement) and (ii) the Company shall not call any meeting of the stockholders of the Company prior to the Company Stockholders Meeting. If the Company Board makes a Company Adverse Recommendation Change, it will not alter the obligation of the Company to submit the adoption of this Agreement and the approval of the Merger to the holders of Company Common Stock at the Company Stockholders Meeting to consider and vote upon, unless this Agreement shall have been terminated in accordance with its terms prior to the Company Stockholders Meeting.</w:t>
      </w:r>
    </w:p>
    <w:p>
      <w:pPr>
        <w:spacing w:after="0" w:line="13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Financing Cooperation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9"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During the Interim Period, the Company shall use its commercially reasonable efforts, and shall cause each of its Subsidiaries and its and their respective Representatives to use their respective commercially reasonable efforts, to provide Parent with all cooperation reasonably requested by Parent to assist Parent in causing the conditions in the Commitment Letter to be satisfied or as is otherwise customary and reasonably requested by Parent in connection with the Debt Financing or any Take-Out Financing, including using commercially reasonable efforts to:</w:t>
      </w:r>
    </w:p>
    <w:p>
      <w:pPr>
        <w:spacing w:after="0" w:line="84" w:lineRule="exact"/>
        <w:rPr>
          <w:rFonts w:ascii="Arial" w:cs="Arial" w:eastAsia="Arial" w:hAnsi="Arial"/>
          <w:sz w:val="18"/>
          <w:szCs w:val="18"/>
          <w:color w:val="auto"/>
        </w:rPr>
      </w:pPr>
    </w:p>
    <w:p>
      <w:pPr>
        <w:jc w:val="both"/>
        <w:ind w:left="1020" w:right="299" w:firstLine="352"/>
        <w:spacing w:after="0" w:line="255" w:lineRule="auto"/>
        <w:tabs>
          <w:tab w:leader="none" w:pos="173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as promptly as reasonably practicable in connection with the anticipated timing for the marketing of the Debt Financing or any Take-Out Financing, deliver to Parent the historical financial statements with respect to the Company and its Subsidiaries specified in paragraph 4 of Exhibit C of the Commitment Letter (it being agreed that these obligations with respect to any historical financial statement shall be deemed satisfied upon the filing of the applicable Company SEC Documents containing such historical financial statements);</w:t>
      </w:r>
    </w:p>
    <w:p>
      <w:pPr>
        <w:spacing w:after="0" w:line="84" w:lineRule="exact"/>
        <w:rPr>
          <w:rFonts w:ascii="Arial" w:cs="Arial" w:eastAsia="Arial" w:hAnsi="Arial"/>
          <w:sz w:val="18"/>
          <w:szCs w:val="18"/>
          <w:color w:val="auto"/>
        </w:rPr>
      </w:pPr>
    </w:p>
    <w:p>
      <w:pPr>
        <w:ind w:left="1780" w:hanging="408"/>
        <w:spacing w:after="0"/>
        <w:tabs>
          <w:tab w:leader="none" w:pos="178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cause the Company’s independent accountants to (x) provide, consistent with customary</w:t>
      </w:r>
    </w:p>
    <w:p>
      <w:pPr>
        <w:spacing w:after="0" w:line="34" w:lineRule="exact"/>
        <w:rPr>
          <w:rFonts w:ascii="Arial" w:cs="Arial" w:eastAsia="Arial" w:hAnsi="Arial"/>
          <w:sz w:val="17"/>
          <w:szCs w:val="17"/>
          <w:color w:val="auto"/>
        </w:rPr>
      </w:pPr>
    </w:p>
    <w:p>
      <w:pPr>
        <w:jc w:val="both"/>
        <w:ind w:left="1020" w:right="299"/>
        <w:spacing w:after="0" w:line="270" w:lineRule="auto"/>
        <w:rPr>
          <w:rFonts w:ascii="Arial" w:cs="Arial" w:eastAsia="Arial" w:hAnsi="Arial"/>
          <w:sz w:val="17"/>
          <w:szCs w:val="17"/>
          <w:color w:val="auto"/>
        </w:rPr>
      </w:pPr>
      <w:r>
        <w:rPr>
          <w:rFonts w:ascii="Arial" w:cs="Arial" w:eastAsia="Arial" w:hAnsi="Arial"/>
          <w:sz w:val="17"/>
          <w:szCs w:val="17"/>
          <w:color w:val="auto"/>
        </w:rPr>
        <w:t>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the Company and its Subsidiaries as reasonably requested by Parent and as customary for any offering or private placement of debt securities pursuant to Rule 144A under the Securities Act and (y) participate in a reasonable number of accounting due diligence sessions;</w:t>
      </w:r>
    </w:p>
    <w:p>
      <w:pPr>
        <w:spacing w:after="0" w:line="110" w:lineRule="exact"/>
        <w:rPr>
          <w:rFonts w:ascii="Arial" w:cs="Arial" w:eastAsia="Arial" w:hAnsi="Arial"/>
          <w:sz w:val="17"/>
          <w:szCs w:val="17"/>
          <w:color w:val="auto"/>
        </w:rPr>
      </w:pPr>
    </w:p>
    <w:p>
      <w:pPr>
        <w:ind w:left="1820" w:hanging="448"/>
        <w:spacing w:after="0"/>
        <w:tabs>
          <w:tab w:leader="none" w:pos="18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8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provide information regarding the Company and its Subsidiaries reasonably requested by Parent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79" w:lineRule="exact"/>
        <w:rPr>
          <w:rFonts w:ascii="Arial" w:cs="Arial" w:eastAsia="Arial" w:hAnsi="Arial"/>
          <w:sz w:val="18"/>
          <w:szCs w:val="18"/>
          <w:color w:val="auto"/>
        </w:rPr>
      </w:pPr>
    </w:p>
    <w:p>
      <w:pPr>
        <w:jc w:val="both"/>
        <w:ind w:left="1020" w:right="299" w:firstLine="352"/>
        <w:spacing w:after="0" w:line="275" w:lineRule="auto"/>
        <w:tabs>
          <w:tab w:leader="none" w:pos="177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the Company and the Company Subsidiaries included in such confidential information memorandum, and solely to the extent the Company has had a reasonable time period to review such confidential information memorandum;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4" w:name="page305"/>
    <w:bookmarkEnd w:id="30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79" w:lineRule="auto"/>
        <w:tabs>
          <w:tab w:leader="none" w:pos="18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furnish no later than four (4) Business Days prior to the Closing Date all documentation and other information that is reasonably requested by Parent that is required by regulatory authorities in connection with applicable “know your customer” and anti-money laundering rules and regulations, including the USA PATRIOT Act, relating to the Company and the Company Subsidiaries;</w:t>
      </w:r>
    </w:p>
    <w:p>
      <w:pPr>
        <w:spacing w:after="0" w:line="63" w:lineRule="exact"/>
        <w:rPr>
          <w:rFonts w:ascii="Arial" w:cs="Arial" w:eastAsia="Arial" w:hAnsi="Arial"/>
          <w:sz w:val="17"/>
          <w:szCs w:val="17"/>
          <w:color w:val="auto"/>
        </w:rPr>
      </w:pPr>
    </w:p>
    <w:p>
      <w:pPr>
        <w:jc w:val="both"/>
        <w:ind w:left="1020" w:right="299" w:firstLine="352"/>
        <w:spacing w:after="0" w:line="263" w:lineRule="auto"/>
        <w:tabs>
          <w:tab w:leader="none" w:pos="187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75" w:lineRule="exact"/>
        <w:rPr>
          <w:rFonts w:ascii="Arial" w:cs="Arial" w:eastAsia="Arial" w:hAnsi="Arial"/>
          <w:sz w:val="18"/>
          <w:szCs w:val="18"/>
          <w:color w:val="auto"/>
        </w:rPr>
      </w:pPr>
    </w:p>
    <w:p>
      <w:pPr>
        <w:jc w:val="both"/>
        <w:ind w:left="1020" w:right="299" w:firstLine="352"/>
        <w:spacing w:after="0" w:line="293" w:lineRule="auto"/>
        <w:tabs>
          <w:tab w:leader="none" w:pos="19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Parent, the Debt Financing Sources, or any Take-Out Financing party (including customary officer’s and other closing certificates and back-up therefore), in each case effective no earlier than, and subject to the occurrence of, the Closing (subject, in each case, to the restrictions in the next paragraph); and</w:t>
      </w:r>
    </w:p>
    <w:p>
      <w:pPr>
        <w:spacing w:after="0" w:line="56" w:lineRule="exact"/>
        <w:rPr>
          <w:rFonts w:ascii="Arial" w:cs="Arial" w:eastAsia="Arial" w:hAnsi="Arial"/>
          <w:sz w:val="16"/>
          <w:szCs w:val="16"/>
          <w:color w:val="auto"/>
        </w:rPr>
      </w:pPr>
    </w:p>
    <w:p>
      <w:pPr>
        <w:jc w:val="both"/>
        <w:ind w:left="1020" w:right="299" w:firstLine="352"/>
        <w:spacing w:after="0" w:line="269" w:lineRule="auto"/>
        <w:tabs>
          <w:tab w:leader="none" w:pos="18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deliver notices of prepayment within the time periods required by the relevant agreements governing Indebtedness and assist Parent in obtaining customary payoff letters (the “</w:t>
      </w:r>
      <w:r>
        <w:rPr>
          <w:rFonts w:ascii="Arial" w:cs="Arial" w:eastAsia="Arial" w:hAnsi="Arial"/>
          <w:sz w:val="17"/>
          <w:szCs w:val="17"/>
          <w:u w:val="single" w:color="auto"/>
          <w:color w:val="auto"/>
        </w:rPr>
        <w:t>Debt Payoff</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w:t>
      </w:r>
      <w:r>
        <w:rPr>
          <w:rFonts w:ascii="Arial" w:cs="Arial" w:eastAsia="Arial" w:hAnsi="Arial"/>
          <w:sz w:val="17"/>
          <w:szCs w:val="17"/>
          <w:color w:val="auto"/>
        </w:rPr>
        <w:t xml:space="preserve">”), Lien terminations, and instruments of discharge to be delivered at Closing to allow for the payoff, discharge, and termination in full on the Closing Date of any material Indebtedness for borrowed money of the Company or its Subsidiaries that is reasonably requested by Parent to be paid off, discharged or terminated at Closing (upon reasonable prior written notice to the Company) or that is otherwise subject to mandatory prepayment (however described) or repayment in full as a result of the consummation of the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shall not be required to deliver any notice of prepayment or redemption or similar notice or document that is not conditioned on the consummation of the Merger or that if the Merger is not consummated results in liability to the Company.</w:t>
      </w:r>
    </w:p>
    <w:p>
      <w:pPr>
        <w:spacing w:after="0" w:line="7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The foregoing notwithstanding, neither the Company nor any of the Company Subsidiaries shall be required to take or permit the taking of any action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that: (1) would require the Company, any of its Subsidiaries, or any Persons who are officers or directors of the Company or any of its Subsidiaries to: (A) pass resolutions or consents to approve or authorize the execution of the Debt Financing or any Take-Out Financing, (B) enter into, execute, or deliver any certificate, document, instrument, or agreement, or (C) agree to any change or modification of any existing certificate, document, instrument, or agreement; in each case, that would be effective prior to the Closing Date (it being agreed that no officers or directors shall be required to take any of the foregoing actions in clauses (A), (B) and (C) to the extent they are not continuing, or expected to continue, as an officer or director following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 foregoing shall apply to any (x) letters and authorizations required in order to obtain comfort letters and auditor consents as described in </w:t>
      </w:r>
      <w:r>
        <w:rPr>
          <w:rFonts w:ascii="Arial" w:cs="Arial" w:eastAsia="Arial" w:hAnsi="Arial"/>
          <w:sz w:val="16"/>
          <w:szCs w:val="16"/>
          <w:u w:val="single" w:color="auto"/>
          <w:color w:val="auto"/>
        </w:rPr>
        <w:t>Section 6.04(a)(ii)</w:t>
      </w:r>
      <w:r>
        <w:rPr>
          <w:rFonts w:ascii="Arial" w:cs="Arial" w:eastAsia="Arial" w:hAnsi="Arial"/>
          <w:sz w:val="16"/>
          <w:szCs w:val="16"/>
          <w:color w:val="auto"/>
        </w:rPr>
        <w:t xml:space="preserve"> and (y) the authorization letters described in </w:t>
      </w:r>
      <w:r>
        <w:rPr>
          <w:rFonts w:ascii="Arial" w:cs="Arial" w:eastAsia="Arial" w:hAnsi="Arial"/>
          <w:sz w:val="16"/>
          <w:szCs w:val="16"/>
          <w:u w:val="single" w:color="auto"/>
          <w:color w:val="auto"/>
        </w:rPr>
        <w:t>Section 6.04(a)(v)</w:t>
      </w:r>
      <w:r>
        <w:rPr>
          <w:rFonts w:ascii="Arial" w:cs="Arial" w:eastAsia="Arial" w:hAnsi="Arial"/>
          <w:sz w:val="16"/>
          <w:szCs w:val="16"/>
          <w:color w:val="auto"/>
        </w:rPr>
        <w:t xml:space="preserve">; (2) cause any representation or warranty in this Agreement to be breached by the Company or any of its Subsidiaries, (3) require the Company or any of its Subsidiaries to pay any commitment or other similar fee or incur any other expense, liability, or obligation with respect to the Debt Financing or any Take-Out Financing prior to the Closing or have any obligation of the Company or any of its Subsidiaries under any agreement, certificate, document, or instrument with respect to the Debt Financing or any Take-Out Financing be effective prior to the Closing that would not be reimbursed or indemnified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6.04(b)</w:t>
      </w:r>
      <w:r>
        <w:rPr>
          <w:rFonts w:ascii="Arial" w:cs="Arial" w:eastAsia="Arial" w:hAnsi="Arial"/>
          <w:sz w:val="16"/>
          <w:szCs w:val="16"/>
          <w:color w:val="auto"/>
        </w:rPr>
        <w:t xml:space="preserve">, (4) cause any director, officer, employee, or stockholder of the Company or any of its Subsidiaries to incur any personal liability, (5) conflict with the organizational documents of the Company or any of its Subsidiaries or any Laws, (6) reasonably be expected to result in a violation or breach of, or a default (with or without notice, lapse of time, or both) under, any Contract to which the Company or any of its Subsidiaries is a party, (7) provide access to or disclose information that the Company or any of its Subsidiaries reasonably determines would jeopardize any attorney-client privilege of the Company or any of its Subsidiaries or (8) would unreasonably interfere with the conduct of the business of the Company and its Subsidiaries. Nothing contained in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shall require the Company or any of its Subsidiaries, (1) prior to the Closing, to be an issuer or other obligor with respect to the Debt Financing or any Take-Out Financing, (2) to provide (A) a description of all or any component of the Debt Financing, including any “description of notes”, (B) risk factors relating solely to all or any component of the Debt Financing, (C) separate subsidiary financial statements or any other information of the type required by Rule 3-05, Rule 3-09, Rule 3-10 (other than financial data sufficient to enable Parent to include disclosure regarding guarantor and non-guarantor information customarily included in offering memoranda for an offering of high-yield debt securities pursuant to Rule 144A) or Rule 3-16 of Regulation S-X or “segment reporting”, (D) Compensation Discussion and Analysis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5" w:name="page306"/>
    <w:bookmarkEnd w:id="30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by Item 402 of Regulation S-K or (E) other information customarily excluded from an offering memorandum involving an offering of high-yield debt securities pursuant to Rule 144A or (3) to provide (or be deemed to require the Company or any of its Subsidiaries to prepare) any (A) pro forma financial statements, (B) projections, (C) information regarding any post-Closing or pro forma cost savings, synergies, capitalization, ownership, or other post-Closing or pro forma adjustments or assumptions desired to be incorporated into any information used in connection with any financing of Parent or its Affiliates, including the Debt Financing and/or any Take-Out Financing, and/or (D) financial information concerning the Company or its Subsidiaries that the Company does not maintain in the ordinary course of business.</w:t>
      </w:r>
    </w:p>
    <w:p>
      <w:pPr>
        <w:spacing w:after="0" w:line="70" w:lineRule="exact"/>
        <w:rPr>
          <w:sz w:val="20"/>
          <w:szCs w:val="20"/>
          <w:color w:val="auto"/>
        </w:rPr>
      </w:pPr>
    </w:p>
    <w:p>
      <w:pPr>
        <w:jc w:val="both"/>
        <w:ind w:left="660" w:right="299" w:firstLine="352"/>
        <w:spacing w:after="0" w:line="286" w:lineRule="auto"/>
        <w:tabs>
          <w:tab w:leader="none" w:pos="1410"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Reimbursement and Indemnification</w:t>
      </w:r>
      <w:r>
        <w:rPr>
          <w:rFonts w:ascii="Arial" w:cs="Arial" w:eastAsia="Arial" w:hAnsi="Arial"/>
          <w:sz w:val="16"/>
          <w:szCs w:val="16"/>
          <w:color w:val="auto"/>
        </w:rPr>
        <w:t xml:space="preserve">. Parent and US Holdco shall, promptly upon request by the Company following the termination of this Agreement (unless the termination of the Agreement triggers the Company’s obligation to pay the Company Termination Fee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reimburse the Company for all reasonable and documented out-of-pocket costs actually incurred by the Company, its Subsidiaries, or any of its or their respective Representatives in connection with its cooperation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In addition, Parent and US Holdco shall indemnify and hold harmless the Company, its Subsidiaries, and its and their respective Representatives from and against any and all losses suffered or incurred by them in connection with the arrangement of the Debt Financing or any Take-Out Financing, any action taken by them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any information used in connection therewith (other than historical financial information provided in writing by the Company or any of its Subsidiaries specifically in connection with its obligations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in each case, except to the extent suffered or incurred as a result of the bad faith, gross negligence, willful misconduct, intentional misrepresentation, or intentional breach of this Agreement or fraud by the Company or any of its Subsidiaries or its or their respective Representatives.</w:t>
      </w:r>
    </w:p>
    <w:p>
      <w:pPr>
        <w:spacing w:after="0" w:line="65" w:lineRule="exact"/>
        <w:rPr>
          <w:rFonts w:ascii="Arial" w:cs="Arial" w:eastAsia="Arial" w:hAnsi="Arial"/>
          <w:sz w:val="16"/>
          <w:szCs w:val="16"/>
          <w:color w:val="auto"/>
        </w:rPr>
      </w:pPr>
    </w:p>
    <w:p>
      <w:pPr>
        <w:jc w:val="both"/>
        <w:ind w:left="660" w:right="319" w:firstLine="352"/>
        <w:spacing w:after="0" w:line="259" w:lineRule="auto"/>
        <w:tabs>
          <w:tab w:leader="none" w:pos="1399" w:val="left"/>
        </w:tabs>
        <w:numPr>
          <w:ilvl w:val="1"/>
          <w:numId w:val="346"/>
        </w:numPr>
        <w:rPr>
          <w:rFonts w:ascii="Arial" w:cs="Arial" w:eastAsia="Arial" w:hAnsi="Arial"/>
          <w:sz w:val="18"/>
          <w:szCs w:val="18"/>
          <w:color w:val="auto"/>
        </w:rPr>
      </w:pPr>
      <w:r>
        <w:rPr>
          <w:rFonts w:ascii="Arial" w:cs="Arial" w:eastAsia="Arial" w:hAnsi="Arial"/>
          <w:sz w:val="18"/>
          <w:szCs w:val="18"/>
          <w:u w:val="single" w:color="auto"/>
          <w:color w:val="auto"/>
        </w:rPr>
        <w:t>Logos</w:t>
      </w:r>
      <w:r>
        <w:rPr>
          <w:rFonts w:ascii="Arial" w:cs="Arial" w:eastAsia="Arial" w:hAnsi="Arial"/>
          <w:sz w:val="18"/>
          <w:szCs w:val="18"/>
          <w:color w:val="auto"/>
        </w:rPr>
        <w:t xml:space="preserve">. The Company hereby consents to the reasonable use of its and its Subsidiaries’ logos and other trademarks in connection with the Debt Financing and any Take-Out Financing; </w:t>
      </w:r>
      <w:r>
        <w:rPr>
          <w:rFonts w:ascii="Arial" w:cs="Arial" w:eastAsia="Arial" w:hAnsi="Arial"/>
          <w:sz w:val="18"/>
          <w:szCs w:val="18"/>
          <w:i w:val="1"/>
          <w:iCs w:val="1"/>
          <w:color w:val="auto"/>
        </w:rPr>
        <w:t>provided</w:t>
      </w:r>
      <w:r>
        <w:rPr>
          <w:rFonts w:ascii="Arial" w:cs="Arial" w:eastAsia="Arial" w:hAnsi="Arial"/>
          <w:sz w:val="18"/>
          <w:szCs w:val="18"/>
          <w:color w:val="auto"/>
        </w:rPr>
        <w:t>, that such logos and trademarks are used solely in a manner that is not intended to, and is not reasonably likely to, harm or disparage the Company or any of its Subsidiaries or their reputation.</w:t>
      </w:r>
    </w:p>
    <w:p>
      <w:pPr>
        <w:spacing w:after="0" w:line="78" w:lineRule="exact"/>
        <w:rPr>
          <w:rFonts w:ascii="Arial" w:cs="Arial" w:eastAsia="Arial" w:hAnsi="Arial"/>
          <w:sz w:val="18"/>
          <w:szCs w:val="18"/>
          <w:color w:val="auto"/>
        </w:rPr>
      </w:pPr>
    </w:p>
    <w:p>
      <w:pPr>
        <w:jc w:val="both"/>
        <w:ind w:left="660" w:right="299" w:firstLine="352"/>
        <w:spacing w:after="0" w:line="284" w:lineRule="auto"/>
        <w:tabs>
          <w:tab w:leader="none" w:pos="1410"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All non-public or other confidential information provided by the Company or any of its Representatives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will be kept confidential in accordance with the Confidentiality Agreement, except that Parent will be permitted to disclose such information to any Debt Financing Source or prospective Debt Financing Source and other financial institutions and investors that are or may become parties to the Debt Financing or Take-out Financing and to any underwriters, initial purchasers, or placement agents in connection with such financing (and, in each case, to their respective Representatives) so long as such Persons:</w:t>
      </w:r>
    </w:p>
    <w:p>
      <w:pPr>
        <w:spacing w:after="0" w:line="4" w:lineRule="exact"/>
        <w:rPr>
          <w:rFonts w:ascii="Arial" w:cs="Arial" w:eastAsia="Arial" w:hAnsi="Arial"/>
          <w:sz w:val="16"/>
          <w:szCs w:val="16"/>
          <w:color w:val="auto"/>
        </w:rPr>
      </w:pPr>
    </w:p>
    <w:p>
      <w:pPr>
        <w:jc w:val="both"/>
        <w:ind w:left="660" w:right="299" w:hanging="8"/>
        <w:spacing w:after="0" w:line="277" w:lineRule="auto"/>
        <w:tabs>
          <w:tab w:leader="none" w:pos="87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agree to be bound by the Confidentiality Agreement as if parties thereto, or (ii) are otherwise subject to other customary confidentiality arrangements, including “click through” confidentiality agreements and confidentiality provisions contained in customary bank books and offering memoranda.</w:t>
      </w:r>
    </w:p>
    <w:p>
      <w:pPr>
        <w:spacing w:after="0" w:line="64" w:lineRule="exact"/>
        <w:rPr>
          <w:rFonts w:ascii="Arial" w:cs="Arial" w:eastAsia="Arial" w:hAnsi="Arial"/>
          <w:sz w:val="17"/>
          <w:szCs w:val="17"/>
          <w:color w:val="auto"/>
        </w:rPr>
      </w:pPr>
    </w:p>
    <w:p>
      <w:pPr>
        <w:jc w:val="both"/>
        <w:ind w:left="660" w:right="299" w:firstLine="352"/>
        <w:spacing w:after="0" w:line="279" w:lineRule="auto"/>
        <w:tabs>
          <w:tab w:leader="none" w:pos="1399"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No Breach</w:t>
      </w:r>
      <w:r>
        <w:rPr>
          <w:rFonts w:ascii="Arial" w:cs="Arial" w:eastAsia="Arial" w:hAnsi="Arial"/>
          <w:sz w:val="17"/>
          <w:szCs w:val="17"/>
          <w:color w:val="auto"/>
        </w:rPr>
        <w:t xml:space="preserve">. Notwithstanding anything to the contrary in this Agreement, it is expressly understood and agreed by the parties hereto that the Company’s and each Company Subsidiary’s obligations under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shall be disregarded for purposes of determining whether the conditions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have been satisfied (including for purposes of determining any termination rights under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FIRPTA Certificate</w:t>
      </w:r>
      <w:r>
        <w:rPr>
          <w:rFonts w:ascii="Arial" w:cs="Arial" w:eastAsia="Arial" w:hAnsi="Arial"/>
          <w:sz w:val="16"/>
          <w:szCs w:val="16"/>
          <w:color w:val="auto"/>
        </w:rPr>
        <w:t>. Unless the Company determines in good faith that, as of the Closing, there is a material risk the Company has become a “United States real property holding corporation” within the meaning of Section 897(c) of the Code (a “</w:t>
      </w:r>
      <w:r>
        <w:rPr>
          <w:rFonts w:ascii="Arial" w:cs="Arial" w:eastAsia="Arial" w:hAnsi="Arial"/>
          <w:sz w:val="16"/>
          <w:szCs w:val="16"/>
          <w:u w:val="single" w:color="auto"/>
          <w:color w:val="auto"/>
        </w:rPr>
        <w:t>USRPHC</w:t>
      </w:r>
      <w:r>
        <w:rPr>
          <w:rFonts w:ascii="Arial" w:cs="Arial" w:eastAsia="Arial" w:hAnsi="Arial"/>
          <w:sz w:val="16"/>
          <w:szCs w:val="16"/>
          <w:color w:val="auto"/>
        </w:rPr>
        <w:t xml:space="preserve">”) and has so notified the Parent, the Company shall provide Parent prior to Closing with a signed certificate from the Company conforming to the requirements of Treasury Regulation Section 1.1445-2(c)(3) to the effect that the Company is not, and has not been during the relevant period specified in Section 897(c)(1)(ii) of the Code, a USRPHC together with a signed notice to the Internal Revenue Service conforming to the requirements of Treasury Regulation Section 1.897-2(h) (which notice Parent shall mail to the Internal Revenue Service promptly after Closing). Notwithstanding anything to the contrary in this Agreement, it is expressly understood and agreed by the parties hereto that the Company’s obligations under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shall be disregarded for purposes of determining whether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(including for purposes of determining any termination rights under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6" w:name="page307"/>
    <w:bookmarkEnd w:id="30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COVENANTS OF PARENT</w:t>
      </w:r>
    </w:p>
    <w:p>
      <w:pPr>
        <w:spacing w:after="0" w:line="14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Conduct of the Business of Parent</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93" w:lineRule="auto"/>
        <w:tabs>
          <w:tab w:leader="none" w:pos="140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During the Interim Period, Parent shall, and shall cause each of its Subsidiaries, except (i) as expressly permitted or required by this Agreement, (ii) as required by applicable Law, (iii) in connection with a Parent COVID Action or (iv) with the prior written consent of the Company (which consent shall not be unreasonably withheld, conditioned, or delayed), to use reasonable best efforts to operate in the ordinary course of business. Notwithstanding the foregoing, Parent and its Subsidiaries shall be permitted to take, and nothing in this Agreement shall prohibit Parent or its Subsidiaries from taking, any Parent COVID Action.</w:t>
      </w:r>
    </w:p>
    <w:p>
      <w:pPr>
        <w:spacing w:after="0" w:line="56" w:lineRule="exact"/>
        <w:rPr>
          <w:rFonts w:ascii="Arial" w:cs="Arial" w:eastAsia="Arial" w:hAnsi="Arial"/>
          <w:sz w:val="16"/>
          <w:szCs w:val="16"/>
          <w:color w:val="auto"/>
        </w:rPr>
      </w:pPr>
    </w:p>
    <w:p>
      <w:pPr>
        <w:jc w:val="both"/>
        <w:ind w:left="660" w:right="299" w:firstLine="352"/>
        <w:spacing w:after="0" w:line="275" w:lineRule="auto"/>
        <w:tabs>
          <w:tab w:leader="none" w:pos="140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of the Parent Disclosure Letter, (C) as required by and not in contravention of applicable Law or (D) in connection with a Parent COVID Action, Parent shall not, nor shall it permit any of its Subsidiaries to, without the prior written consent of the Company (which consent shall not be unreasonably withheld, conditioned, or delayed):</w:t>
      </w:r>
    </w:p>
    <w:p>
      <w:pPr>
        <w:spacing w:after="0" w:line="68" w:lineRule="exact"/>
        <w:rPr>
          <w:rFonts w:ascii="Arial" w:cs="Arial" w:eastAsia="Arial" w:hAnsi="Arial"/>
          <w:sz w:val="17"/>
          <w:szCs w:val="17"/>
          <w:color w:val="auto"/>
        </w:rPr>
      </w:pPr>
    </w:p>
    <w:p>
      <w:pPr>
        <w:ind w:left="1020" w:right="299" w:firstLine="352"/>
        <w:spacing w:after="0" w:line="277" w:lineRule="auto"/>
        <w:tabs>
          <w:tab w:leader="none" w:pos="173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amend or propose to amend the Charter Documents of Parent (whether by merger, consolidation or otherwise);</w:t>
      </w:r>
    </w:p>
    <w:p>
      <w:pPr>
        <w:spacing w:after="0" w:line="62" w:lineRule="exact"/>
        <w:rPr>
          <w:rFonts w:ascii="Arial" w:cs="Arial" w:eastAsia="Arial" w:hAnsi="Arial"/>
          <w:sz w:val="18"/>
          <w:szCs w:val="18"/>
          <w:color w:val="auto"/>
        </w:rPr>
      </w:pPr>
    </w:p>
    <w:p>
      <w:pPr>
        <w:jc w:val="both"/>
        <w:ind w:left="1020" w:right="299" w:firstLine="352"/>
        <w:spacing w:after="0" w:line="257" w:lineRule="auto"/>
        <w:tabs>
          <w:tab w:leader="none" w:pos="178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of arrangement, tender offer or dissolution of Parent or any of its material Subsidiaries, file a petition in bankruptcy under any provisions of federal or state bankruptcy Law on behalf of Parent or any of its material Subsidiaries or consent to the filing of any bankruptcy petition against Parent or any of its material Subsidiaries under any similar applicable Law;</w:t>
      </w:r>
    </w:p>
    <w:p>
      <w:pPr>
        <w:spacing w:after="0" w:line="79" w:lineRule="exact"/>
        <w:rPr>
          <w:rFonts w:ascii="Arial" w:cs="Arial" w:eastAsia="Arial" w:hAnsi="Arial"/>
          <w:sz w:val="18"/>
          <w:szCs w:val="18"/>
          <w:color w:val="auto"/>
        </w:rPr>
      </w:pPr>
    </w:p>
    <w:p>
      <w:pPr>
        <w:ind w:left="1820" w:hanging="448"/>
        <w:spacing w:after="0"/>
        <w:tabs>
          <w:tab w:leader="none" w:pos="182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(A) split, combine, or reclassify or otherwise amend the terms of any Parent Securities,</w:t>
      </w:r>
    </w:p>
    <w:p>
      <w:pPr>
        <w:spacing w:after="0" w:line="23" w:lineRule="exact"/>
        <w:rPr>
          <w:rFonts w:ascii="Arial" w:cs="Arial" w:eastAsia="Arial" w:hAnsi="Arial"/>
          <w:sz w:val="18"/>
          <w:szCs w:val="18"/>
          <w:color w:val="auto"/>
        </w:rPr>
      </w:pPr>
    </w:p>
    <w:p>
      <w:pPr>
        <w:jc w:val="both"/>
        <w:ind w:left="1020" w:right="299" w:hanging="8"/>
        <w:spacing w:after="0" w:line="268" w:lineRule="auto"/>
        <w:tabs>
          <w:tab w:leader="none" w:pos="1325" w:val="left"/>
        </w:tabs>
        <w:numPr>
          <w:ilvl w:val="1"/>
          <w:numId w:val="348"/>
        </w:numPr>
        <w:rPr>
          <w:rFonts w:ascii="Arial" w:cs="Arial" w:eastAsia="Arial" w:hAnsi="Arial"/>
          <w:sz w:val="17"/>
          <w:szCs w:val="17"/>
          <w:color w:val="auto"/>
        </w:rPr>
      </w:pPr>
      <w:r>
        <w:rPr>
          <w:rFonts w:ascii="Arial" w:cs="Arial" w:eastAsia="Arial" w:hAnsi="Arial"/>
          <w:sz w:val="17"/>
          <w:szCs w:val="17"/>
          <w:color w:val="auto"/>
        </w:rPr>
        <w:t>repurchase, redeem, or otherwise acquire, or offer to repurchase, redeem, or otherwise acquire, any Parent Securities (other than for purposes of effecting a net exercise or settlement or net share withholding, in satisfaction of any exercise price or required tax withholdings, under, or in connection with the forfeiture of, any Parent Equity Award), (C) issue or authorize the issuance of any other securities in respect of, in lieu of or in substitution for, shares of Parent (other than upon the grant, exercise or settlement of any Parent Equity Award) or (D) establish a record date for, declare, set aside, accrue or pay any dividend or distribution (whether in cash, stock, property, or otherwise) in respect of, or enter into any Contract with respect to the voting of, any shares or other securities (other than dividends from its direct or indirect wholly owned Subsidiaries);</w:t>
      </w:r>
    </w:p>
    <w:p>
      <w:pPr>
        <w:spacing w:after="0" w:line="73" w:lineRule="exact"/>
        <w:rPr>
          <w:rFonts w:ascii="Arial" w:cs="Arial" w:eastAsia="Arial" w:hAnsi="Arial"/>
          <w:sz w:val="17"/>
          <w:szCs w:val="17"/>
          <w:color w:val="auto"/>
        </w:rPr>
      </w:pPr>
    </w:p>
    <w:p>
      <w:pPr>
        <w:jc w:val="both"/>
        <w:ind w:left="1020" w:right="299" w:firstLine="352"/>
        <w:spacing w:after="0" w:line="255" w:lineRule="auto"/>
        <w:tabs>
          <w:tab w:leader="none" w:pos="182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other than with respect to any Indebtedness incurred or repaid in connection with the transactions contemplated by this Agreement (including any Debt Financing or Take-Out Financing), issue, sell, pledge, dispose of, transfer, lease, grant any Lien on, or otherwise encumber or enter into any Contract or other agreement with respect to any Parent Securities or Parent Subsidiary Securities, other than the issuance of shares of Parent Ordinary Shares upon the grant, exercise or settlement of any Parent Equity Award;</w:t>
      </w:r>
    </w:p>
    <w:p>
      <w:pPr>
        <w:spacing w:after="0" w:line="84" w:lineRule="exact"/>
        <w:rPr>
          <w:rFonts w:ascii="Arial" w:cs="Arial" w:eastAsia="Arial" w:hAnsi="Arial"/>
          <w:sz w:val="18"/>
          <w:szCs w:val="18"/>
          <w:color w:val="auto"/>
        </w:rPr>
      </w:pPr>
    </w:p>
    <w:p>
      <w:pPr>
        <w:jc w:val="both"/>
        <w:ind w:left="1020" w:right="299" w:firstLine="352"/>
        <w:spacing w:after="0" w:line="269" w:lineRule="auto"/>
        <w:tabs>
          <w:tab w:leader="none" w:pos="1770" w:val="left"/>
        </w:tabs>
        <w:numPr>
          <w:ilvl w:val="2"/>
          <w:numId w:val="349"/>
        </w:numPr>
        <w:rPr>
          <w:rFonts w:ascii="Arial" w:cs="Arial" w:eastAsia="Arial" w:hAnsi="Arial"/>
          <w:sz w:val="17"/>
          <w:szCs w:val="17"/>
          <w:color w:val="auto"/>
        </w:rPr>
      </w:pPr>
      <w:r>
        <w:rPr>
          <w:rFonts w:ascii="Arial" w:cs="Arial" w:eastAsia="Arial" w:hAnsi="Arial"/>
          <w:sz w:val="17"/>
          <w:szCs w:val="17"/>
          <w:color w:val="auto"/>
        </w:rPr>
        <w:t>other than any Indebtedness incurred or repaid in connection with the transactions contemplated by this Agreement (including any Debt Financing or Take-Out Financing), repurchase, prepay, assume or incur any Indebtedness or guarantee any such Indebtedness of another Person, issue or sell any debt securities or options, warrants, calls, or other rights to acquire any debt securities of Parent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77" w:lineRule="exact"/>
        <w:rPr>
          <w:rFonts w:ascii="Arial" w:cs="Arial" w:eastAsia="Arial" w:hAnsi="Arial"/>
          <w:sz w:val="17"/>
          <w:szCs w:val="17"/>
          <w:color w:val="auto"/>
        </w:rPr>
      </w:pPr>
    </w:p>
    <w:p>
      <w:pPr>
        <w:ind w:left="1020" w:right="299" w:firstLine="352"/>
        <w:spacing w:after="0" w:line="342" w:lineRule="auto"/>
        <w:tabs>
          <w:tab w:leader="none" w:pos="1820" w:val="left"/>
        </w:tabs>
        <w:numPr>
          <w:ilvl w:val="2"/>
          <w:numId w:val="349"/>
        </w:numPr>
        <w:rPr>
          <w:rFonts w:ascii="Arial" w:cs="Arial" w:eastAsia="Arial" w:hAnsi="Arial"/>
          <w:sz w:val="16"/>
          <w:szCs w:val="16"/>
          <w:color w:val="auto"/>
        </w:rPr>
      </w:pPr>
      <w:r>
        <w:rPr>
          <w:rFonts w:ascii="Arial" w:cs="Arial" w:eastAsia="Arial" w:hAnsi="Arial"/>
          <w:sz w:val="16"/>
          <w:szCs w:val="16"/>
          <w:color w:val="auto"/>
        </w:rPr>
        <w:t xml:space="preserve">except in connection with actions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hereof, take any action to exempt any Person from, or make any acquisition of securities of Parent by any Person not subject to,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7" w:name="page308"/>
    <w:bookmarkEnd w:id="30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takeover statute or similar statute or regulation that applies to Parent with respect to a Parent Takeover Proposal or otherwise, including the restrictions on “business combinations” set forth in Section 203 of the DGCL, except for the Company or any of its Subsidiaries or Affiliates, or the transactions contemplated by this Agreement;</w:t>
      </w:r>
    </w:p>
    <w:p>
      <w:pPr>
        <w:spacing w:after="0" w:line="79" w:lineRule="exact"/>
        <w:rPr>
          <w:sz w:val="20"/>
          <w:szCs w:val="20"/>
          <w:color w:val="auto"/>
        </w:rPr>
      </w:pPr>
    </w:p>
    <w:p>
      <w:pPr>
        <w:jc w:val="both"/>
        <w:ind w:left="1020" w:right="299" w:firstLine="352"/>
        <w:spacing w:after="0" w:line="255" w:lineRule="auto"/>
        <w:tabs>
          <w:tab w:leader="none" w:pos="187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other than with respect to any Indebtedness incurred or repaid in connection with the transactions contemplated by this Agreement (including any Debt Financing or Take-Out Financing), abandon, allow to lapse, sell, assign, transfer, grant any security interest in otherwise encumber or dispose of any material Parent IP, or grant any right or license to any material Parent IP other than pursuant to non-exclusive licenses or sublicenses entered into in the ordinary course of business consistent with past practice;</w:t>
      </w:r>
    </w:p>
    <w:p>
      <w:pPr>
        <w:spacing w:after="0" w:line="138" w:lineRule="exact"/>
        <w:rPr>
          <w:rFonts w:ascii="Arial" w:cs="Arial" w:eastAsia="Arial" w:hAnsi="Arial"/>
          <w:sz w:val="18"/>
          <w:szCs w:val="18"/>
          <w:color w:val="auto"/>
        </w:rPr>
      </w:pPr>
    </w:p>
    <w:p>
      <w:pPr>
        <w:ind w:left="1920" w:hanging="548"/>
        <w:spacing w:after="0"/>
        <w:tabs>
          <w:tab w:leader="none" w:pos="19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or</w:t>
      </w:r>
    </w:p>
    <w:p>
      <w:pPr>
        <w:spacing w:after="0" w:line="157" w:lineRule="exact"/>
        <w:rPr>
          <w:rFonts w:ascii="Arial" w:cs="Arial" w:eastAsia="Arial" w:hAnsi="Arial"/>
          <w:sz w:val="18"/>
          <w:szCs w:val="18"/>
          <w:color w:val="auto"/>
        </w:rPr>
      </w:pPr>
    </w:p>
    <w:p>
      <w:pPr>
        <w:ind w:left="1820" w:hanging="448"/>
        <w:spacing w:after="0"/>
        <w:tabs>
          <w:tab w:leader="none" w:pos="18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Parent No Solicitation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3" w:lineRule="auto"/>
        <w:tabs>
          <w:tab w:leader="none" w:pos="140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Solely prior to receipt of the Requisite Parent Vote, during the Interim Period Parent shall not, shall cause its Subsidiaries and its and their officers, employees and directors not to, and shall and shall use reasonable best efforts to cause the other Representatives of Parent not to, directly or indirectly (i) solicit, initiate, propose, induce or knowingly take any action to facilitate or encourage the submission of any Parent Takeover Proposal or the making of any proposal that would reasonably be expected to lead to any Parent Takeover Proposal; (ii) enter into, continue, conduct, engage or otherwise participate in in any discussions or negotiations with, disclose any non-public information relating to Parent or its Subsidiaries to, afford access to the business, properties, assets, books, or records of Parent or its Subsidiaries to, or knowingly assist, knowingly facilitate, or knowingly encourage the making of any proposal or offer that constitutes, or would reasonably be expected to result in, a Parent Takeover Proposal; (iii) amend or grant any waiver or release under, or fail to enforce, any standstill or similar agreement with respect to any class of equity securities of Parent or its Subsidiaries; (iv) enter into any agreement in principle, memorandum of understanding, letter of intent, term sheet, acquisition agreement, merger agreement, option agreement, joint venture agreement, partnership agreement, or other Contract relating to any Parent Takeover Proposal (each, a “</w:t>
      </w:r>
      <w:r>
        <w:rPr>
          <w:rFonts w:ascii="Arial" w:cs="Arial" w:eastAsia="Arial" w:hAnsi="Arial"/>
          <w:sz w:val="16"/>
          <w:szCs w:val="16"/>
          <w:u w:val="single" w:color="auto"/>
          <w:color w:val="auto"/>
        </w:rPr>
        <w:t>Parent Acquisition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(v) submit any Parent Takeover Proposal to the vote of the stockholders of Parent; or</w:t>
      </w:r>
    </w:p>
    <w:p>
      <w:pPr>
        <w:jc w:val="both"/>
        <w:ind w:left="660" w:right="299" w:hanging="8"/>
        <w:spacing w:after="0" w:line="266" w:lineRule="auto"/>
        <w:tabs>
          <w:tab w:leader="none" w:pos="994"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approve, authorize, agree or publicly announce an intention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that notwithstanding anything to the contrary in this Agreement, Parent or any of its Representatives may, in response to an inquiry or proposal from a Third Party, inform such Third Party of the restrictions imposed by the provisions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Parent shall, and shall cause its Subsidiaries to cease immediately and cause to be terminated, and shall not, shall cause its Subsidiaries and its and their officers, employees and directors not to, and shall and shall use reasonable best efforts to cause the other Representatives of Parent not to continue, any and all existing activities, discussions, or negotiations, if any, with any Third Party conducted prior to the date hereof with respect to any Parent Takeover Proposal and shall use its reasonable best efforts to cause any such Third Party (or its agents or advisors) in possession of non-public information in respect of Parent and its Subsidiaries that was furnished by or on behalf of Parent or its Subsidiaries to return or destroy (and confirm destruction of) all such information and immediately terminate access by any Third Party to any physical or electronic data room relating to any potential Parent Takeover Proposal. Without limiting the generality of the foregoing, it is understood that any breach of the restrictions set forth in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by any Representative of Parent (solely for this purpose as if the restrictions on Parent set forth in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applied directly to such Representatives) shall be deemed to constitute a breach of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by Parent.</w:t>
      </w:r>
    </w:p>
    <w:p>
      <w:pPr>
        <w:spacing w:after="0" w:line="83"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Notification to the Company</w:t>
      </w:r>
      <w:r>
        <w:rPr>
          <w:rFonts w:ascii="Arial" w:cs="Arial" w:eastAsia="Arial" w:hAnsi="Arial"/>
          <w:sz w:val="16"/>
          <w:szCs w:val="16"/>
          <w:color w:val="auto"/>
        </w:rPr>
        <w:t xml:space="preserve">. Without limiting </w:t>
      </w:r>
      <w:r>
        <w:rPr>
          <w:rFonts w:ascii="Arial" w:cs="Arial" w:eastAsia="Arial" w:hAnsi="Arial"/>
          <w:sz w:val="16"/>
          <w:szCs w:val="16"/>
          <w:u w:val="single" w:color="auto"/>
          <w:color w:val="auto"/>
        </w:rPr>
        <w:t>Section 7.02(a)</w:t>
      </w:r>
      <w:r>
        <w:rPr>
          <w:rFonts w:ascii="Arial" w:cs="Arial" w:eastAsia="Arial" w:hAnsi="Arial"/>
          <w:sz w:val="16"/>
          <w:szCs w:val="16"/>
          <w:color w:val="auto"/>
        </w:rPr>
        <w:t>: (i) from and after the date hereof, Parent shall notify the Company promptly (but in no event later than two (2) Business Days) after the receipt by Parent (or any of its Representatives) of any Parent Takeover Proposal, any inquiry that would reasonably be expected to lead to a Parent Takeover Proposal, any request for non-public information relating to Parent or its Subsidiaries or for access to the business, properties, assets, books, or records of Parent or its Subsidiaries by any Third Party. In such notice, Parent shall identify the Third Party making, and details of the material terms and conditions of, any such Parent Takeover Proposal, indication or request, including any proposed financing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8" w:name="page309"/>
    <w:bookmarkEnd w:id="30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and (ii) Parent shall keep the Company reasonably informed, on a reasonably current basis, of the status and material terms of any such Parent Takeover Proposal, indication or request, including any material amendments or proposed amendments as to price, proposed financing, and other material terms thereof.</w:t>
      </w:r>
    </w:p>
    <w:p>
      <w:pPr>
        <w:spacing w:after="0" w:line="57" w:lineRule="exact"/>
        <w:rPr>
          <w:sz w:val="20"/>
          <w:szCs w:val="20"/>
          <w:color w:val="auto"/>
        </w:rPr>
      </w:pPr>
    </w:p>
    <w:p>
      <w:pPr>
        <w:jc w:val="both"/>
        <w:ind w:left="660" w:right="299" w:firstLine="352"/>
        <w:spacing w:after="0" w:line="254" w:lineRule="auto"/>
        <w:tabs>
          <w:tab w:leader="none" w:pos="1399"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Compliance with Irish Takeover Code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shall not prevent Parent from making any disclosure to the Irish Takeover Panel or to its shareholders consistent with the provisions of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if the Parent Board has reasonably determined in good faith after consultation with Parent’s outside legal counsel and financial advisor of national reputation that the failure to do so would be inconsistent with the duties of the Parent Board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disclosure to Parent’s shareholders is anything other than a rejection of the applicable Parent Takeover Proposal or a reaffirmation of the Parent Board Recommendation, such disclosure shall constitute a Parent Adverse Recommendation Change.</w:t>
      </w:r>
    </w:p>
    <w:p>
      <w:pPr>
        <w:spacing w:after="0" w:line="83"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Parent Adverse Recommendation Change</w:t>
      </w:r>
      <w:r>
        <w:rPr>
          <w:rFonts w:ascii="Arial" w:cs="Arial" w:eastAsia="Arial" w:hAnsi="Arial"/>
          <w:sz w:val="18"/>
          <w:szCs w:val="18"/>
          <w:color w:val="auto"/>
        </w:rPr>
        <w:t xml:space="preserve">. Except as expressly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the Parent Board shall not effect a Parent Adverse Recommendation Change prior to the receipt of the Requisite Parent Vote.</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99"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At any time prior to the receipt of the Requisite Parent Vote, upon the occurrence of a Parent Intervening Event, the Parent Board may effect a Parent Adverse Recommendation Change only if all of the following conditions are satisfied:</w:t>
      </w:r>
    </w:p>
    <w:p>
      <w:pPr>
        <w:spacing w:after="0" w:line="75"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2"/>
          <w:numId w:val="353"/>
        </w:numPr>
        <w:rPr>
          <w:rFonts w:ascii="Arial" w:cs="Arial" w:eastAsia="Arial" w:hAnsi="Arial"/>
          <w:sz w:val="18"/>
          <w:szCs w:val="18"/>
          <w:color w:val="auto"/>
        </w:rPr>
      </w:pPr>
      <w:r>
        <w:rPr>
          <w:rFonts w:ascii="Arial" w:cs="Arial" w:eastAsia="Arial" w:hAnsi="Arial"/>
          <w:sz w:val="18"/>
          <w:szCs w:val="18"/>
          <w:color w:val="auto"/>
        </w:rPr>
        <w:t>the Parent Board determines in good faith after consultation with its outside legal counsel and financial advisor of national reputation that a Parent Intervening Event has occurred and that failure to effect a Parent Adverse Recommendation Change in response to such Parent Intervening Event would be inconsistent with the fiduciary duties owed by the Parent Board to the shareholders of Parent under applicable Law;</w:t>
      </w:r>
    </w:p>
    <w:p>
      <w:pPr>
        <w:spacing w:after="0" w:line="79" w:lineRule="exact"/>
        <w:rPr>
          <w:rFonts w:ascii="Arial" w:cs="Arial" w:eastAsia="Arial" w:hAnsi="Arial"/>
          <w:sz w:val="18"/>
          <w:szCs w:val="18"/>
          <w:color w:val="auto"/>
        </w:rPr>
      </w:pPr>
    </w:p>
    <w:p>
      <w:pPr>
        <w:jc w:val="both"/>
        <w:ind w:left="1020" w:right="299" w:firstLine="352"/>
        <w:spacing w:after="0" w:line="285" w:lineRule="auto"/>
        <w:tabs>
          <w:tab w:leader="none" w:pos="1780" w:val="left"/>
        </w:tabs>
        <w:numPr>
          <w:ilvl w:val="2"/>
          <w:numId w:val="353"/>
        </w:numPr>
        <w:rPr>
          <w:rFonts w:ascii="Arial" w:cs="Arial" w:eastAsia="Arial" w:hAnsi="Arial"/>
          <w:sz w:val="16"/>
          <w:szCs w:val="16"/>
          <w:color w:val="auto"/>
        </w:rPr>
      </w:pPr>
      <w:r>
        <w:rPr>
          <w:rFonts w:ascii="Arial" w:cs="Arial" w:eastAsia="Arial" w:hAnsi="Arial"/>
          <w:sz w:val="16"/>
          <w:szCs w:val="16"/>
          <w:color w:val="auto"/>
        </w:rPr>
        <w:t>Parent (A) promptly notifies the Company, in writing, at least three (3) Business Days (the “</w:t>
      </w:r>
      <w:r>
        <w:rPr>
          <w:rFonts w:ascii="Arial" w:cs="Arial" w:eastAsia="Arial" w:hAnsi="Arial"/>
          <w:sz w:val="16"/>
          <w:szCs w:val="16"/>
          <w:u w:val="single" w:color="auto"/>
          <w:color w:val="auto"/>
        </w:rPr>
        <w:t>Parent Intervening Event Notice Period</w:t>
      </w:r>
      <w:r>
        <w:rPr>
          <w:rFonts w:ascii="Arial" w:cs="Arial" w:eastAsia="Arial" w:hAnsi="Arial"/>
          <w:sz w:val="16"/>
          <w:szCs w:val="16"/>
          <w:color w:val="auto"/>
        </w:rPr>
        <w:t>”) before making a Parent Adverse Recommendation Change with respect to a Parent Intervening Event of its intention to take such action, which notice shall describe in reasonable detail the Parent Intervening Event (it being understood that the delivery and receipt of any such notice shall not, in and of itself, be deemed to be a Parent Adverse Recommendation Change) and</w:t>
      </w:r>
    </w:p>
    <w:p>
      <w:pPr>
        <w:spacing w:after="0" w:line="1" w:lineRule="exact"/>
        <w:rPr>
          <w:rFonts w:ascii="Arial" w:cs="Arial" w:eastAsia="Arial" w:hAnsi="Arial"/>
          <w:sz w:val="16"/>
          <w:szCs w:val="16"/>
          <w:color w:val="auto"/>
        </w:rPr>
      </w:pPr>
    </w:p>
    <w:p>
      <w:pPr>
        <w:jc w:val="both"/>
        <w:ind w:left="1020" w:right="299" w:hanging="8"/>
        <w:spacing w:after="0" w:line="285" w:lineRule="auto"/>
        <w:tabs>
          <w:tab w:leader="none" w:pos="1308" w:val="left"/>
        </w:tabs>
        <w:numPr>
          <w:ilvl w:val="1"/>
          <w:numId w:val="353"/>
        </w:numPr>
        <w:rPr>
          <w:rFonts w:ascii="Arial" w:cs="Arial" w:eastAsia="Arial" w:hAnsi="Arial"/>
          <w:sz w:val="16"/>
          <w:szCs w:val="16"/>
          <w:color w:val="auto"/>
        </w:rPr>
      </w:pPr>
      <w:r>
        <w:rPr>
          <w:rFonts w:ascii="Arial" w:cs="Arial" w:eastAsia="Arial" w:hAnsi="Arial"/>
          <w:sz w:val="16"/>
          <w:szCs w:val="16"/>
          <w:color w:val="auto"/>
        </w:rPr>
        <w:t xml:space="preserve">prior to making such a Parent Adverse Recommendation Change, to the extent requested in writing by the Company, engages in good faith negotiations with the Company during such three (3) Business Day period to amend this Agreement in such a manner that the failure of the Parent Board to make a Parent Adverse Recommendation Change with respect to such Parent Intervening Event would no longer be, in the good faith determination of the Parent Board in consultation with its outside legal counsel and financial advisor of national reputation, inconsistent with the directors’ fiduciary duties under applicable Law (it being understood that, if after commencement of the Parent Intervening Event Notice Period, there is any material change to the circumstances giving rise to the Parent Intervening Event that was previously the subject of a notice hereunder, a new notice to Parent shall be required as provided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such material change, each reference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a “three (3) Business Day” period shall be changed to refer to a “two (2) Business Day” period); and</w:t>
      </w:r>
    </w:p>
    <w:p>
      <w:pPr>
        <w:spacing w:after="0" w:line="66" w:lineRule="exact"/>
        <w:rPr>
          <w:rFonts w:ascii="Arial" w:cs="Arial" w:eastAsia="Arial" w:hAnsi="Arial"/>
          <w:sz w:val="16"/>
          <w:szCs w:val="16"/>
          <w:color w:val="auto"/>
        </w:rPr>
      </w:pPr>
    </w:p>
    <w:p>
      <w:pPr>
        <w:jc w:val="both"/>
        <w:ind w:left="1020" w:right="299" w:firstLine="352"/>
        <w:spacing w:after="0" w:line="275" w:lineRule="auto"/>
        <w:tabs>
          <w:tab w:leader="none" w:pos="183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at the conclusion of the Parent Intervening Event Notice Period, the Parent Board shall have determined in good faith, after consultation with its outside legal counsel and financial advisor of national reputation, that in light of such Parent Intervening Event and taking into account any revised terms proposed by the Company, the failure to make a Parent Adverse Recommendation Change would be inconsistent with the Parent directors’ fiduciary duties under applicable Law.</w:t>
      </w:r>
    </w:p>
    <w:p>
      <w:pPr>
        <w:spacing w:after="0" w:line="10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Parent Shareholders Meeting; Approval by Sole Stockholders of Merger Sub</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9"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Parent Shareholders Meeting</w:t>
      </w:r>
      <w:r>
        <w:rPr>
          <w:rFonts w:ascii="Arial" w:cs="Arial" w:eastAsia="Arial" w:hAnsi="Arial"/>
          <w:sz w:val="18"/>
          <w:szCs w:val="18"/>
          <w:color w:val="auto"/>
        </w:rPr>
        <w:t xml:space="preserve">. Parent shall take all action necessary to duly call, give notice of, convene, and hold the Parent Shareholders Meeting as soon as reasonably practicable after the Form F-4 is declared effective, and, in connection therewith, Parent shall mail the EGM Notice to the holders of Parent Ordinary Shares in advance of the Parent Shareholders Meeting. Except to the extent that the Parent Board shall have effected a Parent Adverse Recommendation Change as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the EGM Notice shall include the Parent Board Recommendation. 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Parent shall use reasonable best efforts to: (i) solicit from the holders of Parent Ordinary Shares proxies in favor of the approval of granting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9" w:name="page310"/>
    <w:bookmarkEnd w:id="30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Parent Board authority to effect the Parent Share Issuance; and (ii) take all other actions necessary or advisable to secure the vote or consent of the holders of Parent Ordinary Shares required by applicable Law to obtain such approval. Parent shall keep the Company updated with respect to proxy solicitation results as requested by the Company. Once the Parent Shareholders Meeting has been called and noticed, Parent shall not postpone or adjourn the Parent Shareholders Meeting without the consent of Company (other than: (A) in order to obtain a quorum of its shareholders; or (B) as reasonably determined by Parent to comply with applicable Law). Parent shall use its reasonable best efforts to cooperate with Company to hold the Parent Shareholders Meeting on the same day and at the same time as the Company Stockholders Meeting as soon as reasonably practicable after the date of this Agreement, and to set the same record date for each such meeting. Without the prior written consent of the Company or as required by applicable Law, (i) the approval of the grant of authority to the Parent Board to effect the Parent Share Issuance shall be the only matter that Parent shall propose to be acted on by the shareholders of Parent at the Parent Shareholders Meeting and, prior to receipt of the Requisite Parent Vote, Parent shall not submit any other proposal to such shareholders in connection with the Parent Shareholders Meeting (including any proposal inconsistent with the approval of the grant of authority to the Parent Board to effect the Parent Share Issuance or the consummation of the transactions contemplated by this Agreement), except for, following the approval of the grant of authority, any Parent AGM Resolutions proposed to be voted on at a Parent AGM to be called and held on a date subsequent to the Parent Shareholder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acknowledged and agreed that the Parent AGM must be held no later than September 30, 2021, and Parent shall be permitted to take action to call and hold the Parent AGM on such date even if the Requisite Parent Vote has not been obtained) and (ii) prior to receipt of the Requisite Parent Vote, Parent shall not call any meeting of the shareholders of Parent other than the Parent Shareholders Meeting. If the Parent Board makes a Parent Adverse Recommendation Change, it will not alter the obligation of Parent to submit the approval of the grant of authority to the Parent Board to effect the Parent Share Issuance to the holders of Parent Ordinary Shares at the Parent Shareholders Meeting to consider and vote upon, unless this Agreement shall have been terminated in accordance with its terms prior to the Parent Shareholders Meeting.</w:t>
      </w:r>
    </w:p>
    <w:p>
      <w:pPr>
        <w:spacing w:after="0" w:line="65" w:lineRule="exact"/>
        <w:rPr>
          <w:sz w:val="20"/>
          <w:szCs w:val="20"/>
          <w:color w:val="auto"/>
        </w:rPr>
      </w:pPr>
    </w:p>
    <w:p>
      <w:pPr>
        <w:jc w:val="both"/>
        <w:ind w:left="660" w:right="299" w:firstLine="352"/>
        <w:spacing w:after="0" w:line="263" w:lineRule="auto"/>
        <w:tabs>
          <w:tab w:leader="none" w:pos="141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Approval by Sole Stockholders</w:t>
      </w:r>
      <w:r>
        <w:rPr>
          <w:rFonts w:ascii="Arial" w:cs="Arial" w:eastAsia="Arial" w:hAnsi="Arial"/>
          <w:sz w:val="18"/>
          <w:szCs w:val="18"/>
          <w:color w:val="auto"/>
        </w:rPr>
        <w:t>. Immediately following the execution and delivery of this Agreement, Parent and US Holdco, as sole stockholders of Merger Sub, shall adopt this Agreement and approve the Merger, in accordance with the DGCL.</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Benefit Plans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0" w:lineRule="auto"/>
        <w:tabs>
          <w:tab w:leader="none" w:pos="1399"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Termination of Benefit Plans</w:t>
      </w:r>
      <w:r>
        <w:rPr>
          <w:rFonts w:ascii="Arial" w:cs="Arial" w:eastAsia="Arial" w:hAnsi="Arial"/>
          <w:sz w:val="17"/>
          <w:szCs w:val="17"/>
          <w:color w:val="auto"/>
        </w:rPr>
        <w:t>. Effective no later than the day immediately preceding the Closing Date, solely to the extent permitted by Law and the terms of the applicable Company Employee Plan and to the extent that such termination will not trigger a material penalty or result in imposition of additional Tax, other than as a result of the acceleration of recognition of income or deferral of deduction from income, to the Company and its Subsidiaries or any Company Employee, the Company shall terminate any Company Employee Plans maintained by the Company or its Subsidiaries that Parent has requested to be terminated by providing a written notice to the Company at least thirty (30) days prior to the Closing Date and, no later than the day immediately preceding the Closing Date, the Company shall provide Parent with evidence that such Company Employee Plans have been terminated.</w:t>
      </w:r>
    </w:p>
    <w:p>
      <w:pPr>
        <w:spacing w:after="0" w:line="72" w:lineRule="exact"/>
        <w:rPr>
          <w:rFonts w:ascii="Arial" w:cs="Arial" w:eastAsia="Arial" w:hAnsi="Arial"/>
          <w:sz w:val="17"/>
          <w:szCs w:val="17"/>
          <w:color w:val="auto"/>
        </w:rPr>
      </w:pPr>
    </w:p>
    <w:p>
      <w:pPr>
        <w:jc w:val="both"/>
        <w:ind w:left="660" w:right="299" w:firstLine="352"/>
        <w:spacing w:after="0" w:line="286" w:lineRule="auto"/>
        <w:tabs>
          <w:tab w:leader="none" w:pos="1410"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Prior Written Consent</w:t>
      </w:r>
      <w:r>
        <w:rPr>
          <w:rFonts w:ascii="Arial" w:cs="Arial" w:eastAsia="Arial" w:hAnsi="Arial"/>
          <w:sz w:val="17"/>
          <w:szCs w:val="17"/>
          <w:color w:val="auto"/>
        </w:rPr>
        <w:t xml:space="preserve">. With respect to matters described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the Company will not send any written notices or other written communication materials to Company Employees without the prior written consent of Parent (such consent not to be unreasonably withheld or delayed).</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Directors’ and Officers’ Indemnification and Insurance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8" w:lineRule="auto"/>
        <w:tabs>
          <w:tab w:leader="none" w:pos="1399"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From and after the Effective Time, each of Parent and the Surviving Corporation shall, jointly and severally, indemnify, defend and hold harmless each Person who is now, or has been at any time prior to the date of this Agreement or who becomes prior to the Effective Time, an officer, director or manager of the Company or any of its Subsidiaries or who acts as a fiduciary under any Company Stock Plan, in each case, when acting in such capacity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or, while a director, manager or officer of the Company or any of its Subsidiaries, is or was serving at the request of the Company or one of 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0" w:name="page311"/>
    <w:bookmarkEnd w:id="31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Subsidiaries as an officer, director or manager of another Person, whether pertaining to any act or omission occurring or existing prior to or at, but not after the Effective Time and whether asserted or claimed prior to, at or after the Effective Time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including all Indemnified Liabilities based in whole or in part on, or arising in whole or in part out of, or pertaining to, this Agreement or the transactions contemplated by this Agreement, in each case to the fullest extent that the Company would have been permitted to do so by law. Each Indemnified Party will be entitled to advancement of expenses (including attorneys’ fees) incurred in the defense of any such claim, action, suit, proceeding or investigation from and each of Parent and the Surviving Corporation within 90 days of receipt by Parent or the Surviving Corporation from the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Parent, US Holdco and Merger Sub agree that all rights to indemnification, advancement of expenses, and exculpation by the Company now existing in favor of each Indemnified Party as provided in the Charter Documents of the Company, in each case as in effect on the date of this Agreement, or pursuant to any other Contracts in effect on the date hereof, shall be assumed by the Surviving Corporation in the Merger, without further action, at the Effective Time and shall survive the Merger and shall remain in full force and effect in accordance with their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to whom expenses are advanced provides an undertaking to repay such expenses if it is ultimately determined that such Person is not entitled to indemnification. For a period of six (6) years from the Effective Time, the Surviving Corporation shall, and Parent shall cause the Surviving Corporation to, maintain in effect the exculpation, indemnification, and advancement of expenses no less favorable than the provisions of the Charter Documents of the Company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rights to indemnification in respect of any claim made for indemnification within such period shall continue until the disposition of such action or resolution of such claim.</w:t>
      </w:r>
    </w:p>
    <w:p>
      <w:pPr>
        <w:spacing w:after="0" w:line="279" w:lineRule="exact"/>
        <w:rPr>
          <w:sz w:val="20"/>
          <w:szCs w:val="20"/>
          <w:color w:val="auto"/>
        </w:rPr>
      </w:pPr>
    </w:p>
    <w:p>
      <w:pPr>
        <w:ind w:left="1400" w:hanging="388"/>
        <w:spacing w:after="0"/>
        <w:tabs>
          <w:tab w:leader="none" w:pos="140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Surviving Corporation shall, and Parent shall cause the Surviving Corporation to:</w:t>
      </w:r>
    </w:p>
    <w:p>
      <w:pPr>
        <w:spacing w:after="0" w:line="34" w:lineRule="exact"/>
        <w:rPr>
          <w:rFonts w:ascii="Arial" w:cs="Arial" w:eastAsia="Arial" w:hAnsi="Arial"/>
          <w:sz w:val="17"/>
          <w:szCs w:val="17"/>
          <w:color w:val="auto"/>
        </w:rPr>
      </w:pPr>
    </w:p>
    <w:p>
      <w:pPr>
        <w:jc w:val="both"/>
        <w:ind w:left="660" w:right="299" w:hanging="8"/>
        <w:spacing w:after="0" w:line="285" w:lineRule="auto"/>
        <w:tabs>
          <w:tab w:leader="none" w:pos="88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obtain and fully prepay as of the Effective Time “tail” insurance policies from an insurance carrier with the same or better credit rating as the Company’s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in each case with respect to claims arising out of or relating to events which occurred before or at the Effective Time (including in connection with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will the Surviving Corporation be required to expend, with respect to the entire six (6)-year period following the Effective Time, premiums for such coverage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which in the aggregate exceed 300% percent of the aggregate premiums paid by the Company for the period in its most recent fiscal year for such purpose prior to the date of this Agreement (the “</w:t>
      </w:r>
      <w:r>
        <w:rPr>
          <w:rFonts w:ascii="Arial" w:cs="Arial" w:eastAsia="Arial" w:hAnsi="Arial"/>
          <w:sz w:val="16"/>
          <w:szCs w:val="16"/>
          <w:u w:val="single" w:color="auto"/>
          <w:color w:val="auto"/>
        </w:rPr>
        <w:t>Maximum Premium</w:t>
      </w:r>
      <w:r>
        <w:rPr>
          <w:rFonts w:ascii="Arial" w:cs="Arial" w:eastAsia="Arial" w:hAnsi="Arial"/>
          <w:sz w:val="16"/>
          <w:szCs w:val="16"/>
          <w:color w:val="auto"/>
        </w:rPr>
        <w:t>”). If such insurance coverage cannot be obtained at an annual premium equal to or less than the Maximum Premium, the Surviving Corporation will obtain, and Parent will cause the Surviving Corporation to obtain, the greatest coverage available for a cost not exceeding an annual premium equal to the Maximum Premium.</w:t>
      </w:r>
    </w:p>
    <w:p>
      <w:pPr>
        <w:spacing w:after="0" w:line="61" w:lineRule="exact"/>
        <w:rPr>
          <w:rFonts w:ascii="Arial" w:cs="Arial" w:eastAsia="Arial" w:hAnsi="Arial"/>
          <w:sz w:val="16"/>
          <w:szCs w:val="16"/>
          <w:color w:val="auto"/>
        </w:rPr>
      </w:pPr>
    </w:p>
    <w:p>
      <w:pPr>
        <w:jc w:val="both"/>
        <w:ind w:left="660" w:right="299" w:firstLine="352"/>
        <w:spacing w:after="0" w:line="255" w:lineRule="auto"/>
        <w:tabs>
          <w:tab w:leader="none" w:pos="1399"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Parent, Merger Sub, and the Surviving Corporation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shall survive the consummation of the Mergers and shall not be terminated or modified in such a manner as to adversely affect any Indemnified Party to whom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applies without the consent of such affected Indemnified Party (it being expressly agreed that the Indemnified Parties to whom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each of whom may enforce the provisions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319" w:firstLine="352"/>
        <w:spacing w:after="0" w:line="287" w:lineRule="auto"/>
        <w:tabs>
          <w:tab w:leader="none" w:pos="1410"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Assumptions by Successors and Assigns; No Release or Waiver</w:t>
      </w:r>
      <w:r>
        <w:rPr>
          <w:rFonts w:ascii="Arial" w:cs="Arial" w:eastAsia="Arial" w:hAnsi="Arial"/>
          <w:sz w:val="16"/>
          <w:szCs w:val="16"/>
          <w:color w:val="auto"/>
        </w:rPr>
        <w:t>. In the event Parent, the Surviving Corporation, or any of their respective successors or assigns: (i) consolidates with or merges into any other Person and shall not be the continuing or surviving corporation or entity in such consolidation or merger; or</w:t>
      </w:r>
    </w:p>
    <w:p>
      <w:pPr>
        <w:spacing w:after="0" w:line="2" w:lineRule="exact"/>
        <w:rPr>
          <w:rFonts w:ascii="Arial" w:cs="Arial" w:eastAsia="Arial" w:hAnsi="Arial"/>
          <w:sz w:val="16"/>
          <w:szCs w:val="16"/>
          <w:color w:val="auto"/>
        </w:rPr>
      </w:pPr>
    </w:p>
    <w:p>
      <w:pPr>
        <w:jc w:val="both"/>
        <w:ind w:left="660" w:right="299" w:hanging="8"/>
        <w:spacing w:after="0" w:line="295" w:lineRule="auto"/>
        <w:tabs>
          <w:tab w:leader="none" w:pos="94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w:t>
      </w:r>
      <w:r>
        <w:rPr>
          <w:rFonts w:ascii="Arial" w:cs="Arial" w:eastAsia="Arial" w:hAnsi="Arial"/>
          <w:sz w:val="16"/>
          <w:szCs w:val="16"/>
          <w:u w:val="single" w:color="auto"/>
          <w:color w:val="auto"/>
        </w:rPr>
        <w:t>Section 7.05</w:t>
      </w:r>
      <w:r>
        <w:rPr>
          <w:rFonts w:ascii="Arial" w:cs="Arial" w:eastAsia="Arial" w:hAnsi="Arial"/>
          <w:sz w:val="16"/>
          <w:szCs w:val="16"/>
          <w:color w:val="auto"/>
        </w:rPr>
        <w:t>. The agreements and covenants contained herein shall not be deemed to be exclusive of any other rights to which any Indemnified Party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1" w:name="page312"/>
    <w:bookmarkEnd w:id="31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 xml:space="preserve">entitled, whether pursuant to the Charter Documents of the Company or any of its Subsidiaries,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is not prior to, or in substitution for, any such claims under any such policies.</w:t>
      </w:r>
    </w:p>
    <w:p>
      <w:pPr>
        <w:spacing w:after="0" w:line="84" w:lineRule="exact"/>
        <w:rPr>
          <w:sz w:val="20"/>
          <w:szCs w:val="20"/>
          <w:color w:val="auto"/>
        </w:rPr>
      </w:pPr>
    </w:p>
    <w:p>
      <w:pPr>
        <w:jc w:val="both"/>
        <w:ind w:left="660" w:right="299" w:firstLine="352"/>
        <w:spacing w:after="0" w:line="275" w:lineRule="auto"/>
        <w:tabs>
          <w:tab w:leader="none" w:pos="1399"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Beneficiaries; Fees</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are intended to be for the benefit of, and shall be enforceable by, the parties and each Person entitled to indemnification or insurance coverage or expense advancement pursuant to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his or her heirs and Representatives. Parent and the Surviving Corporation shall pay all expenses, including attorneys’ fees, that may be incurred by any Indemnified Party in enforcing the indemnity and other obligations provided in this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No Amendments to Commitment Letter</w:t>
      </w:r>
      <w:r>
        <w:rPr>
          <w:rFonts w:ascii="Arial" w:cs="Arial" w:eastAsia="Arial" w:hAnsi="Arial"/>
          <w:sz w:val="16"/>
          <w:szCs w:val="16"/>
          <w:color w:val="auto"/>
        </w:rPr>
        <w:t>. Parent will not (without the prior written consent of the Company, which consent shall not be unreasonably withheld, conditioned, or delayed) consent or agree to any amendment, replacement, supplement, or modification of, or any waiver of any provision or remedy pursuant to the Commitment Letter if such amendment, replacement, supplement, modification, or waiver would: (i) reduce the aggregate amount of the net proceeds of the Debt Financing to an amount that, together with Parent’s and Merger Sub’s cash on hand and cash equivalents on hand and any Escrowed Take-Out Financing Proceeds, would be less than the Required Amount; (ii) (x) impose new or additional conditions or otherwise expand, amend, or modify any of the conditions to the receipt of the Debt Financing or (y) expand, amend or modify any other terms to the Debt Financing in a manner that would reasonably be expected to: (A) delay or prevent the Closing Date, or (B) make the timely funding of the Debt Financing, or the satisfaction of the conditions to obtaining the Debt Financing, materially less likely to occur; or (iii) materially adversely impact the ability of Parent to enforce its rights against the other parties to the Commitment Letter or the Debt Financing definitive agreements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Restricted Amendments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Parent may (without the consent of the Company)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 Parent or Merger Sub shall promptly (and in any case, within five (5) Business Days) furnish to the Company a copy of any amendment, replacement, supplement, modification, or waiver relating to the Commitment Letter. For the avoidance of doubt, any reduction of the commitments for the Debt Financing that is automatic pursuant to the terms of the Commitment Letter shall not constitute a Restricted Amendment. Any reference in this Agreement to: (x) the “Debt Financing” will include the financing contemplated by the Commitment Letter as amended or modified, and (y) the “Commitment Letter” will include such document as so amended or modified. Parent acknowledges and agrees that it is not a condition to the Closing or to any of the other obligations under this Agreement that Parent obtain the Debt Financing, the Take-Out Financing or any other financing for or relating to the Merger or the other transactions contemplated by this Agreement.</w:t>
      </w:r>
    </w:p>
    <w:p>
      <w:pPr>
        <w:spacing w:after="0" w:line="61"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Taking of Necessary Actions</w:t>
      </w:r>
      <w:r>
        <w:rPr>
          <w:rFonts w:ascii="Arial" w:cs="Arial" w:eastAsia="Arial" w:hAnsi="Arial"/>
          <w:sz w:val="16"/>
          <w:szCs w:val="16"/>
          <w:color w:val="auto"/>
        </w:rPr>
        <w:t xml:space="preserve">. Subject to the terms and conditions of this Agreement (including, without limitation, the right of Parent to amend, replace, supplement, modify, or waive the Commitment Letter subject to the limitations set forth in </w:t>
      </w:r>
      <w:r>
        <w:rPr>
          <w:rFonts w:ascii="Arial" w:cs="Arial" w:eastAsia="Arial" w:hAnsi="Arial"/>
          <w:sz w:val="16"/>
          <w:szCs w:val="16"/>
          <w:u w:val="single" w:color="auto"/>
          <w:color w:val="auto"/>
        </w:rPr>
        <w:t>Section 7.06(a)</w:t>
      </w:r>
      <w:r>
        <w:rPr>
          <w:rFonts w:ascii="Arial" w:cs="Arial" w:eastAsia="Arial" w:hAnsi="Arial"/>
          <w:sz w:val="16"/>
          <w:szCs w:val="16"/>
          <w:color w:val="auto"/>
        </w:rPr>
        <w:t>), Parent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Parent’s, US Holdco’s and Merger Sub’s cash on hand, any cash proceeds of any Take-Out</w:t>
      </w:r>
    </w:p>
    <w:p>
      <w:pPr>
        <w:spacing w:after="0" w:line="4" w:lineRule="exact"/>
        <w:rPr>
          <w:sz w:val="20"/>
          <w:szCs w:val="20"/>
          <w:color w:val="auto"/>
        </w:rPr>
      </w:pPr>
    </w:p>
    <w:p>
      <w:pPr>
        <w:jc w:val="both"/>
        <w:ind w:left="660" w:right="299"/>
        <w:spacing w:after="0" w:line="281" w:lineRule="auto"/>
        <w:rPr>
          <w:sz w:val="20"/>
          <w:szCs w:val="20"/>
          <w:color w:val="auto"/>
        </w:rPr>
      </w:pPr>
      <w:r>
        <w:rPr>
          <w:rFonts w:ascii="Arial" w:cs="Arial" w:eastAsia="Arial" w:hAnsi="Arial"/>
          <w:sz w:val="16"/>
          <w:szCs w:val="16"/>
          <w:color w:val="auto"/>
        </w:rPr>
        <w:t>Financing received by Parent or its Subsidiaries on the Closing Date and any Escrowed Take-Out Financing Proceeds) to fund the Required Amount on or prior to the Closing Date, on the terms and conditions described in the Commitment Letter, including, but not limited to, using its commercially reasonable efforts to:</w:t>
      </w:r>
    </w:p>
    <w:p>
      <w:pPr>
        <w:spacing w:after="0" w:line="2" w:lineRule="exact"/>
        <w:rPr>
          <w:sz w:val="20"/>
          <w:szCs w:val="20"/>
          <w:color w:val="auto"/>
        </w:rPr>
      </w:pPr>
    </w:p>
    <w:p>
      <w:pPr>
        <w:jc w:val="both"/>
        <w:ind w:left="660" w:right="299" w:hanging="8"/>
        <w:spacing w:after="0" w:line="252" w:lineRule="auto"/>
        <w:tabs>
          <w:tab w:leader="none" w:pos="87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maintain in effect the Commitment Letter in accordance with the terms and subject to the conditions thereof and hereof; (ii) negotiate, execute, and deliver definitive agreements with respect to the Debt Financing contemplated by the Commitment Letter on a timely basis on the terms and conditions contemplated by the Commitment Letter; (iii) satisfy on a timely basis all conditions contained in the Commitment Letter on or prior to the Closing Date that are within its control and to comply with all of its obligations pursuant to the Commitment Letter; (iv) upon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2" w:name="page313"/>
    <w:bookmarkEnd w:id="31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the satisfaction (or waiver) of all of the conditions set forth in the Commitment Letter, consummate the Debt Financing at or prior to the Closing; and (v) enforce its rights under the Commitment Letter. Parent will fully pay, or cause to be fully paid, all commitment or other fees arising pursuant to the Commitment Letter as and when they become due.</w:t>
      </w:r>
    </w:p>
    <w:p>
      <w:pPr>
        <w:spacing w:after="0" w:line="79" w:lineRule="exact"/>
        <w:rPr>
          <w:sz w:val="20"/>
          <w:szCs w:val="20"/>
          <w:color w:val="auto"/>
        </w:rPr>
      </w:pPr>
    </w:p>
    <w:p>
      <w:pPr>
        <w:jc w:val="both"/>
        <w:ind w:left="660" w:right="299" w:firstLine="352"/>
        <w:spacing w:after="0" w:line="284" w:lineRule="auto"/>
        <w:tabs>
          <w:tab w:leader="none" w:pos="1399"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To the extent reasonably requested by the Company from time to time, Parent shall keep the Company informed on a reasonably current basis of the status of its efforts to arrange the Debt Financing (including providing the Company, upon request, with copies of all definitive agreements related to the Debt Financing), and such other information and documentation available to Parent as shall be reasonably requested by the Company (including any information requested in connection with any of the circumstances contemplated by the immediately following sentence). Without limiting the generality of the foregoing, Parent shall give the Company prompt notice as soon as reasonably practicable in writing (and in any case, within two</w:t>
      </w:r>
    </w:p>
    <w:p>
      <w:pPr>
        <w:spacing w:after="0" w:line="2" w:lineRule="exact"/>
        <w:rPr>
          <w:rFonts w:ascii="Arial" w:cs="Arial" w:eastAsia="Arial" w:hAnsi="Arial"/>
          <w:sz w:val="16"/>
          <w:szCs w:val="16"/>
          <w:color w:val="auto"/>
        </w:rPr>
      </w:pPr>
    </w:p>
    <w:p>
      <w:pPr>
        <w:jc w:val="both"/>
        <w:ind w:left="660" w:right="299" w:hanging="8"/>
        <w:spacing w:after="0" w:line="288" w:lineRule="auto"/>
        <w:tabs>
          <w:tab w:leader="none" w:pos="94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Business Days of the occurrence of any of the following): (i) of any material breach, material default, termination, or cancellation by any party to the Commitment Letter or Debt Financing definitive agreements that Parent becomes aware of, and (ii) of the receipt by Parent of any written notice from any Debt Financing Source with respect to: (A) any breach, default, termination, or cancellation by any party to the Commitment Letter or Debt Financing definitive agreements; or (B) any material dispute or material disagreement between or among any parties to the Commitment Letter or Debt Financing definitive agreements with respect to the obligation to fund the Debt Financing or the amount of the Debt Financing to be funded at the Closing.</w:t>
      </w:r>
    </w:p>
    <w:p>
      <w:pPr>
        <w:spacing w:after="0" w:line="60" w:lineRule="exact"/>
        <w:rPr>
          <w:rFonts w:ascii="Arial" w:cs="Arial" w:eastAsia="Arial" w:hAnsi="Arial"/>
          <w:sz w:val="16"/>
          <w:szCs w:val="16"/>
          <w:color w:val="auto"/>
        </w:rPr>
      </w:pPr>
    </w:p>
    <w:p>
      <w:pPr>
        <w:jc w:val="both"/>
        <w:ind w:left="660" w:right="299" w:firstLine="352"/>
        <w:spacing w:after="0" w:line="285" w:lineRule="auto"/>
        <w:tabs>
          <w:tab w:leader="none" w:pos="1410"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Alternative Financing</w:t>
      </w:r>
      <w:r>
        <w:rPr>
          <w:rFonts w:ascii="Arial" w:cs="Arial" w:eastAsia="Arial" w:hAnsi="Arial"/>
          <w:sz w:val="16"/>
          <w:szCs w:val="16"/>
          <w:color w:val="auto"/>
        </w:rPr>
        <w:t xml:space="preserve">. In the event any portion of the Debt Financing becomes unavailable on the terms and conditions contemplated in the Commitment Letter, and such portion is reasonably required to consummate the Merger and the other transactions contemplated by this Agreement, Parent will promptly notify the Company in writing and Parent will use its commercially reasonable efforts to, as promptly as practicable following the occurrence of such event, arrange and obtain financing from the same or alternative sources in an amount sufficient to replace any unavailable portion of the Debt Financing that is required to fund the Required Amount on terms, conditions, and cost not materially less favorable in the aggregate to Parent; </w:t>
      </w:r>
      <w:r>
        <w:rPr>
          <w:rFonts w:ascii="Arial" w:cs="Arial" w:eastAsia="Arial" w:hAnsi="Arial"/>
          <w:sz w:val="16"/>
          <w:szCs w:val="16"/>
          <w:i w:val="1"/>
          <w:iCs w:val="1"/>
          <w:color w:val="auto"/>
        </w:rPr>
        <w:t>provided</w:t>
      </w:r>
      <w:r>
        <w:rPr>
          <w:rFonts w:ascii="Arial" w:cs="Arial" w:eastAsia="Arial" w:hAnsi="Arial"/>
          <w:sz w:val="16"/>
          <w:szCs w:val="16"/>
          <w:color w:val="auto"/>
        </w:rPr>
        <w:t>, that such commercially reasonable efforts shall not include requiring Parent to pay any additional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to the Debt Financing in excess of the amount set forth in the Commitment Letter and the Fee Letter (or any related side fee letter) or obtain financing on terms and conditions that are materially less favorable to Parent than those in the Commitment Letter and the Fee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alternative debt financing shall not, without the prior written consent of the Company have terms or conditions that would result in a Restricted Amendment if such terms or conditions were an amendment to the Commitment Letter or the terms and conditions to the Debt Financing (the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shall be applicable to the Alternative Financing, and, for the purposes of this Agreement, all references to the Debt Financing shall be deemed to include such Alternative Financing.</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Parent Board Representation</w:t>
      </w:r>
      <w:r>
        <w:rPr>
          <w:rFonts w:ascii="Arial" w:cs="Arial" w:eastAsia="Arial" w:hAnsi="Arial"/>
          <w:sz w:val="17"/>
          <w:szCs w:val="17"/>
          <w:color w:val="auto"/>
        </w:rPr>
        <w:t>. Parent shall take all reasonably necessary actions to cause, as of the Closing, Colin Shannon to be appointed to the Parent Board until the next Parent AGM in accordance with and subject to Parent’s Charter Documents, Parent’s governance policies and applicable Law. In addition, Parent, through the Parent Board and its Nominating &amp; Governance Committee, agrees to take all reasonably necessary actions to cause, as of the Closing, one additional current member of the Company Board (such member to be mutually agreed by Parent and the Company) to be appointed to the Parent Board until the next Parent AGM in accordance with and subject to Parent’s Charter Documents, Parent’s governance policies and applicable Law. Parent, through the Parent Board and its Nominating &amp; Governance Committee (as applicable), shall take all reasonably necessary actions to nominate such two new directors for re-election to the Parent Board at the next Parent AGM after Closing in accordance with and subject to Parent’s Charter Documents, Parent’s governance policies and applicable Law.</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Obligations of Merger Sub and US Holdco</w:t>
      </w:r>
      <w:r>
        <w:rPr>
          <w:rFonts w:ascii="Arial" w:cs="Arial" w:eastAsia="Arial" w:hAnsi="Arial"/>
          <w:sz w:val="18"/>
          <w:szCs w:val="18"/>
          <w:color w:val="auto"/>
        </w:rPr>
        <w:t>. Parent will take all action necessary to cause each of US Holdco and Merger Sub to perform its obligations under this Agreement and to consummate the Merger on the terms and conditions set forth in this Agreement.</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DTC</w:t>
      </w:r>
      <w:r>
        <w:rPr>
          <w:rFonts w:ascii="Arial" w:cs="Arial" w:eastAsia="Arial" w:hAnsi="Arial"/>
          <w:sz w:val="18"/>
          <w:szCs w:val="18"/>
          <w:color w:val="auto"/>
        </w:rPr>
        <w:t>. During the Interim Period, Parent will use reasonable efforts to (i) have in place on or before the Closing Date a composition agreement (the “</w:t>
      </w:r>
      <w:r>
        <w:rPr>
          <w:rFonts w:ascii="Arial" w:cs="Arial" w:eastAsia="Arial" w:hAnsi="Arial"/>
          <w:sz w:val="18"/>
          <w:szCs w:val="18"/>
          <w:u w:val="single" w:color="auto"/>
          <w:color w:val="auto"/>
        </w:rPr>
        <w:t>Composition Agreement</w:t>
      </w:r>
      <w:r>
        <w:rPr>
          <w:rFonts w:ascii="Arial" w:cs="Arial" w:eastAsia="Arial" w:hAnsi="Arial"/>
          <w:sz w:val="18"/>
          <w:szCs w:val="18"/>
          <w:color w:val="auto"/>
        </w:rPr>
        <w:t>”) with the Revenue Commissioners of Ireland and a Special Eligibility Agreement for Securities (the “</w:t>
      </w:r>
      <w:r>
        <w:rPr>
          <w:rFonts w:ascii="Arial" w:cs="Arial" w:eastAsia="Arial" w:hAnsi="Arial"/>
          <w:sz w:val="18"/>
          <w:szCs w:val="18"/>
          <w:u w:val="single" w:color="auto"/>
          <w:color w:val="auto"/>
        </w:rPr>
        <w:t>SEAS</w:t>
      </w:r>
      <w:r>
        <w:rPr>
          <w:rFonts w:ascii="Arial" w:cs="Arial" w:eastAsia="Arial" w:hAnsi="Arial"/>
          <w:sz w:val="18"/>
          <w:szCs w:val="18"/>
          <w:color w:val="auto"/>
        </w:rPr>
        <w:t>”) with The Depository Trust Company in respect of the Parent Ordinary Shares (including those issuable as Merger Consideration pursuant to this Agreement), and (ii) cause that such Composition Agreement and SEAS remain in full force and effect as of the Closing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3" w:name="page314"/>
    <w:bookmarkEnd w:id="31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660" w:right="2499" w:firstLine="1839"/>
        <w:spacing w:after="0" w:line="393" w:lineRule="auto"/>
        <w:rPr>
          <w:sz w:val="20"/>
          <w:szCs w:val="20"/>
          <w:color w:val="auto"/>
        </w:rPr>
      </w:pPr>
      <w:r>
        <w:rPr>
          <w:rFonts w:ascii="Arial" w:cs="Arial" w:eastAsia="Arial" w:hAnsi="Arial"/>
          <w:sz w:val="18"/>
          <w:szCs w:val="18"/>
          <w:b w:val="1"/>
          <w:bCs w:val="1"/>
          <w:color w:val="auto"/>
        </w:rPr>
        <w:t xml:space="preserve">COVENANTS OF THE COMPANY AND PARENT </w:t>
      </w: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 w:lineRule="exact"/>
        <w:rPr>
          <w:sz w:val="20"/>
          <w:szCs w:val="20"/>
          <w:color w:val="auto"/>
        </w:rPr>
      </w:pPr>
    </w:p>
    <w:p>
      <w:pPr>
        <w:jc w:val="both"/>
        <w:ind w:left="660" w:right="299" w:firstLine="352"/>
        <w:spacing w:after="0" w:line="266" w:lineRule="auto"/>
        <w:tabs>
          <w:tab w:leader="none" w:pos="1399"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Access to Company Information</w:t>
      </w:r>
      <w:r>
        <w:rPr>
          <w:rFonts w:ascii="Arial" w:cs="Arial" w:eastAsia="Arial" w:hAnsi="Arial"/>
          <w:sz w:val="17"/>
          <w:szCs w:val="17"/>
          <w:color w:val="auto"/>
        </w:rPr>
        <w:t xml:space="preserve">. During the Interim Period, the Company shall, and shall cause its Subsidiaries and its and their respective officers, directors, employees and other Representatives to, afford to Parent and Parent’s Representatives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Parent such other information concerning the business and properties of the Company and its Subsidiaries as Parent may reasonably request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access may be limited by the Company to the extent reasonably necessary (x) for the Company and each of its Subsidiaries to comply with any applicable COVID-19 Measures or (y) for such access, in light of COVID-19 or COVID-19 Measures, not to jeopardize the health and safety of any of the Company or its applicable Subsidiary’s respective Representatives or commercial partners (provided that, in the case of each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the Company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the Company nor any of its Subsidiaries shall be required (i) 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the Company’s representations, warranties, covenants, or agreements contained herein (or Parent’s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Parent or Merger Sub pursuant to this Agreement.</w:t>
      </w:r>
    </w:p>
    <w:p>
      <w:pPr>
        <w:spacing w:after="0" w:line="91" w:lineRule="exact"/>
        <w:rPr>
          <w:rFonts w:ascii="Arial" w:cs="Arial" w:eastAsia="Arial" w:hAnsi="Arial"/>
          <w:sz w:val="17"/>
          <w:szCs w:val="17"/>
          <w:color w:val="auto"/>
        </w:rPr>
      </w:pPr>
    </w:p>
    <w:p>
      <w:pPr>
        <w:jc w:val="both"/>
        <w:ind w:left="660" w:right="299" w:firstLine="352"/>
        <w:spacing w:after="0" w:line="283" w:lineRule="auto"/>
        <w:tabs>
          <w:tab w:leader="none" w:pos="1410"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Access to Parent Information</w:t>
      </w:r>
      <w:r>
        <w:rPr>
          <w:rFonts w:ascii="Arial" w:cs="Arial" w:eastAsia="Arial" w:hAnsi="Arial"/>
          <w:sz w:val="16"/>
          <w:szCs w:val="16"/>
          <w:color w:val="auto"/>
        </w:rPr>
        <w:t xml:space="preserve">. During the Interim Period, Parent shall, and shall cause its Subsidiaries and its and their respective officers, directors, employees and other Representatives to, afford to the Company and the Company’s Representatives reasonable access, at reasonable times and in a manner as shall not unreasonably interfere with the business or operations of Parent or any Subsidiary thereof, to the officers, employees, accountants, agents, properties, offices, and other facilities and to all books, records, contracts, and other assets of Parent and its Subsidiaries, and Parent shall, and shall cause its Subsidiaries to, furnish promptly to the Company such other information concerning the business and properties of Parent and its Subsidiaries as the Company may reasonably request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access may be limited by Parent to the extent reasonably necessary (x) for Parent and each of its Subsidiaries to comply with any applicable COVID-19 Measures or (y) for such access, in light of COVID-19 or COVID-19 Measures, not to jeopardize the health and safety of any of Parent or its applicable Subsidiary’s respective Representatives or commercial partners (provided that, in the case of each </w:t>
      </w:r>
      <w:r>
        <w:rPr>
          <w:rFonts w:ascii="Arial" w:cs="Arial" w:eastAsia="Arial" w:hAnsi="Arial"/>
          <w:sz w:val="16"/>
          <w:szCs w:val="16"/>
          <w:u w:val="single" w:color="auto"/>
          <w:color w:val="auto"/>
        </w:rPr>
        <w:t>of 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Parent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Parent nor any of its Subsidiaries shall be required</w:t>
      </w:r>
    </w:p>
    <w:p>
      <w:pPr>
        <w:jc w:val="both"/>
        <w:ind w:left="660" w:right="299" w:hanging="8"/>
        <w:spacing w:after="0" w:line="268" w:lineRule="auto"/>
        <w:tabs>
          <w:tab w:leader="none" w:pos="877"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Parent’s representations, warranties, covenants, or agreements contained herein (or the Company’s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the Company pursuant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4" w:name="page315"/>
    <w:bookmarkEnd w:id="3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52"/>
        <w:spacing w:after="0" w:line="257" w:lineRule="auto"/>
        <w:tabs>
          <w:tab w:leader="none" w:pos="1399"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Parent and the Company shall comply with, and shall cause their respective Representatives to comply with, all of their respective obligations under the Confidentiality Agreement, which shall survive the termination of this Agreement in accordance with the terms set forth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such Confidentiality Agreement shall be extended for one (1) year following the date of termination of this Agreement.</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Preparation of Proxy Statement/EGM Notice and Form F-4</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Proxy Statement/EGM Notice and Form F-4</w:t>
      </w:r>
      <w:r>
        <w:rPr>
          <w:rFonts w:ascii="Arial" w:cs="Arial" w:eastAsia="Arial" w:hAnsi="Arial"/>
          <w:sz w:val="16"/>
          <w:szCs w:val="16"/>
          <w:color w:val="auto"/>
        </w:rPr>
        <w:t>. In connection with the Company Stockholders Meeting and Parent Shareholders Meeting, as soon as reasonably practicable following the date of this Agreement and in any event prior to March 31, 2021, the Company shall prepare and file with the SEC the Company Proxy Statement and Parent shall prepare the EGM Notice and prepare and file with the SEC the Form F-4 (which shall include the Proxy Statement/EGM Notice). The Company and Parent shall each use its reasonable best efforts to: (i) cause the Form F-4 to be declared effective under the Securities Act as promptly as practicable after its filing; (ii) ensure that the Form F-4 complies in all material respects with the applicable provisions of the Securities Act and the Exchange Act; and (iii) keep the Form F-4 effective for so long as necessary to complete the Merger. Parent shall notify the Company promptly of the time when the Form F-4 has become effective or any supplement or amendment to the Form F-4 has been filed, and of the issuance of any stop order or suspension of the qualification of the Parent Ordinary Shares issuable in connection with the Merger for offering or sale in any jurisdiction. Each of Parent and the Company shall use its reasonable best efforts to: (A) cause the Proxy Statement/EGM Notice to be mailed to the Company’s stockholders and Parent’s shareholders as promptly as practicable after the Form F-4 is declared effective under the Securities Act, and (B) ensure that the Proxy Statement/EGM Notice complies in all material respects with the applicable provisions of the Securities Act, the Exchange Act and the Irish Companies Act and the Parent Charter Documents. Parent shall also take any other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issuance of Parent Ordinary Shares in the Merger, and the Company shall furnish to Parent all information concerning the Company as may be reasonably requested in connection with any such actions.</w:t>
      </w:r>
    </w:p>
    <w:p>
      <w:pPr>
        <w:spacing w:after="0" w:line="71" w:lineRule="exact"/>
        <w:rPr>
          <w:rFonts w:ascii="Arial" w:cs="Arial" w:eastAsia="Arial" w:hAnsi="Arial"/>
          <w:sz w:val="16"/>
          <w:szCs w:val="16"/>
          <w:color w:val="auto"/>
        </w:rPr>
      </w:pPr>
    </w:p>
    <w:p>
      <w:pPr>
        <w:jc w:val="both"/>
        <w:ind w:left="660" w:right="299" w:firstLine="352"/>
        <w:spacing w:after="0" w:line="270" w:lineRule="auto"/>
        <w:tabs>
          <w:tab w:leader="none" w:pos="1410"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Furnishing of Information</w:t>
      </w:r>
      <w:r>
        <w:rPr>
          <w:rFonts w:ascii="Arial" w:cs="Arial" w:eastAsia="Arial" w:hAnsi="Arial"/>
          <w:sz w:val="17"/>
          <w:szCs w:val="17"/>
          <w:color w:val="auto"/>
        </w:rPr>
        <w:t>. Parent and the Company shall furnish to the other party all information concerning such Person and its Affiliates required by the Securities Act or the Exchange Act to be set forth in the Form F-4 or the Proxy Statement/EGM Notice. Each of Parent and the Company shall promptly correct any information provided by it for use in the Form F-4 or the Proxy Statement/EGM Notice if and to the extent that such information shall have become false or misleading in any material respect. Each of Parent and the Company shall take all steps necessary to amend or supplement the Form F-4 or the Proxy Statement/EGM Notice, as applicable, and to cause the Form F-4 or Proxy Statement/EGM Notice, as so amended or supplemented, to be filed with the SEC and disseminated to the holders of Company Common Stock and/or Parent Ordinary Shares, in each case as and to the extent required by applicable Law.</w:t>
      </w:r>
    </w:p>
    <w:p>
      <w:pPr>
        <w:spacing w:after="0" w:line="72" w:lineRule="exact"/>
        <w:rPr>
          <w:rFonts w:ascii="Arial" w:cs="Arial" w:eastAsia="Arial" w:hAnsi="Arial"/>
          <w:sz w:val="17"/>
          <w:szCs w:val="17"/>
          <w:color w:val="auto"/>
        </w:rPr>
      </w:pPr>
    </w:p>
    <w:p>
      <w:pPr>
        <w:jc w:val="both"/>
        <w:ind w:left="660" w:right="299" w:firstLine="352"/>
        <w:spacing w:after="0" w:line="286" w:lineRule="auto"/>
        <w:tabs>
          <w:tab w:leader="none" w:pos="1399"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SEC Comments</w:t>
      </w:r>
      <w:r>
        <w:rPr>
          <w:rFonts w:ascii="Arial" w:cs="Arial" w:eastAsia="Arial" w:hAnsi="Arial"/>
          <w:sz w:val="16"/>
          <w:szCs w:val="16"/>
          <w:color w:val="auto"/>
        </w:rPr>
        <w:t xml:space="preserve">. Parent and the Company shall promptly provide the other party and their counsel with any comments or other communications, whether written or oral, that Parent or the Company, or their counsel may receive from the SEC or its staff with respect to the Form F-4 or the Proxy Statement/EGM Notice promptly after the receipt of such comments. Prior to the filing of the Form F-4 or the Proxy Statement/EGM Notice with the SEC (including in each case any amendment or supplement thereto, except with respect to any amendments filed in connection with a Company Adverse Recommendation Change or Parent Adverse Recommendation Change or in connection with any disclosures made in compliance with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respectively) or the dissemination thereof to the holders of Company Common Stock or Parent Ordinary Shares, or responding to any comments of the SEC with respect to the Form F-4 or Proxy Statement/EGM Notice, each of Parent and the Company shall provide the other party and their counsel a reasonable opportunity to review and comment on such Form F-4, Proxy Statement/EGM Notice, or response (including the proposed final version thereof), and each of Parent and the Company shall give reasonable and good faith consideration to any comments made by the other party or their counsel.</w:t>
      </w:r>
    </w:p>
    <w:p>
      <w:pPr>
        <w:spacing w:after="0" w:line="9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Transaction Litigation; No Effect on Disclosure Letters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342" w:lineRule="auto"/>
        <w:tabs>
          <w:tab w:leader="none" w:pos="1399"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Transaction Litigation</w:t>
      </w:r>
      <w:r>
        <w:rPr>
          <w:rFonts w:ascii="Arial" w:cs="Arial" w:eastAsia="Arial" w:hAnsi="Arial"/>
          <w:sz w:val="16"/>
          <w:szCs w:val="16"/>
          <w:color w:val="auto"/>
        </w:rPr>
        <w:t>. Each of the Company and Parent shall promptly notify the other in writing of any Transaction Litigation and shall (a) give the other party at such participant’s sole cost and expense the right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5" w:name="page316"/>
    <w:bookmarkEnd w:id="31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0" w:lineRule="auto"/>
        <w:rPr>
          <w:sz w:val="20"/>
          <w:szCs w:val="20"/>
          <w:color w:val="auto"/>
        </w:rPr>
      </w:pPr>
      <w:r>
        <w:rPr>
          <w:rFonts w:ascii="Arial" w:cs="Arial" w:eastAsia="Arial" w:hAnsi="Arial"/>
          <w:sz w:val="17"/>
          <w:szCs w:val="17"/>
          <w:color w:val="auto"/>
        </w:rPr>
        <w:t>to review and comment on all material filings or responses to be made by such party and shall discuss in advance any material discussions or communications proposed to be held by such party with any third party in connection with any such Transaction Litigation (and such party shall in good faith take any comments or feedback provided by the other party into account), and give the other party the opportunity to participate in the defense and settlement of, any such Transaction Litigation and (b) if the other party does not exercise such right to participate, keep such other party reasonably and promptly informed with respect to the status of such Transaction Litigation. No compromise or full or partial settlement of any Transaction Litigation shall be agreed to by either the Company or Parent without the other party’s prior written consent (which consent shall not be unreasonably withheld, conditioned or delayed).</w:t>
      </w:r>
    </w:p>
    <w:p>
      <w:pPr>
        <w:spacing w:after="0" w:line="73" w:lineRule="exact"/>
        <w:rPr>
          <w:sz w:val="20"/>
          <w:szCs w:val="20"/>
          <w:color w:val="auto"/>
        </w:rPr>
      </w:pPr>
    </w:p>
    <w:p>
      <w:pPr>
        <w:jc w:val="both"/>
        <w:ind w:left="660" w:right="299" w:firstLine="352"/>
        <w:spacing w:after="0" w:line="287" w:lineRule="auto"/>
        <w:tabs>
          <w:tab w:leader="none" w:pos="1410"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No Effect on Disclosure Letters</w:t>
      </w:r>
      <w:r>
        <w:rPr>
          <w:rFonts w:ascii="Arial" w:cs="Arial" w:eastAsia="Arial" w:hAnsi="Arial"/>
          <w:sz w:val="16"/>
          <w:szCs w:val="16"/>
          <w:color w:val="auto"/>
        </w:rPr>
        <w:t xml:space="preserve">. In no event shall: (i) the delivery of any notice by a party pursuant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limit or otherwise affect the respective rights, obligations, representations, warranties, covenants, or agreements of the parties or the conditions to the obligations of the parties under this Agreement;</w:t>
      </w:r>
    </w:p>
    <w:p>
      <w:pPr>
        <w:spacing w:after="0" w:line="2" w:lineRule="exact"/>
        <w:rPr>
          <w:rFonts w:ascii="Arial" w:cs="Arial" w:eastAsia="Arial" w:hAnsi="Arial"/>
          <w:sz w:val="16"/>
          <w:szCs w:val="16"/>
          <w:color w:val="auto"/>
        </w:rPr>
      </w:pPr>
    </w:p>
    <w:p>
      <w:pPr>
        <w:jc w:val="both"/>
        <w:ind w:left="660" w:right="299" w:hanging="8"/>
        <w:spacing w:after="0" w:line="253" w:lineRule="auto"/>
        <w:tabs>
          <w:tab w:leader="none" w:pos="97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disclosure by the Company be deemed to amend or supplement the Company Disclosure Letter or constitute an exception to the Company’s representations or warranties; or (iii) disclosure by Parent be deemed to amend or supplement the Parent Disclosure Letter or constitute an exception to Parent’s or Merger Sub’s representations or warranties.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shall not constitute a covenant or agreement for purposes of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1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2" w:lineRule="auto"/>
        <w:tabs>
          <w:tab w:leader="none" w:pos="1399"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Governmental and Other Third-Party Approval; Notification</w:t>
      </w:r>
      <w:r>
        <w:rPr>
          <w:rFonts w:ascii="Arial" w:cs="Arial" w:eastAsia="Arial" w:hAnsi="Arial"/>
          <w:sz w:val="16"/>
          <w:szCs w:val="16"/>
          <w:color w:val="auto"/>
        </w:rPr>
        <w:t xml:space="preserve">. Upon the terms and subject to the conditions set forth in this Agreement (including those contained in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each of the parties hereto shall, and shall cause its Subsidiaries to, use its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and in any event prior to the End Date, the transactions contemplated by this Agreement, including: (i) the obtaining of all necessary Permits, waivers, and actions or nonactions from Governmental Entities and the making of all necessary or advisable registrations and filings (including filings with Governmental Entities) and the taking of all steps as may be necessary to obtain an approval or waiver from, or to avoid an action or proceeding by, any Governmental Entities; (ii) the obtaining of all necessary consents or waivers from third parties; and (iii) the execution and delivery of any additional instruments necessary to consummate the Merger and to fully carry out the purposes of this Agreement. Notwithstanding the foregoing (but subject to the other provisions of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 no event shall either the Company or Parent or any of their respective Affiliates be required to pay any consideration to any third parties or give anything of value to obtain any such Person’s authorization, approval, consent or waiver to effectuate the transactions contemplated by this Agreement, other than filing, recordation or similar fees. The Company and Parent shall, subject to applicable Law, promptly: (A) consult with the other party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divestitures or other remedial undertakings made for purposes of securing any required approvals under the Antitrust Laws; (B) cooperate and coordinate with the other in the taking of the actions contemplated by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including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w:t>
      </w:r>
    </w:p>
    <w:p>
      <w:pPr>
        <w:spacing w:after="0" w:line="10" w:lineRule="exact"/>
        <w:rPr>
          <w:rFonts w:ascii="Arial" w:cs="Arial" w:eastAsia="Arial" w:hAnsi="Arial"/>
          <w:sz w:val="16"/>
          <w:szCs w:val="16"/>
          <w:color w:val="auto"/>
        </w:rPr>
      </w:pPr>
    </w:p>
    <w:p>
      <w:pPr>
        <w:jc w:val="both"/>
        <w:ind w:left="660" w:right="299" w:hanging="8"/>
        <w:spacing w:after="0" w:line="281" w:lineRule="auto"/>
        <w:tabs>
          <w:tab w:leader="none" w:pos="975" w:val="left"/>
        </w:tabs>
        <w:numPr>
          <w:ilvl w:val="0"/>
          <w:numId w:val="375"/>
        </w:numPr>
        <w:rPr>
          <w:rFonts w:ascii="Arial" w:cs="Arial" w:eastAsia="Arial" w:hAnsi="Arial"/>
          <w:sz w:val="16"/>
          <w:szCs w:val="16"/>
          <w:u w:val="single" w:color="auto"/>
          <w:color w:val="auto"/>
        </w:rPr>
      </w:pPr>
      <w:r>
        <w:rPr>
          <w:rFonts w:ascii="Arial" w:cs="Arial" w:eastAsia="Arial" w:hAnsi="Arial"/>
          <w:sz w:val="16"/>
          <w:szCs w:val="16"/>
          <w:color w:val="auto"/>
        </w:rPr>
        <w:t xml:space="preserve">immediately above; and (C) supply the other with any information that may be reasonably required in order to effectuate the taking of such actions. In furtherance of the foregoing and subject to the limitations set forth in </w:t>
      </w:r>
      <w:r>
        <w:rPr>
          <w:rFonts w:ascii="Arial" w:cs="Arial" w:eastAsia="Arial" w:hAnsi="Arial"/>
          <w:sz w:val="16"/>
          <w:szCs w:val="16"/>
          <w:u w:val="single" w:color="auto"/>
          <w:color w:val="auto"/>
        </w:rPr>
        <w:t>Section 8.04(d)</w:t>
      </w:r>
      <w:r>
        <w:rPr>
          <w:rFonts w:ascii="Arial" w:cs="Arial" w:eastAsia="Arial" w:hAnsi="Arial"/>
          <w:sz w:val="16"/>
          <w:szCs w:val="16"/>
          <w:color w:val="auto"/>
        </w:rPr>
        <w:t>, “reasonable best efforts” for each of Parent and the Company shall include (A) proposing, negotiating, committing to and effecting, by consent decree, holding separate order or otherwise, the sale, divestiture, disposition, license or other disposition of its and its Subsidiaries’ assets, properties or businesses,</w:t>
      </w:r>
    </w:p>
    <w:p>
      <w:pPr>
        <w:spacing w:after="0" w:line="2" w:lineRule="exact"/>
        <w:rPr>
          <w:rFonts w:ascii="Arial" w:cs="Arial" w:eastAsia="Arial" w:hAnsi="Arial"/>
          <w:sz w:val="16"/>
          <w:szCs w:val="16"/>
          <w:u w:val="single" w:color="auto"/>
          <w:color w:val="auto"/>
        </w:rPr>
      </w:pPr>
    </w:p>
    <w:p>
      <w:pPr>
        <w:jc w:val="both"/>
        <w:ind w:left="660" w:right="299"/>
        <w:spacing w:after="0" w:line="286" w:lineRule="auto"/>
        <w:rPr>
          <w:rFonts w:ascii="Arial" w:cs="Arial" w:eastAsia="Arial" w:hAnsi="Arial"/>
          <w:sz w:val="16"/>
          <w:szCs w:val="16"/>
          <w:u w:val="single" w:color="auto"/>
          <w:color w:val="auto"/>
        </w:rPr>
      </w:pPr>
      <w:r>
        <w:rPr>
          <w:rFonts w:ascii="Arial" w:cs="Arial" w:eastAsia="Arial" w:hAnsi="Arial"/>
          <w:sz w:val="16"/>
          <w:szCs w:val="16"/>
          <w:color w:val="auto"/>
        </w:rPr>
        <w:t>(B) terminating existing relationships, contractual rights or obligations of the Company or Parent or their respective Subsidiaries, (C) terminating any venture or other arrangement, (D) creating any relationship, contractual rights or obligations of the Company or Parent or their respective Subsidiaries and (E) effectuating any other change or restructuring of the Company or Parent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this Agreement. Each party hereto shall promptly inform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6" w:name="page317"/>
    <w:bookmarkEnd w:id="3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 xml:space="preserve">other party or parties hereto, as the case may be, of any communication from any Governmental Entity regarding any of the transactions contemplated by this Agreement. Notwithstanding the foregoing provisions of this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or any other provision of this Agreement, in no event shall Parent or any of its Subsidiaries be required to take or agree to (nor shall the Company or any of its Subsidiaries be permitted to take or agree unless Parent so directs them (and they shall, if Parent so directs, take or agree to, so long as such agreements are conditioned upon the Closing)) any action, concession or undertaking (i) unless such action, concession or undertaking is conditioned on the Closing or (ii) to the extent it would constitute or result in, or would reasonably be expected to constitute or result in, individually or in the aggregate, a Burdensome Condition. If the Company, on the one hand, or Parent, US Holdco or Merger Sub, on the other hand, receives a request for additional information or documentary material from any Governmental Entity with respect to the transactions contemplated by this Agreement, then it shall use reasonable best efforts to make, or cause to be made, as soon as reasonably practicable and after consultation with the other party, an appropriate response in compliance with such request, and, if permitted by applicable Law and by any applicable Governmental Entity, provide the other party’s counsel with advance notice and the opportunity to attend and participate in any meeting with any Governmental Entity in respect of any filing made thereto in connection with the transactions contemplated by this Agreement. None of Parent, US Holdco or the Company shall commit to or agree (or permit any of their respective Subsidiaries to commit to or agree) with any Governmental Entity to stay, toll, or extend any applicable waiting period under the HSR Act or other applicable Antitrust Laws, without the prior written consent of the Company or Parent and US Holdco, as applicable (such consent not to be unreasonably withheld, conditioned, or delayed). The parties shall use their best efforts to preserve any applicable privilege to the extent they share information protected from disclosure under the attorney-client privilege, work product doctrine, joint defense privilege or any other privilege pursuant to this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70" w:lineRule="exact"/>
        <w:rPr>
          <w:sz w:val="20"/>
          <w:szCs w:val="20"/>
          <w:color w:val="auto"/>
        </w:rPr>
      </w:pPr>
    </w:p>
    <w:p>
      <w:pPr>
        <w:jc w:val="both"/>
        <w:ind w:left="660" w:right="299" w:firstLine="352"/>
        <w:spacing w:after="0" w:line="286" w:lineRule="auto"/>
        <w:tabs>
          <w:tab w:leader="none" w:pos="1410"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Governmental Antitrust Authorities</w:t>
      </w:r>
      <w:r>
        <w:rPr>
          <w:rFonts w:ascii="Arial" w:cs="Arial" w:eastAsia="Arial" w:hAnsi="Arial"/>
          <w:sz w:val="16"/>
          <w:szCs w:val="16"/>
          <w:color w:val="auto"/>
        </w:rPr>
        <w:t xml:space="preserve">. Without limiting the generality of the undertakings pursuant to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hereof, the parties hereto shall: (i) provide or cause to be provided as promptly as reasonably practicable to Governmental Entities with jurisdiction over the Antitrust Laws (each such Governmental Entity, a “</w:t>
      </w:r>
      <w:r>
        <w:rPr>
          <w:rFonts w:ascii="Arial" w:cs="Arial" w:eastAsia="Arial" w:hAnsi="Arial"/>
          <w:sz w:val="16"/>
          <w:szCs w:val="16"/>
          <w:u w:val="single" w:color="auto"/>
          <w:color w:val="auto"/>
        </w:rPr>
        <w:t>Governmental Antitrust Authority</w:t>
      </w:r>
      <w:r>
        <w:rPr>
          <w:rFonts w:ascii="Arial" w:cs="Arial" w:eastAsia="Arial" w:hAnsi="Arial"/>
          <w:sz w:val="16"/>
          <w:szCs w:val="16"/>
          <w:color w:val="auto"/>
        </w:rPr>
        <w:t>”) information and documents required or requested by any Governmental Antitrust Authority as necessary, proper, or advisable to permit consummation of the transactions contemplated by this Agreement, including preparing and filing any notification and report form and related material required under the HSR Act and any additional consents and filings under any other Antitrust Laws as promptly as practicable following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filing under the HSR Act, such filing shall be made within fifteen (15) Business Days of the date of this Agreement) and thereafter to respond as promptly as practicable to any request for additional information or documentary material that may be made under the HSR Act or any other applicable Antitrust Laws; and (ii) subject to the terms set forth in </w:t>
      </w:r>
      <w:r>
        <w:rPr>
          <w:rFonts w:ascii="Arial" w:cs="Arial" w:eastAsia="Arial" w:hAnsi="Arial"/>
          <w:sz w:val="16"/>
          <w:szCs w:val="16"/>
          <w:u w:val="single" w:color="auto"/>
          <w:color w:val="auto"/>
        </w:rPr>
        <w:t>Section 8.04(d)</w:t>
      </w:r>
      <w:r>
        <w:rPr>
          <w:rFonts w:ascii="Arial" w:cs="Arial" w:eastAsia="Arial" w:hAnsi="Arial"/>
          <w:sz w:val="16"/>
          <w:szCs w:val="16"/>
          <w:color w:val="auto"/>
        </w:rPr>
        <w:t xml:space="preserve"> hereof, use their reasonable best efforts to take such actions as are necessary or advisable to obtain prompt approval of the consummation of the transactions contemplated by this Agreement by any Governmental Entity or expiration of applicable waiting periods.</w:t>
      </w:r>
    </w:p>
    <w:p>
      <w:pPr>
        <w:spacing w:after="0" w:line="62" w:lineRule="exact"/>
        <w:rPr>
          <w:rFonts w:ascii="Arial" w:cs="Arial" w:eastAsia="Arial" w:hAnsi="Arial"/>
          <w:sz w:val="16"/>
          <w:szCs w:val="16"/>
          <w:color w:val="auto"/>
        </w:rPr>
      </w:pPr>
    </w:p>
    <w:p>
      <w:pPr>
        <w:jc w:val="both"/>
        <w:ind w:left="660" w:right="299" w:firstLine="352"/>
        <w:spacing w:after="0" w:line="287" w:lineRule="auto"/>
        <w:tabs>
          <w:tab w:leader="none" w:pos="1399"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Actions or Proceedings</w:t>
      </w:r>
      <w:r>
        <w:rPr>
          <w:rFonts w:ascii="Arial" w:cs="Arial" w:eastAsia="Arial" w:hAnsi="Arial"/>
          <w:sz w:val="16"/>
          <w:szCs w:val="16"/>
          <w:color w:val="auto"/>
        </w:rPr>
        <w:t xml:space="preserve">. Without limiting the generality of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Parent, US Holdco, Merger Sub and the Company shall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this Agreement. Notwithstanding anything in this Agreement to the contrary, the Company, Parent, US Holdco and Merger Sub and their respective Affiliates shall be required to use their reasonable best efforts to defend, contest, or resist any action or proceeding, whether judicial or administrative, and to take any action, subject to </w:t>
      </w:r>
      <w:r>
        <w:rPr>
          <w:rFonts w:ascii="Arial" w:cs="Arial" w:eastAsia="Arial" w:hAnsi="Arial"/>
          <w:sz w:val="16"/>
          <w:szCs w:val="16"/>
          <w:u w:val="single" w:color="auto"/>
          <w:color w:val="auto"/>
        </w:rPr>
        <w:t>Section 8.04(d)</w:t>
      </w:r>
      <w:r>
        <w:rPr>
          <w:rFonts w:ascii="Arial" w:cs="Arial" w:eastAsia="Arial" w:hAnsi="Arial"/>
          <w:sz w:val="16"/>
          <w:szCs w:val="16"/>
          <w:color w:val="auto"/>
        </w:rPr>
        <w:t>, to have vacated, lifted, reversed, or overturned any Order, in connection with the transactions contemplated by this Agreement.</w:t>
      </w:r>
    </w:p>
    <w:p>
      <w:pPr>
        <w:spacing w:after="0" w:line="59"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Divestitures; Other Limitations</w:t>
      </w:r>
      <w:r>
        <w:rPr>
          <w:rFonts w:ascii="Arial" w:cs="Arial" w:eastAsia="Arial" w:hAnsi="Arial"/>
          <w:sz w:val="18"/>
          <w:szCs w:val="18"/>
          <w:color w:val="auto"/>
        </w:rPr>
        <w:t xml:space="preserve">. Notwithstanding anything to the contrary contained in this Agreement, none of Parent or its Subsidiaries shall be required to, and none of the Company and its Subsidiaries shall, without the prior written consent of Parent, take any action, or commit to take any action, or agree to any condition or limitation contemplated in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that is not conditioned on the consummation of the Merger or that would constitute or result in, or would reasonably be expected to constitute or result in, individually or in the aggregate, any sale, divestiture, license or disposition of any assets, properties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7" w:name="page318"/>
    <w:bookmarkEnd w:id="31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2" w:lineRule="auto"/>
        <w:rPr>
          <w:sz w:val="20"/>
          <w:szCs w:val="20"/>
          <w:color w:val="auto"/>
        </w:rPr>
      </w:pPr>
      <w:r>
        <w:rPr>
          <w:rFonts w:ascii="Arial" w:cs="Arial" w:eastAsia="Arial" w:hAnsi="Arial"/>
          <w:sz w:val="17"/>
          <w:szCs w:val="17"/>
          <w:color w:val="auto"/>
        </w:rPr>
        <w:t>businesses, or any other action concession or undertaking, or any commitment to do any of the foregoing, that, individually or in the aggregate, would reasonably be expected to have a material adverse effect on Parent, the Company and their respective Subsidiaries, taken as a whole (a “</w:t>
      </w:r>
      <w:r>
        <w:rPr>
          <w:rFonts w:ascii="Arial" w:cs="Arial" w:eastAsia="Arial" w:hAnsi="Arial"/>
          <w:sz w:val="17"/>
          <w:szCs w:val="17"/>
          <w:u w:val="single" w:color="auto"/>
          <w:color w:val="auto"/>
        </w:rPr>
        <w:t>Burdensome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requested by Parent,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w:t>
      </w:r>
    </w:p>
    <w:p>
      <w:pPr>
        <w:spacing w:after="0" w:line="69" w:lineRule="exact"/>
        <w:rPr>
          <w:sz w:val="20"/>
          <w:szCs w:val="20"/>
          <w:color w:val="auto"/>
        </w:rPr>
      </w:pPr>
    </w:p>
    <w:p>
      <w:pPr>
        <w:jc w:val="both"/>
        <w:ind w:left="660" w:right="319" w:firstLine="352"/>
        <w:spacing w:after="0" w:line="286" w:lineRule="auto"/>
        <w:tabs>
          <w:tab w:leader="none" w:pos="1399"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Limitations on Acquisitions</w:t>
      </w:r>
      <w:r>
        <w:rPr>
          <w:rFonts w:ascii="Arial" w:cs="Arial" w:eastAsia="Arial" w:hAnsi="Arial"/>
          <w:sz w:val="16"/>
          <w:szCs w:val="16"/>
          <w:color w:val="auto"/>
        </w:rPr>
        <w:t xml:space="preserve">. Each of the Company, Parent, US Holdco and Merger Sub shall not take any action that could reasonably be expected to hinder or delay in any material respect the obtaining of clearance or the expiration of the required waiting period under the HSR Act or any other applicable Antitrust Laws. Without limiting the first sentence of this </w:t>
      </w:r>
      <w:r>
        <w:rPr>
          <w:rFonts w:ascii="Arial" w:cs="Arial" w:eastAsia="Arial" w:hAnsi="Arial"/>
          <w:sz w:val="16"/>
          <w:szCs w:val="16"/>
          <w:u w:val="single" w:color="auto"/>
          <w:color w:val="auto"/>
        </w:rPr>
        <w:t>Section 8.04(e)</w:t>
      </w:r>
      <w:r>
        <w:rPr>
          <w:rFonts w:ascii="Arial" w:cs="Arial" w:eastAsia="Arial" w:hAnsi="Arial"/>
          <w:sz w:val="16"/>
          <w:szCs w:val="16"/>
          <w:color w:val="auto"/>
        </w:rPr>
        <w:t xml:space="preserve">, each of the Company or any of its Subsidiaries or Parent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 (ii) increase the risk of any Governmental Entity entering an order prohibiting the consummation of the transactions contemplated by this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The parties hereto agree that the initial press release to be issued with respect to the transactions contemplated by this Agreement shall be in a form mutually agreed to by the parties hereto, and shall be issued as promptly as practicable following the execution of this Agreement. Parent and the Company shall consult with each other before issuing any other press release, or scheduling a press conference or conference call with investors or analysts, and shall use reasonable best efforts to consult with each other before making any other public statement, in each case, with respect to this Agreement or the transactions contemplated hereby, and shall not issue any such press release or make any such other public statement relating to this Agreement or the transactions contemplated hereby without the consent of the other party, which consent shall not be unreasonably withheld, conditioned or delayed, except for any such release or announcement that Parent or the Company determines, after consultation with outside legal counsel, is required by applicable Law or any listing agreement with or rule of any national or foreign securities exchange or association upon which the securities of the Company or Parent, as applicable, are listed, in which case the party required to make the release or announcement shall provide notice to and, to the extent reasonably practicable, consult with the other party about, and shall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shall prohibit or limit either party from (i) making any public statement in response to questions from the press, analysts, investors or those attending industry conferences, making internal announcements to employees and making disclosures in the Company SEC Documents and the Parent SEC Documents, as applicable,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Company SEC Documents and the Parent SEC Documents in respect of a Company Adverse Recommendation Change or Parent Adverse Recommendation Change, as applicable, in each case only to the extent such statement, announcement or disclosure complies with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as applicable, and is otherwise permitted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foregoing proviso shall not in any way effect any other prohibition or limitation contained in this Agreement.</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Anti-Takeover Statutes</w:t>
      </w:r>
      <w:r>
        <w:rPr>
          <w:rFonts w:ascii="Arial" w:cs="Arial" w:eastAsia="Arial" w:hAnsi="Arial"/>
          <w:sz w:val="17"/>
          <w:szCs w:val="17"/>
          <w:color w:val="auto"/>
        </w:rPr>
        <w:t>. If any “control share acquisition,” “fair price,” “moratorium,” or other anti-takeover Law becomes or is deemed to be applicable to Parent, US Holdco, Merger Sub, the Company, the Merger, or any other transaction contemplated by this Agreement, then each of the Company and the Company Board on the one hand, and Parent and the Parent Board and US Holdco and the US Holdco Board on the other hand, shall grant such approvals and take such actions as are necessary so that the transactions contemplated hereby may be consummated as promptly as practicable on the terms contemplated hereby and otherwise act to render such anti-takeover Law inapplicable to the foregoing.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8" w:name="page319"/>
    <w:bookmarkEnd w:id="31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shall take all such steps as may be required to cause to be exempt under Rule 16b-3 promulgated under the Exchange Act, 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Effective Time.</w:t>
      </w:r>
    </w:p>
    <w:p>
      <w:pPr>
        <w:spacing w:after="0" w:line="13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Stock Exchange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59" w:lineRule="auto"/>
        <w:tabs>
          <w:tab w:leader="none" w:pos="1399"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Listing of Parent Ordinary Shares</w:t>
      </w:r>
      <w:r>
        <w:rPr>
          <w:rFonts w:ascii="Arial" w:cs="Arial" w:eastAsia="Arial" w:hAnsi="Arial"/>
          <w:sz w:val="18"/>
          <w:szCs w:val="18"/>
          <w:color w:val="auto"/>
        </w:rPr>
        <w:t>. Parent shall take all action reasonably necessary to cause the Parent Ordinary Shares to be issued in connection with the Merger to be listed on the Nasdaq (or such other stock exchange as may be mutually agreed upon by the Company and Parent), subject to official notice of issuance, prior to the Effective Time.</w:t>
      </w:r>
    </w:p>
    <w:p>
      <w:pPr>
        <w:spacing w:after="0" w:line="78" w:lineRule="exact"/>
        <w:rPr>
          <w:rFonts w:ascii="Arial" w:cs="Arial" w:eastAsia="Arial" w:hAnsi="Arial"/>
          <w:sz w:val="18"/>
          <w:szCs w:val="18"/>
          <w:color w:val="auto"/>
        </w:rPr>
      </w:pPr>
    </w:p>
    <w:p>
      <w:pPr>
        <w:jc w:val="both"/>
        <w:ind w:left="660" w:right="299" w:firstLine="352"/>
        <w:spacing w:after="0" w:line="272" w:lineRule="auto"/>
        <w:tabs>
          <w:tab w:leader="none" w:pos="1410"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Delisting; Deregistration of Company Common Stock</w:t>
      </w:r>
      <w:r>
        <w:rPr>
          <w:rFonts w:ascii="Arial" w:cs="Arial" w:eastAsia="Arial" w:hAnsi="Arial"/>
          <w:sz w:val="17"/>
          <w:szCs w:val="17"/>
          <w:color w:val="auto"/>
        </w:rPr>
        <w:t>. To the extent requested by Parent, prior to the Effective Time, the Company shall cooperate with Parent and use its reasonable best efforts to take, or cause to be taken, all actions, and do or cause to be done all things, reasonably necessary, proper or advisable on its part under applicable Laws and the rules and policies of the Nasdaq to enable the delisting by the Surviving Corporation of the shares of Company Common Stock from the Nasdaq and the deregistration of the shares of Company Common Stock under the Exchange Act as promptly as practicable after the Effective Time, and in any event no more than ten (10) days after the Effective Time.</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Post-Closing Compensation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4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Parent agrees that each Company Employee at the Effective Time who continues to remain employed with Parent or its Subsidiaries (each, a “</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during the period commencing at the Effective Time and ending on the first anniversary of the Effective Time, be provided with a base salary or base wage that is no less favorable and with employee benefits that are no less favorable in the aggregate, in each case, than those provided by the Company and its Subsidiaries to such Continuing Employee as of immediately prior to the Effective Time.</w:t>
      </w:r>
    </w:p>
    <w:p>
      <w:pPr>
        <w:spacing w:after="0" w:line="84"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Parent shall provide any Continuing Employee (other than a Key Company Employee) who experiences a termination of employment other than for cause during the period commencing at the Effective Time and ending on the first anniversary of the Effective Time with severance payments and benefits that are no less favorable than the severance payments and benefits provided by the Company and its Subsidiaries to such Continuing Employee as of the date of this Agreement as set forth on of </w:t>
      </w:r>
      <w:r>
        <w:rPr>
          <w:rFonts w:ascii="Arial" w:cs="Arial" w:eastAsia="Arial" w:hAnsi="Arial"/>
          <w:sz w:val="18"/>
          <w:szCs w:val="18"/>
          <w:u w:val="single" w:color="auto"/>
          <w:color w:val="auto"/>
        </w:rPr>
        <w:t>Section 8.09(b)</w:t>
      </w:r>
      <w:r>
        <w:rPr>
          <w:rFonts w:ascii="Arial" w:cs="Arial" w:eastAsia="Arial" w:hAnsi="Arial"/>
          <w:sz w:val="18"/>
          <w:szCs w:val="18"/>
          <w:color w:val="auto"/>
        </w:rPr>
        <w:t xml:space="preserve"> of the Company Disclosure Letter.</w:t>
      </w:r>
    </w:p>
    <w:p>
      <w:pPr>
        <w:spacing w:after="0" w:line="84" w:lineRule="exact"/>
        <w:rPr>
          <w:rFonts w:ascii="Arial" w:cs="Arial" w:eastAsia="Arial" w:hAnsi="Arial"/>
          <w:sz w:val="18"/>
          <w:szCs w:val="18"/>
          <w:color w:val="auto"/>
        </w:rPr>
      </w:pPr>
    </w:p>
    <w:p>
      <w:pPr>
        <w:ind w:left="660" w:right="319" w:firstLine="352"/>
        <w:spacing w:after="0" w:line="277" w:lineRule="auto"/>
        <w:tabs>
          <w:tab w:leader="none" w:pos="14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Parent agrees that the transactions contemplated by this Agreement shall constitute a change in control for purposes of the Company Equity Awards.</w:t>
      </w:r>
    </w:p>
    <w:p>
      <w:pPr>
        <w:spacing w:after="0" w:line="62"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Parent shall use commercially reasonable efforts to (i) cause any pre-existing conditions or limitations and eligibility waiting period under any group health plans of Parent and its Affiliates to be waived with respect to the Continuing Employees and their eligible dependents, (ii) give each Continuing Employee credit for the plan year in which the Effective Time occurs towards applicable deductibles and annual out-of-pocket limits for medical expenses incurred prior to the Effective Time under the applicable Parent Employee Plan for which payment has been made and (iii) give each Continuing Employee service credit for such Continuing Employee’s employment with the Company and its Subsidiaries for purposes of vesting, benefit accrual and eligibility to participate under each applicable Parent Employee Plan, as if such services had been performed with Parent, except for benefit accrual under defined benefit pension plans, for purposes of qualifying for subsidized early retirement benefits, or to the extent that it would result in a duplication of benefits.</w:t>
      </w:r>
    </w:p>
    <w:p>
      <w:pPr>
        <w:spacing w:after="0" w:line="83" w:lineRule="exact"/>
        <w:rPr>
          <w:rFonts w:ascii="Arial" w:cs="Arial" w:eastAsia="Arial" w:hAnsi="Arial"/>
          <w:sz w:val="18"/>
          <w:szCs w:val="18"/>
          <w:color w:val="auto"/>
        </w:rPr>
      </w:pPr>
    </w:p>
    <w:p>
      <w:pPr>
        <w:jc w:val="both"/>
        <w:ind w:left="660" w:right="299" w:firstLine="352"/>
        <w:spacing w:after="0" w:line="286" w:lineRule="auto"/>
        <w:tabs>
          <w:tab w:leader="none" w:pos="140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(i) be treated as an amendment of any particular Company Employee Plan or Parent Employee Plan, (ii) prevent Parent, the Company or any of their Affiliates from amending or terminating any of their benefit plans in accordance with their terms, (iii) prevent Parent or its Affiliates, after the Effective Time, from terminating the employment of any Continuing Employee, or</w:t>
      </w:r>
    </w:p>
    <w:p>
      <w:pPr>
        <w:spacing w:after="0" w:line="1" w:lineRule="exact"/>
        <w:rPr>
          <w:rFonts w:ascii="Arial" w:cs="Arial" w:eastAsia="Arial" w:hAnsi="Arial"/>
          <w:sz w:val="16"/>
          <w:szCs w:val="16"/>
          <w:color w:val="auto"/>
        </w:rPr>
      </w:pPr>
    </w:p>
    <w:p>
      <w:pPr>
        <w:ind w:left="960" w:hanging="308"/>
        <w:spacing w:after="0"/>
        <w:tabs>
          <w:tab w:leader="none" w:pos="96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create any third-party beneficiary rights in any Company Employee, Parent Employee, any beneficiary 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9" w:name="page320"/>
    <w:bookmarkEnd w:id="31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dependent thereof, or any collective bargaining representative thereof, with respect to the compensation, terms and conditions of employment and/or benefits that may be provided to any Continuing Employee by Parent, the Company or any of their Affiliates or under any benefit plan which Parent, the Company or any of their Affiliates may maintain.</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Obligations of US Holdco and Merger Sub</w:t>
      </w:r>
      <w:r>
        <w:rPr>
          <w:rFonts w:ascii="Arial" w:cs="Arial" w:eastAsia="Arial" w:hAnsi="Arial"/>
          <w:sz w:val="16"/>
          <w:szCs w:val="16"/>
          <w:color w:val="auto"/>
        </w:rPr>
        <w:t>. Parent shall take all actions necessary to cause US Holdco to perform its obligations under this Agreement and Parent and US Holdco shall take all actions necessary to cause Merger Sub and the Surviving Corporation to perform their respective obligations under this Agreement.</w:t>
      </w:r>
    </w:p>
    <w:p>
      <w:pPr>
        <w:spacing w:after="0" w:line="4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this Agreement to effect the Merger is subject to the satisfaction or waiver (where permissible pursuant to applicable Law) on or prior to the Closing Date of each of the following conditions:</w:t>
      </w:r>
    </w:p>
    <w:p>
      <w:pPr>
        <w:spacing w:after="0" w:line="76" w:lineRule="exact"/>
        <w:rPr>
          <w:sz w:val="20"/>
          <w:szCs w:val="20"/>
          <w:color w:val="auto"/>
        </w:rPr>
      </w:pPr>
    </w:p>
    <w:p>
      <w:pPr>
        <w:ind w:left="660" w:right="319" w:firstLine="352"/>
        <w:spacing w:after="0" w:line="277" w:lineRule="auto"/>
        <w:tabs>
          <w:tab w:leader="none" w:pos="1399"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This Agreement will have been duly adopted by the Requisite Company Vote.</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Parent Shareholder Approval</w:t>
      </w:r>
      <w:r>
        <w:rPr>
          <w:rFonts w:ascii="Arial" w:cs="Arial" w:eastAsia="Arial" w:hAnsi="Arial"/>
          <w:sz w:val="18"/>
          <w:szCs w:val="18"/>
          <w:color w:val="auto"/>
        </w:rPr>
        <w:t>. The grant of authority to the Parent Board to effect the Parent Share Issuance will have been approved by the Requisite Parent Vote.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399"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Parent Ordinary Shares issuable as Merger Consideration pursuant to this Agreement shall have been approved for listing on the Nasdaq, subject to official notice of issuance.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Form F-4</w:t>
      </w:r>
      <w:r>
        <w:rPr>
          <w:rFonts w:ascii="Arial" w:cs="Arial" w:eastAsia="Arial" w:hAnsi="Arial"/>
          <w:sz w:val="18"/>
          <w:szCs w:val="18"/>
          <w:color w:val="auto"/>
        </w:rPr>
        <w:t>. The Form F-4 shall have become effective under the Securities Act and shall not be the subject of any stop order or proceedings seeking a stop order.</w:t>
      </w:r>
    </w:p>
    <w:p>
      <w:pPr>
        <w:spacing w:after="0" w:line="62" w:lineRule="exact"/>
        <w:rPr>
          <w:rFonts w:ascii="Arial" w:cs="Arial" w:eastAsia="Arial" w:hAnsi="Arial"/>
          <w:sz w:val="18"/>
          <w:szCs w:val="18"/>
          <w:color w:val="auto"/>
        </w:rPr>
      </w:pPr>
    </w:p>
    <w:p>
      <w:pPr>
        <w:jc w:val="both"/>
        <w:ind w:left="660" w:right="299" w:firstLine="352"/>
        <w:spacing w:after="0" w:line="272" w:lineRule="auto"/>
        <w:tabs>
          <w:tab w:leader="none" w:pos="1399"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Regulatory Approvals</w:t>
      </w:r>
      <w:r>
        <w:rPr>
          <w:rFonts w:ascii="Arial" w:cs="Arial" w:eastAsia="Arial" w:hAnsi="Arial"/>
          <w:sz w:val="17"/>
          <w:szCs w:val="17"/>
          <w:color w:val="auto"/>
        </w:rPr>
        <w:t xml:space="preserve">. (i) All waiting periods applicable to the consummation of the Merger under the HSR Act (or any extension thereof or any agreement with any Governmental Entity not to consummate the Merger) shall have expired or been terminated and all required filings shall have been made and all required approvals obtained (or waiting periods expired or terminated) under applicable Antitrust Laws of the jurisdictions set forth on </w:t>
      </w:r>
      <w:r>
        <w:rPr>
          <w:rFonts w:ascii="Arial" w:cs="Arial" w:eastAsia="Arial" w:hAnsi="Arial"/>
          <w:sz w:val="17"/>
          <w:szCs w:val="17"/>
          <w:u w:val="single" w:color="auto"/>
          <w:color w:val="auto"/>
        </w:rPr>
        <w:t>Schedule 9.01(e)(i)</w:t>
      </w:r>
      <w:r>
        <w:rPr>
          <w:rFonts w:ascii="Arial" w:cs="Arial" w:eastAsia="Arial" w:hAnsi="Arial"/>
          <w:sz w:val="17"/>
          <w:szCs w:val="17"/>
          <w:color w:val="auto"/>
        </w:rPr>
        <w:t xml:space="preserve"> and (ii) all consents, approvals and other authorizations of any Governmental Entity set forth on </w:t>
      </w:r>
      <w:r>
        <w:rPr>
          <w:rFonts w:ascii="Arial" w:cs="Arial" w:eastAsia="Arial" w:hAnsi="Arial"/>
          <w:sz w:val="17"/>
          <w:szCs w:val="17"/>
          <w:u w:val="single" w:color="auto"/>
          <w:color w:val="auto"/>
        </w:rPr>
        <w:t>Schedule 9.01(e)(ii)</w:t>
      </w:r>
      <w:r>
        <w:rPr>
          <w:rFonts w:ascii="Arial" w:cs="Arial" w:eastAsia="Arial" w:hAnsi="Arial"/>
          <w:sz w:val="17"/>
          <w:szCs w:val="17"/>
          <w:color w:val="auto"/>
        </w:rPr>
        <w:t xml:space="preserve"> shall have been obtained, in the case of each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free of any Burdensome Condition.</w:t>
      </w:r>
    </w:p>
    <w:p>
      <w:pPr>
        <w:spacing w:after="0" w:line="69" w:lineRule="exact"/>
        <w:rPr>
          <w:rFonts w:ascii="Arial" w:cs="Arial" w:eastAsia="Arial" w:hAnsi="Arial"/>
          <w:sz w:val="17"/>
          <w:szCs w:val="17"/>
          <w:color w:val="auto"/>
        </w:rPr>
      </w:pPr>
    </w:p>
    <w:p>
      <w:pPr>
        <w:jc w:val="both"/>
        <w:ind w:left="660" w:right="299" w:firstLine="352"/>
        <w:spacing w:after="0" w:line="279" w:lineRule="auto"/>
        <w:tabs>
          <w:tab w:leader="none" w:pos="138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No Injunctions, Restraints, or Illegality</w:t>
      </w:r>
      <w:r>
        <w:rPr>
          <w:rFonts w:ascii="Arial" w:cs="Arial" w:eastAsia="Arial" w:hAnsi="Arial"/>
          <w:sz w:val="17"/>
          <w:szCs w:val="17"/>
          <w:color w:val="auto"/>
        </w:rPr>
        <w:t>. No Governmental Entity having jurisdiction over any party hereto shall have enacted, issued, promulgated, enforced, or entered any Laws or Orders, whether temporary, preliminary, or permanent, that make illegal, enjoin, or otherwise prohibit consummation of the Merger, the Parent Share Issuance, or the other transactions contemplated by this Agreement.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Conditions to Obligations of Parent, US Holdco and Merger Sub</w:t>
      </w:r>
      <w:r>
        <w:rPr>
          <w:rFonts w:ascii="Arial" w:cs="Arial" w:eastAsia="Arial" w:hAnsi="Arial"/>
          <w:sz w:val="18"/>
          <w:szCs w:val="18"/>
          <w:color w:val="auto"/>
        </w:rPr>
        <w:t>. The obligations of Parent, US Holdco and Merger Sub to effect the Merger are also subject to the satisfaction or waiver (where permissible pursuant to applicable Law) by Parent, US Holdco and Merger Sub on or prior to the Effective Time of the following conditions:</w:t>
      </w:r>
    </w:p>
    <w:p>
      <w:pPr>
        <w:spacing w:after="0" w:line="79" w:lineRule="exact"/>
        <w:rPr>
          <w:sz w:val="20"/>
          <w:szCs w:val="20"/>
          <w:color w:val="auto"/>
        </w:rPr>
      </w:pPr>
    </w:p>
    <w:p>
      <w:pPr>
        <w:jc w:val="both"/>
        <w:ind w:left="660" w:right="299" w:firstLine="352"/>
        <w:spacing w:after="0" w:line="286" w:lineRule="auto"/>
        <w:tabs>
          <w:tab w:leader="none" w:pos="1399"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Company (other than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(solely with respect to the Company), the first sentence of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(other than the last sentence), </w:t>
      </w:r>
      <w:r>
        <w:rPr>
          <w:rFonts w:ascii="Arial" w:cs="Arial" w:eastAsia="Arial" w:hAnsi="Arial"/>
          <w:sz w:val="16"/>
          <w:szCs w:val="16"/>
          <w:u w:val="single" w:color="auto"/>
          <w:color w:val="auto"/>
        </w:rPr>
        <w:t>Section 4.02(b)(i)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4.03(b)(i)</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jc w:val="both"/>
        <w:ind w:left="660" w:right="299"/>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4.05(a)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shall be true and correct in all respects (without giving effect to any limitation indicated by the words “Company Material Adverse Effect,” “in all material respects,” “in any material respect,” “material,” or “materially”) when made and on and as of the Closing Date, as if made on and as of such date (except those representations and warranties that address matters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0" w:name="page321"/>
    <w:bookmarkEnd w:id="32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 xml:space="preserve">only as of a particular date, which shall be true and correct in all respects as of that date), except where the failure of such representations and warranties to be so true and correct would not reasonably be expected to have, individually or in the aggregate, a Company Material Adverse Effect; (ii) the representations and warranties of the Company contained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(other than the last sentence) and </w:t>
      </w:r>
      <w:r>
        <w:rPr>
          <w:rFonts w:ascii="Arial" w:cs="Arial" w:eastAsia="Arial" w:hAnsi="Arial"/>
          <w:sz w:val="16"/>
          <w:szCs w:val="16"/>
          <w:u w:val="single" w:color="auto"/>
          <w:color w:val="auto"/>
        </w:rPr>
        <w:t>Section 4.02(b)(i)</w:t>
      </w:r>
      <w:r>
        <w:rPr>
          <w:rFonts w:ascii="Arial" w:cs="Arial" w:eastAsia="Arial" w:hAnsi="Arial"/>
          <w:sz w:val="16"/>
          <w:szCs w:val="16"/>
          <w:color w:val="auto"/>
        </w:rPr>
        <w:t xml:space="preserve">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made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4.03(b)(i)</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63" w:lineRule="exact"/>
        <w:rPr>
          <w:sz w:val="20"/>
          <w:szCs w:val="20"/>
          <w:color w:val="auto"/>
        </w:rPr>
      </w:pPr>
    </w:p>
    <w:p>
      <w:pPr>
        <w:jc w:val="both"/>
        <w:ind w:left="660" w:right="299" w:firstLine="352"/>
        <w:spacing w:after="0" w:line="263" w:lineRule="auto"/>
        <w:tabs>
          <w:tab w:leader="none" w:pos="141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Company shall have performed in all material respects all obligations, and complied in all material respects with the agreements and covenants, in this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660" w:right="319" w:firstLine="352"/>
        <w:spacing w:after="0" w:line="263" w:lineRule="auto"/>
        <w:tabs>
          <w:tab w:leader="none" w:pos="1399"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and US Holdco will have received a certificate, signed by the chief executive officer or chief financial officer of the Company, certifying as to the matters set forth in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hereof.</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effect the Merger is also subject to the satisfaction or waiver by the Company on or prior to the Effective Time of the following conditions:</w:t>
      </w:r>
    </w:p>
    <w:p>
      <w:pPr>
        <w:spacing w:after="0" w:line="76" w:lineRule="exact"/>
        <w:rPr>
          <w:sz w:val="20"/>
          <w:szCs w:val="20"/>
          <w:color w:val="auto"/>
        </w:rPr>
      </w:pPr>
    </w:p>
    <w:p>
      <w:pPr>
        <w:jc w:val="both"/>
        <w:ind w:left="660" w:right="299" w:firstLine="352"/>
        <w:spacing w:after="0" w:line="283" w:lineRule="auto"/>
        <w:tabs>
          <w:tab w:leader="none" w:pos="1399"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US Holdco and Merger Sub (other than in the first sentence of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(solely with respect to Parent), the first sentence of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(other than last sentence), </w:t>
      </w:r>
      <w:r>
        <w:rPr>
          <w:rFonts w:ascii="Arial" w:cs="Arial" w:eastAsia="Arial" w:hAnsi="Arial"/>
          <w:sz w:val="16"/>
          <w:szCs w:val="16"/>
          <w:u w:val="single" w:color="auto"/>
          <w:color w:val="auto"/>
        </w:rPr>
        <w:t>Section 5.02(b)(i)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5.03(b)(i)</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shall be true and correct in all respects (without giving effect to any limitation indicated by the words “Parent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Parent Material Adverse Effect; (ii) the representations and warranties of the Company contained in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(other than the last sentence) and </w:t>
      </w:r>
      <w:r>
        <w:rPr>
          <w:rFonts w:ascii="Arial" w:cs="Arial" w:eastAsia="Arial" w:hAnsi="Arial"/>
          <w:sz w:val="16"/>
          <w:szCs w:val="16"/>
          <w:u w:val="single" w:color="auto"/>
          <w:color w:val="auto"/>
        </w:rPr>
        <w:t>Section 5.02(b)(i)</w:t>
      </w:r>
      <w:r>
        <w:rPr>
          <w:rFonts w:ascii="Arial" w:cs="Arial" w:eastAsia="Arial" w:hAnsi="Arial"/>
          <w:sz w:val="16"/>
          <w:szCs w:val="16"/>
          <w:color w:val="auto"/>
        </w:rPr>
        <w:t xml:space="preserve">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jc w:val="both"/>
        <w:ind w:left="660" w:right="319" w:hanging="8"/>
        <w:spacing w:after="0" w:line="269" w:lineRule="auto"/>
        <w:tabs>
          <w:tab w:leader="none" w:pos="99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in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5.02(b)(ii)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5.03(b)(i)</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72" w:lineRule="exact"/>
        <w:rPr>
          <w:rFonts w:ascii="Arial" w:cs="Arial" w:eastAsia="Arial" w:hAnsi="Arial"/>
          <w:sz w:val="17"/>
          <w:szCs w:val="17"/>
          <w:color w:val="auto"/>
        </w:rPr>
      </w:pPr>
    </w:p>
    <w:p>
      <w:pPr>
        <w:jc w:val="both"/>
        <w:ind w:left="660" w:right="319" w:firstLine="352"/>
        <w:spacing w:after="0" w:line="286" w:lineRule="auto"/>
        <w:tabs>
          <w:tab w:leader="none" w:pos="1410" w:val="left"/>
        </w:tabs>
        <w:numPr>
          <w:ilvl w:val="1"/>
          <w:numId w:val="385"/>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Parent, US Holdco and Merger Sub shall have performed in all material respects all obligations, and complied in all material respects with the agreements and covenants, of this Agreement required to be performed by or complied with by them at or prior to the Closing Date.</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399"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will have received a certificate, signed by the chief executive officer or chief financial officer of Parent, certifying as to the matters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9.02(b)</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1" w:name="page322"/>
    <w:bookmarkEnd w:id="3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59" w:lineRule="auto"/>
        <w:tabs>
          <w:tab w:leader="none" w:pos="141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DTC</w:t>
      </w:r>
      <w:r>
        <w:rPr>
          <w:rFonts w:ascii="Arial" w:cs="Arial" w:eastAsia="Arial" w:hAnsi="Arial"/>
          <w:sz w:val="18"/>
          <w:szCs w:val="18"/>
          <w:color w:val="auto"/>
        </w:rPr>
        <w:t>. Parent has in place a composition agreement with the Revenue Commissioners of Ireland and a Special Eligibility Agreement for Securities with The Depository Trust Company in respect of the Parent Ordinary Shares issuable as Merger Consideration pursuant to this Agreement, both of which are in full force and effect and are enforceable in accordance with their terms.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Termination by Mutual Consent</w:t>
      </w:r>
      <w:r>
        <w:rPr>
          <w:rFonts w:ascii="Arial" w:cs="Arial" w:eastAsia="Arial" w:hAnsi="Arial"/>
          <w:sz w:val="16"/>
          <w:szCs w:val="16"/>
          <w:color w:val="auto"/>
        </w:rPr>
        <w:t>. This Agreement may be terminated at any time prior to the Effective Time (whether before or after the receipt of the Requisite Company Vote or the Requisite Parent Vote) by the mutual written consent of Parent and US Holdco (on the one hand) and the Company (on the other hand).</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Termination by Either Parent or the Company</w:t>
      </w:r>
      <w:r>
        <w:rPr>
          <w:rFonts w:ascii="Arial" w:cs="Arial" w:eastAsia="Arial" w:hAnsi="Arial"/>
          <w:sz w:val="17"/>
          <w:szCs w:val="17"/>
          <w:color w:val="auto"/>
        </w:rPr>
        <w:t>. This Agreement may be terminated by either Parent and US Holdco (on the one hand) or the Company (on the other hand) at any time prior to the Effective Time (whether before or after the receipt of the Requisite Company Vote or the Requisite Parent Vote):</w:t>
      </w:r>
    </w:p>
    <w:p>
      <w:pPr>
        <w:spacing w:after="0" w:line="57" w:lineRule="exact"/>
        <w:rPr>
          <w:sz w:val="20"/>
          <w:szCs w:val="20"/>
          <w:color w:val="auto"/>
        </w:rPr>
      </w:pPr>
    </w:p>
    <w:p>
      <w:pPr>
        <w:jc w:val="both"/>
        <w:ind w:left="660" w:right="299" w:firstLine="352"/>
        <w:spacing w:after="0" w:line="284" w:lineRule="auto"/>
        <w:tabs>
          <w:tab w:leader="none" w:pos="14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if the Merger shall not have been consummated on or prior to 11:59 p.m., Eastern Time, on February 24, 2022 (such date or such later date, if any, as provided in this </w:t>
      </w:r>
      <w:r>
        <w:rPr>
          <w:rFonts w:ascii="Arial" w:cs="Arial" w:eastAsia="Arial" w:hAnsi="Arial"/>
          <w:sz w:val="16"/>
          <w:szCs w:val="16"/>
          <w:u w:val="single" w:color="auto"/>
          <w:color w:val="auto"/>
        </w:rPr>
        <w:t>Section 10.02(a)</w:t>
      </w:r>
      <w:r>
        <w:rPr>
          <w:rFonts w:ascii="Arial" w:cs="Arial" w:eastAsia="Arial" w:hAnsi="Arial"/>
          <w:sz w:val="16"/>
          <w:szCs w:val="16"/>
          <w:color w:val="auto"/>
        </w:rPr>
        <w:t>,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in the event the condition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9.01(e)</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9.01(f)</w:t>
      </w:r>
      <w:r>
        <w:rPr>
          <w:rFonts w:ascii="Arial" w:cs="Arial" w:eastAsia="Arial" w:hAnsi="Arial"/>
          <w:sz w:val="16"/>
          <w:szCs w:val="16"/>
          <w:i w:val="1"/>
          <w:iCs w:val="1"/>
          <w:color w:val="auto"/>
        </w:rPr>
        <w:t xml:space="preserve"> </w:t>
      </w:r>
      <w:r>
        <w:rPr>
          <w:rFonts w:ascii="Arial" w:cs="Arial" w:eastAsia="Arial" w:hAnsi="Arial"/>
          <w:sz w:val="16"/>
          <w:szCs w:val="16"/>
          <w:color w:val="auto"/>
        </w:rPr>
        <w:t>(if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Law or Order relates to Antitrust Laws or Laws relating to foreign direct investments) shall not have been satisfied on or prior to the End Date, but all other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or are capable of being satisfied (or have been waived by the party then entitled to give such waiver) on or prior to the End Date, then the End Date shall be extended without further action by the parties hereto until May 24, 2022, and (ii) in the event a Legal Action is pending such that the conditions set forth in </w:t>
      </w:r>
      <w:r>
        <w:rPr>
          <w:rFonts w:ascii="Arial" w:cs="Arial" w:eastAsia="Arial" w:hAnsi="Arial"/>
          <w:sz w:val="16"/>
          <w:szCs w:val="16"/>
          <w:u w:val="single" w:color="auto"/>
          <w:color w:val="auto"/>
        </w:rPr>
        <w:t>Section 9.01(e)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(if the applicable Law or Order relates to Antitrust Laws or Laws relating to foreign direct investments) shall not have been satisfied on or prior to the End Date as so extended, but all other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or are capable of being satisfied (or have been waived by the party then entitled to give such waiver) on or prior to the End Date, then the End Date shall be extended without further action by the parties hereto until the earlier of (x) August 24, 2022, and (y) the date on which such Legal Action is no longer pending, plus twenty (20) Business Days;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 party brings any Legal Action to enforce specifically the performance of the terms and provisions hereof by any other party, the End Date has not yet passed, and the End Date occurs during the pendency of such Legal Action, the End Date shall be automatically extended by the amount of time during which such Legal Action is pending, plus twenty (20)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10.02(a)</w:t>
      </w:r>
      <w:r>
        <w:rPr>
          <w:rFonts w:ascii="Arial" w:cs="Arial" w:eastAsia="Arial" w:hAnsi="Arial"/>
          <w:sz w:val="16"/>
          <w:szCs w:val="16"/>
          <w:color w:val="auto"/>
        </w:rPr>
        <w:t xml:space="preserve"> shall not be available to any party whose material breach of any representation, warranty, covenant, or agreement set forth in this Agreement has been the proximate cause of, or resulted in, the failure of the Merger to be consummated on or before the End Date;</w:t>
      </w:r>
    </w:p>
    <w:p>
      <w:pPr>
        <w:spacing w:after="0" w:line="289" w:lineRule="exact"/>
        <w:rPr>
          <w:rFonts w:ascii="Arial" w:cs="Arial" w:eastAsia="Arial" w:hAnsi="Arial"/>
          <w:sz w:val="16"/>
          <w:szCs w:val="16"/>
          <w:color w:val="auto"/>
        </w:rPr>
      </w:pPr>
    </w:p>
    <w:p>
      <w:pPr>
        <w:jc w:val="both"/>
        <w:ind w:left="660" w:right="299" w:firstLine="352"/>
        <w:spacing w:after="0" w:line="272" w:lineRule="auto"/>
        <w:tabs>
          <w:tab w:leader="none" w:pos="141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if any Governmental Entity of competent jurisdiction shall have enacted, issued, promulgated, enforced, or entered any Law or Order making illegal, permanently enjoining, or otherwise permanently prohibiting the consummation of the Merger or the Parent Share Issuance, and such Law or Order shall have become final and nonappealable;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10.02(b)</w:t>
      </w:r>
      <w:r>
        <w:rPr>
          <w:rFonts w:ascii="Arial" w:cs="Arial" w:eastAsia="Arial" w:hAnsi="Arial"/>
          <w:sz w:val="17"/>
          <w:szCs w:val="17"/>
          <w:color w:val="auto"/>
        </w:rPr>
        <w:t xml:space="preserve"> shall not be available to any party whose material breach of any representation, warranty, covenant, or agreement set forth in this Agreement has been the proximate cause of, or resulted in, the issuance, promulgation, enforcement, or entry of any such Law or Order;</w:t>
      </w:r>
    </w:p>
    <w:p>
      <w:pPr>
        <w:spacing w:after="0" w:line="69" w:lineRule="exact"/>
        <w:rPr>
          <w:rFonts w:ascii="Arial" w:cs="Arial" w:eastAsia="Arial" w:hAnsi="Arial"/>
          <w:sz w:val="17"/>
          <w:szCs w:val="17"/>
          <w:color w:val="auto"/>
        </w:rPr>
      </w:pPr>
    </w:p>
    <w:p>
      <w:pPr>
        <w:jc w:val="both"/>
        <w:ind w:left="660" w:right="299" w:firstLine="352"/>
        <w:spacing w:after="0" w:line="259" w:lineRule="auto"/>
        <w:tabs>
          <w:tab w:leader="none" w:pos="14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this Agreement has been submitted to the stockholders of the Company for adoption at a duly convened Company Stockholders Meeting and the Requisite Company Vote shall not have been obtained at such meeting (unless such Company Stockholders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the Parent Share Issuance has been submitted to the shareholders of Parent for approval at a duly convened Parent Shareholders Meeting and the Requisite Parent Vote shall not have been obtained at such meeting (unless such Parent Shareholders Meeting has been adjourned or postponed, in which case at the final adjournment or postponement thereof).</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Termination by Parent and US Holdco</w:t>
      </w:r>
      <w:r>
        <w:rPr>
          <w:rFonts w:ascii="Arial" w:cs="Arial" w:eastAsia="Arial" w:hAnsi="Arial"/>
          <w:sz w:val="18"/>
          <w:szCs w:val="18"/>
          <w:color w:val="auto"/>
        </w:rPr>
        <w:t>. This Agreement may be terminated by Parent and US Holdco at any time prior to the Effective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2" w:name="page323"/>
    <w:bookmarkEnd w:id="3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4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if, prior to the receipt of the Requisite Company Vote, a Company Adverse Recommendation Change shall have occurred (whether or not such Company Adverse Recommendation Change is permitted by this Agreement); or</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if there shall have been a breach of any representation, warranty, covenant, or agreement on the part of the Company set forth in this Agreement such that the conditions to the Closing of the Merger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and US Holdco to the Company of such breach or failure to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and US Holdco shall not have the right to terminate this Agreement pursuant to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if Parent, US Holdco or Merger Sub is then in material breach of any representation, warranty, covenant, or obligation hereunder (it being understood and agreed that if Parent and US Holdco remedy any such breach, then it may terminate this Agreement pursuant to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when such breach has been so remedied).</w:t>
      </w:r>
    </w:p>
    <w:p>
      <w:pPr>
        <w:spacing w:after="0" w:line="7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 This Agreement may be terminated by the Company at any time prior to the Effective Time:</w:t>
      </w:r>
    </w:p>
    <w:p>
      <w:pPr>
        <w:spacing w:after="0" w:line="62" w:lineRule="exact"/>
        <w:rPr>
          <w:sz w:val="20"/>
          <w:szCs w:val="20"/>
          <w:color w:val="auto"/>
        </w:rPr>
      </w:pPr>
    </w:p>
    <w:p>
      <w:pPr>
        <w:jc w:val="both"/>
        <w:ind w:left="660" w:right="299" w:firstLine="352"/>
        <w:spacing w:after="0" w:line="272" w:lineRule="auto"/>
        <w:tabs>
          <w:tab w:leader="none" w:pos="14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if prior to the receipt of the Requisite Company Vote at the Company Stockholders Meeting, the Company Board authorizes the Company, to the extent permitted by and subject to full compliance with the applicable terms and conditions of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to enter into a definitive agreement in respect of a Company Superior Proposal;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have paid any amounts due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10.06(a)(ii)</w:t>
      </w:r>
      <w:r>
        <w:rPr>
          <w:rFonts w:ascii="Arial" w:cs="Arial" w:eastAsia="Arial" w:hAnsi="Arial"/>
          <w:sz w:val="17"/>
          <w:szCs w:val="17"/>
          <w:color w:val="auto"/>
        </w:rPr>
        <w:t xml:space="preserve"> hereof in accordance with the terms, and at the times, specified therein;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event of such termination, the Company substantially concurrently enters into such definitive agreement with respect to such Company Superior Proposal; or</w:t>
      </w:r>
    </w:p>
    <w:p>
      <w:pPr>
        <w:spacing w:after="0" w:line="69" w:lineRule="exact"/>
        <w:rPr>
          <w:rFonts w:ascii="Arial" w:cs="Arial" w:eastAsia="Arial" w:hAnsi="Arial"/>
          <w:sz w:val="17"/>
          <w:szCs w:val="17"/>
          <w:color w:val="auto"/>
        </w:rPr>
      </w:pPr>
    </w:p>
    <w:p>
      <w:pPr>
        <w:jc w:val="both"/>
        <w:ind w:left="660" w:right="319" w:firstLine="352"/>
        <w:spacing w:after="0" w:line="263" w:lineRule="auto"/>
        <w:tabs>
          <w:tab w:leader="none" w:pos="141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prior to the receipt of the Requisite Parent Vote, a Parent Adverse Recommendation Change shall have occurred (whether or not such Parent Adverse Recommendation Change is permitted by this Agreement); or</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if there shall have been a breach of any representation, warranty, covenant, or agreement on the part of Parent, US Holdco or Merger Sub set forth in this Agreement such that the conditions to the Closing of the Merger set forth in </w:t>
      </w:r>
      <w:r>
        <w:rPr>
          <w:rFonts w:ascii="Arial" w:cs="Arial" w:eastAsia="Arial" w:hAnsi="Arial"/>
          <w:sz w:val="17"/>
          <w:szCs w:val="17"/>
          <w:u w:val="single" w:color="auto"/>
          <w:color w:val="auto"/>
        </w:rPr>
        <w:t>Section 9.03(a)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to the Company of such breach or failure to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if the Company is then in material breach of any representation, warranty, covenant, or obligation hereunder (it being understood and agreed that if the Company remedies any such breach, then it may terminate this Agreement pursuant to this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when such breach has been so remedied).</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Notice of Termination; Effect of Termination</w:t>
      </w:r>
      <w:r>
        <w:rPr>
          <w:rFonts w:ascii="Arial" w:cs="Arial" w:eastAsia="Arial" w:hAnsi="Arial"/>
          <w:sz w:val="17"/>
          <w:szCs w:val="17"/>
          <w:color w:val="auto"/>
        </w:rPr>
        <w:t xml:space="preserve">. The party desiring to terminate this Agreement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(other than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deliver written notice of such termination to each other party hereto specifying with particularity the reason for such termination and the applicable provision or provisions hereof pursuant to which such termination is being effected, and any such termination in accordance with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shall be effective immediately upon delivery of such written notice to the other party. If this Agreement is terminated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it will become void and of no further force and effect, with no liability on the part of any party to this Agreement (or any stockholder, director, officer, employee, agent, or Representative of such party) to any other party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6.04(d)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any related definitions contained in any such Sections or Article) shall remain in full force and effect;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termination nor payment of the Company Termination Fee or Parent and US Holdco Termination Fee shall relieve any party from liability for any Willful Breach of this Agreement.</w:t>
      </w:r>
    </w:p>
    <w:p>
      <w:pPr>
        <w:spacing w:after="0" w:line="1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Fees and Expenses Following Termination</w:t>
      </w:r>
      <w:r>
        <w:rPr>
          <w:rFonts w:ascii="Arial" w:cs="Arial" w:eastAsia="Arial" w:hAnsi="Arial"/>
          <w:sz w:val="16"/>
          <w:szCs w:val="16"/>
          <w:color w:val="auto"/>
        </w:rPr>
        <w:t>.</w:t>
      </w:r>
    </w:p>
    <w:p>
      <w:pPr>
        <w:spacing w:after="0" w:line="158" w:lineRule="exact"/>
        <w:rPr>
          <w:sz w:val="20"/>
          <w:szCs w:val="20"/>
          <w:color w:val="auto"/>
        </w:rPr>
      </w:pPr>
    </w:p>
    <w:p>
      <w:pPr>
        <w:ind w:left="1400" w:hanging="388"/>
        <w:spacing w:after="0"/>
        <w:tabs>
          <w:tab w:leader="none" w:pos="14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If this Agreement is terminated by:</w:t>
      </w:r>
    </w:p>
    <w:p>
      <w:pPr>
        <w:spacing w:after="0" w:line="117" w:lineRule="exact"/>
        <w:rPr>
          <w:rFonts w:ascii="Arial" w:cs="Arial" w:eastAsia="Arial" w:hAnsi="Arial"/>
          <w:sz w:val="18"/>
          <w:szCs w:val="18"/>
          <w:color w:val="auto"/>
        </w:rPr>
      </w:pPr>
    </w:p>
    <w:p>
      <w:pPr>
        <w:ind w:left="1720" w:hanging="348"/>
        <w:spacing w:after="0"/>
        <w:tabs>
          <w:tab w:leader="none" w:pos="172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 xml:space="preserve">Parent and US Holdco pursuant to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(Company Adverse Recommendation</w:t>
      </w:r>
    </w:p>
    <w:p>
      <w:pPr>
        <w:spacing w:after="0" w:line="3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Change);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3" w:name="page324"/>
    <w:bookmarkEnd w:id="3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80" w:hanging="408"/>
        <w:spacing w:after="0"/>
        <w:tabs>
          <w:tab w:leader="none" w:pos="17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the Company pursuant to </w:t>
      </w:r>
      <w:r>
        <w:rPr>
          <w:rFonts w:ascii="Arial" w:cs="Arial" w:eastAsia="Arial" w:hAnsi="Arial"/>
          <w:sz w:val="18"/>
          <w:szCs w:val="18"/>
          <w:u w:val="single" w:color="auto"/>
          <w:color w:val="auto"/>
        </w:rPr>
        <w:t>Section 10.04(a)</w:t>
      </w:r>
      <w:r>
        <w:rPr>
          <w:rFonts w:ascii="Arial" w:cs="Arial" w:eastAsia="Arial" w:hAnsi="Arial"/>
          <w:sz w:val="18"/>
          <w:szCs w:val="18"/>
          <w:color w:val="auto"/>
        </w:rPr>
        <w:t xml:space="preserve"> (Company Superior Proposal);</w:t>
      </w:r>
    </w:p>
    <w:p>
      <w:pPr>
        <w:spacing w:after="0" w:line="117" w:lineRule="exact"/>
        <w:rPr>
          <w:rFonts w:ascii="Arial" w:cs="Arial" w:eastAsia="Arial" w:hAnsi="Arial"/>
          <w:sz w:val="18"/>
          <w:szCs w:val="18"/>
          <w:color w:val="auto"/>
        </w:rPr>
      </w:pPr>
    </w:p>
    <w:p>
      <w:pPr>
        <w:jc w:val="both"/>
        <w:ind w:left="1020" w:right="299" w:firstLine="352"/>
        <w:spacing w:after="0" w:line="263" w:lineRule="auto"/>
        <w:tabs>
          <w:tab w:leader="none" w:pos="183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(Failure to Obtain Company Stockholder Approval) at a time when this Agreement was terminable by Parent pursuant to </w:t>
      </w:r>
      <w:r>
        <w:rPr>
          <w:rFonts w:ascii="Arial" w:cs="Arial" w:eastAsia="Arial" w:hAnsi="Arial"/>
          <w:sz w:val="18"/>
          <w:szCs w:val="18"/>
          <w:u w:val="single" w:color="auto"/>
          <w:color w:val="auto"/>
        </w:rPr>
        <w:t>Section 10.03(a)</w:t>
      </w:r>
      <w:r>
        <w:rPr>
          <w:rFonts w:ascii="Arial" w:cs="Arial" w:eastAsia="Arial" w:hAnsi="Arial"/>
          <w:sz w:val="18"/>
          <w:szCs w:val="18"/>
          <w:color w:val="auto"/>
        </w:rPr>
        <w:t xml:space="preserve"> (Company Adverse Recommendation Change);</w:t>
      </w:r>
    </w:p>
    <w:p>
      <w:pPr>
        <w:spacing w:after="0" w:line="75" w:lineRule="exact"/>
        <w:rPr>
          <w:rFonts w:ascii="Arial" w:cs="Arial" w:eastAsia="Arial" w:hAnsi="Arial"/>
          <w:sz w:val="18"/>
          <w:szCs w:val="18"/>
          <w:color w:val="auto"/>
        </w:rPr>
      </w:pPr>
    </w:p>
    <w:p>
      <w:pPr>
        <w:jc w:val="both"/>
        <w:ind w:left="1020" w:right="299" w:firstLine="352"/>
        <w:spacing w:after="0" w:line="268" w:lineRule="auto"/>
        <w:tabs>
          <w:tab w:leader="none" w:pos="182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(A) Parent and US Holdco pursuant to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(Company Terminable Breach) or (B) Parent and US Holdco or the Company pursuant to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(End Date) and, in the case of either of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(1) prior to such termination a Company Takeover Proposal shall have been publicly disclosed or otherwise publicly known or otherwise made or communicated to the Company Board and not publicly withdrawn without qualification at least seven (7) Business Days prior to such termination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10.06(a)(iv)</w:t>
      </w:r>
      <w:r>
        <w:rPr>
          <w:rFonts w:ascii="Arial" w:cs="Arial" w:eastAsia="Arial" w:hAnsi="Arial"/>
          <w:sz w:val="17"/>
          <w:szCs w:val="17"/>
          <w:color w:val="auto"/>
        </w:rPr>
        <w:t>) and (2)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w:t>
      </w:r>
    </w:p>
    <w:p>
      <w:pPr>
        <w:spacing w:after="0" w:line="78" w:lineRule="exact"/>
        <w:rPr>
          <w:rFonts w:ascii="Arial" w:cs="Arial" w:eastAsia="Arial" w:hAnsi="Arial"/>
          <w:sz w:val="17"/>
          <w:szCs w:val="17"/>
          <w:color w:val="auto"/>
        </w:rPr>
      </w:pPr>
    </w:p>
    <w:p>
      <w:pPr>
        <w:jc w:val="both"/>
        <w:ind w:left="1020" w:right="299" w:firstLine="352"/>
        <w:spacing w:after="0" w:line="269" w:lineRule="auto"/>
        <w:tabs>
          <w:tab w:leader="none" w:pos="177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Parent and US Holdco or the Company pursuant to </w:t>
      </w:r>
      <w:r>
        <w:rPr>
          <w:rFonts w:ascii="Arial" w:cs="Arial" w:eastAsia="Arial" w:hAnsi="Arial"/>
          <w:sz w:val="17"/>
          <w:szCs w:val="17"/>
          <w:u w:val="single" w:color="auto"/>
          <w:color w:val="auto"/>
        </w:rPr>
        <w:t>Section 10.02(c)</w:t>
      </w:r>
      <w:r>
        <w:rPr>
          <w:rFonts w:ascii="Arial" w:cs="Arial" w:eastAsia="Arial" w:hAnsi="Arial"/>
          <w:sz w:val="17"/>
          <w:szCs w:val="17"/>
          <w:color w:val="auto"/>
        </w:rPr>
        <w:t xml:space="preserve"> (Failure to Obtain Company Stockholder Approval) and (A) prior to the Company Stockholders Meeting a Company Takeover Proposal shall have been publicly disclosed or otherwise publicly known or otherwise made or communicated to the Company Board and not publicly withdrawn without qualification at least seven (7) Business Days prior to the Company Stockholders Meeting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10.06(a)(v)</w:t>
      </w:r>
      <w:r>
        <w:rPr>
          <w:rFonts w:ascii="Arial" w:cs="Arial" w:eastAsia="Arial" w:hAnsi="Arial"/>
          <w:sz w:val="17"/>
          <w:szCs w:val="17"/>
          <w:color w:val="auto"/>
        </w:rPr>
        <w:t>) and (B)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 or</w:t>
      </w:r>
    </w:p>
    <w:p>
      <w:pPr>
        <w:spacing w:after="0" w:line="70" w:lineRule="exact"/>
        <w:rPr>
          <w:rFonts w:ascii="Arial" w:cs="Arial" w:eastAsia="Arial" w:hAnsi="Arial"/>
          <w:sz w:val="17"/>
          <w:szCs w:val="17"/>
          <w:color w:val="auto"/>
        </w:rPr>
      </w:pPr>
    </w:p>
    <w:p>
      <w:pPr>
        <w:ind w:left="1020" w:right="319" w:firstLine="352"/>
        <w:spacing w:after="0" w:line="277" w:lineRule="auto"/>
        <w:tabs>
          <w:tab w:leader="none" w:pos="18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(Failure to Obtain Company Stockholder Approval),</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 xml:space="preserve">then the Company shall pay to Parent and US Holdco (by wire transfer of immediately available funds) (A)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 fee in an amount equal to the Company Termination Fee and (B) in the case of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Parent and US Holdco Expenses. Such Company Termination Fee or Parent and US Holdco Expenses, as applicable, shall be payable (1)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(if such termination is by Parent and US Holdco) or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above, within two (2) Business Days after such termination, (2) in the case of </w:t>
      </w:r>
      <w:r>
        <w:rPr>
          <w:rFonts w:ascii="Arial" w:cs="Arial" w:eastAsia="Arial" w:hAnsi="Arial"/>
          <w:sz w:val="16"/>
          <w:szCs w:val="16"/>
          <w:u w:val="single" w:color="auto"/>
          <w:color w:val="auto"/>
        </w:rPr>
        <w:t>clause</w:t>
      </w:r>
    </w:p>
    <w:p>
      <w:pPr>
        <w:spacing w:after="0" w:line="2" w:lineRule="exact"/>
        <w:rPr>
          <w:sz w:val="20"/>
          <w:szCs w:val="20"/>
          <w:color w:val="auto"/>
        </w:rPr>
      </w:pPr>
    </w:p>
    <w:p>
      <w:pPr>
        <w:jc w:val="both"/>
        <w:ind w:left="300" w:right="299" w:hanging="8"/>
        <w:spacing w:after="0" w:line="281" w:lineRule="auto"/>
        <w:tabs>
          <w:tab w:leader="none" w:pos="605" w:val="left"/>
        </w:tabs>
        <w:numPr>
          <w:ilvl w:val="0"/>
          <w:numId w:val="392"/>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(if such termination is by the Company) above, at or prior to, and as a condition to, the effectiveness of such termination and (3) in the case of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concurrently with the earlier of (x) the entry into such Company Acquisition Agreement with respect to such Company Takeover Proposal and</w:t>
      </w:r>
    </w:p>
    <w:p>
      <w:pPr>
        <w:spacing w:after="0" w:line="1" w:lineRule="exact"/>
        <w:rPr>
          <w:rFonts w:ascii="Arial" w:cs="Arial" w:eastAsia="Arial" w:hAnsi="Arial"/>
          <w:sz w:val="16"/>
          <w:szCs w:val="16"/>
          <w:u w:val="single" w:color="auto"/>
          <w:color w:val="auto"/>
        </w:rPr>
      </w:pPr>
    </w:p>
    <w:p>
      <w:pPr>
        <w:jc w:val="both"/>
        <w:ind w:left="300" w:right="319" w:hanging="8"/>
        <w:spacing w:after="0" w:line="277" w:lineRule="auto"/>
        <w:tabs>
          <w:tab w:leader="none" w:pos="564"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the consummation of such Company Takeover Proposal. For purposes of this </w:t>
      </w:r>
      <w:r>
        <w:rPr>
          <w:rFonts w:ascii="Arial" w:cs="Arial" w:eastAsia="Arial" w:hAnsi="Arial"/>
          <w:sz w:val="17"/>
          <w:szCs w:val="17"/>
          <w:u w:val="single" w:color="auto"/>
          <w:color w:val="auto"/>
        </w:rPr>
        <w:t>Section 10.06(a)</w:t>
      </w:r>
      <w:r>
        <w:rPr>
          <w:rFonts w:ascii="Arial" w:cs="Arial" w:eastAsia="Arial" w:hAnsi="Arial"/>
          <w:sz w:val="17"/>
          <w:szCs w:val="17"/>
          <w:color w:val="auto"/>
        </w:rPr>
        <w:t>, all references in the definition of “Company Takeover Proposal” to “15%” shall be deemed to be references to “50%” instead. The Company confirms that it is established outside of the European Union for VAT purposes.</w:t>
      </w:r>
    </w:p>
    <w:p>
      <w:pPr>
        <w:spacing w:after="0" w:line="105" w:lineRule="exact"/>
        <w:rPr>
          <w:rFonts w:ascii="Arial" w:cs="Arial" w:eastAsia="Arial" w:hAnsi="Arial"/>
          <w:sz w:val="17"/>
          <w:szCs w:val="17"/>
          <w:color w:val="auto"/>
        </w:rPr>
      </w:pPr>
    </w:p>
    <w:p>
      <w:pPr>
        <w:ind w:left="1400" w:hanging="388"/>
        <w:spacing w:after="0"/>
        <w:tabs>
          <w:tab w:leader="none" w:pos="14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If this Agreement is terminated by:</w:t>
      </w:r>
    </w:p>
    <w:p>
      <w:pPr>
        <w:spacing w:after="0" w:line="157" w:lineRule="exact"/>
        <w:rPr>
          <w:rFonts w:ascii="Arial" w:cs="Arial" w:eastAsia="Arial" w:hAnsi="Arial"/>
          <w:sz w:val="18"/>
          <w:szCs w:val="18"/>
          <w:color w:val="auto"/>
        </w:rPr>
      </w:pPr>
    </w:p>
    <w:p>
      <w:pPr>
        <w:ind w:left="1720" w:hanging="348"/>
        <w:spacing w:after="0"/>
        <w:tabs>
          <w:tab w:leader="none" w:pos="1720" w:val="left"/>
        </w:tabs>
        <w:numPr>
          <w:ilvl w:val="2"/>
          <w:numId w:val="393"/>
        </w:numPr>
        <w:rPr>
          <w:rFonts w:ascii="Arial" w:cs="Arial" w:eastAsia="Arial" w:hAnsi="Arial"/>
          <w:sz w:val="18"/>
          <w:szCs w:val="18"/>
          <w:color w:val="auto"/>
        </w:rPr>
      </w:pPr>
      <w:r>
        <w:rPr>
          <w:rFonts w:ascii="Arial" w:cs="Arial" w:eastAsia="Arial" w:hAnsi="Arial"/>
          <w:sz w:val="18"/>
          <w:szCs w:val="18"/>
          <w:color w:val="auto"/>
        </w:rPr>
        <w:t xml:space="preserve">the Company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(Parent Adverse Recommendation Change);</w:t>
      </w:r>
    </w:p>
    <w:p>
      <w:pPr>
        <w:spacing w:after="0" w:line="117" w:lineRule="exact"/>
        <w:rPr>
          <w:rFonts w:ascii="Arial" w:cs="Arial" w:eastAsia="Arial" w:hAnsi="Arial"/>
          <w:sz w:val="18"/>
          <w:szCs w:val="18"/>
          <w:color w:val="auto"/>
        </w:rPr>
      </w:pPr>
    </w:p>
    <w:p>
      <w:pPr>
        <w:jc w:val="both"/>
        <w:ind w:left="1020" w:right="299" w:firstLine="352"/>
        <w:spacing w:after="0" w:line="263" w:lineRule="auto"/>
        <w:tabs>
          <w:tab w:leader="none" w:pos="1780" w:val="left"/>
        </w:tabs>
        <w:numPr>
          <w:ilvl w:val="2"/>
          <w:numId w:val="393"/>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(Failure to Obtain Parent Shareholder Approval) at a time when this Agreement was terminable by the Company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(Parent Adverse Recommendation Change);</w:t>
      </w:r>
    </w:p>
    <w:p>
      <w:pPr>
        <w:spacing w:after="0" w:line="75" w:lineRule="exact"/>
        <w:rPr>
          <w:rFonts w:ascii="Arial" w:cs="Arial" w:eastAsia="Arial" w:hAnsi="Arial"/>
          <w:sz w:val="18"/>
          <w:szCs w:val="18"/>
          <w:color w:val="auto"/>
        </w:rPr>
      </w:pPr>
    </w:p>
    <w:p>
      <w:pPr>
        <w:jc w:val="both"/>
        <w:ind w:left="1020" w:right="319" w:firstLine="352"/>
        <w:spacing w:after="0" w:line="291" w:lineRule="auto"/>
        <w:tabs>
          <w:tab w:leader="none" w:pos="1830" w:val="left"/>
        </w:tabs>
        <w:numPr>
          <w:ilvl w:val="2"/>
          <w:numId w:val="393"/>
        </w:numPr>
        <w:rPr>
          <w:rFonts w:ascii="Arial" w:cs="Arial" w:eastAsia="Arial" w:hAnsi="Arial"/>
          <w:sz w:val="16"/>
          <w:szCs w:val="16"/>
          <w:color w:val="auto"/>
        </w:rPr>
      </w:pPr>
      <w:r>
        <w:rPr>
          <w:rFonts w:ascii="Arial" w:cs="Arial" w:eastAsia="Arial" w:hAnsi="Arial"/>
          <w:sz w:val="16"/>
          <w:szCs w:val="16"/>
          <w:color w:val="auto"/>
        </w:rPr>
        <w:t xml:space="preserve">(A) Company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(Parent Terminable Breach) or (B) Parent or the Company pursuant to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(End Date) and, in the case of either of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jc w:val="both"/>
        <w:ind w:left="1020" w:right="299"/>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(1) prior to such termination a Parent Takeover Proposal shall have been publicly disclosed or otherwise publicly known or otherwise made or communicated the Parent Board and not publicly withdrawn without qualification at least seven (7) Business Days prior to such termination (provided that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4" w:name="page325"/>
    <w:bookmarkEnd w:id="3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4" w:lineRule="auto"/>
        <w:rPr>
          <w:sz w:val="20"/>
          <w:szCs w:val="20"/>
          <w:color w:val="auto"/>
        </w:rPr>
      </w:pPr>
      <w:r>
        <w:rPr>
          <w:rFonts w:ascii="Arial" w:cs="Arial" w:eastAsia="Arial" w:hAnsi="Arial"/>
          <w:sz w:val="18"/>
          <w:szCs w:val="18"/>
          <w:color w:val="auto"/>
        </w:rPr>
        <w:t xml:space="preserve">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10.06(b)(iii)</w:t>
      </w:r>
      <w:r>
        <w:rPr>
          <w:rFonts w:ascii="Arial" w:cs="Arial" w:eastAsia="Arial" w:hAnsi="Arial"/>
          <w:sz w:val="18"/>
          <w:szCs w:val="18"/>
          <w:color w:val="auto"/>
        </w:rPr>
        <w:t>) and (2)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w:t>
      </w:r>
    </w:p>
    <w:p>
      <w:pPr>
        <w:spacing w:after="0" w:line="87" w:lineRule="exact"/>
        <w:rPr>
          <w:sz w:val="20"/>
          <w:szCs w:val="20"/>
          <w:color w:val="auto"/>
        </w:rPr>
      </w:pPr>
    </w:p>
    <w:p>
      <w:pPr>
        <w:jc w:val="both"/>
        <w:ind w:left="1020" w:right="299" w:firstLine="352"/>
        <w:spacing w:after="0" w:line="287" w:lineRule="auto"/>
        <w:tabs>
          <w:tab w:leader="none" w:pos="182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Parent and US Holdco or the Company pursuant to </w:t>
      </w:r>
      <w:r>
        <w:rPr>
          <w:rFonts w:ascii="Arial" w:cs="Arial" w:eastAsia="Arial" w:hAnsi="Arial"/>
          <w:sz w:val="16"/>
          <w:szCs w:val="16"/>
          <w:u w:val="single" w:color="auto"/>
          <w:color w:val="auto"/>
        </w:rPr>
        <w:t>Section 10.02(d)</w:t>
      </w:r>
      <w:r>
        <w:rPr>
          <w:rFonts w:ascii="Arial" w:cs="Arial" w:eastAsia="Arial" w:hAnsi="Arial"/>
          <w:sz w:val="16"/>
          <w:szCs w:val="16"/>
          <w:color w:val="auto"/>
        </w:rPr>
        <w:t xml:space="preserve"> (Failure to Obtain Parent Shareholder Approval) and (A) prior to the Parent Shareholders Meeting a Parent Takeover Proposal shall have been publicly disclosed or otherwise publicly known or otherwise made or communicated to the Parent Board and not publicly withdrawn without qualification at least seven (7) Business Days prior to the Parent Shareholders Meeting (provided that 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10.06(b)(iv)</w:t>
      </w:r>
      <w:r>
        <w:rPr>
          <w:rFonts w:ascii="Arial" w:cs="Arial" w:eastAsia="Arial" w:hAnsi="Arial"/>
          <w:sz w:val="16"/>
          <w:szCs w:val="16"/>
          <w:color w:val="auto"/>
        </w:rPr>
        <w:t>) and (B)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 or</w:t>
      </w:r>
    </w:p>
    <w:p>
      <w:pPr>
        <w:spacing w:after="0" w:line="63" w:lineRule="exact"/>
        <w:rPr>
          <w:rFonts w:ascii="Arial" w:cs="Arial" w:eastAsia="Arial" w:hAnsi="Arial"/>
          <w:sz w:val="16"/>
          <w:szCs w:val="16"/>
          <w:color w:val="auto"/>
        </w:rPr>
      </w:pPr>
    </w:p>
    <w:p>
      <w:pPr>
        <w:ind w:left="1020" w:right="299" w:firstLine="352"/>
        <w:spacing w:after="0" w:line="277" w:lineRule="auto"/>
        <w:tabs>
          <w:tab w:leader="none" w:pos="177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(Failure to Obtain Parent Shareholder Approval),</w:t>
      </w:r>
    </w:p>
    <w:p>
      <w:pPr>
        <w:spacing w:after="0" w:line="62"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 xml:space="preserve">then Parent and/or US Holdco shall pay, or cause to be paid by a Subsidiary, to the Company (by wire transfer of immediately available funds) a fee in an amount equal (A)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to the Parent and US Holdco Termination Fee and (B) in the case of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the Company Expenses. Such Parent and US Holdco Termination Fee and the Company Expenses shall be payable (1)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such termination is by the Company) or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within two (2) Business Days after such termination, (2)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such termination is by Parent) above, at or prior to, and as a condition to, the effectiveness of such termination, and (3)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concurrently with the earlier of (x) the entry into such Parent Acquisition Agreement with respect to such Parent Takeover Proposal and (y) the consummation of such Parent Takeover Proposal. For purposes of this </w:t>
      </w:r>
      <w:r>
        <w:rPr>
          <w:rFonts w:ascii="Arial" w:cs="Arial" w:eastAsia="Arial" w:hAnsi="Arial"/>
          <w:sz w:val="16"/>
          <w:szCs w:val="16"/>
          <w:u w:val="single" w:color="auto"/>
          <w:color w:val="auto"/>
        </w:rPr>
        <w:t>Section 10.06(b)</w:t>
      </w:r>
      <w:r>
        <w:rPr>
          <w:rFonts w:ascii="Arial" w:cs="Arial" w:eastAsia="Arial" w:hAnsi="Arial"/>
          <w:sz w:val="16"/>
          <w:szCs w:val="16"/>
          <w:color w:val="auto"/>
        </w:rPr>
        <w:t>, all references in the definition of “Parent Takeover Proposal” to “15%” shall be deemed to be references to “50%” instead.</w:t>
      </w:r>
    </w:p>
    <w:p>
      <w:pPr>
        <w:spacing w:after="0" w:line="60" w:lineRule="exact"/>
        <w:rPr>
          <w:sz w:val="20"/>
          <w:szCs w:val="20"/>
          <w:color w:val="auto"/>
        </w:rPr>
      </w:pPr>
    </w:p>
    <w:p>
      <w:pPr>
        <w:jc w:val="both"/>
        <w:ind w:left="660" w:right="299" w:firstLine="352"/>
        <w:spacing w:after="0" w:line="284" w:lineRule="auto"/>
        <w:tabs>
          <w:tab w:leader="none" w:pos="1396"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The parties acknowledge and hereby agree that the provisions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are an integral part of the transactions contemplated by this Agreement (including the Merger), and that, without such provisions, the parties would not have entered into this Agreement. If the Company, on the one hand, or Parent, US Holdco and Merger Sub, on the other hand, shall fail to pay in a timely manner the amounts due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in order to obtain such payment, the other party makes a claim against the non-paying party that results in a judgment, the non-paying party shall pay to the other party the reasonable costs and expenses (including its reasonable attorneys’ fees and expenses) incurred or accrued in connection with such suit, together with interest on the amounts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at the prime rate as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in effect on the date such payment was actually received, or a lesser rate that is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maximum permitted by applicable Law. For the avoidance of doubt, any payment made (or caused to be made by a Subsidiary) by the Company, Parent or US Holdco under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shall be payable only once with respect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not in duplication even though such payment may be payable under one or more provision hereof. Each of the parties to this Agreement further acknowledges that the payment of the Company Termination Fee or Parent and US Holdco Expenses by the Company or the Parent and US Holdco Termination Fee or Company Expenses by Parent and/or US Holdco, as applicable, is not a penalty, but, in each case, is liquidated damages in a reasonable amount that will compensate Parent and Merger Sub, or the Company, as applicable,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The parties to this Agreement agree that the monetary remedies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the specific performance remedies set forth in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shall be the sole and exclusive remedies of (i) the Company and its Subsidiaries against Parent,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5" w:name="page326"/>
    <w:bookmarkEnd w:id="3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85" w:lineRule="auto"/>
        <w:rPr>
          <w:sz w:val="20"/>
          <w:szCs w:val="20"/>
          <w:color w:val="auto"/>
        </w:rPr>
      </w:pPr>
      <w:r>
        <w:rPr>
          <w:rFonts w:ascii="Arial" w:cs="Arial" w:eastAsia="Arial" w:hAnsi="Arial"/>
          <w:sz w:val="16"/>
          <w:szCs w:val="16"/>
          <w:color w:val="auto"/>
        </w:rPr>
        <w:t>(in which case only Parent, US Holdco and Merger Sub shall be liable for damages for such fraud or Willful Breach), and upon payment of such amount, none of Parent, US Holdco or Merger Sub or any of their respective former, current or future directors, officers, shareholders, Representatives or Affiliates shall have any further liability or obligation relating to or arising out of this Agreement or the Transactions, except for the liability of Parent in the case of fraud or a Willful Breach of any covenant, agreement or obligation; and</w:t>
      </w:r>
    </w:p>
    <w:p>
      <w:pPr>
        <w:spacing w:after="0" w:line="2" w:lineRule="exact"/>
        <w:rPr>
          <w:sz w:val="20"/>
          <w:szCs w:val="20"/>
          <w:color w:val="auto"/>
        </w:rPr>
      </w:pPr>
    </w:p>
    <w:p>
      <w:pPr>
        <w:jc w:val="both"/>
        <w:ind w:left="660" w:right="319" w:hanging="8"/>
        <w:spacing w:after="0" w:line="287" w:lineRule="auto"/>
        <w:tabs>
          <w:tab w:leader="none" w:pos="941" w:val="left"/>
        </w:tabs>
        <w:numPr>
          <w:ilvl w:val="0"/>
          <w:numId w:val="396"/>
        </w:numPr>
        <w:rPr>
          <w:rFonts w:ascii="Arial" w:cs="Arial" w:eastAsia="Arial" w:hAnsi="Arial"/>
          <w:sz w:val="16"/>
          <w:szCs w:val="16"/>
          <w:color w:val="auto"/>
        </w:rPr>
      </w:pPr>
      <w:r>
        <w:rPr>
          <w:rFonts w:ascii="Arial" w:cs="Arial" w:eastAsia="Arial" w:hAnsi="Arial"/>
          <w:sz w:val="16"/>
          <w:szCs w:val="16"/>
          <w:color w:val="auto"/>
        </w:rPr>
        <w:t>Parent, US Holdco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the Company shall be liable for damages for such fraud or Willful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Breach of any covenant, agreement or obligation.</w:t>
      </w:r>
    </w:p>
    <w:p>
      <w:pPr>
        <w:spacing w:after="0" w:line="61" w:lineRule="exact"/>
        <w:rPr>
          <w:rFonts w:ascii="Arial" w:cs="Arial" w:eastAsia="Arial" w:hAnsi="Arial"/>
          <w:sz w:val="16"/>
          <w:szCs w:val="16"/>
          <w:color w:val="auto"/>
        </w:rPr>
      </w:pPr>
    </w:p>
    <w:p>
      <w:pPr>
        <w:jc w:val="both"/>
        <w:ind w:left="660" w:right="299" w:firstLine="352"/>
        <w:spacing w:after="0" w:line="288" w:lineRule="auto"/>
        <w:tabs>
          <w:tab w:leader="none" w:pos="141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all expenses incurred in connection with this Agreement and the transactions contemplated hereby will be paid by the party incurring such expenses. If Parent and US Holdco receive the Company Termination Fee, then Parent and US Holdco will not be entitled to also receive a payment of the Parent and US Holdco Expenses; upon payment of any Company Termination Fee, any previously paid Parent and US Holdco Expenses shall be credited against the amount of the Company Termination Fee. In no event shall the Company be entitled to receive more than one payment of the Parent and US Holdco Termination Fee or more than one payment of the Company Expenses. If the Company receives the Parent and US Holdco Termination Fee, then the Company will not be entitled to also receive a payment of the Company Expenses; upon payment of any Parent and US Holdco Termination Fee, any previously paid Company Expenses shall be credited against the amount of the Parent and US Holdco Termination Fee.</w:t>
      </w:r>
    </w:p>
    <w:p>
      <w:pPr>
        <w:spacing w:after="0" w:line="60" w:lineRule="exact"/>
        <w:rPr>
          <w:rFonts w:ascii="Arial" w:cs="Arial" w:eastAsia="Arial" w:hAnsi="Arial"/>
          <w:sz w:val="16"/>
          <w:szCs w:val="16"/>
          <w:color w:val="auto"/>
        </w:rPr>
      </w:pPr>
    </w:p>
    <w:p>
      <w:pPr>
        <w:jc w:val="both"/>
        <w:ind w:left="660" w:right="299" w:firstLine="352"/>
        <w:spacing w:after="0" w:line="290" w:lineRule="auto"/>
        <w:tabs>
          <w:tab w:leader="none" w:pos="140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elsewhere in this Agreement, in the event this Agreement is terminated by (i) the Company for any reason at a time when Parent and US Holdco would have had the right to terminate this Agreement, Parent and US Holdco shall be entitled to receipt of any Company Termination Fee that would have been (or would have subsequently become) payable had Parent and US Holdco terminated this Agreement at such time, and (ii) Parent and US Holdco for any reason at a time when the Company would have had the right to terminate this Agreement, the Company shall be entitled to receipt of any Parent and US Holdco Termination Fee that would have been (or would have subsequently become) payable had the Company terminated this Agreement at such time.</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at any time prior to the Effective Time, this Agreement may be amended or supplemented in any and all respects, whether before or after receipt of the Requisite Company Vote or the Requisite Parent Vote, by written agreement signed by each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following the receipt of the Requisite Company Vote, there shall be no amendment or supplement to the provisions of this Agreement which by Law would require further approval by the holders of Company Common Stock without such approval; and (b) following the receipt of the Requisite Parent Vote, there shall be no amendment or supplement to the provisions of this Agreement which by Law would require further approval by the holders of Parent Ordinary Shares without such approval.</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Extension; Waiver</w:t>
      </w:r>
      <w:r>
        <w:rPr>
          <w:rFonts w:ascii="Arial" w:cs="Arial" w:eastAsia="Arial" w:hAnsi="Arial"/>
          <w:sz w:val="17"/>
          <w:szCs w:val="17"/>
          <w:color w:val="auto"/>
        </w:rPr>
        <w:t>. At any time prior to the Effective Time, Parent, US Holdco or Merger Sub, on the one hand, or the Company,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this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6" w:name="page327"/>
    <w:bookmarkEnd w:id="3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2" w:lineRule="auto"/>
        <w:tabs>
          <w:tab w:leader="none" w:pos="1396"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like import used in this Agreement shall refer to this Agreement as a whole and not to any particular provision of this Agreement. The table of contents, headings and captions contained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and references to clauses without a cross-reference to a Section or subsection are references to clauses within the same Section or subsection.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Unless the context otherwise requires, the terms “neither,” “nor,” “any,” “either” and “or” are not exclusive. “Writing,” “written” and comparable terms refer to printing, typing and other means of reproducing words (including electronic media) in a visible form. References (i) to “$” and “dollars” are to the currency of the United States; (ii) to “€” are to Euros and (iii) to “days” shall be to calendar days unless otherwise indicated. References to “from” or “through” any date mean, unless otherwise specified, from and including or through and including such date, respectively. No summary of this Agreement or any Exhibit, Annex, Schedule or other document delivered herewith prepared by or on behalf of any party will affect the meaning or interpretation of this Agreement or such Exhibit, Annex or Schedule. Any reference in this Agreement to a date or time shall be deemed to be such date or time in New York, New York, U.S.A., unless otherwise specified. Any Contract, instrument or law defined or referred to herein means such Contract, instrument or law as from time to time amended, modified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any representations and warranties contained in this Agreement that are made as of a specific date or dates, references to (x) any Contract, instrument or statute shall be deemed to refer to such Contract, instrument or statute, as amended, as of such date, and (y) any rules or regulations promulgated under any such statute, in each case, as of such date). Whenever the context may require, any pronouns used in this Agreement shall include the corresponding masculine, feminine or neuter forms.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 References to “this Agreement” shall include the Company Disclosure Letter and Parent Disclosure Letter. References to documents or information “made available” or “provided” to Parent and/or US Holdco or the Company or similar terms shall mean that, prior to the execution of this Agreement, such information, document or material was (i) with respect to the Company, made available to Parent and includes documents (A) made publicly available by the Company on the SEC’s EDGAR database with respect to the Company and its Subsidiaries or (B) made available for review by Parent or Parent’s Representatives in the Project Gretna Data Room hosted at Intralinks.com or otherwise provided in writing to Parent or Parent’s Representatives by or on behalf of the Company (including any “clean room” or on an “outside counsel only” basis) and (ii) with respect to Parent, was made available to the Company and includes documents (A) made publicly available by Parent on the SEC’s EDGAR database with respect to Parent and its Subsidiaries or (B) made available for review by the Company or the Company’s Representatives in the Project Gretna – Reverse DD Data Room hosted at Intralinks.com or otherwise provided in writing to the Company or the Company’s Representatives by or on behalf of Parent and/or US Holdco (including in any “clean room” or on an “outside counsel only” basis). When calculating the period of time before which, within which, or following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 References to “costs”, “expenses” or “liabilities” incurred by a Person shall not include any amount in respect of VAT comprised in such costs, expenses or liabilities for which either that Person or, if relevant, any other member of the VAT group to which that person belongs is entitled to credit as input tax. “As of the date hereof” and similar phrases mean “as of the date of this Agreement”.</w:t>
      </w:r>
    </w:p>
    <w:p>
      <w:pPr>
        <w:spacing w:after="0" w:line="314" w:lineRule="exact"/>
        <w:rPr>
          <w:rFonts w:ascii="Arial" w:cs="Arial" w:eastAsia="Arial" w:hAnsi="Arial"/>
          <w:sz w:val="16"/>
          <w:szCs w:val="16"/>
          <w:color w:val="auto"/>
        </w:rPr>
      </w:pPr>
    </w:p>
    <w:p>
      <w:pPr>
        <w:jc w:val="both"/>
        <w:ind w:left="660" w:right="299" w:firstLine="352"/>
        <w:spacing w:after="0" w:line="263" w:lineRule="auto"/>
        <w:tabs>
          <w:tab w:leader="none" w:pos="141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Each of the parties hereto acknowledges that it has been represented by counsel of its choice throughout all negotiations that have preceded the execution of this Agreement, and that it has executed the same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7" w:name="page328"/>
    <w:bookmarkEnd w:id="3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9" w:lineRule="auto"/>
        <w:rPr>
          <w:sz w:val="20"/>
          <w:szCs w:val="20"/>
          <w:color w:val="auto"/>
        </w:rPr>
      </w:pPr>
      <w:r>
        <w:rPr>
          <w:rFonts w:ascii="Arial" w:cs="Arial" w:eastAsia="Arial" w:hAnsi="Arial"/>
          <w:sz w:val="17"/>
          <w:szCs w:val="17"/>
          <w:color w:val="auto"/>
        </w:rPr>
        <w:t>with the advice of said independent counsel. Each party and its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Any matter set forth on the Company Disclosure Letter or Parent Disclosure Letter shall not be deemed to constitute an admission by the Company or any of its Subsidiaries or Parent or any of its Subsidiaries, as the case may be, or to otherwise imply, that any such matter is material, is required to be disclosed by the Company or Parent, as the case may be, under this Agreement or falls within relevant minimum thresholds or materiality standards set forth in this Agreement, nor shall be construed as an admission or indication to any Third Party that any breach or violation exists or has actually occurred.</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None of the representations and warranties contained in this Agreement or in any instrument delivered under this Agreement will survive the Effective Time. This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does not limit any covenant or agreement of the parties contained in this Agreement which, by its terms, contemplates performance after the Effective Time. The Confidentiality Agreement will survive termination of this Agreement in accordance with its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such Confidentiality Agreement shall be extended for one (1) year following the date of termination of this Agreement.</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Legal Actions (whether based on contract, tort, or statute) arising out of, relating to, or in connection with this Agreement or the actions of any of the parties hereto in the negotiation, administration, performance, or enforcement hereof,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hereto irrevocably agrees that any Legal Action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Court of Chancery of the State of Delaware (or, if the Court of Chancery of the State of Delaware declines to accept jurisdiction over any Legal Action, the Superior Court of the State of Delaware or the Federal District Court for the District of Delaware located in Wilmington, Delaware, and any appellate courts therefrom). Each of the parties hereto agrees that mailing of process or other papers in connection with any such Legal Action in the manner provided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in such other manner as may be permitted by applicable Laws, will be valid and sufficient service thereof. Each of the parties hereto hereby irrevocably submits with regard to any such Legal Action for itself and in respect of its property, generally and unconditionally, to the personal jurisdiction of the aforesaid courts and agrees that it will not bring any Legal Action relating to this Agreement or any of the transactions contemplated by this Agreement in any court or tribunal other than the aforesaid courts. Each of the parties hereto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(a) any claim that it is not personally subject to the jurisdiction of the above named courts for any reason other than the failure to serve process in accordance with this </w:t>
      </w:r>
      <w:r>
        <w:rPr>
          <w:rFonts w:ascii="Arial" w:cs="Arial" w:eastAsia="Arial" w:hAnsi="Arial"/>
          <w:sz w:val="16"/>
          <w:szCs w:val="16"/>
          <w:u w:val="single" w:color="auto"/>
          <w:color w:val="auto"/>
        </w:rPr>
        <w:t>Section 11.04</w:t>
      </w:r>
      <w:r>
        <w:rPr>
          <w:rFonts w:ascii="Arial" w:cs="Arial" w:eastAsia="Arial" w:hAnsi="Arial"/>
          <w:sz w:val="16"/>
          <w:szCs w:val="16"/>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AGREEMENT IS LIKELY TO INVOLVE COMPLICATED AND DIFFICULT ISSUES AND, THEREFORE, EACH SUCH PARTY IRREVOCABLY AND UNCONDITIONALLY WAIVES, TO THE FULLEST EXTENT PERMITTED BY APPLICABLE LAW, ANY RIGHT IT MAY HAVE TO A TRIAL BY JURY IN RESPECT OF ANY LEGAL ACTION ARISING OUT OF OR RELATING TO THIS AGREEMENT, THE AGREEMENTS DELIVERED IN CONNECTION HEREWITH, OR THE TRANSACTIONS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8" w:name="page329"/>
    <w:bookmarkEnd w:id="3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claims, demands, waivers, and other communications hereunder shall be in writing and shall be deemed to have been given upon the earlier of actual receipt or (a) when delivered by hand providing proof of delivery; (b) on the next Business Day if transmitted by national overnight courier (with confirmation of delivery); or (c) on the date sent by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“bounce back” or similar message of non-delivery is received with respect thereto). Such communications must be sent to the respective parties at the following addresses (or to such other Persons or at such other address for a party as shall be specified in a written notice given in accordance with this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to Parent, US Holdco or Merger Sub, to:</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ICON plc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South County Business Park</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Leopardstown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Dublin 18, Ireland</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Attention: Diarmaid Cunningham; Brendan Brennan</w:t>
      </w:r>
    </w:p>
    <w:p>
      <w:pPr>
        <w:spacing w:after="0" w:line="1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diarmaid.cunningham@iconplc.com;</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Brendan.Brennan@iconplc.com</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with a copy (which will not constitute notice to Parent, US Holdco or Merger</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Cahill Gordon &amp; Reindel LLP</w:t>
      </w:r>
    </w:p>
    <w:p>
      <w:pPr>
        <w:spacing w:after="0" w:line="101" w:lineRule="exact"/>
        <w:rPr>
          <w:sz w:val="20"/>
          <w:szCs w:val="20"/>
          <w:color w:val="auto"/>
        </w:rPr>
      </w:pPr>
    </w:p>
    <w:p>
      <w:pPr>
        <w:sectPr>
          <w:pgSz w:w="11900" w:h="16838" w:orient="portrait"/>
          <w:cols w:equalWidth="0" w:num="2">
            <w:col w:w="4240" w:space="38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32 Old Slip</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10005</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Attention: William M. Hartnett, Kimberly C. Petillo-</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Décossard &amp; Ross E. Sturman</w:t>
      </w:r>
    </w:p>
    <w:p>
      <w:pPr>
        <w:spacing w:after="0" w:line="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whartnett@cahill.com; kpetillo-</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decossard@cahill.com; rsturman@cahill.com</w:t>
      </w:r>
    </w:p>
    <w:p>
      <w:pPr>
        <w:sectPr>
          <w:pgSz w:w="11900" w:h="16838" w:orient="portrait"/>
          <w:cols w:equalWidth="0" w:num="1">
            <w:col w:w="9019"/>
          </w:cols>
          <w:pgMar w:left="1440" w:top="265" w:right="1440" w:bottom="1440" w:gutter="0" w:footer="0" w:header="0"/>
          <w:type w:val="continuous"/>
        </w:sectPr>
      </w:pP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Sub) to:</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499"/>
        <w:spacing w:after="0"/>
        <w:rPr>
          <w:sz w:val="20"/>
          <w:szCs w:val="20"/>
          <w:color w:val="auto"/>
        </w:rPr>
      </w:pPr>
      <w:r>
        <w:rPr>
          <w:rFonts w:ascii="Arial" w:cs="Arial" w:eastAsia="Arial" w:hAnsi="Arial"/>
          <w:sz w:val="16"/>
          <w:szCs w:val="16"/>
          <w:color w:val="auto"/>
        </w:rPr>
        <w:t>PRA Health Sciences, Inc.</w:t>
      </w:r>
    </w:p>
    <w:p>
      <w:pPr>
        <w:spacing w:after="0" w:line="113"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4130 ParkLake Avenue</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Suite 400</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Raleigh, NC 27612</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Christopher L. Gaenzle</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Email: GaenzleChris@prahs.com</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a copy (which will not constitute notice to the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 to:</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Paul, Weiss, Rifkind, Wharton &amp; Garrison LLP</w:t>
      </w:r>
    </w:p>
    <w:p>
      <w:pPr>
        <w:spacing w:after="0" w:line="113" w:lineRule="exact"/>
        <w:rPr>
          <w:sz w:val="20"/>
          <w:szCs w:val="20"/>
          <w:color w:val="auto"/>
        </w:rPr>
      </w:pPr>
    </w:p>
    <w:p>
      <w:pPr>
        <w:sectPr>
          <w:pgSz w:w="11900" w:h="16838" w:orient="portrait"/>
          <w:cols w:equalWidth="0" w:num="2">
            <w:col w:w="3960" w:space="66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1285 Avenue of the Americas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10019</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Krishna Veeraraghavan; Laura C. Turano</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kveeraraghavan@paulweiss.com;</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lturano@paulweiss.com</w:t>
      </w:r>
    </w:p>
    <w:p>
      <w:pPr>
        <w:sectPr>
          <w:pgSz w:w="11900" w:h="16838" w:orient="portrait"/>
          <w:cols w:equalWidth="0" w:num="1">
            <w:col w:w="9019"/>
          </w:cols>
          <w:pgMar w:left="1440" w:top="265" w:right="1440" w:bottom="1440" w:gutter="0" w:footer="0" w:header="0"/>
          <w:type w:val="continuous"/>
        </w:sectPr>
      </w:pPr>
    </w:p>
    <w:p>
      <w:pPr>
        <w:spacing w:after="0" w:line="1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to this Agreement), the Company Disclosure Letter, the Parent Disclosure Letter, and the Confidentiality Agreement constitute the entire agreement among the parties with respect to the subject matter of this Agreement and supersede all other prior agreements and understandings, both written and oral, among the parties to this Agreement with respect to the subject matter of this Agreement. In the event of any inconsistency between the statements in the body of this Agreement, the Confidentiality Agreement, the Parent Disclosure Letter, and the Company Disclosure Letter (other than an exception expressly set forth as such in the Parent Disclosure Letter or Company Disclosure Letter), the statements in the body of this Agreement will control.</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as provided in (i)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for the avoidance of doubt, the rights of former holders of Company Common Stock Company Equity Awards to receive the Merger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9" w:name="page330"/>
    <w:bookmarkEnd w:id="3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 xml:space="preserve">Consideration) but only from and after the Effective Time and (ii)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(which shall be to the benefit of the Persons referred to in such section) but only from and after the Effective Time and (iii)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hereof (which shall be to the benefit of the Persons referred to in such section), this Agreement is for the sole benefit of the parties hereto and their permitted assigns and respective successors and nothing herein, express or implied, is intended to or shall confer upon any other Person or entity any legal or equitable right, benefit, or remedy of any nature whatsoever under or by reason of this Agreement.</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6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be binding upon and shall inure to the benefit of the parties hereto and their respective successors and permitted assigns. None of Parent, US Holdco or Merger Sub, on the one hand, nor the Company on the other hand, may assign its rights or obligations hereunder without the prior written consent of the other party (Parent and US Holdco in the case of Parent, US Holdco and Merger Sub) and any purported assignment in violation hereof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the foregoing, prior to the Effective Time, the Company’s consent to Parent, US Holdco or Merger Sub assigning all or any portion of its rights, interests or obligations under this Agreement to Parent or one or more of Parent’s direct or indirect wholly owned subsidiaries shall be not unreasonably withheld, delayed or conditioned. No assignment shall relieve the assigning party of any of its obligations hereunder.</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Remedies</w:t>
      </w:r>
      <w:r>
        <w:rPr>
          <w:rFonts w:ascii="Arial" w:cs="Arial" w:eastAsia="Arial" w:hAnsi="Arial"/>
          <w:sz w:val="18"/>
          <w:szCs w:val="18"/>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3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2" w:lineRule="auto"/>
        <w:tabs>
          <w:tab w:leader="none" w:pos="139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parties hereto agree that irreparable damage, for which monetary damages would not be an adequate remedy, would occur if any provision of this Agreement were not performed in accordance with the terms hereof or were otherwise breached by the parties. It is accordingly agreed that the parties shall be entitled to an injunction or injunctions, or any other appropriate form of specific performance or equitable relief, to prevent breaches or threatened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69" w:lineRule="exact"/>
        <w:rPr>
          <w:rFonts w:ascii="Arial" w:cs="Arial" w:eastAsia="Arial" w:hAnsi="Arial"/>
          <w:sz w:val="17"/>
          <w:szCs w:val="17"/>
          <w:color w:val="auto"/>
        </w:rPr>
      </w:pPr>
    </w:p>
    <w:p>
      <w:pPr>
        <w:jc w:val="both"/>
        <w:ind w:left="660" w:right="299" w:firstLine="352"/>
        <w:spacing w:after="0" w:line="254" w:lineRule="auto"/>
        <w:tabs>
          <w:tab w:leader="none" w:pos="141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Each party further agrees that: (i) no such party will oppose or raise any objection to the granting of an injunction or specific performance as provided herein on the basis that the other party has an adequate remedy at law or that an award of specific performance is not an appropriate remedy for any reason at law or equity; (ii) no such party will oppose the specific performance of the terms and provisions of this Agreement; and (iii) no other party or any other Person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and each party irrevocably waives any right it may have to require the obtaining, furnishing, or posting of any such bond or similar instrument.</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u w:val="single" w:color="auto"/>
          <w:color w:val="auto"/>
        </w:rPr>
        <w:t>Debt Financing Sources</w:t>
      </w:r>
      <w:r>
        <w:rPr>
          <w:rFonts w:ascii="Arial" w:cs="Arial" w:eastAsia="Arial" w:hAnsi="Arial"/>
          <w:sz w:val="17"/>
          <w:szCs w:val="17"/>
          <w:color w:val="auto"/>
        </w:rPr>
        <w:t>. Notwithstanding anything herein to the contrary, the Company, on behalf of itself, and its Subsidiaries, and each of its controlled Affiliates and each of the other parties to this Agreement on behalf of itself, its Subsidiaries, and each of its controlled Affiliates agrees that:</w:t>
      </w:r>
    </w:p>
    <w:p>
      <w:pPr>
        <w:spacing w:after="0" w:line="57" w:lineRule="exact"/>
        <w:rPr>
          <w:sz w:val="20"/>
          <w:szCs w:val="20"/>
          <w:color w:val="auto"/>
        </w:rPr>
      </w:pPr>
    </w:p>
    <w:p>
      <w:pPr>
        <w:jc w:val="both"/>
        <w:ind w:left="660" w:right="299" w:firstLine="352"/>
        <w:spacing w:after="0" w:line="301" w:lineRule="auto"/>
        <w:tabs>
          <w:tab w:leader="none" w:pos="140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no Debt Financing Related Party shall have any liability hereunder (whether in contract or in tort, in law or in equity, or granted by statute) to the Company or its Subsidiaries for any claims, causes of action, obligations, or losses arising under, out of, in connection with, or related in any manner to this Agreement or based on, in respect of or by reason of this Agreement or its negotiation, execution, performance, or breach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0" w:name="page331"/>
    <w:bookmarkEnd w:id="33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limit the liability or obligations of the Debt Financing Related Parties under the Commitment Letter or any definitive agreements with respect to the Debt Financing (or after the Closing Date, the Company and its Subsidiaries that are party to any Debt Financing)); and</w:t>
      </w:r>
    </w:p>
    <w:p>
      <w:pPr>
        <w:spacing w:after="0" w:line="41" w:lineRule="exact"/>
        <w:rPr>
          <w:sz w:val="20"/>
          <w:szCs w:val="20"/>
          <w:color w:val="auto"/>
        </w:rPr>
      </w:pPr>
    </w:p>
    <w:p>
      <w:pPr>
        <w:jc w:val="both"/>
        <w:ind w:left="660" w:right="299" w:firstLine="352"/>
        <w:spacing w:after="0" w:line="259" w:lineRule="auto"/>
        <w:tabs>
          <w:tab w:leader="none" w:pos="141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only Parent (on behalf of itself and US Holdco and including Parent’s permitted successors and assigns under the Commitment Letter) shall be permitted to bring any claim against a Debt Financing Related Party for failing to satisfy any obligation to fund the Debt Financing pursuant to the terms of the Commitment Letter.</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No amendment or waiver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the definitions used herein) shall be effective to the extent such amendment is adverse to the Debt Financing Related Parties without the prior written consent of the Lenders. In addition, in no event will any Debt Financing Related Party be liable to the Company or its Subsidiaries for any consequential, special, exemplary, punitive or indirect damages (including any loss of profits, business, or anticipated savings), or damages of a tortious nature in connection with the Debt Financing. Notwithstanding anything herein to the contrary, the parties hereto agree that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shall be governed by, and construed in accordance with, the Laws of the State of New York without regard to conflict of law principles (other than Sections 5-1401 and 5-1402 of the New York General Obligations Law) (except as otherwise contemplated in the Debt Commitment Letter, or any other definitive agreement pursuant to which the Debt Financing is provided, that the Laws of another jurisdiction shall govern in lieu of the Laws of the State of New York). The parties hereto hereby further agree that New York state or United States Federal courts sitting in New York County, State of New York shall have exclusive jurisdiction over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The provisions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of this Agreement shall apply to matters contemplated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as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The Debt Financing Sources are intended third party beneficiaries (including, on behalf of the Debt Financing Related Parties)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with respect to the matters referenced herein, supersede any provision of this Agreement to the contrary.</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No Recourse</w:t>
      </w:r>
      <w:r>
        <w:rPr>
          <w:rFonts w:ascii="Arial" w:cs="Arial" w:eastAsia="Arial" w:hAnsi="Arial"/>
          <w:sz w:val="18"/>
          <w:szCs w:val="18"/>
          <w:color w:val="auto"/>
        </w:rPr>
        <w:t>. Notwithstanding anything that may be expressed or implied in this Agreement or any document or instrument delivered in connection herewith (other than any letter of transmittal), by its acceptance of the benefits of this Agreement:</w:t>
      </w:r>
    </w:p>
    <w:p>
      <w:pPr>
        <w:spacing w:after="0" w:line="76" w:lineRule="exact"/>
        <w:rPr>
          <w:sz w:val="20"/>
          <w:szCs w:val="20"/>
          <w:color w:val="auto"/>
        </w:rPr>
      </w:pPr>
    </w:p>
    <w:p>
      <w:pPr>
        <w:jc w:val="both"/>
        <w:ind w:left="660" w:right="299" w:firstLine="352"/>
        <w:spacing w:after="0" w:line="269" w:lineRule="auto"/>
        <w:tabs>
          <w:tab w:leader="none" w:pos="140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Parent, US Holdco and Merger Sub each covenants, agrees and acknowledges that no persons other than the Company have any liabilities, obligations, commitments (whether known or unknown or whether contingent or otherwise) hereunder, and that, notwithstanding that a shareholder and its Affiliates or its respective managing members or general partners may be partnerships or limited liability companies, none of Parent, US Holdco or Merger Sub has any right of recovery under this Agreement, or any claim based on such liabilities, obligations, commitments against, and no personal liability shall attach to, any Non-Recourse Party of the Company, through the Company or otherwise, whether by or through attempted piercing of the corporate veil, by or through a claim by or on behalf of the Company against any Non-Recourse Party of the Company, by the enforcement of any assessment or by any legal or equitable proceeding, by virtue of any statute, regulation or law, or otherwise; and</w:t>
      </w:r>
    </w:p>
    <w:p>
      <w:pPr>
        <w:spacing w:after="0" w:line="77" w:lineRule="exact"/>
        <w:rPr>
          <w:rFonts w:ascii="Arial" w:cs="Arial" w:eastAsia="Arial" w:hAnsi="Arial"/>
          <w:sz w:val="17"/>
          <w:szCs w:val="17"/>
          <w:color w:val="auto"/>
        </w:rPr>
      </w:pPr>
    </w:p>
    <w:p>
      <w:pPr>
        <w:jc w:val="both"/>
        <w:ind w:left="660" w:right="299" w:firstLine="352"/>
        <w:spacing w:after="0" w:line="290" w:lineRule="auto"/>
        <w:tabs>
          <w:tab w:leader="none" w:pos="141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Company covenants, agrees and acknowledges that no persons other than Parent, US Holdco and Merger Sub have any liabilities, obligations, commitments (whether known or unknown or whether contingent or otherwise) hereunder, and that, the Company does not have any right of recovery under this Agreement, or any claim based on such liabilities, obligations, commitments against, and no personal liability shall attach to, any Non-Recourse Party of Parent or Merger Sub, through Parent, US Holdco or Merger Sub or otherwise, whether by or through attempted piercing of the corporate veil, by or through a claim by or on behalf of Parent or Merger Sub against any Non-Recourse Party of Parent, US Holdco or Merger Sub, by the enforcement of any assessment or by any legal or equitable proceeding, by virtue of any statute, regulation or law, or otherwise.</w:t>
      </w:r>
    </w:p>
    <w:p>
      <w:pPr>
        <w:spacing w:after="0" w:line="57"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1" w:name="page332"/>
    <w:bookmarkEnd w:id="33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2" w:name="page333"/>
    <w:bookmarkEnd w:id="332"/>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320" w:firstLine="360"/>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ind w:left="5360"/>
              <w:spacing w:after="0"/>
              <w:rPr>
                <w:sz w:val="20"/>
                <w:szCs w:val="20"/>
                <w:color w:val="auto"/>
              </w:rPr>
            </w:pPr>
            <w:r>
              <w:rPr>
                <w:rFonts w:ascii="Arial" w:cs="Arial" w:eastAsia="Arial" w:hAnsi="Arial"/>
                <w:sz w:val="18"/>
                <w:szCs w:val="18"/>
                <w:color w:val="auto"/>
              </w:rPr>
              <w:t>ICON PLC</w:t>
            </w:r>
          </w:p>
        </w:tc>
        <w:tc>
          <w:tcPr>
            <w:tcW w:w="3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Brendan Brennan</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Brendan Brennan</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CFO</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ICON US HOLDINGS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Steve Cutler</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Steve Cutler</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President</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INDIGO MERGER SUB,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Steve Cutler</w:t>
            </w:r>
          </w:p>
        </w:tc>
      </w:tr>
      <w:tr>
        <w:trPr>
          <w:trHeight w:val="67"/>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Steve Cutler</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CEO</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PRA HEALTH SCIENCES,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Colin Shannon</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Colin Shannon</w:t>
            </w:r>
          </w:p>
        </w:tc>
      </w:tr>
      <w:tr>
        <w:trPr>
          <w:trHeight w:val="310"/>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President, Chief Executive Officer and</w:t>
            </w:r>
          </w:p>
        </w:tc>
      </w:tr>
      <w:tr>
        <w:trPr>
          <w:trHeight w:val="230"/>
        </w:trPr>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5820" w:type="dxa"/>
            <w:vAlign w:val="bottom"/>
          </w:tcPr>
          <w:p>
            <w:pPr>
              <w:ind w:left="5320"/>
              <w:spacing w:after="0"/>
              <w:rPr>
                <w:sz w:val="20"/>
                <w:szCs w:val="20"/>
                <w:color w:val="auto"/>
              </w:rPr>
            </w:pPr>
            <w:r>
              <w:rPr>
                <w:rFonts w:ascii="Arial" w:cs="Arial" w:eastAsia="Arial" w:hAnsi="Arial"/>
                <w:sz w:val="18"/>
                <w:szCs w:val="18"/>
                <w:color w:val="auto"/>
              </w:rPr>
              <w:t>A-91</w:t>
            </w: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5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33" w:name="page334"/>
    <w:bookmarkEnd w:id="33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 of the Surviving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4" w:name="page335"/>
    <w:bookmarkEnd w:id="33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PRA HEALTH SCIENCES, INC.</w:t>
      </w:r>
    </w:p>
    <w:p>
      <w:pPr>
        <w:spacing w:after="0" w:line="14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6"/>
          <w:szCs w:val="16"/>
          <w:color w:val="auto"/>
        </w:rPr>
        <w:t>The name of this corporation shall be: PRA Health Sciences,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117" w:lineRule="exact"/>
        <w:rPr>
          <w:sz w:val="20"/>
          <w:szCs w:val="20"/>
          <w:color w:val="auto"/>
        </w:rPr>
      </w:pPr>
    </w:p>
    <w:p>
      <w:pPr>
        <w:jc w:val="both"/>
        <w:ind w:left="300" w:right="319" w:firstLine="360"/>
        <w:spacing w:after="0" w:line="324" w:lineRule="auto"/>
        <w:rPr>
          <w:sz w:val="20"/>
          <w:szCs w:val="20"/>
          <w:color w:val="auto"/>
        </w:rPr>
      </w:pPr>
      <w:r>
        <w:rPr>
          <w:rFonts w:ascii="Arial" w:cs="Arial" w:eastAsia="Arial" w:hAnsi="Arial"/>
          <w:sz w:val="16"/>
          <w:szCs w:val="16"/>
          <w:color w:val="auto"/>
        </w:rPr>
        <w:t>SECOND: The registered office in the State of Delaware is 251 Little Falls Drive, in the City of Wilmington, 19808, County of New Castle. The name of the registered agent at such address is Corporation Service Company.</w:t>
      </w:r>
    </w:p>
    <w:p>
      <w:pPr>
        <w:spacing w:after="0" w:line="16" w:lineRule="exact"/>
        <w:rPr>
          <w:sz w:val="20"/>
          <w:szCs w:val="20"/>
          <w:color w:val="auto"/>
        </w:rPr>
      </w:pPr>
    </w:p>
    <w:p>
      <w:pPr>
        <w:jc w:val="both"/>
        <w:ind w:left="300" w:right="319" w:firstLine="360"/>
        <w:spacing w:after="0" w:line="248" w:lineRule="auto"/>
        <w:rPr>
          <w:sz w:val="20"/>
          <w:szCs w:val="20"/>
          <w:color w:val="auto"/>
        </w:rPr>
      </w:pPr>
      <w:r>
        <w:rPr>
          <w:rFonts w:ascii="Arial" w:cs="Arial" w:eastAsia="Arial" w:hAnsi="Arial"/>
          <w:sz w:val="18"/>
          <w:szCs w:val="18"/>
          <w:color w:val="auto"/>
        </w:rPr>
        <w:t>THIRD: The nature of the business or purposes of the corporation to be conducted or promoted to engage in any lawful act or activity for which corporations may be organized under the General Corporation Law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74" w:lineRule="exact"/>
        <w:rPr>
          <w:sz w:val="20"/>
          <w:szCs w:val="20"/>
          <w:color w:val="auto"/>
        </w:rPr>
      </w:pPr>
    </w:p>
    <w:p>
      <w:pPr>
        <w:jc w:val="both"/>
        <w:ind w:left="300" w:right="299" w:firstLine="360"/>
        <w:spacing w:after="0" w:line="324" w:lineRule="auto"/>
        <w:rPr>
          <w:sz w:val="20"/>
          <w:szCs w:val="20"/>
          <w:color w:val="auto"/>
        </w:rPr>
      </w:pPr>
      <w:r>
        <w:rPr>
          <w:rFonts w:ascii="Arial" w:cs="Arial" w:eastAsia="Arial" w:hAnsi="Arial"/>
          <w:sz w:val="16"/>
          <w:szCs w:val="16"/>
          <w:color w:val="auto"/>
        </w:rPr>
        <w:t>FOURTH: The aggregate number of shares which the Corporation shall have authority to issue is 1,000 shares of capital stock all of which shall be designated “Common Stock” and have a par value of $0.01 per share.</w:t>
      </w:r>
    </w:p>
    <w:p>
      <w:pPr>
        <w:spacing w:after="0" w:line="16"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color w:val="auto"/>
        </w:rPr>
        <w:t>FIFTH: Unless and except to the extent that the bylaws of the Corporation shall so require, the election of directors of the Corporation need not be by written ballot.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7"/>
          <w:szCs w:val="17"/>
          <w:color w:val="auto"/>
        </w:rPr>
        <w:t>SIXTH: In furtherance and not in limitation of the powers conferred by the laws of the state of Delaware, the Board of Directors shall have the power to adopt, amend or repeal the bylaws of the Corporation.</w:t>
      </w:r>
    </w:p>
    <w:p>
      <w:pPr>
        <w:spacing w:after="0" w:line="39"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color w:val="auto"/>
        </w:rPr>
        <w:t>SEVENTH: The business and affairs of the Corporation shall be managed by or under the direction of the Board of Directors. Election of directors need not be by written ballot unless the bylaws of the Corporation so provide.</w:t>
      </w:r>
    </w:p>
    <w:p>
      <w:pPr>
        <w:spacing w:after="0" w:line="7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EIGHTH: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Neither the amendment nor repeal of this Article Eighth, nor the adoption of any provision of this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8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6"/>
          <w:szCs w:val="16"/>
          <w:color w:val="auto"/>
        </w:rPr>
        <w:t>NINTH: The Corporation shall indemnify, advance expenses, and hold harmless, to the fullest extent permitted by applicable law as it presently exists or may hereafter be amended, any person (a “</w:t>
      </w:r>
      <w:r>
        <w:rPr>
          <w:rFonts w:ascii="Arial" w:cs="Arial" w:eastAsia="Arial" w:hAnsi="Arial"/>
          <w:sz w:val="16"/>
          <w:szCs w:val="16"/>
          <w:u w:val="single" w:color="auto"/>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 Any amendment, repeal or modification of this paragraph shall not adversely affect any right or protection hereunder of any person in respect of any act or omission occurring prior to the time of such repeal or modification.</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7"/>
          <w:szCs w:val="17"/>
          <w:color w:val="auto"/>
        </w:rPr>
        <w:t>TENTH: Unless the Corporation consents in writing to the selection of an alternative forum, the Court of Chancery of the State of Delaware shall be the sole and exclusive forum for (A) any derivative action or proceeding asserting a claim on behalf of the Corporation, (B) any action or proceeding asserting a claim of breach of a fiduciary duty owed by any current or former director, officer, employee or agent of the Corporation to the Corporation or the Corporation’s stockholders, (C) any action or proceeding asserting a claim against the Corporation arising pursuant to any provision of the Delaware General Corporation Law or the Corporation’s Certificate of Incorporation or bylaws, (D) any action or proceeding asserting a claim as to which the Delaware General Corporation Law confers jurisdiction upon the Court of Chancery of the State of Delaware, or (E) any action or proceeding asserting a claim governed by the internal affairs doctrine, in each case subject to said Court of Chancery having personal jurisdiction over the indispensable parties named as defendants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5" w:name="page336"/>
    <w:bookmarkEnd w:id="33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Annex B</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CENTERVIEW PARTNERS LLC</w:t>
      </w:r>
    </w:p>
    <w:p>
      <w:pPr>
        <w:spacing w:after="0" w:line="135"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New York, NY 10019</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February 23, 2021</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Dublin 18, Ireland</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You have requested our opinion as to the fairness, from a financial point of view, to ICON plc, an Irish public limited company (“Parent”), of the Consideration (as defined below) proposed to be paid by Parent and its subsidiaries pursuant to the Agreement and Plan of Merger proposed to be entered into (the “Agreement”) by and among Parent, Indigo Merger Sub, Inc., a Delaware corporation and wholly owned subsidiary of Parent (“Merger Sub”), ICON US Holdings Inc., a Delaware corporation and wholly owned subsidiary of Parent (“US Holdco”) and PRA Health Sciences, Inc., a Delaware corporation (the “Company”). The Agreement provides that Merger Sub will be merged with and into the Company (the “Merger” and, collectively with the other transactions contemplated by the Agreement, the “Transaction”), with the Company surviving the Merger as a direct or indirect wholly owned subsidiary of Parent, and each issued and outstanding share of common stock, par value $0.01 per share, of the Company (collectively, “Company Shares”) immediately prior to the effective time of the Merger (other than Cancelled Shares, Dissenting Shares and Subsidiary-Held Shares (in each case, as defined in the Agreement)) will be converted into the right to receive (i) from subsidiaries of Parent $80.00 in cash, without interest (the “Cash Consideration”) and (ii) from Parent 0.4125 of one ordinary share, par value €0.06 per share (the “Parent Ordinary Shares”), of Parent (the “Stock Consideration”, and taken together (and not separately) with the Cash Consideration, the “Consideration”). The terms and conditions of the Transaction are more fully set forth in the Agreement.</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acted as financial advisor to the Board of Directors of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Parent has agreed to reimburse certain of our expenses arising, and indemnify us against certain liabilities that may arise, out of our engagement.</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Parent or Merger Sub, and we have not received any compensation from Parent or Merger Sub during such period. In the past two years, we have not been engaged to provide financial advisory or other services to the Company, and we have not received any compensation from the Company during such period. We may provide investment banking and other services to or with respect to Parent or the Company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Parent, the Company, or any of their respective affiliates, or any other party that may be involved in the Transaction.</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this opinion, we have reviewed, among other things: (i) a draft of the Agreement dated February 23, 2021 (the “Draft Agreement”); (ii) Annual Reports on Form 10-K of the Company for the years ended December 31, 2019, December 31, 2018 and December 31, 2017 and Annual Reports on Form 20-F of Parent for the years ended December 31, 2019, December 31, 2018 and December 31, 2017; (iii) certain interim reports to shareholders of the Company and Parent, including Quarterly Reports on Form 10-Q of the Company and quarterly reports furnished on Form 6-K of Parent; (iv) certain publicly available research analyst reports for the Company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6" w:name="page337"/>
    <w:bookmarkEnd w:id="33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Parent; (v) certain other communications from the Company and Parent to their respective shareholders; (vi) certain internal information relating to the business, operations, earnings, cash flow, assets, liabilities and prospects of the Company, furnished to us by Parent for purposes of our analysis (collectively, the “Company Internal Data”);</w:t>
      </w:r>
    </w:p>
    <w:p>
      <w:pPr>
        <w:spacing w:after="0" w:line="2" w:lineRule="exact"/>
        <w:rPr>
          <w:sz w:val="20"/>
          <w:szCs w:val="20"/>
          <w:color w:val="auto"/>
        </w:rPr>
      </w:pPr>
    </w:p>
    <w:p>
      <w:pPr>
        <w:jc w:val="both"/>
        <w:ind w:left="300" w:right="299" w:hanging="8"/>
        <w:spacing w:after="0" w:line="284" w:lineRule="auto"/>
        <w:tabs>
          <w:tab w:leader="none" w:pos="65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certain financial forecasts, analyses and projections relating to the Company prepared by management of Parent and furnished to us by Parent for purposes of our analysis (the “Company Forecasts”); (viii) certain internal information relating to the business, operations, earnings, cash flow, assets, liabilities and prospects of Parent, including certain financial forecasts, analyses and projections relating to Parent, prepared by management of Parent and furnished to us by Parent for purposes of our analysis (the “Parent Forecasts”) (this clause (viii), the “Parent Internal Data”); and (ix) certain tax and other cost savings and operating synergies projected by the management of Parent to result from the Transaction furnished to us by Parent for purposes of our analysis (the “Synergies”). We have participated in discussions with members of the senior management and representatives of Parent and the Company regarding their assessment of the Company Internal Data, the Company Forecasts, the Parent Internal Data (including, without limitation, the Parent Forecasts) and the Synergies, as appropriate, and the strategic rationale for the Transaction. In addition, we reviewed publicly available financial and stock market data, including valuation multiples, for Parent and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66"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the Company Forecasts, the Parent Internal Data (including, without limitation, the Parent Forecasts) and the Synergies have been reasonably prepared on bases reflecting the best currently available estimates and judgments of the management of Parent and the Company, as applicable, as to the matters covered thereby, and we have relied, at your direction, on the Company Internal Data, the Company Forecasts, the Parent Internal Data (including, without limitation, the Parent Forecasts) and the Synergies for purposes of our analysis and this opinion. We express no view or opinion as to the Company Internal Data, the Company Forecasts, the Parent Internal Data (including, without limitation, the Parent Forecasts), the Synergies or the assumptions on which they are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and that the representations and warranties made by each of the Company, Parent, US Holdco and Merger Sub in the Agreement are and will be true and correct in all respects material to our analysis.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also assumed that the Transaction will have the tax consequences described in discussions with, and materials furnished to us by, representatives of Parent.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9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Consideration proposed to be paid by Parent and its subsidiaries pursuant to the Agreement. We have not been asked to, nor do we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7" w:name="page338"/>
    <w:bookmarkEnd w:id="33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proposed to be paid by Parent and its subsidiaries pursuant to the Agreement or otherwise. Our opinion, as expressed herein, relates, in part, to the relative values of the Company and Parent.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Ordinary Shares actually will be when issued pursuant to the Transaction or the prices at which the Company Shares or Parent Ordinary Shares will trade or otherwise be transferable at any time, including following the announcement or consummation of the Transaction. Our opinion does not constitute a recommendation to any stockholder of Parent or any other person as to how such stockholder or other person should vote with respect to the Merger or otherwise act with respect to the Transaction or any other matter.</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The issuance of this opinion was approved by the Centerview Partners LLC Fairness Opinion Committee.</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proposed to be paid by Parent and its subsidiaries pursuant to the Agreement is fair, from a financial point of view, to Parent.</w:t>
      </w: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Centerview Partners LLC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CENTERVIEW PARTNERS LLC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8" w:name="page339"/>
    <w:bookmarkEnd w:id="33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[BOFA SECURITIES LETTERHEAD]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NC 27612</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understand that PRA Health Sciences, Inc. (“PRA Health”) proposes to enter into an Agreement and Plan of Merger (the “Agreement”), among PRA Health, ICON plc (“ICON”), ICON US Holdings, Inc. (“US Holdco”) and Indigo Merger Sub, Inc., a wholly owned subsidiary of ICON and US Holdco (“Merger Sub”), pursuant to which, among other things, Merger Sub will merge with and into PRA Health (the “Merger”) and each outstanding share of the common stock, par value $0.01 per share, of PRA Health (“PRA Health Common Stock”), other than Cancelled Shares, Dissenting Shares and Subsidiary-Held Shares (as such terms are defined in the Agreement), will be converted into the right to receive (i) $80.00 in cash (the “Cash Consideration”) and (ii) 0.4125 of one ordinary share (such fraction of an ordinary share, the “Stock Consideration” and, together with the Cash Consideration, the “Consideration”), par value €0.06 per share, of ICON (“ICON Ordinary Shares”). The terms and conditions of the Merger are more fully set forth in the Agreement.</w:t>
      </w:r>
    </w:p>
    <w:p>
      <w:pPr>
        <w:spacing w:after="0" w:line="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PRA Health Common Stock of the Consideration to be received by such holders in the Merger.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connection with this opinion, we have, among other things:</w:t>
      </w:r>
    </w:p>
    <w:p>
      <w:pPr>
        <w:spacing w:after="0" w:line="117" w:lineRule="exact"/>
        <w:rPr>
          <w:sz w:val="20"/>
          <w:szCs w:val="20"/>
          <w:color w:val="auto"/>
        </w:rPr>
      </w:pPr>
    </w:p>
    <w:p>
      <w:pPr>
        <w:ind w:left="1000" w:hanging="348"/>
        <w:spacing w:after="0"/>
        <w:tabs>
          <w:tab w:leader="none" w:pos="10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PRA Health and ICON;</w:t>
      </w:r>
    </w:p>
    <w:p>
      <w:pPr>
        <w:spacing w:after="0" w:line="140"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PRA Health furnished to or discussed with us by the management of PRA Health, including certain stand-alone financial forecasts relating to PRA Health prepared by the management of PRA Health (such forecasts, “PRA Health Forecasts”);</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ICON furnished to or discussed with us by the management of ICON, including certain stand-alone financial forecasts relating to ICON prepared by the management of ICON (such forecasts, “ICON Forecasts”);</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and costs to achieve, cost savings (collectively, the “Cost Savings”) anticipated by the management of PRA Health to result from the Merger based on guidance provided by the management of ICON;</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tax savings (the “Tax Savings”) anticipated by the management of PRA Health to result from the Merger based on guidance provided by the management of ICON;</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PRA Health with members of senior managements of PRA Health and ICON, and discussed the past and current business, operations, financial condition and prospects of ICON with members of senior managements of PRA Health and ICON;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ICON, including the potential effect on ICON’s estimated earnings per share;</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reviewed the trading histories for PRA Health Common Stock and ICON Ordinary Shares and a comparison of such trading histories with the trading histories of other companies we deemed relevant;</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PRA Health and ICON with similar information of other companies we deemed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compared certain financial terms of the Merger to financial terms, to the extent publicly available, of other transactions we deemed relevant;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9" w:name="page340"/>
    <w:bookmarkEnd w:id="33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1000" w:hanging="348"/>
        <w:spacing w:after="0"/>
        <w:tabs>
          <w:tab w:leader="none" w:pos="10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reviewed a draft, dated as of February 23, 2021, of the Agreement (the “Draft Agreement”);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we deemed appropriate.</w:t>
      </w:r>
    </w:p>
    <w:p>
      <w:pPr>
        <w:spacing w:after="0" w:line="62"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managements of PRA Health and ICON that they are not aware of any facts or circumstances that would make such information or data inaccurate or misleading in any material respect. With respect to the ICON Forecasts, we have been advised by ICON, and have assumed, that they have been reasonably prepared on bases reflecting the best currently available estimates and good faith judgments of the management of ICON as to the future financial performance of ICON, and, at the direction of PRA Health, we have relied on the ICON Forecasts for purposes of our opinion. With respect to the PRA Health Forecasts, the Cost Savings and the Tax Savings, we have been advised by PRA Health, and have assumed, that they have been reasonably prepared on bases reflecting the best currently available estimates and good faith judgments of the management of PRA Health as to the future financial performance of PRA Health and the other matters covered thereby and, at the direction of PRA Health, we have relied on the PRA Health Forecasts, the Cost Savings and the Tax Savings for purposes of our opinion. We have also relied, at the direction of PRA Health, on the assessments of the management of PRA Health as to ICON’s ability to achieve the Cost Savings and the Tax Savings and have been advised by PRA Health, and have assumed, with the consent of PRA Health, that the Cost Savings and the Tax Savings will be realized in the amounts and at the times projected. We have not made or been provided with any independent evaluation or appraisal of the assets or liabilities (contingent or otherwise) of PRA Health, ICON, or any other entity, nor have we made any physical inspection of the properties or assets of PRA Health, ICON or any other entity. We have not evaluated the solvency or fair value of PRA Health or ICON under any state, federal or other laws relating to bankruptcy, insolvency or similar matters. We have assumed, at the direction of PRA Health, that the Merger will be consummated in accordance with its terms and in compliance with all applicable laws, relevant documents and other requirements,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PRA Health, ICON, or the contemplated benefits of the Merger. We also have assumed, at the direction of PRA Health, that that the final executed Agreement will not differ in any material respect from the Draft Agreement reviewed by us.</w:t>
      </w:r>
    </w:p>
    <w:p>
      <w:pPr>
        <w:spacing w:after="0" w:line="278"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We express no view or opinion as to any terms or other aspects or implications of the Merger (other than the Consideration to the extent expressly specified herein), including, without limitation, the form or structure of the Merger or any terms, aspects or implications of any related transactions or any other agreement, arrangement or understanding entered into in connection with or related to the Merger or otherwise. As you are aware, we were not requested to, and we did not, solicit indications of interest or proposals from third parties regarding a possible acquisition of all or any part of PRA Health or any alternative transaction. Our opinion is limited to the fairness, from a financial point of view, of the Consideration to be received by holders of PRA Health Common Stock and no opinion or view is expressed with respect to any consideration received in connection with the Merger by the holders of any class of securities, creditors or other constituencies of any party. In addition, no opinion or view is expressed with respect to the fairness (financial or otherwise) of the amount, nature or any other aspect of any compensation or other consideration to any of the officers, directors or employees of any party to the Merger or any related entities, or class of such persons, relative to the Consideration or otherwise. Furthermore, no opinion or view is expressed as to the relative merits of the Merger in comparison to other strategies or transactions that might be available to PRA Health or in which PRA Health might engage or as to the underlying business decision of PRA Health to proceed with or effect the Merger. In addition, we are not expressing any view or opinion with respect to, and we have relied, with the consent of PRA Health, upon the assessments of PRA Health and its representatives regarding, legal, regulatory, accounting, tax and similar matters relating to PRA Health, ICON or any other entity and the Merger (including the contemplated benefits thereof) as to which we understand that PRA Health obtained such advice as it deemed necessary from qualified professionals. We further express no opinion as to what the value of ICON Ordinary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0" w:name="page341"/>
    <w:bookmarkEnd w:id="34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300" w:right="519"/>
        <w:spacing w:after="0" w:line="259" w:lineRule="auto"/>
        <w:rPr>
          <w:sz w:val="20"/>
          <w:szCs w:val="20"/>
          <w:color w:val="auto"/>
        </w:rPr>
      </w:pPr>
      <w:r>
        <w:rPr>
          <w:rFonts w:ascii="Arial" w:cs="Arial" w:eastAsia="Arial" w:hAnsi="Arial"/>
          <w:sz w:val="18"/>
          <w:szCs w:val="18"/>
          <w:color w:val="auto"/>
        </w:rPr>
        <w:t>Shares actually will be when issued or the prices at which PRA Health Common Stock or ICON Ordinary Shares will trade at any time, including following announcement or consummation of the Merger. In addition, we express no opinion or recommendation as to how any stockholder should vote or act in connection with the Merger or any related matter.</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acted as financial advisor to PRA Health in connection with the Merger and will receive a fee for our services, a portion of which is payable upon the rendering of this opinion and a significant portion of which is contingent upon consummation of the Merger. In addition, PRA Health has agreed to reimburse our expenses and indemnify us against certain liabilities arising out of our engagement.</w:t>
      </w:r>
    </w:p>
    <w:p>
      <w:pPr>
        <w:spacing w:after="0" w:line="79"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PRA Health, ICON and certain of their respective affiliates.</w:t>
      </w:r>
    </w:p>
    <w:p>
      <w:pPr>
        <w:spacing w:after="0" w:line="5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We and our affiliates in the past have provided, currently are providing, and in the future may provide, investment banking, commercial banking and other financial services to PRA Health and have received or in the future may receive compensation for the rendering of these services, including (i) having acted or acting as a lender under certain term loans, letters of credit and credit, leasing and conduit facilities for PRA Health and/or certain of its affiliates as well as a co-lead arranger and a lender under a credit facility and (ii) having provided or providing certain treasury management services and products to PRA Health and/or certain of its affiliates.</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 addition, we and our affiliates may in the future provide investment banking, commercial banking and other financial services to ICON and may receive compensation for the rendering of these services.</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It is understood that this letter is for the benefit and use of the Board of Directors of PRA Health (in its capacity as such) in connection with and for purposes of its evaluation of the Merger.</w:t>
      </w:r>
    </w:p>
    <w:p>
      <w:pPr>
        <w:spacing w:after="0" w:line="62"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PRA Health, ICON or the Merger.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5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on the date hereof that the Consideration to be received in the Merger by holders of PRA Health Common Stock is fair, from a financial point of view, to such holders.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BofA Securities,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BOFA SECURITIES,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1" w:name="page342"/>
    <w:bookmarkEnd w:id="34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82650" cy="3429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882650" cy="342900"/>
                    </a:xfrm>
                    <a:prstGeom prst="rect">
                      <a:avLst/>
                    </a:prstGeom>
                    <a:noFill/>
                  </pic:spPr>
                </pic:pic>
              </a:graphicData>
            </a:graphic>
          </wp:anchor>
        </w:drawing>
      </w:r>
    </w:p>
    <w:p>
      <w:pPr>
        <w:spacing w:after="0" w:line="33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UBS Securities LLC</w:t>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1285 Avenue Of The Americas</w:t>
      </w:r>
    </w:p>
    <w:p>
      <w:pPr>
        <w:ind w:left="6880"/>
        <w:spacing w:after="0" w:line="221" w:lineRule="auto"/>
        <w:rPr>
          <w:sz w:val="20"/>
          <w:szCs w:val="20"/>
          <w:color w:val="auto"/>
        </w:rPr>
      </w:pPr>
      <w:r>
        <w:rPr>
          <w:rFonts w:ascii="Arial" w:cs="Arial" w:eastAsia="Arial" w:hAnsi="Arial"/>
          <w:sz w:val="14"/>
          <w:szCs w:val="14"/>
          <w:color w:val="auto"/>
        </w:rPr>
        <w:t>New York NY 10019</w:t>
      </w:r>
    </w:p>
    <w:p>
      <w:pPr>
        <w:ind w:left="6880"/>
        <w:spacing w:after="0"/>
        <w:rPr>
          <w:sz w:val="20"/>
          <w:szCs w:val="20"/>
          <w:color w:val="auto"/>
        </w:rPr>
      </w:pPr>
      <w:r>
        <w:rPr>
          <w:rFonts w:ascii="Arial" w:cs="Arial" w:eastAsia="Arial" w:hAnsi="Arial"/>
          <w:sz w:val="14"/>
          <w:szCs w:val="14"/>
          <w:color w:val="auto"/>
        </w:rPr>
        <w:t>Tel. +1-212-713 2000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NC 27612</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Members of the Board of Directors of PRA Health Sciences, Inc.:</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understand that PRA Health Sciences, Inc., a Delaware corporation (the “Company”), is considering a transaction whereby ICON plc, a public limited company organized under the laws of the Republic of Ireland (“Acquiror”), will effect a merger involving the Company. Pursuant to the terms of an Agreement and Plan of Merger, draft dated as of February 23, 2021 (the “Agreement”), by and among Acquiror, the Company, Indigo US Holdings Inc., a Delaware corporation (“Holdco”), and INDIGO MERGER SUB, INC., a Delaware corporation and wholly owned subsidiary of Acquiror and Holdco (“Sub”), Sub will merge with and into the Company whereby the Company will become a wholly owned subsidiary of Acquiror and Holdco (the “Transaction”). Pursuant to the terms of the Agreement each issued and outstanding share of the common stock, par value $0.01 per share, of the Company (“Company Common Stock”), will be cancelled and converted (subject to certain exceptions as set forth in the Agreement) into the right to receive (x) 0.4125 of one ordinary share, par value €0.06 per share, of Acquiror (“Acquiror Ordinary Shares” and, such aggregate number of Acquiror Ordinary Shares, the “Stock Consideration”), and (y) $80.00 in cash (the “Cash Consideration” and, collectively with the Stock Consideration, the “Consideration”).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of the Consideration to be received by such holders in the Transaction.</w:t>
      </w:r>
    </w:p>
    <w:p>
      <w:pPr>
        <w:spacing w:after="0" w:line="62"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UBS Securities LLC (“UBS”) has acted as financial advisor to the Company in connection with the Transaction and will receive a fee for its services, a portion of which is payable in connection with this opinion and a significant portion of which is contingent upon consummation of the Transaction. In addition, the Company has agreed to reimburse certain of our expenses arising, and indemnify us against certain liabilities that may arise, out of our engagement. UBS Group AG (the indirect parent of UBS) and its subsidiaries, branches and affiliates provide a wide range of investment banking, commercial banking and other financial services (including wealth, asset and investment management, corporate finance, municipal lending solutions, and securities issuing, trading and research). In connection therewith, UBS and / or its affiliates may have provided services unrelated to the Transaction to the Company and its affiliates and/or the Acquiror and its affiliates and received compensation for such services. In addition, in the ordinary course of business, UBS, its affiliates and its and their respective employees may currently own or trade loans, debt and/or equity securities of the Company and/or the Acquiror for its own account or for the accounts of customers, and may at any time hold a long or short position in such securities.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2" w:name="page343"/>
    <w:bookmarkEnd w:id="34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Consideration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Consideration. We express no opinion as to what the value of Acquiror Ordinary Shares will be when issued pursuant to the Transaction or the price at which Acquiror Ordinary Shares will trade at any time. In rendering this opinion, we have assumed, with your consent, that (i) the final executed form of the Agreement will not differ in any material respect from the draft that we have reviewed, (ii) the parties to the Agreement will comply with all material terms of the Agreement, and (iii) the Transaction will be consummated in accordance with the terms of the Agreement without any adverse waiver or amendment of any material term or condition thereof. We also have assumed that all governmental, regulatory or other consents and approvals necessary for the consummation of the Transaction will be obtained without any material adverse effect on the Company, Acquiror or the Transaction. We have not been authorized to solicit and have not solicited indications of interest in a transaction with the Company from any party.</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Acquiror; (ii) reviewed certain internal financial information and other data relating to the business and financial prospects of the Company that were not publicly available, including financial forecasts and estimates prepared by the management of the Company that senior management of the Company and you have directed us to utilize for purposes of our analysis; (iii) reviewed certain internal financial information and other data relating to the business and financial prospects of Acquiror that were not publicly available, including financial forecasts and estimates prepared by the management of Acquiror that senior management of the Company and you have directed us to utilize for purposes of our analysis; (iv) reviewed certain estimates of synergies prepared by the management of Acquiror that were not publicly available that senior management of the Company and you have directed us to utilize for purposes of our analysis; (v) conducted discussions with members of the senior managements of the Company and Acquiror concerning the businesses and financial prospects of the Company and Acquiror; (vi) reviewed publicly available financial and stock market data with respect to certain other companies we believe to be generally relevant; (vii) compared the financial terms of the Transaction with the publicly available financial terms of certain other transactions we believe to be generally relevant; (viii) reviewed current and historical market prices of Company Common Stock and Acquiror Ordinary Shares; (ix) considered certain pro forma effects of the Transaction on Acquiror's financial statements; (x) reviewed the Agreement; and (xi) conducted such other financial studies, analyses and investigations, and considered such other information, as we deemed necessary or appropriate.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3" w:name="page344"/>
    <w:bookmarkEnd w:id="34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3</w:t>
      </w:r>
    </w:p>
    <w:p>
      <w:pPr>
        <w:spacing w:after="0" w:line="31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Acquiror, nor have we been furnished with any such evaluation or appraisal. With respect to the financial forecasts, estimates, synergies and pro forma effects referred to above, we have assumed, at your direction, that they have been reasonably prepared on a basis reflecting the best currently available estimates and judgments of the management of each company as to the future financial performance of their respective company and such synergies and pro forma effects. Our opinion is necessarily based on economic, monetary, market and other conditions as in effect on, and the information available to us as of, the date hereof. The issuance of this opinion was approved by an authorized committee of UBS.</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to be received by holders of the Company Common Stock in the Transaction is fair, from a financial point of view, to such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4" w:name="page345"/>
    <w:bookmarkEnd w:id="34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4</w:t>
      </w:r>
    </w:p>
    <w:p>
      <w:pPr>
        <w:spacing w:after="0" w:line="31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This opinion is provided for the benefit of the Board of Directors of the Company (in its capacity as such) in connection with, and for the purpose of, its evaluation of the Consideration in the Transaction.</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UBS SECURITIES LLC</w:t>
      </w:r>
    </w:p>
    <w:p>
      <w:pPr>
        <w:spacing w:after="0" w:line="333"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48895</wp:posOffset>
            </wp:positionV>
            <wp:extent cx="24771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5" w:name="page346"/>
    <w:bookmarkEnd w:id="34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262. Appraisal rights.</w:t>
      </w:r>
    </w:p>
    <w:p>
      <w:pPr>
        <w:spacing w:after="0" w:line="121" w:lineRule="exact"/>
        <w:rPr>
          <w:sz w:val="20"/>
          <w:szCs w:val="20"/>
          <w:color w:val="auto"/>
        </w:rPr>
      </w:pPr>
    </w:p>
    <w:p>
      <w:pPr>
        <w:jc w:val="both"/>
        <w:ind w:left="300" w:right="299" w:hanging="8"/>
        <w:spacing w:after="0" w:line="269" w:lineRule="auto"/>
        <w:tabs>
          <w:tab w:leader="none" w:pos="67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77" w:lineRule="exact"/>
        <w:rPr>
          <w:rFonts w:ascii="Arial" w:cs="Arial" w:eastAsia="Arial" w:hAnsi="Arial"/>
          <w:sz w:val="17"/>
          <w:szCs w:val="17"/>
          <w:color w:val="auto"/>
        </w:rPr>
      </w:pPr>
    </w:p>
    <w:p>
      <w:pPr>
        <w:jc w:val="both"/>
        <w:ind w:left="300" w:right="319" w:hanging="8"/>
        <w:spacing w:after="0" w:line="263" w:lineRule="auto"/>
        <w:tabs>
          <w:tab w:leader="none" w:pos="6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75" w:lineRule="exact"/>
        <w:rPr>
          <w:rFonts w:ascii="Arial" w:cs="Arial" w:eastAsia="Arial" w:hAnsi="Arial"/>
          <w:sz w:val="18"/>
          <w:szCs w:val="18"/>
          <w:color w:val="auto"/>
        </w:rPr>
      </w:pPr>
    </w:p>
    <w:p>
      <w:pPr>
        <w:jc w:val="both"/>
        <w:ind w:left="660" w:right="299" w:hanging="8"/>
        <w:spacing w:after="0" w:line="290" w:lineRule="auto"/>
        <w:tabs>
          <w:tab w:leader="none" w:pos="105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57" w:lineRule="exact"/>
        <w:rPr>
          <w:rFonts w:ascii="Arial" w:cs="Arial" w:eastAsia="Arial" w:hAnsi="Arial"/>
          <w:sz w:val="16"/>
          <w:szCs w:val="16"/>
          <w:color w:val="auto"/>
        </w:rPr>
      </w:pPr>
    </w:p>
    <w:p>
      <w:pPr>
        <w:jc w:val="both"/>
        <w:ind w:left="660" w:right="299" w:hanging="8"/>
        <w:spacing w:after="0" w:line="287" w:lineRule="auto"/>
        <w:tabs>
          <w:tab w:leader="none" w:pos="105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264 of this title to accept for such stock anything except:</w:t>
      </w:r>
    </w:p>
    <w:p>
      <w:pPr>
        <w:spacing w:after="0" w:line="102" w:lineRule="exact"/>
        <w:rPr>
          <w:rFonts w:ascii="Arial" w:cs="Arial" w:eastAsia="Arial" w:hAnsi="Arial"/>
          <w:sz w:val="16"/>
          <w:szCs w:val="16"/>
          <w:color w:val="auto"/>
        </w:rPr>
      </w:pPr>
    </w:p>
    <w:p>
      <w:pPr>
        <w:ind w:left="1020" w:right="319" w:hanging="8"/>
        <w:spacing w:after="0" w:line="277" w:lineRule="auto"/>
        <w:tabs>
          <w:tab w:leader="none" w:pos="1325" w:val="left"/>
        </w:tabs>
        <w:numPr>
          <w:ilvl w:val="2"/>
          <w:numId w:val="405"/>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 respect thereof;</w:t>
      </w:r>
    </w:p>
    <w:p>
      <w:pPr>
        <w:spacing w:after="0" w:line="62" w:lineRule="exact"/>
        <w:rPr>
          <w:rFonts w:ascii="Arial" w:cs="Arial" w:eastAsia="Arial" w:hAnsi="Arial"/>
          <w:sz w:val="18"/>
          <w:szCs w:val="18"/>
          <w:color w:val="auto"/>
        </w:rPr>
      </w:pPr>
    </w:p>
    <w:p>
      <w:pPr>
        <w:jc w:val="both"/>
        <w:ind w:left="1020" w:right="299" w:hanging="8"/>
        <w:spacing w:after="0" w:line="259" w:lineRule="auto"/>
        <w:tabs>
          <w:tab w:leader="none" w:pos="1335" w:val="left"/>
        </w:tabs>
        <w:numPr>
          <w:ilvl w:val="2"/>
          <w:numId w:val="405"/>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8" w:lineRule="exact"/>
        <w:rPr>
          <w:rFonts w:ascii="Arial" w:cs="Arial" w:eastAsia="Arial" w:hAnsi="Arial"/>
          <w:sz w:val="18"/>
          <w:szCs w:val="18"/>
          <w:color w:val="auto"/>
        </w:rPr>
      </w:pPr>
    </w:p>
    <w:p>
      <w:pPr>
        <w:ind w:left="1020" w:right="299" w:hanging="8"/>
        <w:spacing w:after="0" w:line="277" w:lineRule="auto"/>
        <w:tabs>
          <w:tab w:leader="none" w:pos="1325" w:val="left"/>
        </w:tabs>
        <w:numPr>
          <w:ilvl w:val="2"/>
          <w:numId w:val="405"/>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foregoing paragraphs (b)(2)a. and b. of this section; or</w:t>
      </w:r>
    </w:p>
    <w:p>
      <w:pPr>
        <w:spacing w:after="0" w:line="62" w:lineRule="exact"/>
        <w:rPr>
          <w:rFonts w:ascii="Arial" w:cs="Arial" w:eastAsia="Arial" w:hAnsi="Arial"/>
          <w:sz w:val="18"/>
          <w:szCs w:val="18"/>
          <w:color w:val="auto"/>
        </w:rPr>
      </w:pPr>
    </w:p>
    <w:p>
      <w:pPr>
        <w:ind w:left="1020" w:right="299" w:hanging="8"/>
        <w:spacing w:after="0" w:line="308" w:lineRule="auto"/>
        <w:tabs>
          <w:tab w:leader="none" w:pos="1325" w:val="left"/>
        </w:tabs>
        <w:numPr>
          <w:ilvl w:val="2"/>
          <w:numId w:val="405"/>
        </w:numPr>
        <w:rPr>
          <w:rFonts w:ascii="Arial" w:cs="Arial" w:eastAsia="Arial" w:hAnsi="Arial"/>
          <w:sz w:val="17"/>
          <w:szCs w:val="17"/>
          <w:color w:val="auto"/>
        </w:rPr>
      </w:pPr>
      <w:r>
        <w:rPr>
          <w:rFonts w:ascii="Arial" w:cs="Arial" w:eastAsia="Arial" w:hAnsi="Arial"/>
          <w:sz w:val="17"/>
          <w:szCs w:val="17"/>
          <w:color w:val="auto"/>
        </w:rPr>
        <w:t>Any combination of the shares of stock, depository receipts and cash in lieu of fractional shares or fractional depository receipts described in the foregoing paragraphs (b)(2)a., b. and c. of this section.</w:t>
      </w:r>
    </w:p>
    <w:p>
      <w:pPr>
        <w:spacing w:after="0" w:line="38" w:lineRule="exact"/>
        <w:rPr>
          <w:rFonts w:ascii="Arial" w:cs="Arial" w:eastAsia="Arial" w:hAnsi="Arial"/>
          <w:sz w:val="17"/>
          <w:szCs w:val="17"/>
          <w:color w:val="auto"/>
        </w:rPr>
      </w:pPr>
    </w:p>
    <w:p>
      <w:pPr>
        <w:jc w:val="both"/>
        <w:ind w:left="660" w:right="319" w:hanging="8"/>
        <w:spacing w:after="0" w:line="263" w:lineRule="auto"/>
        <w:tabs>
          <w:tab w:leader="none" w:pos="105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16" w:lineRule="exact"/>
        <w:rPr>
          <w:rFonts w:ascii="Arial" w:cs="Arial" w:eastAsia="Arial" w:hAnsi="Arial"/>
          <w:sz w:val="18"/>
          <w:szCs w:val="18"/>
          <w:color w:val="auto"/>
        </w:rPr>
      </w:pPr>
    </w:p>
    <w:p>
      <w:pPr>
        <w:ind w:left="1040" w:hanging="388"/>
        <w:spacing w:after="0"/>
        <w:tabs>
          <w:tab w:leader="none" w:pos="104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[Repealed.]</w:t>
      </w:r>
    </w:p>
    <w:p>
      <w:pPr>
        <w:spacing w:after="0" w:line="117" w:lineRule="exact"/>
        <w:rPr>
          <w:rFonts w:ascii="Arial" w:cs="Arial" w:eastAsia="Arial" w:hAnsi="Arial"/>
          <w:sz w:val="18"/>
          <w:szCs w:val="18"/>
          <w:color w:val="auto"/>
        </w:rPr>
      </w:pPr>
    </w:p>
    <w:p>
      <w:pPr>
        <w:jc w:val="both"/>
        <w:ind w:left="300" w:right="299" w:hanging="8"/>
        <w:spacing w:after="0" w:line="255" w:lineRule="auto"/>
        <w:tabs>
          <w:tab w:leader="none" w:pos="67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6" w:name="page347"/>
    <w:bookmarkEnd w:id="34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80" w:hanging="388"/>
        <w:spacing w:after="0"/>
        <w:tabs>
          <w:tab w:leader="none" w:pos="6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jc w:val="both"/>
        <w:ind w:left="660" w:right="299" w:hanging="8"/>
        <w:spacing w:after="0" w:line="285" w:lineRule="auto"/>
        <w:tabs>
          <w:tab w:leader="none" w:pos="105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3" w:lineRule="exact"/>
        <w:rPr>
          <w:rFonts w:ascii="Arial" w:cs="Arial" w:eastAsia="Arial" w:hAnsi="Arial"/>
          <w:sz w:val="16"/>
          <w:szCs w:val="16"/>
          <w:color w:val="auto"/>
        </w:rPr>
      </w:pPr>
    </w:p>
    <w:p>
      <w:pPr>
        <w:jc w:val="both"/>
        <w:ind w:left="660" w:right="299" w:hanging="8"/>
        <w:spacing w:after="0" w:line="283" w:lineRule="auto"/>
        <w:tabs>
          <w:tab w:leader="none" w:pos="105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93" w:lineRule="exact"/>
        <w:rPr>
          <w:rFonts w:ascii="Arial" w:cs="Arial" w:eastAsia="Arial" w:hAnsi="Arial"/>
          <w:sz w:val="16"/>
          <w:szCs w:val="16"/>
          <w:color w:val="auto"/>
        </w:rPr>
      </w:pPr>
    </w:p>
    <w:p>
      <w:pPr>
        <w:jc w:val="both"/>
        <w:ind w:left="300" w:right="299" w:hanging="8"/>
        <w:spacing w:after="0" w:line="311" w:lineRule="auto"/>
        <w:tabs>
          <w:tab w:leader="none" w:pos="67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7" w:name="page348"/>
    <w:bookmarkEnd w:id="34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w:t>
      </w:r>
    </w:p>
    <w:p>
      <w:pPr>
        <w:spacing w:after="0" w:line="2" w:lineRule="exact"/>
        <w:rPr>
          <w:sz w:val="20"/>
          <w:szCs w:val="20"/>
          <w:color w:val="auto"/>
        </w:rPr>
      </w:pPr>
    </w:p>
    <w:p>
      <w:pPr>
        <w:jc w:val="both"/>
        <w:ind w:left="300" w:right="299" w:hanging="8"/>
        <w:spacing w:after="0" w:line="285" w:lineRule="auto"/>
        <w:tabs>
          <w:tab w:leader="none" w:pos="57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61" w:lineRule="exact"/>
        <w:rPr>
          <w:sz w:val="20"/>
          <w:szCs w:val="20"/>
          <w:color w:val="auto"/>
        </w:rPr>
      </w:pPr>
    </w:p>
    <w:p>
      <w:pPr>
        <w:jc w:val="both"/>
        <w:ind w:left="300" w:right="299" w:hanging="8"/>
        <w:spacing w:after="0" w:line="269" w:lineRule="auto"/>
        <w:tabs>
          <w:tab w:leader="none" w:pos="66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0" w:lineRule="exact"/>
        <w:rPr>
          <w:rFonts w:ascii="Arial" w:cs="Arial" w:eastAsia="Arial" w:hAnsi="Arial"/>
          <w:sz w:val="17"/>
          <w:szCs w:val="17"/>
          <w:color w:val="auto"/>
        </w:rPr>
      </w:pPr>
    </w:p>
    <w:p>
      <w:pPr>
        <w:jc w:val="both"/>
        <w:ind w:left="300" w:right="299" w:hanging="8"/>
        <w:spacing w:after="0" w:line="287" w:lineRule="auto"/>
        <w:tabs>
          <w:tab w:leader="none" w:pos="68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63" w:lineRule="exact"/>
        <w:rPr>
          <w:rFonts w:ascii="Arial" w:cs="Arial" w:eastAsia="Arial" w:hAnsi="Arial"/>
          <w:sz w:val="16"/>
          <w:szCs w:val="16"/>
          <w:color w:val="auto"/>
        </w:rPr>
      </w:pPr>
    </w:p>
    <w:p>
      <w:pPr>
        <w:jc w:val="both"/>
        <w:ind w:left="300" w:right="299" w:hanging="8"/>
        <w:spacing w:after="0" w:line="268" w:lineRule="auto"/>
        <w:tabs>
          <w:tab w:leader="none" w:pos="68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8" w:name="page349"/>
    <w:bookmarkEnd w:id="34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70" w:lineRule="exact"/>
        <w:rPr>
          <w:sz w:val="20"/>
          <w:szCs w:val="20"/>
          <w:color w:val="auto"/>
        </w:rPr>
      </w:pPr>
    </w:p>
    <w:p>
      <w:pPr>
        <w:jc w:val="both"/>
        <w:ind w:left="300" w:right="299" w:hanging="8"/>
        <w:spacing w:after="0" w:line="255" w:lineRule="auto"/>
        <w:tabs>
          <w:tab w:leader="none" w:pos="64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84" w:lineRule="exact"/>
        <w:rPr>
          <w:rFonts w:ascii="Arial" w:cs="Arial" w:eastAsia="Arial" w:hAnsi="Arial"/>
          <w:sz w:val="18"/>
          <w:szCs w:val="18"/>
          <w:color w:val="auto"/>
        </w:rPr>
      </w:pPr>
    </w:p>
    <w:p>
      <w:pPr>
        <w:jc w:val="both"/>
        <w:ind w:left="300" w:right="299" w:hanging="8"/>
        <w:spacing w:after="0" w:line="257" w:lineRule="auto"/>
        <w:tabs>
          <w:tab w:leader="none" w:pos="64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9" w:lineRule="exact"/>
        <w:rPr>
          <w:rFonts w:ascii="Arial" w:cs="Arial" w:eastAsia="Arial" w:hAnsi="Arial"/>
          <w:sz w:val="18"/>
          <w:szCs w:val="18"/>
          <w:color w:val="auto"/>
        </w:rPr>
      </w:pPr>
    </w:p>
    <w:p>
      <w:pPr>
        <w:jc w:val="both"/>
        <w:ind w:left="300" w:right="299" w:hanging="8"/>
        <w:spacing w:after="0" w:line="268" w:lineRule="auto"/>
        <w:tabs>
          <w:tab w:leader="none" w:pos="69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(l)The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9" w:name="page350"/>
    <w:bookmarkEnd w:id="34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Officers and Directors of ICON</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ICON constitution provides that, so far as may be permitted by the Irish Companies Act, every director, managing director, secretary or other officer of ICON shall be entitled to be indemnified by the Company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ICON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However the Irish Companies Act only permits ICON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ICON. Any obligation of an Irish company which purports to indemnify a director or secretary of an Irish company over and above this will be void under Irish law, whether contained in its constitution or any contract between the director and the company.</w:t>
      </w:r>
    </w:p>
    <w:p>
      <w:pPr>
        <w:spacing w:after="0" w:line="6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Irish company law restrictions outlined above do not prevent ICON from obtaining, and paying for, directors’ and officers’ liability insurance, as well as other types of insurance, for its directors and officers.</w:t>
      </w:r>
    </w:p>
    <w:p>
      <w:pPr>
        <w:spacing w:after="0" w:line="142"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 list of the exhibits included as part of this registration statement is set forth in the Exhibit Index that immediately precedes such exhibits and is incorporated herein by reference.</w:t>
      </w:r>
    </w:p>
    <w:p>
      <w:pPr>
        <w:spacing w:after="0" w:line="166"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jc w:val="both"/>
        <w:ind w:left="300" w:right="299" w:firstLine="352"/>
        <w:spacing w:after="0" w:line="293" w:lineRule="auto"/>
        <w:tabs>
          <w:tab w:leader="none" w:pos="103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registrant undertakes that every prospectus (i) that is filed pursuant to paragraph (h)(1) immediately preceding, or (ii) that purports to meet the requirements of section 10(a)(3) of the Act and is used in connection with an offering of securities subject to Rule 415 (§230.415 of this chapter),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0" w:name="page351"/>
    <w:bookmarkEnd w:id="3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53" w:lineRule="exact"/>
        <w:rPr>
          <w:sz w:val="20"/>
          <w:szCs w:val="20"/>
          <w:color w:val="auto"/>
        </w:rPr>
      </w:pPr>
    </w:p>
    <w:p>
      <w:pPr>
        <w:jc w:val="both"/>
        <w:ind w:left="300" w:right="299" w:firstLine="352"/>
        <w:spacing w:after="0" w:line="257" w:lineRule="auto"/>
        <w:tabs>
          <w:tab w:leader="none" w:pos="104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undersigned registrant hereby undertakes (i) to respond to requests for information that is incorporated by reference into the prospectus pursuant to Items 4, 10(b), 11, or 13 of this Form F-4, within one (1) business day of receipt of such request, and to send the incorporated documents by first class mail or other equally prompt means, and (ii) to arrange or provide for a facility in the United States for the purpose of responding to such requests.</w:t>
      </w:r>
    </w:p>
    <w:p>
      <w:pPr>
        <w:spacing w:after="0" w:line="47" w:lineRule="exact"/>
        <w:rPr>
          <w:rFonts w:ascii="Arial" w:cs="Arial" w:eastAsia="Arial" w:hAnsi="Arial"/>
          <w:sz w:val="18"/>
          <w:szCs w:val="18"/>
          <w:color w:val="auto"/>
        </w:rPr>
      </w:pPr>
    </w:p>
    <w:p>
      <w:pPr>
        <w:jc w:val="both"/>
        <w:ind w:left="300" w:right="299" w:firstLine="352"/>
        <w:spacing w:after="0" w:line="294" w:lineRule="auto"/>
        <w:tabs>
          <w:tab w:leader="none" w:pos="10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post-eﬀective amendment all information concerning a transaction and the company being acquired involved therein, that was not the subject of and included in the registration statement when it became eﬀective.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1" w:name="page352"/>
    <w:bookmarkEnd w:id="3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7715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5349240" cy="771525"/>
                    </a:xfrm>
                    <a:prstGeom prst="rect">
                      <a:avLst/>
                    </a:prstGeom>
                    <a:noFill/>
                  </pic:spPr>
                </pic:pic>
              </a:graphicData>
            </a:graphic>
          </wp:anchor>
        </w:drawing>
      </w:r>
    </w:p>
    <w:p>
      <w:pPr>
        <w:spacing w:after="0" w:line="108" w:lineRule="exact"/>
        <w:rPr>
          <w:sz w:val="20"/>
          <w:szCs w:val="20"/>
          <w:color w:val="auto"/>
        </w:rPr>
      </w:pPr>
    </w:p>
    <w:p>
      <w:pPr>
        <w:jc w:val="both"/>
        <w:ind w:left="1040" w:right="299" w:hanging="755"/>
        <w:spacing w:after="0" w:line="257" w:lineRule="auto"/>
        <w:tabs>
          <w:tab w:leader="none" w:pos="1020" w:val="left"/>
        </w:tabs>
        <w:rPr>
          <w:rFonts w:ascii="Arial" w:cs="Arial" w:eastAsia="Arial" w:hAnsi="Arial"/>
          <w:sz w:val="18"/>
          <w:szCs w:val="18"/>
          <w:color w:val="0000EE"/>
        </w:rPr>
      </w:pPr>
      <w:hyperlink r:id="rId575">
        <w:r>
          <w:rPr>
            <w:rFonts w:ascii="Arial" w:cs="Arial" w:eastAsia="Arial" w:hAnsi="Arial"/>
            <w:sz w:val="18"/>
            <w:szCs w:val="18"/>
            <w:u w:val="single" w:color="auto"/>
            <w:color w:val="0000EE"/>
          </w:rPr>
          <w:t>2.1</w:t>
        </w:r>
      </w:hyperlink>
      <w:r>
        <w:rPr>
          <w:rFonts w:ascii="Arial" w:cs="Arial" w:eastAsia="Arial" w:hAnsi="Arial"/>
          <w:sz w:val="18"/>
          <w:szCs w:val="18"/>
          <w:color w:val="0000EE"/>
        </w:rPr>
        <w:tab/>
        <w:t>Agreement and Plan of Merger, dated as of February 24, 2021, by and among ICON plc, ICON US Holdings Inc., Indigo Merger Sub, Inc. and PRA Health Sciences, Inc. (attached as Annex A to the joint proxy statement/prospectus included in this Registration Statement (schedules have been omitted pursuant to Item 601(a)(5) of Regulation S-K, but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231140</wp:posOffset>
            </wp:positionV>
            <wp:extent cx="5349240" cy="3429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84" w:lineRule="exact"/>
        <w:rPr>
          <w:sz w:val="20"/>
          <w:szCs w:val="20"/>
          <w:color w:val="auto"/>
        </w:rPr>
      </w:pPr>
    </w:p>
    <w:p>
      <w:pPr>
        <w:jc w:val="both"/>
        <w:ind w:left="1040" w:right="319" w:hanging="755"/>
        <w:spacing w:after="0" w:line="277" w:lineRule="auto"/>
        <w:tabs>
          <w:tab w:leader="none" w:pos="1020" w:val="left"/>
        </w:tabs>
        <w:rPr>
          <w:rFonts w:ascii="Arial" w:cs="Arial" w:eastAsia="Arial" w:hAnsi="Arial"/>
          <w:sz w:val="18"/>
          <w:szCs w:val="18"/>
          <w:color w:val="0000EE"/>
        </w:rPr>
      </w:pPr>
      <w:hyperlink r:id="rId577">
        <w:r>
          <w:rPr>
            <w:rFonts w:ascii="Arial" w:cs="Arial" w:eastAsia="Arial" w:hAnsi="Arial"/>
            <w:sz w:val="18"/>
            <w:szCs w:val="18"/>
            <w:u w:val="single" w:color="auto"/>
            <w:color w:val="0000EE"/>
          </w:rPr>
          <w:t>3.1</w:t>
        </w:r>
      </w:hyperlink>
      <w:r>
        <w:rPr>
          <w:rFonts w:ascii="Arial" w:cs="Arial" w:eastAsia="Arial" w:hAnsi="Arial"/>
          <w:sz w:val="18"/>
          <w:szCs w:val="18"/>
          <w:color w:val="0000EE"/>
        </w:rPr>
        <w:tab/>
        <w:t>Description of the Constitution of ICON plc (incorporated by reference to exhibit 99.2 to ICON’s Form 6K (File No. 333-08704) filed on July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3429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66" w:lineRule="exact"/>
        <w:rPr>
          <w:sz w:val="20"/>
          <w:szCs w:val="20"/>
          <w:color w:val="auto"/>
        </w:rPr>
      </w:pPr>
    </w:p>
    <w:p>
      <w:pPr>
        <w:jc w:val="both"/>
        <w:ind w:left="1040" w:right="299" w:hanging="755"/>
        <w:spacing w:after="0" w:line="277" w:lineRule="auto"/>
        <w:tabs>
          <w:tab w:leader="none" w:pos="1020" w:val="left"/>
        </w:tabs>
        <w:rPr>
          <w:rFonts w:ascii="Arial" w:cs="Arial" w:eastAsia="Arial" w:hAnsi="Arial"/>
          <w:sz w:val="18"/>
          <w:szCs w:val="18"/>
          <w:color w:val="0000EE"/>
        </w:rPr>
      </w:pPr>
      <w:hyperlink w:anchor="page355">
        <w:r>
          <w:rPr>
            <w:rFonts w:ascii="Arial" w:cs="Arial" w:eastAsia="Arial" w:hAnsi="Arial"/>
            <w:sz w:val="18"/>
            <w:szCs w:val="18"/>
            <w:u w:val="single" w:color="auto"/>
            <w:color w:val="0000EE"/>
          </w:rPr>
          <w:t>5.1</w:t>
        </w:r>
      </w:hyperlink>
      <w:r>
        <w:rPr>
          <w:rFonts w:ascii="Arial" w:cs="Arial" w:eastAsia="Arial" w:hAnsi="Arial"/>
          <w:sz w:val="18"/>
          <w:szCs w:val="18"/>
          <w:color w:val="0000EE"/>
        </w:rPr>
        <w:tab/>
        <w:t>Opinion of A&amp;L Goodbody LLP as to the validity of the ordinary shares of ICON plc being registered pursuant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2057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66"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58">
        <w:r>
          <w:rPr>
            <w:rFonts w:ascii="Arial" w:cs="Arial" w:eastAsia="Arial" w:hAnsi="Arial"/>
            <w:sz w:val="18"/>
            <w:szCs w:val="18"/>
            <w:u w:val="single" w:color="auto"/>
            <w:color w:val="0000EE"/>
          </w:rPr>
          <w:t>21.1</w:t>
        </w:r>
      </w:hyperlink>
      <w:r>
        <w:rPr>
          <w:rFonts w:ascii="Arial" w:cs="Arial" w:eastAsia="Arial" w:hAnsi="Arial"/>
          <w:sz w:val="18"/>
          <w:szCs w:val="18"/>
          <w:color w:val="0000EE"/>
        </w:rPr>
        <w:tab/>
      </w:r>
      <w:r>
        <w:rPr>
          <w:rFonts w:ascii="Arial" w:cs="Arial" w:eastAsia="Arial" w:hAnsi="Arial"/>
          <w:sz w:val="17"/>
          <w:szCs w:val="17"/>
          <w:color w:val="0000EE"/>
        </w:rPr>
        <w:t>List of Subsidiaries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3429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40" w:right="319" w:hanging="755"/>
        <w:spacing w:after="0" w:line="277" w:lineRule="auto"/>
        <w:tabs>
          <w:tab w:leader="none" w:pos="1020" w:val="left"/>
        </w:tabs>
        <w:rPr>
          <w:rFonts w:ascii="Arial" w:cs="Arial" w:eastAsia="Arial" w:hAnsi="Arial"/>
          <w:sz w:val="18"/>
          <w:szCs w:val="18"/>
          <w:color w:val="0000EE"/>
        </w:rPr>
      </w:pPr>
      <w:hyperlink w:anchor="page361">
        <w:r>
          <w:rPr>
            <w:rFonts w:ascii="Arial" w:cs="Arial" w:eastAsia="Arial" w:hAnsi="Arial"/>
            <w:sz w:val="18"/>
            <w:szCs w:val="18"/>
            <w:u w:val="single" w:color="auto"/>
            <w:color w:val="0000EE"/>
          </w:rPr>
          <w:t>23.1</w:t>
        </w:r>
      </w:hyperlink>
      <w:r>
        <w:rPr>
          <w:rFonts w:ascii="Arial" w:cs="Arial" w:eastAsia="Arial" w:hAnsi="Arial"/>
          <w:sz w:val="18"/>
          <w:szCs w:val="18"/>
          <w:color w:val="0000EE"/>
        </w:rPr>
        <w:tab/>
        <w:t>Consent of KPMG, Independent Registered Public Accounting Firm, relating to the financial statements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2057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66"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2">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Deloitte &amp; Touche LLP relating to the financial statements of PRA Health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55">
        <w:r>
          <w:rPr>
            <w:rFonts w:ascii="Arial" w:cs="Arial" w:eastAsia="Arial" w:hAnsi="Arial"/>
            <w:sz w:val="18"/>
            <w:szCs w:val="18"/>
            <w:u w:val="single" w:color="auto"/>
            <w:color w:val="0000EE"/>
          </w:rPr>
          <w:t>23.3</w:t>
        </w:r>
      </w:hyperlink>
      <w:r>
        <w:rPr>
          <w:rFonts w:ascii="Arial" w:cs="Arial" w:eastAsia="Arial" w:hAnsi="Arial"/>
          <w:sz w:val="18"/>
          <w:szCs w:val="18"/>
          <w:color w:val="0000EE"/>
        </w:rPr>
        <w:tab/>
      </w:r>
      <w:r>
        <w:rPr>
          <w:rFonts w:ascii="Arial" w:cs="Arial" w:eastAsia="Arial" w:hAnsi="Arial"/>
          <w:sz w:val="17"/>
          <w:szCs w:val="17"/>
          <w:color w:val="0000EE"/>
        </w:rPr>
        <w:t>Consent of A&amp;L Goodbody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3429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40" w:right="299" w:hanging="755"/>
        <w:spacing w:after="0" w:line="277" w:lineRule="auto"/>
        <w:tabs>
          <w:tab w:leader="none" w:pos="1020" w:val="left"/>
        </w:tabs>
        <w:rPr>
          <w:rFonts w:ascii="Arial" w:cs="Arial" w:eastAsia="Arial" w:hAnsi="Arial"/>
          <w:sz w:val="18"/>
          <w:szCs w:val="18"/>
          <w:color w:val="0000EE"/>
        </w:rPr>
      </w:pPr>
      <w:hyperlink r:id="rId584">
        <w:r>
          <w:rPr>
            <w:rFonts w:ascii="Arial" w:cs="Arial" w:eastAsia="Arial" w:hAnsi="Arial"/>
            <w:sz w:val="18"/>
            <w:szCs w:val="18"/>
            <w:u w:val="single" w:color="auto"/>
            <w:color w:val="0000EE"/>
          </w:rPr>
          <w:t>24.1</w:t>
        </w:r>
      </w:hyperlink>
      <w:r>
        <w:rPr>
          <w:rFonts w:ascii="Arial" w:cs="Arial" w:eastAsia="Arial" w:hAnsi="Arial"/>
          <w:sz w:val="18"/>
          <w:szCs w:val="18"/>
          <w:color w:val="0000EE"/>
        </w:rPr>
        <w:tab/>
        <w:t>Power of Attorney of Officers and Directors (included on the signature page of the registration statement filed on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2057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66"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3">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Form of Proxy Voting Card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5">
        <w:r>
          <w:rPr>
            <w:rFonts w:ascii="Arial" w:cs="Arial" w:eastAsia="Arial" w:hAnsi="Arial"/>
            <w:sz w:val="18"/>
            <w:szCs w:val="18"/>
            <w:u w:val="single" w:color="auto"/>
            <w:color w:val="0000EE"/>
          </w:rPr>
          <w:t>99.2</w:t>
        </w:r>
      </w:hyperlink>
      <w:r>
        <w:rPr>
          <w:rFonts w:ascii="Arial" w:cs="Arial" w:eastAsia="Arial" w:hAnsi="Arial"/>
          <w:sz w:val="18"/>
          <w:szCs w:val="18"/>
          <w:color w:val="0000EE"/>
        </w:rPr>
        <w:tab/>
      </w:r>
      <w:r>
        <w:rPr>
          <w:rFonts w:ascii="Arial" w:cs="Arial" w:eastAsia="Arial" w:hAnsi="Arial"/>
          <w:sz w:val="16"/>
          <w:szCs w:val="16"/>
          <w:color w:val="0000EE"/>
        </w:rPr>
        <w:t>Form of Proxy Voting Card of PRA Health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7">
        <w:r>
          <w:rPr>
            <w:rFonts w:ascii="Arial" w:cs="Arial" w:eastAsia="Arial" w:hAnsi="Arial"/>
            <w:sz w:val="18"/>
            <w:szCs w:val="18"/>
            <w:u w:val="single" w:color="auto"/>
            <w:color w:val="0000EE"/>
          </w:rPr>
          <w:t>99.3</w:t>
        </w:r>
      </w:hyperlink>
      <w:r>
        <w:rPr>
          <w:rFonts w:ascii="Arial" w:cs="Arial" w:eastAsia="Arial" w:hAnsi="Arial"/>
          <w:sz w:val="18"/>
          <w:szCs w:val="18"/>
          <w:color w:val="0000EE"/>
        </w:rPr>
        <w:tab/>
      </w:r>
      <w:r>
        <w:rPr>
          <w:rFonts w:ascii="Arial" w:cs="Arial" w:eastAsia="Arial" w:hAnsi="Arial"/>
          <w:sz w:val="16"/>
          <w:szCs w:val="16"/>
          <w:color w:val="0000EE"/>
        </w:rPr>
        <w:t>Consent of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8">
        <w:r>
          <w:rPr>
            <w:rFonts w:ascii="Arial" w:cs="Arial" w:eastAsia="Arial" w:hAnsi="Arial"/>
            <w:sz w:val="18"/>
            <w:szCs w:val="18"/>
            <w:u w:val="single" w:color="auto"/>
            <w:color w:val="0000EE"/>
          </w:rPr>
          <w:t>99.4</w:t>
        </w:r>
      </w:hyperlink>
      <w:r>
        <w:rPr>
          <w:rFonts w:ascii="Arial" w:cs="Arial" w:eastAsia="Arial" w:hAnsi="Arial"/>
          <w:sz w:val="18"/>
          <w:szCs w:val="18"/>
          <w:color w:val="0000EE"/>
        </w:rPr>
        <w:tab/>
      </w:r>
      <w:r>
        <w:rPr>
          <w:rFonts w:ascii="Arial" w:cs="Arial" w:eastAsia="Arial" w:hAnsi="Arial"/>
          <w:sz w:val="16"/>
          <w:szCs w:val="16"/>
          <w:color w:val="0000EE"/>
        </w:rPr>
        <w:t>Consent of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9">
        <w:r>
          <w:rPr>
            <w:rFonts w:ascii="Arial" w:cs="Arial" w:eastAsia="Arial" w:hAnsi="Arial"/>
            <w:sz w:val="18"/>
            <w:szCs w:val="18"/>
            <w:u w:val="single" w:color="auto"/>
            <w:color w:val="0000EE"/>
          </w:rPr>
          <w:t>99.5</w:t>
        </w:r>
      </w:hyperlink>
      <w:r>
        <w:rPr>
          <w:rFonts w:ascii="Arial" w:cs="Arial" w:eastAsia="Arial" w:hAnsi="Arial"/>
          <w:sz w:val="18"/>
          <w:szCs w:val="18"/>
          <w:color w:val="0000EE"/>
        </w:rPr>
        <w:tab/>
      </w:r>
      <w:r>
        <w:rPr>
          <w:rFonts w:ascii="Arial" w:cs="Arial" w:eastAsia="Arial" w:hAnsi="Arial"/>
          <w:sz w:val="16"/>
          <w:szCs w:val="16"/>
          <w:color w:val="0000EE"/>
        </w:rPr>
        <w:t>Consent of UBS Securities LLC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2" w:name="page353"/>
    <w:bookmarkEnd w:id="3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Dublin, Ireland, on April 26, 2021.</w:t>
      </w:r>
    </w:p>
    <w:p>
      <w:pPr>
        <w:spacing w:after="0" w:line="15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4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263525</wp:posOffset>
            </wp:positionV>
            <wp:extent cx="28803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180"/>
        <w:spacing w:after="0"/>
        <w:tabs>
          <w:tab w:leader="none" w:pos="4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Brendan Brennan</w:t>
      </w:r>
    </w:p>
    <w:p>
      <w:pPr>
        <w:spacing w:after="0" w:line="117" w:lineRule="exact"/>
        <w:rPr>
          <w:sz w:val="20"/>
          <w:szCs w:val="20"/>
          <w:color w:val="auto"/>
        </w:rPr>
      </w:pPr>
    </w:p>
    <w:p>
      <w:pPr>
        <w:ind w:left="4180"/>
        <w:spacing w:after="0"/>
        <w:tabs>
          <w:tab w:leader="none" w:pos="4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00" w:type="dxa"/>
            <w:vAlign w:val="bottom"/>
          </w:tcPr>
          <w:p>
            <w:pPr>
              <w:spacing w:after="0"/>
              <w:rPr>
                <w:sz w:val="16"/>
                <w:szCs w:val="16"/>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Title</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9"/>
              </w:rPr>
              <w:t>Chairman of the Board and 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2"/>
              </w:rPr>
              <w:t>Ciaran Murray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Executive Officer and</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122"/>
        </w:trPr>
        <w:tc>
          <w:tcPr>
            <w:tcW w:w="2660" w:type="dxa"/>
            <w:vAlign w:val="bottom"/>
            <w:tcBorders>
              <w:bottom w:val="single" w:sz="8" w:color="auto"/>
            </w:tcBorders>
          </w:tcPr>
          <w:p>
            <w:pPr>
              <w:spacing w:after="0"/>
              <w:rPr>
                <w:sz w:val="10"/>
                <w:szCs w:val="10"/>
                <w:color w:val="auto"/>
              </w:rPr>
            </w:pPr>
          </w:p>
        </w:tc>
        <w:tc>
          <w:tcPr>
            <w:tcW w:w="200" w:type="dxa"/>
            <w:vAlign w:val="bottom"/>
            <w:vMerge w:val="restart"/>
          </w:tcPr>
          <w:p>
            <w:pPr>
              <w:spacing w:after="0"/>
              <w:rPr>
                <w:sz w:val="10"/>
                <w:szCs w:val="10"/>
                <w:color w:val="auto"/>
              </w:rPr>
            </w:pPr>
          </w:p>
        </w:tc>
        <w:tc>
          <w:tcPr>
            <w:tcW w:w="2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2"/>
              </w:rPr>
              <w:t>Dr. Steve Cutler</w:t>
            </w:r>
          </w:p>
        </w:tc>
        <w:tc>
          <w:tcPr>
            <w:tcW w:w="200" w:type="dxa"/>
            <w:vAlign w:val="bottom"/>
            <w:vMerge w:val="continue"/>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660" w:type="dxa"/>
            <w:vAlign w:val="bottom"/>
          </w:tcPr>
          <w:p>
            <w:pPr>
              <w:jc w:val="center"/>
              <w:spacing w:after="0"/>
              <w:rPr>
                <w:sz w:val="20"/>
                <w:szCs w:val="20"/>
                <w:color w:val="auto"/>
              </w:rPr>
            </w:pPr>
            <w:r>
              <w:rPr>
                <w:rFonts w:ascii="Arial" w:cs="Arial" w:eastAsia="Arial" w:hAnsi="Arial"/>
                <w:sz w:val="18"/>
                <w:szCs w:val="18"/>
                <w:color w:val="auto"/>
                <w:w w:val="89"/>
              </w:rPr>
              <w:t>/s/ Brendan Brennan</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82"/>
        </w:trPr>
        <w:tc>
          <w:tcPr>
            <w:tcW w:w="266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28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(Principal Financial Officer)</w:t>
            </w: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89"/>
              </w:rPr>
              <w:t>Brendan Brennan</w:t>
            </w:r>
          </w:p>
        </w:tc>
        <w:tc>
          <w:tcPr>
            <w:tcW w:w="200" w:type="dxa"/>
            <w:vAlign w:val="bottom"/>
            <w:vMerge w:val="continue"/>
          </w:tcPr>
          <w:p>
            <w:pPr>
              <w:spacing w:after="0"/>
              <w:rPr>
                <w:sz w:val="11"/>
                <w:szCs w:val="11"/>
                <w:color w:val="auto"/>
              </w:rPr>
            </w:pPr>
          </w:p>
        </w:tc>
        <w:tc>
          <w:tcPr>
            <w:tcW w:w="2860" w:type="dxa"/>
            <w:vAlign w:val="bottom"/>
            <w:gridSpan w:val="2"/>
            <w:vMerge w:val="continue"/>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Lead Independent 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3"/>
              </w:rPr>
              <w:t>Rónán Murphy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7"/>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1"/>
              </w:rPr>
              <w:t>Professor Hugh Brady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7"/>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2"/>
              </w:rPr>
              <w:t>Dr. John Climax</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87"/>
              </w:rPr>
              <w:t>Joan Garahy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4"/>
              </w:rPr>
              <w:t>Professor William Hall</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0"/>
              </w:rPr>
              <w:t>Eugene McCague</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98"/>
              </w:rPr>
              <w:t>Julie O’Neill</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April 26, 2021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660" w:type="dxa"/>
            <w:vAlign w:val="bottom"/>
          </w:tcPr>
          <w:p>
            <w:pPr>
              <w:jc w:val="center"/>
              <w:spacing w:after="0"/>
              <w:rPr>
                <w:sz w:val="20"/>
                <w:szCs w:val="20"/>
                <w:color w:val="auto"/>
              </w:rPr>
            </w:pPr>
            <w:r>
              <w:rPr>
                <w:rFonts w:ascii="Arial" w:cs="Arial" w:eastAsia="Arial" w:hAnsi="Arial"/>
                <w:sz w:val="18"/>
                <w:szCs w:val="18"/>
                <w:color w:val="auto"/>
                <w:w w:val="88"/>
              </w:rPr>
              <w:t>Mary Pendergast</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0"/>
                <w:szCs w:val="20"/>
                <w:color w:val="auto"/>
              </w:rPr>
            </w:pPr>
            <w:r>
              <w:rPr>
                <w:rFonts w:ascii="Arial" w:cs="Arial" w:eastAsia="Arial" w:hAnsi="Arial"/>
                <w:sz w:val="18"/>
                <w:szCs w:val="18"/>
                <w:color w:val="auto"/>
              </w:rPr>
              <w:t>*By:  /s/ Brendan Brennan</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43180</wp:posOffset>
            </wp:positionV>
            <wp:extent cx="21774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Brendan Brennan,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551" w:gutter="0" w:footer="0" w:header="0"/>
        </w:sectPr>
      </w:pPr>
    </w:p>
    <w:bookmarkStart w:id="353" w:name="page354"/>
    <w:bookmarkEnd w:id="3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REPRESENTATIVE</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Puglisi &amp; Associates</w:t>
      </w:r>
    </w:p>
    <w:p>
      <w:pPr>
        <w:spacing w:after="0" w:line="202" w:lineRule="exact"/>
        <w:rPr>
          <w:sz w:val="20"/>
          <w:szCs w:val="20"/>
          <w:color w:val="auto"/>
        </w:rPr>
      </w:pPr>
    </w:p>
    <w:p>
      <w:pPr>
        <w:ind w:left="1080"/>
        <w:spacing w:after="0"/>
        <w:tabs>
          <w:tab w:leader="none" w:pos="3500" w:val="left"/>
          <w:tab w:leader="none" w:pos="7380" w:val="left"/>
        </w:tabs>
        <w:rPr>
          <w:sz w:val="20"/>
          <w:szCs w:val="20"/>
          <w:color w:val="auto"/>
        </w:rPr>
      </w:pPr>
      <w:r>
        <w:rPr>
          <w:rFonts w:ascii="Arial" w:cs="Arial" w:eastAsia="Arial" w:hAnsi="Arial"/>
          <w:sz w:val="18"/>
          <w:szCs w:val="18"/>
          <w:color w:val="auto"/>
        </w:rPr>
        <w:t>/s/ Donald J. Puglisi</w:t>
      </w:r>
      <w:r>
        <w:rPr>
          <w:sz w:val="20"/>
          <w:szCs w:val="20"/>
          <w:color w:val="auto"/>
        </w:rPr>
        <w:tab/>
      </w:r>
      <w:r>
        <w:rPr>
          <w:rFonts w:ascii="Arial" w:cs="Arial" w:eastAsia="Arial" w:hAnsi="Arial"/>
          <w:sz w:val="18"/>
          <w:szCs w:val="18"/>
          <w:color w:val="auto"/>
        </w:rPr>
        <w:t>Authorized Representative in the United States</w:t>
      </w:r>
      <w:r>
        <w:rPr>
          <w:sz w:val="20"/>
          <w:szCs w:val="20"/>
          <w:color w:val="auto"/>
        </w:rPr>
        <w:tab/>
      </w:r>
      <w:r>
        <w:rPr>
          <w:rFonts w:ascii="Arial" w:cs="Arial" w:eastAsia="Arial" w:hAnsi="Arial"/>
          <w:sz w:val="17"/>
          <w:szCs w:val="17"/>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92849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8" w:lineRule="exact"/>
        <w:rPr>
          <w:sz w:val="20"/>
          <w:szCs w:val="20"/>
          <w:color w:val="auto"/>
        </w:rPr>
      </w:pPr>
    </w:p>
    <w:p>
      <w:pPr>
        <w:jc w:val="center"/>
        <w:ind w:right="5399"/>
        <w:spacing w:after="0"/>
        <w:rPr>
          <w:sz w:val="20"/>
          <w:szCs w:val="20"/>
          <w:color w:val="auto"/>
        </w:rPr>
      </w:pPr>
      <w:r>
        <w:rPr>
          <w:rFonts w:ascii="Arial" w:cs="Arial" w:eastAsia="Arial" w:hAnsi="Arial"/>
          <w:sz w:val="18"/>
          <w:szCs w:val="18"/>
          <w:color w:val="auto"/>
        </w:rPr>
        <w:t>Donald J. Puglisi</w:t>
      </w:r>
    </w:p>
    <w:p>
      <w:pPr>
        <w:spacing w:after="0" w:line="117" w:lineRule="exact"/>
        <w:rPr>
          <w:sz w:val="20"/>
          <w:szCs w:val="20"/>
          <w:color w:val="auto"/>
        </w:rPr>
      </w:pPr>
    </w:p>
    <w:p>
      <w:pPr>
        <w:jc w:val="center"/>
        <w:ind w:right="5399"/>
        <w:spacing w:after="0"/>
        <w:rPr>
          <w:sz w:val="20"/>
          <w:szCs w:val="20"/>
          <w:color w:val="auto"/>
        </w:rPr>
      </w:pPr>
      <w:r>
        <w:rPr>
          <w:rFonts w:ascii="Arial" w:cs="Arial" w:eastAsia="Arial" w:hAnsi="Arial"/>
          <w:sz w:val="17"/>
          <w:szCs w:val="17"/>
          <w:color w:val="auto"/>
        </w:rPr>
        <w:t>Managing Director, Puglisi &amp; Associates</w:t>
      </w:r>
    </w:p>
    <w:p>
      <w:pPr>
        <w:sectPr>
          <w:pgSz w:w="11900" w:h="16838" w:orient="portrait"/>
          <w:cols w:equalWidth="0" w:num="1">
            <w:col w:w="9019"/>
          </w:cols>
          <w:pgMar w:left="1440" w:top="265" w:right="1440" w:bottom="1440" w:gutter="0" w:footer="0" w:header="0"/>
        </w:sectPr>
      </w:pPr>
    </w:p>
    <w:bookmarkStart w:id="354" w:name="page355"/>
    <w:bookmarkEnd w:id="354"/>
    <w:tbl>
      <w:tblPr>
        <w:tblLayout w:type="fixed"/>
        <w:tblInd w:w="6020" w:type="dxa"/>
        <w:tblCellMar>
          <w:top w:w="0" w:type="dxa"/>
          <w:left w:w="0" w:type="dxa"/>
          <w:bottom w:w="0" w:type="dxa"/>
          <w:right w:w="0" w:type="dxa"/>
        </w:tblCellMar>
      </w:tblPr>
      <w:tr>
        <w:trPr>
          <w:trHeight w:val="280"/>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b w:val="1"/>
                <w:bCs w:val="1"/>
                <w:color w:val="auto"/>
              </w:rPr>
              <w:t>Exhibit 5.1</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500" w:type="dxa"/>
            <w:vAlign w:val="bottom"/>
            <w:vMerge w:val="restart"/>
          </w:tcPr>
          <w:p>
            <w:pPr>
              <w:spacing w:after="0"/>
              <w:rPr>
                <w:sz w:val="20"/>
                <w:szCs w:val="20"/>
                <w:color w:val="auto"/>
              </w:rPr>
            </w:pPr>
            <w:r>
              <w:rPr>
                <w:rFonts w:ascii="Arial" w:cs="Arial" w:eastAsia="Arial" w:hAnsi="Arial"/>
                <w:sz w:val="18"/>
                <w:szCs w:val="18"/>
                <w:b w:val="1"/>
                <w:bCs w:val="1"/>
                <w:color w:val="333333"/>
              </w:rPr>
              <w:t>A&amp;L Goodbody</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Dublin</w:t>
            </w:r>
          </w:p>
        </w:tc>
        <w:tc>
          <w:tcPr>
            <w:tcW w:w="0" w:type="dxa"/>
            <w:vAlign w:val="bottom"/>
          </w:tcPr>
          <w:p>
            <w:pPr>
              <w:spacing w:after="0"/>
              <w:rPr>
                <w:sz w:val="1"/>
                <w:szCs w:val="1"/>
                <w:color w:val="auto"/>
              </w:rPr>
            </w:pPr>
          </w:p>
        </w:tc>
      </w:tr>
      <w:tr>
        <w:trPr>
          <w:trHeight w:val="202"/>
        </w:trPr>
        <w:tc>
          <w:tcPr>
            <w:tcW w:w="40" w:type="dxa"/>
            <w:vAlign w:val="bottom"/>
            <w:shd w:val="clear" w:color="auto" w:fill="000000"/>
          </w:tcPr>
          <w:p>
            <w:pPr>
              <w:spacing w:after="0"/>
              <w:rPr>
                <w:sz w:val="17"/>
                <w:szCs w:val="17"/>
                <w:color w:val="auto"/>
              </w:rPr>
            </w:pPr>
          </w:p>
        </w:tc>
        <w:tc>
          <w:tcPr>
            <w:tcW w:w="35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000000"/>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333333"/>
              </w:rPr>
              <w:t>International Financial Services Centre</w:t>
            </w:r>
          </w:p>
        </w:tc>
        <w:tc>
          <w:tcPr>
            <w:tcW w:w="1680" w:type="dxa"/>
            <w:vAlign w:val="bottom"/>
          </w:tcPr>
          <w:p>
            <w:pPr>
              <w:jc w:val="right"/>
              <w:spacing w:after="0"/>
              <w:rPr>
                <w:sz w:val="20"/>
                <w:szCs w:val="20"/>
                <w:color w:val="auto"/>
              </w:rPr>
            </w:pPr>
            <w:r>
              <w:rPr>
                <w:rFonts w:ascii="Arial" w:cs="Arial" w:eastAsia="Arial" w:hAnsi="Arial"/>
                <w:sz w:val="18"/>
                <w:szCs w:val="18"/>
                <w:color w:val="333333"/>
              </w:rPr>
              <w:t>Belfast</w:t>
            </w:r>
          </w:p>
        </w:tc>
        <w:tc>
          <w:tcPr>
            <w:tcW w:w="0" w:type="dxa"/>
            <w:vAlign w:val="bottom"/>
          </w:tcPr>
          <w:p>
            <w:pPr>
              <w:spacing w:after="0"/>
              <w:rPr>
                <w:sz w:val="1"/>
                <w:szCs w:val="1"/>
                <w:color w:val="auto"/>
              </w:rPr>
            </w:pPr>
          </w:p>
        </w:tc>
      </w:tr>
      <w:tr>
        <w:trPr>
          <w:trHeight w:val="216"/>
        </w:trPr>
        <w:tc>
          <w:tcPr>
            <w:tcW w:w="40" w:type="dxa"/>
            <w:vAlign w:val="bottom"/>
            <w:shd w:val="clear" w:color="auto" w:fill="000000"/>
          </w:tcPr>
          <w:p>
            <w:pPr>
              <w:spacing w:after="0"/>
              <w:rPr>
                <w:sz w:val="18"/>
                <w:szCs w:val="18"/>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25-28 North Wall Quay, Dublin 1</w:t>
            </w:r>
          </w:p>
        </w:tc>
        <w:tc>
          <w:tcPr>
            <w:tcW w:w="1680" w:type="dxa"/>
            <w:vAlign w:val="bottom"/>
          </w:tcPr>
          <w:p>
            <w:pPr>
              <w:jc w:val="right"/>
              <w:spacing w:after="0"/>
              <w:rPr>
                <w:sz w:val="20"/>
                <w:szCs w:val="20"/>
                <w:color w:val="auto"/>
              </w:rPr>
            </w:pPr>
            <w:r>
              <w:rPr>
                <w:rFonts w:ascii="Arial" w:cs="Arial" w:eastAsia="Arial" w:hAnsi="Arial"/>
                <w:sz w:val="18"/>
                <w:szCs w:val="18"/>
                <w:color w:val="333333"/>
              </w:rPr>
              <w:t>London</w:t>
            </w:r>
          </w:p>
        </w:tc>
        <w:tc>
          <w:tcPr>
            <w:tcW w:w="0" w:type="dxa"/>
            <w:vAlign w:val="bottom"/>
          </w:tcPr>
          <w:p>
            <w:pPr>
              <w:spacing w:after="0"/>
              <w:rPr>
                <w:sz w:val="1"/>
                <w:szCs w:val="1"/>
                <w:color w:val="auto"/>
              </w:rPr>
            </w:pPr>
          </w:p>
        </w:tc>
      </w:tr>
      <w:tr>
        <w:trPr>
          <w:trHeight w:val="82"/>
        </w:trPr>
        <w:tc>
          <w:tcPr>
            <w:tcW w:w="40" w:type="dxa"/>
            <w:vAlign w:val="bottom"/>
            <w:shd w:val="clear" w:color="auto" w:fill="000000"/>
          </w:tcPr>
          <w:p>
            <w:pPr>
              <w:spacing w:after="0"/>
              <w:rPr>
                <w:sz w:val="7"/>
                <w:szCs w:val="7"/>
                <w:color w:val="auto"/>
              </w:rPr>
            </w:pPr>
          </w:p>
        </w:tc>
        <w:tc>
          <w:tcPr>
            <w:tcW w:w="3500" w:type="dxa"/>
            <w:vAlign w:val="bottom"/>
            <w:vMerge w:val="continue"/>
          </w:tcPr>
          <w:p>
            <w:pPr>
              <w:spacing w:after="0"/>
              <w:rPr>
                <w:sz w:val="7"/>
                <w:szCs w:val="7"/>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New York</w:t>
            </w:r>
          </w:p>
        </w:tc>
        <w:tc>
          <w:tcPr>
            <w:tcW w:w="0" w:type="dxa"/>
            <w:vAlign w:val="bottom"/>
          </w:tcPr>
          <w:p>
            <w:pPr>
              <w:spacing w:after="0"/>
              <w:rPr>
                <w:sz w:val="1"/>
                <w:szCs w:val="1"/>
                <w:color w:val="auto"/>
              </w:rPr>
            </w:pPr>
          </w:p>
        </w:tc>
      </w:tr>
      <w:tr>
        <w:trPr>
          <w:trHeight w:val="134"/>
        </w:trPr>
        <w:tc>
          <w:tcPr>
            <w:tcW w:w="40" w:type="dxa"/>
            <w:vAlign w:val="bottom"/>
            <w:shd w:val="clear" w:color="auto" w:fill="000000"/>
          </w:tcPr>
          <w:p>
            <w:pPr>
              <w:spacing w:after="0"/>
              <w:rPr>
                <w:sz w:val="11"/>
                <w:szCs w:val="1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D01 H104</w:t>
            </w: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000000"/>
          </w:tcPr>
          <w:p>
            <w:pPr>
              <w:spacing w:after="0"/>
              <w:rPr>
                <w:sz w:val="10"/>
                <w:szCs w:val="10"/>
                <w:color w:val="auto"/>
              </w:rPr>
            </w:pPr>
          </w:p>
        </w:tc>
        <w:tc>
          <w:tcPr>
            <w:tcW w:w="3500" w:type="dxa"/>
            <w:vAlign w:val="bottom"/>
            <w:vMerge w:val="continue"/>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San Francisco</w:t>
            </w:r>
          </w:p>
        </w:tc>
        <w:tc>
          <w:tcPr>
            <w:tcW w:w="0" w:type="dxa"/>
            <w:vAlign w:val="bottom"/>
          </w:tcPr>
          <w:p>
            <w:pPr>
              <w:spacing w:after="0"/>
              <w:rPr>
                <w:sz w:val="1"/>
                <w:szCs w:val="1"/>
                <w:color w:val="auto"/>
              </w:rPr>
            </w:pPr>
          </w:p>
        </w:tc>
      </w:tr>
      <w:tr>
        <w:trPr>
          <w:trHeight w:val="94"/>
        </w:trPr>
        <w:tc>
          <w:tcPr>
            <w:tcW w:w="40" w:type="dxa"/>
            <w:vAlign w:val="bottom"/>
            <w:shd w:val="clear" w:color="auto" w:fill="000000"/>
          </w:tcPr>
          <w:p>
            <w:pPr>
              <w:spacing w:after="0"/>
              <w:rPr>
                <w:sz w:val="8"/>
                <w:szCs w:val="8"/>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T: +353 1 649 2000</w:t>
            </w: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000000"/>
          </w:tcPr>
          <w:p>
            <w:pPr>
              <w:spacing w:after="0"/>
              <w:rPr>
                <w:sz w:val="12"/>
                <w:szCs w:val="12"/>
                <w:color w:val="auto"/>
              </w:rPr>
            </w:pPr>
          </w:p>
        </w:tc>
        <w:tc>
          <w:tcPr>
            <w:tcW w:w="3500" w:type="dxa"/>
            <w:vAlign w:val="bottom"/>
            <w:vMerge w:val="continue"/>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Palo Alto</w:t>
            </w:r>
          </w:p>
        </w:tc>
        <w:tc>
          <w:tcPr>
            <w:tcW w:w="0" w:type="dxa"/>
            <w:vAlign w:val="bottom"/>
          </w:tcPr>
          <w:p>
            <w:pPr>
              <w:spacing w:after="0"/>
              <w:rPr>
                <w:sz w:val="1"/>
                <w:szCs w:val="1"/>
                <w:color w:val="auto"/>
              </w:rPr>
            </w:pPr>
          </w:p>
        </w:tc>
      </w:tr>
      <w:tr>
        <w:trPr>
          <w:trHeight w:val="81"/>
        </w:trPr>
        <w:tc>
          <w:tcPr>
            <w:tcW w:w="40" w:type="dxa"/>
            <w:vAlign w:val="bottom"/>
            <w:shd w:val="clear" w:color="auto" w:fill="000000"/>
          </w:tcPr>
          <w:p>
            <w:pPr>
              <w:spacing w:after="0"/>
              <w:rPr>
                <w:sz w:val="7"/>
                <w:szCs w:val="7"/>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DX: 29 Dublin | www.algoodbody.com</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000000"/>
          </w:tcPr>
          <w:p>
            <w:pPr>
              <w:spacing w:after="0"/>
              <w:rPr>
                <w:sz w:val="15"/>
                <w:szCs w:val="15"/>
                <w:color w:val="auto"/>
              </w:rPr>
            </w:pPr>
          </w:p>
        </w:tc>
        <w:tc>
          <w:tcPr>
            <w:tcW w:w="35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0" w:type="dxa"/>
            <w:vAlign w:val="bottom"/>
            <w:shd w:val="clear" w:color="auto" w:fill="000000"/>
          </w:tcPr>
          <w:p>
            <w:pPr>
              <w:spacing w:after="0"/>
              <w:rPr>
                <w:sz w:val="3"/>
                <w:szCs w:val="3"/>
                <w:color w:val="auto"/>
              </w:rPr>
            </w:pPr>
          </w:p>
        </w:tc>
        <w:tc>
          <w:tcPr>
            <w:tcW w:w="3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1619885" cy="2489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1619885" cy="2489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333333"/>
              </w:rPr>
              <w:t>Date</w:t>
            </w:r>
          </w:p>
        </w:tc>
        <w:tc>
          <w:tcPr>
            <w:tcW w:w="40" w:type="dxa"/>
            <w:vAlign w:val="bottom"/>
            <w:shd w:val="clear" w:color="auto" w:fill="000000"/>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1A1A1A"/>
              </w:rPr>
              <w:t>April 26, 2021</w:t>
            </w:r>
          </w:p>
        </w:tc>
        <w:tc>
          <w:tcPr>
            <w:tcW w:w="0" w:type="dxa"/>
            <w:vAlign w:val="bottom"/>
          </w:tcPr>
          <w:p>
            <w:pPr>
              <w:spacing w:after="0"/>
              <w:rPr>
                <w:sz w:val="1"/>
                <w:szCs w:val="1"/>
                <w:color w:val="auto"/>
              </w:rPr>
            </w:pPr>
          </w:p>
        </w:tc>
      </w:tr>
      <w:tr>
        <w:trPr>
          <w:trHeight w:val="216"/>
        </w:trPr>
        <w:tc>
          <w:tcPr>
            <w:tcW w:w="1300" w:type="dxa"/>
            <w:vAlign w:val="bottom"/>
            <w:vMerge w:val="restart"/>
          </w:tcPr>
          <w:p>
            <w:pPr>
              <w:spacing w:after="0"/>
              <w:rPr>
                <w:sz w:val="20"/>
                <w:szCs w:val="20"/>
                <w:color w:val="auto"/>
              </w:rPr>
            </w:pPr>
            <w:r>
              <w:rPr>
                <w:rFonts w:ascii="Arial" w:cs="Arial" w:eastAsia="Arial" w:hAnsi="Arial"/>
                <w:sz w:val="18"/>
                <w:szCs w:val="18"/>
                <w:color w:val="333333"/>
              </w:rPr>
              <w:t>Our ref</w:t>
            </w:r>
          </w:p>
        </w:tc>
        <w:tc>
          <w:tcPr>
            <w:tcW w:w="40" w:type="dxa"/>
            <w:vAlign w:val="bottom"/>
          </w:tcPr>
          <w:p>
            <w:pPr>
              <w:spacing w:after="0"/>
              <w:rPr>
                <w:sz w:val="18"/>
                <w:szCs w:val="18"/>
                <w:color w:val="auto"/>
              </w:rPr>
            </w:pPr>
          </w:p>
        </w:tc>
        <w:tc>
          <w:tcPr>
            <w:tcW w:w="1640" w:type="dxa"/>
            <w:vAlign w:val="bottom"/>
            <w:vMerge w:val="restart"/>
          </w:tcPr>
          <w:p>
            <w:pPr>
              <w:ind w:left="100"/>
              <w:spacing w:after="0"/>
              <w:rPr>
                <w:sz w:val="20"/>
                <w:szCs w:val="20"/>
                <w:color w:val="auto"/>
              </w:rPr>
            </w:pPr>
            <w:r>
              <w:rPr>
                <w:rFonts w:ascii="Arial" w:cs="Arial" w:eastAsia="Arial" w:hAnsi="Arial"/>
                <w:sz w:val="18"/>
                <w:szCs w:val="18"/>
                <w:color w:val="1A1A1A"/>
                <w:w w:val="92"/>
              </w:rPr>
              <w:t>BHY/BOF 01435880</w:t>
            </w:r>
          </w:p>
        </w:tc>
        <w:tc>
          <w:tcPr>
            <w:tcW w:w="0" w:type="dxa"/>
            <w:vAlign w:val="bottom"/>
          </w:tcPr>
          <w:p>
            <w:pPr>
              <w:spacing w:after="0"/>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1A1A1A"/>
        </w:rPr>
        <w:t>ICON plc</w:t>
      </w:r>
    </w:p>
    <w:p>
      <w:pPr>
        <w:spacing w:after="0" w:line="238" w:lineRule="auto"/>
        <w:rPr>
          <w:sz w:val="20"/>
          <w:szCs w:val="20"/>
          <w:color w:val="auto"/>
        </w:rPr>
      </w:pPr>
      <w:r>
        <w:rPr>
          <w:rFonts w:ascii="Arial" w:cs="Arial" w:eastAsia="Arial" w:hAnsi="Arial"/>
          <w:sz w:val="22"/>
          <w:szCs w:val="22"/>
          <w:color w:val="1A1A1A"/>
        </w:rPr>
        <w:t>South County Business Park</w:t>
      </w:r>
    </w:p>
    <w:p>
      <w:pPr>
        <w:spacing w:after="0" w:line="230" w:lineRule="auto"/>
        <w:rPr>
          <w:sz w:val="20"/>
          <w:szCs w:val="20"/>
          <w:color w:val="auto"/>
        </w:rPr>
      </w:pPr>
      <w:r>
        <w:rPr>
          <w:rFonts w:ascii="Arial" w:cs="Arial" w:eastAsia="Arial" w:hAnsi="Arial"/>
          <w:sz w:val="22"/>
          <w:szCs w:val="22"/>
          <w:color w:val="1A1A1A"/>
        </w:rPr>
        <w:t>Leopardstown</w:t>
      </w:r>
    </w:p>
    <w:p>
      <w:pPr>
        <w:spacing w:after="0" w:line="231" w:lineRule="auto"/>
        <w:rPr>
          <w:sz w:val="20"/>
          <w:szCs w:val="20"/>
          <w:color w:val="auto"/>
        </w:rPr>
      </w:pPr>
      <w:r>
        <w:rPr>
          <w:rFonts w:ascii="Arial" w:cs="Arial" w:eastAsia="Arial" w:hAnsi="Arial"/>
          <w:sz w:val="22"/>
          <w:szCs w:val="22"/>
          <w:color w:val="1A1A1A"/>
        </w:rPr>
        <w:t>Dublin 18</w:t>
      </w:r>
    </w:p>
    <w:p>
      <w:pPr>
        <w:spacing w:after="0"/>
        <w:rPr>
          <w:sz w:val="20"/>
          <w:szCs w:val="20"/>
          <w:color w:val="auto"/>
        </w:rPr>
      </w:pPr>
      <w:r>
        <w:rPr>
          <w:rFonts w:ascii="Arial" w:cs="Arial" w:eastAsia="Arial" w:hAnsi="Arial"/>
          <w:sz w:val="22"/>
          <w:szCs w:val="22"/>
          <w:color w:val="1A1A1A"/>
        </w:rPr>
        <w:t>Ireland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ICON plc </w:t>
      </w:r>
      <w:r>
        <w:rPr>
          <w:rFonts w:ascii="Arial" w:cs="Arial" w:eastAsia="Arial" w:hAnsi="Arial"/>
          <w:sz w:val="22"/>
          <w:szCs w:val="22"/>
          <w:color w:val="auto"/>
        </w:rPr>
        <w:t>(the</w:t>
      </w:r>
      <w:r>
        <w:rPr>
          <w:rFonts w:ascii="Arial" w:cs="Arial" w:eastAsia="Arial" w:hAnsi="Arial"/>
          <w:sz w:val="22"/>
          <w:szCs w:val="22"/>
          <w:b w:val="1"/>
          <w:bCs w:val="1"/>
          <w:color w:val="auto"/>
        </w:rPr>
        <w:t xml:space="preserve"> Company</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6" w:lineRule="exact"/>
        <w:rPr>
          <w:sz w:val="20"/>
          <w:szCs w:val="20"/>
          <w:color w:val="auto"/>
        </w:rPr>
      </w:pPr>
    </w:p>
    <w:p>
      <w:pPr>
        <w:ind w:left="580" w:hanging="572"/>
        <w:spacing w:after="0"/>
        <w:tabs>
          <w:tab w:leader="none" w:pos="580"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Context</w:t>
      </w:r>
    </w:p>
    <w:p>
      <w:pPr>
        <w:spacing w:after="0" w:line="256" w:lineRule="exact"/>
        <w:rPr>
          <w:sz w:val="20"/>
          <w:szCs w:val="20"/>
          <w:color w:val="auto"/>
        </w:rPr>
      </w:pPr>
    </w:p>
    <w:p>
      <w:pPr>
        <w:jc w:val="both"/>
        <w:ind w:left="560" w:hanging="552"/>
        <w:spacing w:after="0" w:line="25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We act as Irish counsel for the Company, registered number 145835, a public limited company limited by shares incorporated under the laws of Ireland, in connection with the preparation and filing of a Registration Statement on Form F-4, which includes the Joint Proxy Statement/Prospectus, to be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on or about the date of this opinion, under the Securities Act of 1933, as amended (such Registration Statement, as amended or supplemented, is hereinafter referred to as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215" w:lineRule="exact"/>
        <w:rPr>
          <w:sz w:val="20"/>
          <w:szCs w:val="20"/>
          <w:color w:val="auto"/>
        </w:rPr>
      </w:pPr>
    </w:p>
    <w:p>
      <w:pPr>
        <w:jc w:val="both"/>
        <w:ind w:left="560" w:hanging="552"/>
        <w:spacing w:after="0" w:line="257"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In connection with the transactions contemplated by an Agreement and Plan of Merger, dated as of February 24, 2021, by and among the Company, ICON US Holdings, Inc., Indigo Merger Sub, Inc. and PRA Health Sciences, Inc.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the Company expects to issue approximately 28,831,766 ordinary shares, par value €0.06 per share (this number being an estimate only as of the date of this letter). The number of shares actually issued, when issued in accordance with the Merger Agreement, are referred to in this opinion as the </w:t>
      </w:r>
      <w:r>
        <w:rPr>
          <w:rFonts w:ascii="Arial" w:cs="Arial" w:eastAsia="Arial" w:hAnsi="Arial"/>
          <w:sz w:val="18"/>
          <w:szCs w:val="18"/>
          <w:b w:val="1"/>
          <w:bCs w:val="1"/>
          <w:color w:val="auto"/>
        </w:rPr>
        <w:t>Merger Shares</w:t>
      </w:r>
      <w:r>
        <w:rPr>
          <w:rFonts w:ascii="Arial" w:cs="Arial" w:eastAsia="Arial" w:hAnsi="Arial"/>
          <w:sz w:val="18"/>
          <w:szCs w:val="18"/>
          <w:color w:val="auto"/>
        </w:rPr>
        <w:t xml:space="preserve"> and the issuance of the Merger Shares is referred to as the </w:t>
      </w:r>
      <w:r>
        <w:rPr>
          <w:rFonts w:ascii="Arial" w:cs="Arial" w:eastAsia="Arial" w:hAnsi="Arial"/>
          <w:sz w:val="18"/>
          <w:szCs w:val="18"/>
          <w:b w:val="1"/>
          <w:bCs w:val="1"/>
          <w:color w:val="auto"/>
        </w:rPr>
        <w:t>Issuance</w:t>
      </w:r>
      <w:r>
        <w:rPr>
          <w:rFonts w:ascii="Arial" w:cs="Arial" w:eastAsia="Arial" w:hAnsi="Arial"/>
          <w:sz w:val="18"/>
          <w:szCs w:val="18"/>
          <w:color w:val="auto"/>
        </w:rPr>
        <w:t>.</w:t>
      </w:r>
    </w:p>
    <w:p>
      <w:pPr>
        <w:spacing w:after="0" w:line="211" w:lineRule="exact"/>
        <w:rPr>
          <w:sz w:val="20"/>
          <w:szCs w:val="20"/>
          <w:color w:val="auto"/>
        </w:rPr>
      </w:pPr>
    </w:p>
    <w:p>
      <w:pPr>
        <w:ind w:left="560" w:hanging="552"/>
        <w:spacing w:after="0"/>
        <w:tabs>
          <w:tab w:leader="none" w:pos="560"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t>Examination</w:t>
      </w:r>
    </w:p>
    <w:p>
      <w:pPr>
        <w:spacing w:after="0" w:line="249" w:lineRule="exact"/>
        <w:rPr>
          <w:sz w:val="20"/>
          <w:szCs w:val="20"/>
          <w:color w:val="auto"/>
        </w:rPr>
      </w:pPr>
    </w:p>
    <w:p>
      <w:pPr>
        <w:ind w:left="560"/>
        <w:spacing w:after="0" w:line="328" w:lineRule="auto"/>
        <w:rPr>
          <w:sz w:val="20"/>
          <w:szCs w:val="20"/>
          <w:color w:val="auto"/>
        </w:rPr>
      </w:pPr>
      <w:r>
        <w:rPr>
          <w:rFonts w:ascii="Arial" w:cs="Arial" w:eastAsia="Arial" w:hAnsi="Arial"/>
          <w:sz w:val="19"/>
          <w:szCs w:val="19"/>
          <w:color w:val="auto"/>
        </w:rPr>
        <w:t>In connection with this opinion, we have reviewed copies of such corporate records and other instruments of the Company as we have deemed necessary as a basis for the opinion as set out in paragraph 3 of this letter, including:</w:t>
      </w:r>
    </w:p>
    <w:p>
      <w:pPr>
        <w:spacing w:after="0" w:line="139" w:lineRule="exact"/>
        <w:rPr>
          <w:sz w:val="20"/>
          <w:szCs w:val="20"/>
          <w:color w:val="auto"/>
        </w:rPr>
      </w:pPr>
    </w:p>
    <w:p>
      <w:pPr>
        <w:ind w:left="1220" w:hanging="659"/>
        <w:spacing w:after="0"/>
        <w:tabs>
          <w:tab w:leader="none" w:pos="12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resolutions of the board of directors of the Company approving, amongst other things, the Merger Agreement and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4D4D4D"/>
        </w:rPr>
        <w:t>CE Gill • JG Grennan • PD White • VJ Power • LA Kennedy • SM Doggett • B McDermott • PV Maher • S O’Riordan • MP McKenna • KA Feeney • M Sherlock • E MacNeill • KP Allen EA Roberts • C Rogers • G O’Toole • JN Kelly • N O’Sullivan • MJ Ward • AC Burke • D Widger • C Christle • S O’Croinin • JW Yarr • DR Baxter • A McCarthy • JF Whelan • JB Somerville MF Barr • AM Curran • A Roberts • RM Moore • D Main • J Cahir • M Traynor • PM Murray • P Walker • K Furlong • PT Fahy • D Inverarity • M Coghlan • DR Francis • A Casey • B Hosty M O’Brien • L Mulleady • K Ryan • E Hurley • G Stanley • D Dagostino • R Grey • R Lyons • J Sheehy • C Carroll • SE Carson • P Diggin • J Williams • A O’Beirne • J Dallas SM Lynch • M McElhinney • C Owens • AD Ion • K O'Connor • JH Milne • T Casey • M Doyle • CJ Comerford • R Marron • D Berkery • K O'Shaughnessy • S O'Connor SE Murphy • D Nangle • L Butler • A Lawler • C Ó Conluain • N McMahon • HP Brandt • A Sheridan • LM Byrne • N Cole • M Devane • D Fitzgerald • G McDonald • N Meehan R O'Driscoll • B O'Malley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4D4D4D"/>
        </w:rPr>
        <w:t>Consultants: SW Haughey • Professor JCW Wylie • AF Browne • MA Greene • AV Fanagan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5" w:name="page356"/>
    <w:bookmarkEnd w:id="355"/>
    <w:p>
      <w:pPr>
        <w:ind w:left="1220" w:hanging="659"/>
        <w:spacing w:after="0" w:line="282" w:lineRule="auto"/>
        <w:tabs>
          <w:tab w:leader="none" w:pos="12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19885" cy="2489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920"/>
                    </a:xfrm>
                    <a:prstGeom prst="rect">
                      <a:avLst/>
                    </a:prstGeom>
                    <a:noFill/>
                  </pic:spPr>
                </pic:pic>
              </a:graphicData>
            </a:graphic>
          </wp:anchor>
        </w:drawing>
        <w:t>notice of an extraordinary general meeting of the Company (</w:t>
      </w:r>
      <w:r>
        <w:rPr>
          <w:rFonts w:ascii="Arial" w:cs="Arial" w:eastAsia="Arial" w:hAnsi="Arial"/>
          <w:sz w:val="18"/>
          <w:szCs w:val="18"/>
          <w:b w:val="1"/>
          <w:bCs w:val="1"/>
          <w:color w:val="auto"/>
        </w:rPr>
        <w:t>EGM</w:t>
      </w:r>
      <w:r>
        <w:rPr>
          <w:rFonts w:ascii="Arial" w:cs="Arial" w:eastAsia="Arial" w:hAnsi="Arial"/>
          <w:sz w:val="18"/>
          <w:szCs w:val="18"/>
          <w:color w:val="auto"/>
        </w:rPr>
        <w:t xml:space="preserve">) setting out the resolutions to be passed by the shareholders approving the Issuance (the </w:t>
      </w:r>
      <w:r>
        <w:rPr>
          <w:rFonts w:ascii="Arial" w:cs="Arial" w:eastAsia="Arial" w:hAnsi="Arial"/>
          <w:sz w:val="18"/>
          <w:szCs w:val="18"/>
          <w:b w:val="1"/>
          <w:bCs w:val="1"/>
          <w:color w:val="auto"/>
        </w:rPr>
        <w:t>EGM Resolutions</w:t>
      </w:r>
      <w:r>
        <w:rPr>
          <w:rFonts w:ascii="Arial" w:cs="Arial" w:eastAsia="Arial" w:hAnsi="Arial"/>
          <w:sz w:val="18"/>
          <w:szCs w:val="18"/>
          <w:color w:val="auto"/>
        </w:rPr>
        <w:t>), as contained in the Registration Statement;</w:t>
      </w:r>
    </w:p>
    <w:p>
      <w:pPr>
        <w:spacing w:after="0" w:line="188" w:lineRule="exact"/>
        <w:rPr>
          <w:rFonts w:ascii="Arial" w:cs="Arial" w:eastAsia="Arial" w:hAnsi="Arial"/>
          <w:sz w:val="18"/>
          <w:szCs w:val="18"/>
          <w:color w:val="auto"/>
        </w:rPr>
      </w:pPr>
    </w:p>
    <w:p>
      <w:pPr>
        <w:ind w:left="1220" w:hanging="659"/>
        <w:spacing w:after="0"/>
        <w:tabs>
          <w:tab w:leader="none" w:pos="12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a copy of the Constitution of the Company, in force as of the date hereof (the </w:t>
      </w:r>
      <w:r>
        <w:rPr>
          <w:rFonts w:ascii="Arial" w:cs="Arial" w:eastAsia="Arial" w:hAnsi="Arial"/>
          <w:sz w:val="18"/>
          <w:szCs w:val="18"/>
          <w:b w:val="1"/>
          <w:bCs w:val="1"/>
          <w:color w:val="auto"/>
        </w:rPr>
        <w:t>Constitution</w:t>
      </w:r>
      <w:r>
        <w:rPr>
          <w:rFonts w:ascii="Arial" w:cs="Arial" w:eastAsia="Arial" w:hAnsi="Arial"/>
          <w:sz w:val="18"/>
          <w:szCs w:val="18"/>
          <w:color w:val="auto"/>
        </w:rPr>
        <w:t>).</w:t>
      </w:r>
    </w:p>
    <w:p>
      <w:pPr>
        <w:spacing w:after="0" w:line="252" w:lineRule="exact"/>
        <w:rPr>
          <w:sz w:val="20"/>
          <w:szCs w:val="20"/>
          <w:color w:val="auto"/>
        </w:rPr>
      </w:pPr>
    </w:p>
    <w:p>
      <w:pPr>
        <w:ind w:left="560" w:hanging="552"/>
        <w:spacing w:after="0"/>
        <w:tabs>
          <w:tab w:leader="none" w:pos="56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Based upon and subject to the assumptions, qualifications and limitations set out below, we are of the opinion that:</w:t>
      </w:r>
    </w:p>
    <w:p>
      <w:pPr>
        <w:spacing w:after="0" w:line="252" w:lineRule="exact"/>
        <w:rPr>
          <w:sz w:val="20"/>
          <w:szCs w:val="20"/>
          <w:color w:val="auto"/>
        </w:rPr>
      </w:pPr>
    </w:p>
    <w:p>
      <w:pPr>
        <w:ind w:left="1220" w:hanging="659"/>
        <w:spacing w:after="0"/>
        <w:tabs>
          <w:tab w:leader="none" w:pos="12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Company is a public company limited by shares and is duly incorporated and validly existing under the laws of Ireland; and</w:t>
      </w:r>
    </w:p>
    <w:p>
      <w:pPr>
        <w:spacing w:after="0" w:line="263" w:lineRule="exact"/>
        <w:rPr>
          <w:rFonts w:ascii="Arial" w:cs="Arial" w:eastAsia="Arial" w:hAnsi="Arial"/>
          <w:sz w:val="17"/>
          <w:szCs w:val="17"/>
          <w:color w:val="auto"/>
        </w:rPr>
      </w:pPr>
    </w:p>
    <w:p>
      <w:pPr>
        <w:jc w:val="both"/>
        <w:ind w:left="1220" w:hanging="659"/>
        <w:spacing w:after="0" w:line="263" w:lineRule="auto"/>
        <w:tabs>
          <w:tab w:leader="none" w:pos="12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Merger Shares, when issued by the Company in accordance with the terms of the Registration Statement and the Merger Agreement, will have been duly authorised and will be validly issued, fully paid and non-assessable (which term means that no further sums are required to be paid by the holders thereof in connection with the issue of such Merger Shares).</w:t>
      </w:r>
    </w:p>
    <w:p>
      <w:pPr>
        <w:spacing w:after="0" w:line="207" w:lineRule="exact"/>
        <w:rPr>
          <w:sz w:val="20"/>
          <w:szCs w:val="20"/>
          <w:color w:val="auto"/>
        </w:rPr>
      </w:pPr>
    </w:p>
    <w:p>
      <w:pPr>
        <w:ind w:left="560" w:hanging="552"/>
        <w:spacing w:after="0"/>
        <w:tabs>
          <w:tab w:leader="none" w:pos="56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ind w:left="560" w:hanging="552"/>
        <w:spacing w:after="0" w:line="263"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We have assumed that when the Issuance occurs:</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EGM Resolutions will have been duly passed at the EGM;</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Constitution has not been amended or varied;</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Registration Statement has become effective;</w:t>
      </w:r>
    </w:p>
    <w:p>
      <w:pPr>
        <w:spacing w:after="0" w:line="252" w:lineRule="exact"/>
        <w:rPr>
          <w:sz w:val="20"/>
          <w:szCs w:val="20"/>
          <w:color w:val="auto"/>
        </w:rPr>
      </w:pPr>
    </w:p>
    <w:p>
      <w:pPr>
        <w:jc w:val="both"/>
        <w:ind w:left="1220" w:hanging="661"/>
        <w:spacing w:after="0" w:line="279" w:lineRule="auto"/>
        <w:tabs>
          <w:tab w:leader="none" w:pos="12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7"/>
          <w:szCs w:val="17"/>
          <w:color w:val="auto"/>
        </w:rPr>
        <w:t>the Company is fully solvent at the time of and immediately following the Issuance (ii) no resolution or petition for the appointment of a liquidator or examiner has been presented prior to the Issuance (iii) no receiver will have been appointed in relation to any of the assets or undertaking of the Company and (iv) no composition in satisfaction of debts, scheme of arrangement, or compromise or arrangement with any creditors or members will be proposed, sanctioned or approved in relation to the Company.</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We have further assumed:</w:t>
      </w:r>
    </w:p>
    <w:p>
      <w:pPr>
        <w:spacing w:after="0" w:line="252"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authenticity of all documents submitted to us, the conformity to the originals of all documents submitted to us as copies and the authenticity of the originals of all documents submitted to us as copies;</w:t>
      </w:r>
    </w:p>
    <w:p>
      <w:pPr>
        <w:spacing w:after="0" w:line="197"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authority of persons signing on behalf of a particular party and the due authorisation, execution and delivery of all documents by the parties thereto other than the Company; and</w:t>
      </w:r>
    </w:p>
    <w:p>
      <w:pPr>
        <w:spacing w:after="0" w:line="197" w:lineRule="exact"/>
        <w:rPr>
          <w:sz w:val="20"/>
          <w:szCs w:val="20"/>
          <w:color w:val="auto"/>
        </w:rPr>
      </w:pPr>
    </w:p>
    <w:p>
      <w:pPr>
        <w:jc w:val="both"/>
        <w:ind w:left="1220" w:hanging="661"/>
        <w:spacing w:after="0" w:line="263" w:lineRule="auto"/>
        <w:tabs>
          <w:tab w:leader="none" w:pos="12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that none of the resolutions and authorities of the shareholders or directors of the Company upon which we have relied have been varied, amended or revoked in any respect or have expired and that the Merger Shares will be issued in accordance with such resolutions and authorities and the terms of the Merger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6" w:name="page357"/>
    <w:bookmarkEnd w:id="356"/>
    <w:p>
      <w:pPr>
        <w:ind w:left="560" w:hanging="552"/>
        <w:spacing w:after="0"/>
        <w:tabs>
          <w:tab w:leader="none" w:pos="560"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9885" cy="2482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285"/>
                    </a:xfrm>
                    <a:prstGeom prst="rect">
                      <a:avLst/>
                    </a:prstGeom>
                    <a:noFill/>
                  </pic:spPr>
                </pic:pic>
              </a:graphicData>
            </a:graphic>
          </wp:anchor>
        </w:drawing>
        <w:t>Qualifications</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 limited to the specific issues addressed herein, and no opinion may be inferred or implied beyond that expressly stated herein.</w:t>
      </w:r>
    </w:p>
    <w:p>
      <w:pPr>
        <w:spacing w:after="0" w:line="252" w:lineRule="exact"/>
        <w:rPr>
          <w:sz w:val="20"/>
          <w:szCs w:val="20"/>
          <w:color w:val="auto"/>
        </w:rPr>
      </w:pPr>
    </w:p>
    <w:p>
      <w:pPr>
        <w:jc w:val="both"/>
        <w:ind w:left="560" w:hanging="552"/>
        <w:spacing w:after="0" w:line="301"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confined to and given in all respects on the basis of the laws of Ireland (meaning Ireland exclusive of Northern Ireland) in force as at the date of this opinion as currently applied by the courts of Ireland. We have made no investigations of, and we express no opinion as to the laws of, any other jurisdiction or their effect on this opinion. This opinion speaks only as of its date. We assume no obligation to update this opinion at any time in the future or to advise you of any change in law or change in interpretation of law which may occur after the date of this opinion.</w:t>
      </w:r>
    </w:p>
    <w:p>
      <w:pPr>
        <w:spacing w:after="0" w:line="177" w:lineRule="exact"/>
        <w:rPr>
          <w:sz w:val="20"/>
          <w:szCs w:val="20"/>
          <w:color w:val="auto"/>
        </w:rPr>
      </w:pPr>
    </w:p>
    <w:p>
      <w:pPr>
        <w:ind w:right="2240"/>
        <w:spacing w:after="0" w:line="481" w:lineRule="auto"/>
        <w:rPr>
          <w:sz w:val="20"/>
          <w:szCs w:val="20"/>
          <w:color w:val="auto"/>
        </w:rPr>
      </w:pPr>
      <w:r>
        <w:rPr>
          <w:rFonts w:ascii="Arial" w:cs="Arial" w:eastAsia="Arial" w:hAnsi="Arial"/>
          <w:sz w:val="22"/>
          <w:szCs w:val="22"/>
          <w:color w:val="auto"/>
        </w:rPr>
        <w:t>We hereby consent to the filing of this opinion with the SEC as an exhibit to the Registration Statement. Yours faithfully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 A&amp;L Goodbody LLP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1A1A1A"/>
        </w:rPr>
        <w:t>A&amp;L Goodbody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756" w:right="339" w:bottom="1440" w:gutter="0" w:footer="0" w:header="0"/>
        </w:sectPr>
      </w:pPr>
    </w:p>
    <w:bookmarkStart w:id="357" w:name="page358"/>
    <w:bookmarkEnd w:id="357"/>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Details of the Company’s significant subsidiaries or entities under the Company’s control at December 31, 2020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i w:val="1"/>
                <w:iCs w:val="1"/>
                <w:color w:val="auto"/>
              </w:rPr>
              <w:t>Company</w:t>
            </w:r>
          </w:p>
        </w:tc>
        <w:tc>
          <w:tcPr>
            <w:tcW w:w="3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i w:val="1"/>
                <w:iCs w:val="1"/>
                <w:color w:val="auto"/>
              </w:rPr>
              <w:t>Country</w:t>
            </w:r>
          </w:p>
        </w:tc>
        <w:tc>
          <w:tcPr>
            <w:tcW w:w="25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S.A.</w:t>
            </w:r>
          </w:p>
        </w:tc>
        <w:tc>
          <w:tcPr>
            <w:tcW w:w="3360" w:type="dxa"/>
            <w:vAlign w:val="bottom"/>
          </w:tcPr>
          <w:p>
            <w:pPr>
              <w:ind w:left="1080"/>
              <w:spacing w:after="0"/>
              <w:rPr>
                <w:sz w:val="20"/>
                <w:szCs w:val="20"/>
                <w:color w:val="auto"/>
              </w:rPr>
            </w:pPr>
            <w:r>
              <w:rPr>
                <w:rFonts w:ascii="Arial" w:cs="Arial" w:eastAsia="Arial" w:hAnsi="Arial"/>
                <w:sz w:val="18"/>
                <w:szCs w:val="18"/>
                <w:color w:val="auto"/>
              </w:rPr>
              <w:t>Argentina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PTY Limited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Australia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MedPass International Pty Ltd</w:t>
            </w:r>
          </w:p>
        </w:tc>
        <w:tc>
          <w:tcPr>
            <w:tcW w:w="3360" w:type="dxa"/>
            <w:vAlign w:val="bottom"/>
          </w:tcPr>
          <w:p>
            <w:pPr>
              <w:ind w:left="1080"/>
              <w:spacing w:after="0"/>
              <w:rPr>
                <w:sz w:val="20"/>
                <w:szCs w:val="20"/>
                <w:color w:val="auto"/>
              </w:rPr>
            </w:pPr>
            <w:r>
              <w:rPr>
                <w:rFonts w:ascii="Arial" w:cs="Arial" w:eastAsia="Arial" w:hAnsi="Arial"/>
                <w:sz w:val="18"/>
                <w:szCs w:val="18"/>
                <w:color w:val="auto"/>
              </w:rPr>
              <w:t>Australia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Austria GmbH</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Austria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DOCS International Belgium N.V.</w:t>
            </w:r>
          </w:p>
        </w:tc>
        <w:tc>
          <w:tcPr>
            <w:tcW w:w="3360" w:type="dxa"/>
            <w:vAlign w:val="bottom"/>
          </w:tcPr>
          <w:p>
            <w:pPr>
              <w:ind w:left="1080"/>
              <w:spacing w:after="0"/>
              <w:rPr>
                <w:sz w:val="20"/>
                <w:szCs w:val="20"/>
                <w:color w:val="auto"/>
              </w:rPr>
            </w:pPr>
            <w:r>
              <w:rPr>
                <w:rFonts w:ascii="Arial" w:cs="Arial" w:eastAsia="Arial" w:hAnsi="Arial"/>
                <w:sz w:val="18"/>
                <w:szCs w:val="18"/>
                <w:color w:val="auto"/>
              </w:rPr>
              <w:t>Belgium</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Pesquisas Clínicas LTDA.</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Brazil</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EOOD</w:t>
            </w:r>
          </w:p>
        </w:tc>
        <w:tc>
          <w:tcPr>
            <w:tcW w:w="3360" w:type="dxa"/>
            <w:vAlign w:val="bottom"/>
          </w:tcPr>
          <w:p>
            <w:pPr>
              <w:ind w:left="1080"/>
              <w:spacing w:after="0"/>
              <w:rPr>
                <w:sz w:val="20"/>
                <w:szCs w:val="20"/>
                <w:color w:val="auto"/>
              </w:rPr>
            </w:pPr>
            <w:r>
              <w:rPr>
                <w:rFonts w:ascii="Arial" w:cs="Arial" w:eastAsia="Arial" w:hAnsi="Arial"/>
                <w:sz w:val="18"/>
                <w:szCs w:val="18"/>
                <w:color w:val="auto"/>
              </w:rPr>
              <w:t>Bulgaria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(Canada) Inc.</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Canada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Life Sciences Canada Inc.</w:t>
            </w:r>
          </w:p>
        </w:tc>
        <w:tc>
          <w:tcPr>
            <w:tcW w:w="3360" w:type="dxa"/>
            <w:vAlign w:val="bottom"/>
          </w:tcPr>
          <w:p>
            <w:pPr>
              <w:ind w:left="1080"/>
              <w:spacing w:after="0"/>
              <w:rPr>
                <w:sz w:val="20"/>
                <w:szCs w:val="20"/>
                <w:color w:val="auto"/>
              </w:rPr>
            </w:pPr>
            <w:r>
              <w:rPr>
                <w:rFonts w:ascii="Arial" w:cs="Arial" w:eastAsia="Arial" w:hAnsi="Arial"/>
                <w:sz w:val="18"/>
                <w:szCs w:val="18"/>
                <w:color w:val="auto"/>
              </w:rPr>
              <w:t>Canada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Oxford Outcomes LTD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Canada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Chile Limitada</w:t>
            </w:r>
          </w:p>
        </w:tc>
        <w:tc>
          <w:tcPr>
            <w:tcW w:w="3360" w:type="dxa"/>
            <w:vAlign w:val="bottom"/>
          </w:tcPr>
          <w:p>
            <w:pPr>
              <w:ind w:left="1080"/>
              <w:spacing w:after="0"/>
              <w:rPr>
                <w:sz w:val="20"/>
                <w:szCs w:val="20"/>
                <w:color w:val="auto"/>
              </w:rPr>
            </w:pPr>
            <w:r>
              <w:rPr>
                <w:rFonts w:ascii="Arial" w:cs="Arial" w:eastAsia="Arial" w:hAnsi="Arial"/>
                <w:sz w:val="18"/>
                <w:szCs w:val="18"/>
                <w:color w:val="auto"/>
              </w:rPr>
              <w:t>Chile</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CRS (Beijing) Clinical Research Co., Limited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China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(Beijing No.2) Co., Ltd</w:t>
            </w:r>
          </w:p>
        </w:tc>
        <w:tc>
          <w:tcPr>
            <w:tcW w:w="3360" w:type="dxa"/>
            <w:vAlign w:val="bottom"/>
          </w:tcPr>
          <w:p>
            <w:pPr>
              <w:ind w:left="1080"/>
              <w:spacing w:after="0"/>
              <w:rPr>
                <w:sz w:val="20"/>
                <w:szCs w:val="20"/>
                <w:color w:val="auto"/>
              </w:rPr>
            </w:pPr>
            <w:r>
              <w:rPr>
                <w:rFonts w:ascii="Arial" w:cs="Arial" w:eastAsia="Arial" w:hAnsi="Arial"/>
                <w:sz w:val="18"/>
                <w:szCs w:val="18"/>
                <w:color w:val="auto"/>
              </w:rPr>
              <w:t>China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(Beijing) Co., Ltd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China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Hong Kong Limited</w:t>
            </w:r>
          </w:p>
        </w:tc>
        <w:tc>
          <w:tcPr>
            <w:tcW w:w="3360" w:type="dxa"/>
            <w:vAlign w:val="bottom"/>
          </w:tcPr>
          <w:p>
            <w:pPr>
              <w:ind w:left="1080"/>
              <w:spacing w:after="0"/>
              <w:rPr>
                <w:sz w:val="20"/>
                <w:szCs w:val="20"/>
                <w:color w:val="auto"/>
              </w:rPr>
            </w:pPr>
            <w:r>
              <w:rPr>
                <w:rFonts w:ascii="Arial" w:cs="Arial" w:eastAsia="Arial" w:hAnsi="Arial"/>
                <w:sz w:val="18"/>
                <w:szCs w:val="18"/>
                <w:color w:val="auto"/>
              </w:rPr>
              <w:t>China (Hong Kong)</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Ispitivanja ICON d.o.o (ICON Research Ltd.)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Croatia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s.r.o.</w:t>
            </w:r>
          </w:p>
        </w:tc>
        <w:tc>
          <w:tcPr>
            <w:tcW w:w="3360" w:type="dxa"/>
            <w:vAlign w:val="bottom"/>
          </w:tcPr>
          <w:p>
            <w:pPr>
              <w:ind w:left="1080"/>
              <w:spacing w:after="0"/>
              <w:rPr>
                <w:sz w:val="20"/>
                <w:szCs w:val="20"/>
                <w:color w:val="auto"/>
              </w:rPr>
            </w:pPr>
            <w:r>
              <w:rPr>
                <w:rFonts w:ascii="Arial" w:cs="Arial" w:eastAsia="Arial" w:hAnsi="Arial"/>
                <w:sz w:val="18"/>
                <w:szCs w:val="18"/>
                <w:color w:val="auto"/>
              </w:rPr>
              <w:t>Czech Republic</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Nordic Countries A/S</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Denmark</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DOCS International Finland Oy</w:t>
            </w:r>
          </w:p>
        </w:tc>
        <w:tc>
          <w:tcPr>
            <w:tcW w:w="3360" w:type="dxa"/>
            <w:vAlign w:val="bottom"/>
          </w:tcPr>
          <w:p>
            <w:pPr>
              <w:ind w:left="1080"/>
              <w:spacing w:after="0"/>
              <w:rPr>
                <w:sz w:val="20"/>
                <w:szCs w:val="20"/>
                <w:color w:val="auto"/>
              </w:rPr>
            </w:pPr>
            <w:r>
              <w:rPr>
                <w:rFonts w:ascii="Arial" w:cs="Arial" w:eastAsia="Arial" w:hAnsi="Arial"/>
                <w:sz w:val="18"/>
                <w:szCs w:val="18"/>
                <w:color w:val="auto"/>
              </w:rPr>
              <w:t>Finland</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France S.A.S.</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SARL</w:t>
            </w:r>
          </w:p>
        </w:tc>
        <w:tc>
          <w:tcPr>
            <w:tcW w:w="3360" w:type="dxa"/>
            <w:vAlign w:val="bottom"/>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Mapi Développement SAS</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Mapi Research Trust*</w:t>
            </w:r>
          </w:p>
        </w:tc>
        <w:tc>
          <w:tcPr>
            <w:tcW w:w="3360" w:type="dxa"/>
            <w:vAlign w:val="bottom"/>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Mapi SAS</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MedPass International SAS</w:t>
            </w:r>
          </w:p>
        </w:tc>
        <w:tc>
          <w:tcPr>
            <w:tcW w:w="3360" w:type="dxa"/>
            <w:vAlign w:val="bottom"/>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MedPass SAS</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MPLR SAS</w:t>
            </w:r>
          </w:p>
        </w:tc>
        <w:tc>
          <w:tcPr>
            <w:tcW w:w="3360" w:type="dxa"/>
            <w:vAlign w:val="bottom"/>
          </w:tcPr>
          <w:p>
            <w:pPr>
              <w:ind w:left="1080"/>
              <w:spacing w:after="0"/>
              <w:rPr>
                <w:sz w:val="20"/>
                <w:szCs w:val="20"/>
                <w:color w:val="auto"/>
              </w:rPr>
            </w:pPr>
            <w:r>
              <w:rPr>
                <w:rFonts w:ascii="Arial" w:cs="Arial" w:eastAsia="Arial" w:hAnsi="Arial"/>
                <w:sz w:val="18"/>
                <w:szCs w:val="18"/>
                <w:color w:val="auto"/>
              </w:rPr>
              <w:t>France</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Germany GmbH</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Germany</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GmbH</w:t>
            </w:r>
          </w:p>
        </w:tc>
        <w:tc>
          <w:tcPr>
            <w:tcW w:w="3360" w:type="dxa"/>
            <w:vAlign w:val="bottom"/>
          </w:tcPr>
          <w:p>
            <w:pPr>
              <w:ind w:left="1080"/>
              <w:spacing w:after="0"/>
              <w:rPr>
                <w:sz w:val="20"/>
                <w:szCs w:val="20"/>
                <w:color w:val="auto"/>
              </w:rPr>
            </w:pPr>
            <w:r>
              <w:rPr>
                <w:rFonts w:ascii="Arial" w:cs="Arial" w:eastAsia="Arial" w:hAnsi="Arial"/>
                <w:sz w:val="18"/>
                <w:szCs w:val="18"/>
                <w:color w:val="auto"/>
              </w:rPr>
              <w:t>Germany</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02"/>
        </w:trPr>
        <w:tc>
          <w:tcPr>
            <w:tcW w:w="5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ICON Klinikai Kutató Korlátolt Felelősségű Társaság</w:t>
            </w:r>
          </w:p>
        </w:tc>
        <w:tc>
          <w:tcPr>
            <w:tcW w:w="33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Limited Liability Company)</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Hungary</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India Private Limited</w:t>
            </w:r>
          </w:p>
        </w:tc>
        <w:tc>
          <w:tcPr>
            <w:tcW w:w="3360" w:type="dxa"/>
            <w:vAlign w:val="bottom"/>
          </w:tcPr>
          <w:p>
            <w:pPr>
              <w:ind w:left="1080"/>
              <w:spacing w:after="0"/>
              <w:rPr>
                <w:sz w:val="20"/>
                <w:szCs w:val="20"/>
                <w:color w:val="auto"/>
              </w:rPr>
            </w:pPr>
            <w:r>
              <w:rPr>
                <w:rFonts w:ascii="Arial" w:cs="Arial" w:eastAsia="Arial" w:hAnsi="Arial"/>
                <w:sz w:val="18"/>
                <w:szCs w:val="18"/>
                <w:color w:val="auto"/>
              </w:rPr>
              <w:t>India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Israel Limited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Israel</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Japan K.K.</w:t>
            </w:r>
          </w:p>
        </w:tc>
        <w:tc>
          <w:tcPr>
            <w:tcW w:w="3360" w:type="dxa"/>
            <w:vAlign w:val="bottom"/>
          </w:tcPr>
          <w:p>
            <w:pPr>
              <w:ind w:left="1080"/>
              <w:spacing w:after="0"/>
              <w:rPr>
                <w:sz w:val="20"/>
                <w:szCs w:val="20"/>
                <w:color w:val="auto"/>
              </w:rPr>
            </w:pPr>
            <w:r>
              <w:rPr>
                <w:rFonts w:ascii="Arial" w:cs="Arial" w:eastAsia="Arial" w:hAnsi="Arial"/>
                <w:sz w:val="18"/>
                <w:szCs w:val="18"/>
                <w:color w:val="auto"/>
              </w:rPr>
              <w:t>Japan</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Investments Limited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Jersey</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02"/>
        </w:trPr>
        <w:tc>
          <w:tcPr>
            <w:tcW w:w="5320" w:type="dxa"/>
            <w:vAlign w:val="bottom"/>
          </w:tcPr>
          <w:p>
            <w:pPr>
              <w:ind w:left="340"/>
              <w:spacing w:after="0" w:line="201" w:lineRule="exact"/>
              <w:rPr>
                <w:sz w:val="20"/>
                <w:szCs w:val="20"/>
                <w:color w:val="auto"/>
              </w:rPr>
            </w:pPr>
            <w:r>
              <w:rPr>
                <w:rFonts w:ascii="Arial" w:cs="Arial" w:eastAsia="Arial" w:hAnsi="Arial"/>
                <w:sz w:val="18"/>
                <w:szCs w:val="18"/>
                <w:color w:val="auto"/>
              </w:rPr>
              <w:t>ICON Clinical Research Korea Yuhan Hoesa</w:t>
            </w:r>
          </w:p>
        </w:tc>
        <w:tc>
          <w:tcPr>
            <w:tcW w:w="33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Korea Ltd.)</w:t>
            </w:r>
          </w:p>
        </w:tc>
        <w:tc>
          <w:tcPr>
            <w:tcW w:w="3360" w:type="dxa"/>
            <w:vAlign w:val="bottom"/>
          </w:tcPr>
          <w:p>
            <w:pPr>
              <w:ind w:left="1080"/>
              <w:spacing w:after="0"/>
              <w:rPr>
                <w:sz w:val="20"/>
                <w:szCs w:val="20"/>
                <w:color w:val="auto"/>
              </w:rPr>
            </w:pPr>
            <w:r>
              <w:rPr>
                <w:rFonts w:ascii="Arial" w:cs="Arial" w:eastAsia="Arial" w:hAnsi="Arial"/>
                <w:sz w:val="18"/>
                <w:szCs w:val="18"/>
                <w:color w:val="auto"/>
              </w:rPr>
              <w:t>Korea</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CRO Malaysia SDN. BHD.</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Malaysia</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México, S.A. de C.V.</w:t>
            </w:r>
          </w:p>
        </w:tc>
        <w:tc>
          <w:tcPr>
            <w:tcW w:w="3360" w:type="dxa"/>
            <w:vAlign w:val="bottom"/>
          </w:tcPr>
          <w:p>
            <w:pPr>
              <w:ind w:left="1080"/>
              <w:spacing w:after="0"/>
              <w:rPr>
                <w:sz w:val="20"/>
                <w:szCs w:val="20"/>
                <w:color w:val="auto"/>
              </w:rPr>
            </w:pPr>
            <w:r>
              <w:rPr>
                <w:rFonts w:ascii="Arial" w:cs="Arial" w:eastAsia="Arial" w:hAnsi="Arial"/>
                <w:sz w:val="18"/>
                <w:szCs w:val="18"/>
                <w:color w:val="auto"/>
              </w:rPr>
              <w:t>Mexico</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Insourcing B.V.</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Netherlands</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DOCS International B.V.</w:t>
            </w:r>
          </w:p>
        </w:tc>
        <w:tc>
          <w:tcPr>
            <w:tcW w:w="3360" w:type="dxa"/>
            <w:vAlign w:val="bottom"/>
          </w:tcPr>
          <w:p>
            <w:pPr>
              <w:ind w:left="1080"/>
              <w:spacing w:after="0"/>
              <w:rPr>
                <w:sz w:val="20"/>
                <w:szCs w:val="20"/>
                <w:color w:val="auto"/>
              </w:rPr>
            </w:pPr>
            <w:r>
              <w:rPr>
                <w:rFonts w:ascii="Arial" w:cs="Arial" w:eastAsia="Arial" w:hAnsi="Arial"/>
                <w:sz w:val="18"/>
                <w:szCs w:val="18"/>
                <w:color w:val="auto"/>
              </w:rPr>
              <w:t>Netherlands</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Contracting Solutions Holdings B.V.</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Netherlands</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(New Zealand) Limited</w:t>
            </w:r>
          </w:p>
        </w:tc>
        <w:tc>
          <w:tcPr>
            <w:tcW w:w="3360" w:type="dxa"/>
            <w:vAlign w:val="bottom"/>
          </w:tcPr>
          <w:p>
            <w:pPr>
              <w:ind w:left="1080"/>
              <w:spacing w:after="0"/>
              <w:rPr>
                <w:sz w:val="20"/>
                <w:szCs w:val="20"/>
                <w:color w:val="auto"/>
              </w:rPr>
            </w:pPr>
            <w:r>
              <w:rPr>
                <w:rFonts w:ascii="Arial" w:cs="Arial" w:eastAsia="Arial" w:hAnsi="Arial"/>
                <w:sz w:val="18"/>
                <w:szCs w:val="18"/>
                <w:color w:val="auto"/>
              </w:rPr>
              <w:t>New Zealand</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Perú S.A.</w:t>
            </w:r>
          </w:p>
        </w:tc>
        <w:tc>
          <w:tcPr>
            <w:tcW w:w="3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Peru</w:t>
            </w:r>
          </w:p>
        </w:tc>
        <w:tc>
          <w:tcPr>
            <w:tcW w:w="25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ICON Clinical Research Services Philippines, Inc.</w:t>
            </w:r>
          </w:p>
        </w:tc>
        <w:tc>
          <w:tcPr>
            <w:tcW w:w="3360" w:type="dxa"/>
            <w:vAlign w:val="bottom"/>
          </w:tcPr>
          <w:p>
            <w:pPr>
              <w:ind w:left="1080"/>
              <w:spacing w:after="0"/>
              <w:rPr>
                <w:sz w:val="20"/>
                <w:szCs w:val="20"/>
                <w:color w:val="auto"/>
              </w:rPr>
            </w:pPr>
            <w:r>
              <w:rPr>
                <w:rFonts w:ascii="Arial" w:cs="Arial" w:eastAsia="Arial" w:hAnsi="Arial"/>
                <w:sz w:val="18"/>
                <w:szCs w:val="18"/>
                <w:color w:val="auto"/>
              </w:rPr>
              <w:t>Philippines</w:t>
            </w:r>
          </w:p>
        </w:tc>
        <w:tc>
          <w:tcPr>
            <w:tcW w:w="256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r>
      <w:tr>
        <w:trPr>
          <w:trHeight w:val="168"/>
        </w:trPr>
        <w:tc>
          <w:tcPr>
            <w:tcW w:w="53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274" w:right="339" w:bottom="1440" w:gutter="0" w:footer="0" w:header="0"/>
        </w:sectPr>
      </w:pPr>
    </w:p>
    <w:bookmarkStart w:id="358" w:name="page359"/>
    <w:bookmarkEnd w:id="3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i w:val="1"/>
                <w:iCs w:val="1"/>
                <w:color w:val="auto"/>
              </w:rPr>
              <w:t>Company</w:t>
            </w:r>
          </w:p>
        </w:tc>
        <w:tc>
          <w:tcPr>
            <w:tcW w:w="2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i w:val="1"/>
                <w:iCs w:val="1"/>
                <w:color w:val="auto"/>
              </w:rPr>
              <w:t>Country</w:t>
            </w:r>
          </w:p>
        </w:tc>
        <w:tc>
          <w:tcPr>
            <w:tcW w:w="258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DOCS International Poland Sp. z o.o.</w:t>
            </w:r>
          </w:p>
        </w:tc>
        <w:tc>
          <w:tcPr>
            <w:tcW w:w="2920" w:type="dxa"/>
            <w:vAlign w:val="bottom"/>
          </w:tcPr>
          <w:p>
            <w:pPr>
              <w:ind w:left="660"/>
              <w:spacing w:after="0"/>
              <w:rPr>
                <w:sz w:val="20"/>
                <w:szCs w:val="20"/>
                <w:color w:val="auto"/>
              </w:rPr>
            </w:pPr>
            <w:r>
              <w:rPr>
                <w:rFonts w:ascii="Arial" w:cs="Arial" w:eastAsia="Arial" w:hAnsi="Arial"/>
                <w:sz w:val="18"/>
                <w:szCs w:val="18"/>
                <w:color w:val="auto"/>
              </w:rPr>
              <w:t>Poland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Sp. z o.o.</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Poland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Symphony Clinical Research Sp. z o.o.</w:t>
            </w:r>
          </w:p>
        </w:tc>
        <w:tc>
          <w:tcPr>
            <w:tcW w:w="2920" w:type="dxa"/>
            <w:vAlign w:val="bottom"/>
          </w:tcPr>
          <w:p>
            <w:pPr>
              <w:ind w:left="660"/>
              <w:spacing w:after="0"/>
              <w:rPr>
                <w:sz w:val="20"/>
                <w:szCs w:val="20"/>
                <w:color w:val="auto"/>
              </w:rPr>
            </w:pPr>
            <w:r>
              <w:rPr>
                <w:rFonts w:ascii="Arial" w:cs="Arial" w:eastAsia="Arial" w:hAnsi="Arial"/>
                <w:sz w:val="18"/>
                <w:szCs w:val="18"/>
                <w:color w:val="auto"/>
              </w:rPr>
              <w:t>Poland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Accellacare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DOCS Resourcing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(LR)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International Unlimited Company</w:t>
            </w:r>
          </w:p>
        </w:tc>
        <w:tc>
          <w:tcPr>
            <w:tcW w:w="2920" w:type="dxa"/>
            <w:vAlign w:val="bottom"/>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Property Development (Ireland)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Global Treasury Unlimited Company</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Holdings Unlimited Company</w:t>
            </w:r>
          </w:p>
        </w:tc>
        <w:tc>
          <w:tcPr>
            <w:tcW w:w="2920" w:type="dxa"/>
            <w:vAlign w:val="bottom"/>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Holdings Clinical Research International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Investments Five Unlimited Company</w:t>
            </w:r>
          </w:p>
        </w:tc>
        <w:tc>
          <w:tcPr>
            <w:tcW w:w="2920" w:type="dxa"/>
            <w:vAlign w:val="bottom"/>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Investments Four Unlimited Company</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Republic of Ireland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S.R.L.</w:t>
            </w:r>
          </w:p>
        </w:tc>
        <w:tc>
          <w:tcPr>
            <w:tcW w:w="2920" w:type="dxa"/>
            <w:vAlign w:val="bottom"/>
          </w:tcPr>
          <w:p>
            <w:pPr>
              <w:ind w:left="660"/>
              <w:spacing w:after="0"/>
              <w:rPr>
                <w:sz w:val="20"/>
                <w:szCs w:val="20"/>
                <w:color w:val="auto"/>
              </w:rPr>
            </w:pPr>
            <w:r>
              <w:rPr>
                <w:rFonts w:ascii="Arial" w:cs="Arial" w:eastAsia="Arial" w:hAnsi="Arial"/>
                <w:sz w:val="18"/>
                <w:szCs w:val="18"/>
                <w:color w:val="auto"/>
              </w:rPr>
              <w:t>Romania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(Rus) LLC</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Russia</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d.o.o. Beograd</w:t>
            </w:r>
          </w:p>
        </w:tc>
        <w:tc>
          <w:tcPr>
            <w:tcW w:w="2920" w:type="dxa"/>
            <w:vAlign w:val="bottom"/>
          </w:tcPr>
          <w:p>
            <w:pPr>
              <w:ind w:left="660"/>
              <w:spacing w:after="0"/>
              <w:rPr>
                <w:sz w:val="20"/>
                <w:szCs w:val="20"/>
                <w:color w:val="auto"/>
              </w:rPr>
            </w:pPr>
            <w:r>
              <w:rPr>
                <w:rFonts w:ascii="Arial" w:cs="Arial" w:eastAsia="Arial" w:hAnsi="Arial"/>
                <w:sz w:val="18"/>
                <w:szCs w:val="18"/>
                <w:color w:val="auto"/>
              </w:rPr>
              <w:t>Serbia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(Pte)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Singapore</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Slovakia, s.r.o.</w:t>
            </w:r>
          </w:p>
        </w:tc>
        <w:tc>
          <w:tcPr>
            <w:tcW w:w="2920" w:type="dxa"/>
            <w:vAlign w:val="bottom"/>
          </w:tcPr>
          <w:p>
            <w:pPr>
              <w:ind w:left="660"/>
              <w:spacing w:after="0"/>
              <w:rPr>
                <w:sz w:val="20"/>
                <w:szCs w:val="20"/>
                <w:color w:val="auto"/>
              </w:rPr>
            </w:pPr>
            <w:r>
              <w:rPr>
                <w:rFonts w:ascii="Arial" w:cs="Arial" w:eastAsia="Arial" w:hAnsi="Arial"/>
                <w:sz w:val="18"/>
                <w:szCs w:val="18"/>
                <w:color w:val="auto"/>
              </w:rPr>
              <w:t>Slovakia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MeDiNova Merc Clinical Research (SA) Pty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South Africa</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España, S.L.</w:t>
            </w:r>
          </w:p>
        </w:tc>
        <w:tc>
          <w:tcPr>
            <w:tcW w:w="2920" w:type="dxa"/>
            <w:vAlign w:val="bottom"/>
          </w:tcPr>
          <w:p>
            <w:pPr>
              <w:ind w:left="660"/>
              <w:spacing w:after="0"/>
              <w:rPr>
                <w:sz w:val="20"/>
                <w:szCs w:val="20"/>
                <w:color w:val="auto"/>
              </w:rPr>
            </w:pPr>
            <w:r>
              <w:rPr>
                <w:rFonts w:ascii="Arial" w:cs="Arial" w:eastAsia="Arial" w:hAnsi="Arial"/>
                <w:sz w:val="18"/>
                <w:szCs w:val="18"/>
                <w:color w:val="auto"/>
              </w:rPr>
              <w:t>Spain</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MeDiNova Investigacion y Desarrollo S.L.</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Spain</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DOCS International Sweden AB</w:t>
            </w:r>
          </w:p>
        </w:tc>
        <w:tc>
          <w:tcPr>
            <w:tcW w:w="2920" w:type="dxa"/>
            <w:vAlign w:val="bottom"/>
          </w:tcPr>
          <w:p>
            <w:pPr>
              <w:ind w:left="660"/>
              <w:spacing w:after="0"/>
              <w:rPr>
                <w:sz w:val="20"/>
                <w:szCs w:val="20"/>
                <w:color w:val="auto"/>
              </w:rPr>
            </w:pPr>
            <w:r>
              <w:rPr>
                <w:rFonts w:ascii="Arial" w:cs="Arial" w:eastAsia="Arial" w:hAnsi="Arial"/>
                <w:sz w:val="18"/>
                <w:szCs w:val="18"/>
                <w:color w:val="auto"/>
              </w:rPr>
              <w:t>Sweden</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Switzerland GmbH</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Switzerland</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(Switzerland) GmbH</w:t>
            </w:r>
          </w:p>
        </w:tc>
        <w:tc>
          <w:tcPr>
            <w:tcW w:w="2920" w:type="dxa"/>
            <w:vAlign w:val="bottom"/>
          </w:tcPr>
          <w:p>
            <w:pPr>
              <w:ind w:left="660"/>
              <w:spacing w:after="0"/>
              <w:rPr>
                <w:sz w:val="20"/>
                <w:szCs w:val="20"/>
                <w:color w:val="auto"/>
              </w:rPr>
            </w:pPr>
            <w:r>
              <w:rPr>
                <w:rFonts w:ascii="Arial" w:cs="Arial" w:eastAsia="Arial" w:hAnsi="Arial"/>
                <w:sz w:val="18"/>
                <w:szCs w:val="18"/>
                <w:color w:val="auto"/>
              </w:rPr>
              <w:t>Switzerland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Taiwan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Taiwan</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Clinical Research (Thailand)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Thailand</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Ankara Klinik Arastirma Dis Ticaret Anonim Sirketi</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Turkey</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DOCS Ukraine LLC</w:t>
            </w:r>
          </w:p>
        </w:tc>
        <w:tc>
          <w:tcPr>
            <w:tcW w:w="2920" w:type="dxa"/>
            <w:vAlign w:val="bottom"/>
          </w:tcPr>
          <w:p>
            <w:pPr>
              <w:ind w:left="660"/>
              <w:spacing w:after="0"/>
              <w:rPr>
                <w:sz w:val="20"/>
                <w:szCs w:val="20"/>
                <w:color w:val="auto"/>
              </w:rPr>
            </w:pPr>
            <w:r>
              <w:rPr>
                <w:rFonts w:ascii="Arial" w:cs="Arial" w:eastAsia="Arial" w:hAnsi="Arial"/>
                <w:sz w:val="18"/>
                <w:szCs w:val="18"/>
                <w:color w:val="auto"/>
              </w:rPr>
              <w:t>Ukraine</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LLC</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Ukraine</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DOCS International UK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(U.K.)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ICON Development Solutions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Mapi Life Sciences UK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VSK (Kenilworth)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MeDiNova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MeDiNova Lakeside Clinical Research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MeDiNova Merc (UK)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Improving Treatments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MedPass Group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MedPass Limited</w:t>
            </w:r>
          </w:p>
        </w:tc>
        <w:tc>
          <w:tcPr>
            <w:tcW w:w="2920" w:type="dxa"/>
            <w:vAlign w:val="bottom"/>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MedPass International Limited</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Addplan, Inc.</w:t>
            </w:r>
          </w:p>
        </w:tc>
        <w:tc>
          <w:tcPr>
            <w:tcW w:w="2920" w:type="dxa"/>
            <w:vAlign w:val="bottom"/>
          </w:tcPr>
          <w:p>
            <w:pPr>
              <w:ind w:left="660"/>
              <w:spacing w:after="0"/>
              <w:rPr>
                <w:sz w:val="20"/>
                <w:szCs w:val="20"/>
                <w:color w:val="auto"/>
              </w:rPr>
            </w:pPr>
            <w:r>
              <w:rPr>
                <w:rFonts w:ascii="Arial" w:cs="Arial" w:eastAsia="Arial" w:hAnsi="Arial"/>
                <w:sz w:val="18"/>
                <w:szCs w:val="18"/>
                <w:color w:val="auto"/>
              </w:rPr>
              <w:t>USA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Beacon Bioscience, Inc.</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USA</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C4 MedSolutions, LLC</w:t>
            </w:r>
          </w:p>
        </w:tc>
        <w:tc>
          <w:tcPr>
            <w:tcW w:w="2920" w:type="dxa"/>
            <w:vAlign w:val="bottom"/>
          </w:tcPr>
          <w:p>
            <w:pPr>
              <w:ind w:left="660"/>
              <w:spacing w:after="0"/>
              <w:rPr>
                <w:sz w:val="20"/>
                <w:szCs w:val="20"/>
                <w:color w:val="auto"/>
              </w:rPr>
            </w:pPr>
            <w:r>
              <w:rPr>
                <w:rFonts w:ascii="Arial" w:cs="Arial" w:eastAsia="Arial" w:hAnsi="Arial"/>
                <w:sz w:val="18"/>
                <w:szCs w:val="18"/>
                <w:color w:val="auto"/>
              </w:rPr>
              <w:t>USA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CHC Group, LLC</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USA</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Complete Healthcare Communications, LLC</w:t>
            </w:r>
          </w:p>
        </w:tc>
        <w:tc>
          <w:tcPr>
            <w:tcW w:w="2920" w:type="dxa"/>
            <w:vAlign w:val="bottom"/>
          </w:tcPr>
          <w:p>
            <w:pPr>
              <w:ind w:left="660"/>
              <w:spacing w:after="0"/>
              <w:rPr>
                <w:sz w:val="20"/>
                <w:szCs w:val="20"/>
                <w:color w:val="auto"/>
              </w:rPr>
            </w:pPr>
            <w:r>
              <w:rPr>
                <w:rFonts w:ascii="Arial" w:cs="Arial" w:eastAsia="Arial" w:hAnsi="Arial"/>
                <w:sz w:val="18"/>
                <w:szCs w:val="18"/>
                <w:color w:val="auto"/>
              </w:rPr>
              <w:t>USA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Complete Publication Solutions, LLC</w:t>
            </w:r>
          </w:p>
        </w:tc>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USA</w:t>
            </w:r>
          </w:p>
        </w:tc>
        <w:tc>
          <w:tcPr>
            <w:tcW w:w="2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230"/>
        </w:trPr>
        <w:tc>
          <w:tcPr>
            <w:tcW w:w="5740" w:type="dxa"/>
            <w:vAlign w:val="bottom"/>
          </w:tcPr>
          <w:p>
            <w:pPr>
              <w:ind w:left="340"/>
              <w:spacing w:after="0"/>
              <w:rPr>
                <w:sz w:val="20"/>
                <w:szCs w:val="20"/>
                <w:color w:val="auto"/>
              </w:rPr>
            </w:pPr>
            <w:r>
              <w:rPr>
                <w:rFonts w:ascii="Arial" w:cs="Arial" w:eastAsia="Arial" w:hAnsi="Arial"/>
                <w:sz w:val="18"/>
                <w:szCs w:val="18"/>
                <w:color w:val="auto"/>
              </w:rPr>
              <w:t>CRN Holdings, LLC</w:t>
            </w:r>
          </w:p>
        </w:tc>
        <w:tc>
          <w:tcPr>
            <w:tcW w:w="2920" w:type="dxa"/>
            <w:vAlign w:val="bottom"/>
          </w:tcPr>
          <w:p>
            <w:pPr>
              <w:ind w:left="660"/>
              <w:spacing w:after="0"/>
              <w:rPr>
                <w:sz w:val="20"/>
                <w:szCs w:val="20"/>
                <w:color w:val="auto"/>
              </w:rPr>
            </w:pPr>
            <w:r>
              <w:rPr>
                <w:rFonts w:ascii="Arial" w:cs="Arial" w:eastAsia="Arial" w:hAnsi="Arial"/>
                <w:sz w:val="18"/>
                <w:szCs w:val="18"/>
                <w:color w:val="auto"/>
              </w:rPr>
              <w:t>USA</w:t>
            </w: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1"/>
              </w:rPr>
              <w:t>100%</w:t>
            </w:r>
          </w:p>
        </w:tc>
      </w:tr>
      <w:tr>
        <w:trPr>
          <w:trHeight w:val="168"/>
        </w:trPr>
        <w:tc>
          <w:tcPr>
            <w:tcW w:w="57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40" w:right="339" w:bottom="1440" w:gutter="0" w:footer="0" w:header="0"/>
        </w:sectPr>
      </w:pPr>
    </w:p>
    <w:bookmarkStart w:id="359" w:name="page360"/>
    <w:bookmarkEnd w:id="3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i w:val="1"/>
                <w:iCs w:val="1"/>
                <w:color w:val="auto"/>
              </w:rPr>
              <w:t>Company</w:t>
            </w:r>
          </w:p>
        </w:tc>
        <w:tc>
          <w:tcPr>
            <w:tcW w:w="29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b w:val="1"/>
                <w:bCs w:val="1"/>
                <w:i w:val="1"/>
                <w:iCs w:val="1"/>
                <w:color w:val="auto"/>
              </w:rPr>
              <w:t>Country</w:t>
            </w:r>
          </w:p>
        </w:tc>
        <w:tc>
          <w:tcPr>
            <w:tcW w:w="29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Clinical Resource Network,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CRN North America,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DOCS Global, Inc.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Pharmaceutical Strategies Group,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ICON Clinical Research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Early Phase Services,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ICON Government and Public Health Solutions, Inc.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Laboratory Services, Inc.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ICON US Holdings Inc.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Managed Care Strategic Solutions,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MMMM Consulting,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MMMM Group,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Molecular MD Corp.</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PMG Research of Bristol,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PMG Research of Charleston,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PMG Research of Charlotte,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PMG Research of Christie Clinic,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PMG Research of Hickory,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PMG Research of Raleigh,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PMG Research of Rocky Mount,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PMG Research of Salisbury,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PMG Research of Wilmington, LLC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PMG Research of Winston-Salem,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PMG Research, Inc.</w:t>
            </w:r>
          </w:p>
        </w:tc>
        <w:tc>
          <w:tcPr>
            <w:tcW w:w="2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100%</w:t>
            </w:r>
          </w:p>
        </w:tc>
      </w:tr>
      <w:tr>
        <w:trPr>
          <w:trHeight w:val="202"/>
        </w:trPr>
        <w:tc>
          <w:tcPr>
            <w:tcW w:w="5280" w:type="dxa"/>
            <w:vAlign w:val="bottom"/>
          </w:tcPr>
          <w:p>
            <w:pPr>
              <w:ind w:left="340"/>
              <w:spacing w:after="0" w:line="201" w:lineRule="exact"/>
              <w:rPr>
                <w:sz w:val="20"/>
                <w:szCs w:val="20"/>
                <w:color w:val="auto"/>
              </w:rPr>
            </w:pPr>
            <w:r>
              <w:rPr>
                <w:rFonts w:ascii="Arial" w:cs="Arial" w:eastAsia="Arial" w:hAnsi="Arial"/>
                <w:sz w:val="18"/>
                <w:szCs w:val="18"/>
                <w:color w:val="auto"/>
              </w:rPr>
              <w:t>Pricespective, LLC</w:t>
            </w:r>
          </w:p>
        </w:tc>
        <w:tc>
          <w:tcPr>
            <w:tcW w:w="2980" w:type="dxa"/>
            <w:vAlign w:val="bottom"/>
          </w:tcPr>
          <w:p>
            <w:pPr>
              <w:ind w:left="1120"/>
              <w:spacing w:after="0" w:line="201" w:lineRule="exact"/>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line="201" w:lineRule="exact"/>
              <w:rPr>
                <w:sz w:val="20"/>
                <w:szCs w:val="20"/>
                <w:color w:val="auto"/>
              </w:rPr>
            </w:pPr>
            <w:r>
              <w:rPr>
                <w:rFonts w:ascii="Arial" w:cs="Arial" w:eastAsia="Arial" w:hAnsi="Arial"/>
                <w:sz w:val="18"/>
                <w:szCs w:val="18"/>
                <w:color w:val="auto"/>
                <w:w w:val="91"/>
              </w:rPr>
              <w:t>100%</w:t>
            </w:r>
          </w:p>
        </w:tc>
      </w:tr>
      <w:tr>
        <w:trPr>
          <w:trHeight w:val="224"/>
        </w:trPr>
        <w:tc>
          <w:tcPr>
            <w:tcW w:w="5280" w:type="dxa"/>
            <w:vAlign w:val="bottom"/>
          </w:tcPr>
          <w:p>
            <w:pPr>
              <w:ind w:left="340"/>
              <w:spacing w:after="0"/>
              <w:rPr>
                <w:sz w:val="20"/>
                <w:szCs w:val="20"/>
                <w:color w:val="auto"/>
              </w:rPr>
            </w:pPr>
            <w:r>
              <w:rPr>
                <w:rFonts w:ascii="Arial" w:cs="Arial" w:eastAsia="Arial" w:hAnsi="Arial"/>
                <w:sz w:val="18"/>
                <w:szCs w:val="18"/>
                <w:color w:val="auto"/>
              </w:rPr>
              <w:t>PubsHub LLC</w:t>
            </w:r>
          </w:p>
        </w:tc>
        <w:tc>
          <w:tcPr>
            <w:tcW w:w="2980" w:type="dxa"/>
            <w:vAlign w:val="bottom"/>
          </w:tcPr>
          <w:p>
            <w:pPr>
              <w:ind w:left="1120"/>
              <w:spacing w:after="0"/>
              <w:rPr>
                <w:sz w:val="20"/>
                <w:szCs w:val="20"/>
                <w:color w:val="auto"/>
              </w:rPr>
            </w:pPr>
            <w:r>
              <w:rPr>
                <w:rFonts w:ascii="Arial" w:cs="Arial" w:eastAsia="Arial" w:hAnsi="Arial"/>
                <w:sz w:val="18"/>
                <w:szCs w:val="18"/>
                <w:color w:val="auto"/>
              </w:rPr>
              <w:t>USA</w:t>
            </w:r>
          </w:p>
        </w:tc>
        <w:tc>
          <w:tcPr>
            <w:tcW w:w="2980" w:type="dxa"/>
            <w:vAlign w:val="bottom"/>
          </w:tcPr>
          <w:p>
            <w:pPr>
              <w:jc w:val="center"/>
              <w:ind w:left="750"/>
              <w:spacing w:after="0"/>
              <w:rPr>
                <w:sz w:val="20"/>
                <w:szCs w:val="20"/>
                <w:color w:val="auto"/>
              </w:rPr>
            </w:pPr>
            <w:r>
              <w:rPr>
                <w:rFonts w:ascii="Arial" w:cs="Arial" w:eastAsia="Arial" w:hAnsi="Arial"/>
                <w:sz w:val="18"/>
                <w:szCs w:val="18"/>
                <w:color w:val="auto"/>
                <w:w w:val="91"/>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*Mapi Research Trust is an association, its members are ICON Subsidiary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0" w:name="page361"/>
    <w:bookmarkEnd w:id="3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consent to the use of our reports dated February 24, 2021, with respect to the consolidated balance sheets of ICON plc and subsidiaries as of December 31, 2020 and 2019, the related consolidated statements of operations, comprehensive income, shareholders’ equity and comprehensive income, and cash flows for each of the years in the three-year period ended December 31, 2020, and the related notes and the effectiveness of internal control over financial reporting as of December 31, 2020, incorporated herein by reference and to the reference to our firm under the heading “Experts” in the prospectus.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&lt;KPMG&gt;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Dublin, Ireland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1" w:name="page362"/>
    <w:bookmarkEnd w:id="3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We consent to the incorporation by reference in this Amendment No. 1 to Registration Statement on Form F-4 of our reports dated February 24, 2021, relating to the financial statements of PRA Health Sciences, Inc. and the effectiveness of the PRA Health Sciences, Inc. internal control over financial reporting, appearing in the Annual Report on Form 10-K of PRA Health Sciences, Inc. for the year ended December 31, 2020. We also consent to the reference to us under the heading “Experts” in such Registration Statement.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2" w:name="page363"/>
    <w:bookmarkEnd w:id="362"/>
    <w:p>
      <w:pPr>
        <w:ind w:left="90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7782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893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889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ind w:left="90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900112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4">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579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5">
                      <a:extLst>
                        <a:ext uri="{28A0092B-C50C-407E-A947-70E740481C1C}"/>
                      </a:extLst>
                    </a:blip>
                    <a:srcRect/>
                    <a:stretch>
                      <a:fillRect/>
                    </a:stretch>
                  </pic:blipFill>
                  <pic:spPr bwMode="auto">
                    <a:xfrm>
                      <a:off x="0" y="0"/>
                      <a:ext cx="7132320" cy="8957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Centerview Partners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South County Business Park</w:t>
      </w:r>
    </w:p>
    <w:p>
      <w:pPr>
        <w:spacing w:after="0" w:line="231" w:lineRule="auto"/>
        <w:rPr>
          <w:sz w:val="20"/>
          <w:szCs w:val="20"/>
          <w:color w:val="auto"/>
        </w:rPr>
      </w:pPr>
      <w:r>
        <w:rPr>
          <w:rFonts w:ascii="Arial" w:cs="Arial" w:eastAsia="Arial" w:hAnsi="Arial"/>
          <w:sz w:val="22"/>
          <w:szCs w:val="22"/>
          <w:color w:val="auto"/>
        </w:rPr>
        <w:t>Leopardstown</w:t>
      </w:r>
    </w:p>
    <w:p>
      <w:pPr>
        <w:spacing w:after="0"/>
        <w:rPr>
          <w:sz w:val="20"/>
          <w:szCs w:val="20"/>
          <w:color w:val="auto"/>
        </w:rPr>
      </w:pPr>
      <w:r>
        <w:rPr>
          <w:rFonts w:ascii="Arial" w:cs="Arial" w:eastAsia="Arial" w:hAnsi="Arial"/>
          <w:sz w:val="22"/>
          <w:szCs w:val="22"/>
          <w:color w:val="auto"/>
        </w:rPr>
        <w:t>Dublin 18, Ireland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hereby consent to the inclusion of our opinion letter, dated February 23, 2021, to the Board of Directors of ICON plc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as Annex B to, and reference to such opinion letter under the headings “SUMMARY – Opinion of ICON’s Financial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Advisor”, “THE MERGER – ICON’s Reasons for the Merger” and “THE MERGER – Opinion of ICON’s Financial Advisor” in,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 proxy statement/prospectus relating to the proposed transaction involving Parent and PRA Health Sciences, Inc.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which proxy statement/prospectus forms a part of Amendment No. 1 to the Registration Statement on Form F-4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Parent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In giving such consent, we do not admit that we come within the category of persons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whose consent is required under Section 7 of the Securities Act of 1933, as amended, or the rules and regulations of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Exchange Commission promulgated thereunder nor do we hereby admit that we are experts with respect to any part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Registration Statement within the meaning of the term “experts” as used in the Securities Act of 1933, as amended, or the rules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regulations of the Securities and Exchange Commission promulgated thereunder.</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CENTERVIEW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7" w:name="page368"/>
    <w:bookmarkEnd w:id="367"/>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[BOFA SECURITIES LETTERHEAD]</w:t>
      </w:r>
    </w:p>
    <w:p>
      <w:pPr>
        <w:spacing w:after="0" w:line="2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April 26, 2021</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w:t>
      </w:r>
    </w:p>
    <w:p>
      <w:pPr>
        <w:spacing w:after="0" w:line="238" w:lineRule="auto"/>
        <w:rPr>
          <w:sz w:val="20"/>
          <w:szCs w:val="20"/>
          <w:color w:val="auto"/>
        </w:rPr>
      </w:pPr>
      <w:r>
        <w:rPr>
          <w:rFonts w:ascii="Arial" w:cs="Arial" w:eastAsia="Arial" w:hAnsi="Arial"/>
          <w:sz w:val="22"/>
          <w:szCs w:val="22"/>
          <w:color w:val="auto"/>
        </w:rPr>
        <w:t>PRA Health Sciences, Inc.</w:t>
      </w:r>
    </w:p>
    <w:p>
      <w:pPr>
        <w:spacing w:after="0" w:line="230" w:lineRule="auto"/>
        <w:rPr>
          <w:sz w:val="20"/>
          <w:szCs w:val="20"/>
          <w:color w:val="auto"/>
        </w:rPr>
      </w:pPr>
      <w:r>
        <w:rPr>
          <w:rFonts w:ascii="Arial" w:cs="Arial" w:eastAsia="Arial" w:hAnsi="Arial"/>
          <w:sz w:val="22"/>
          <w:szCs w:val="22"/>
          <w:color w:val="auto"/>
        </w:rPr>
        <w:t>4130 ParkLake Avenue, Suite 400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Raleigh, NC 27612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Members of the Board of Directors:</w:t>
      </w:r>
    </w:p>
    <w:p>
      <w:pPr>
        <w:spacing w:after="0" w:line="233" w:lineRule="exact"/>
        <w:rPr>
          <w:sz w:val="20"/>
          <w:szCs w:val="20"/>
          <w:color w:val="auto"/>
        </w:rPr>
      </w:pPr>
    </w:p>
    <w:p>
      <w:pPr>
        <w:jc w:val="both"/>
        <w:spacing w:after="0" w:line="248" w:lineRule="exact"/>
        <w:rPr>
          <w:sz w:val="20"/>
          <w:szCs w:val="20"/>
          <w:color w:val="auto"/>
        </w:rPr>
      </w:pPr>
      <w:r>
        <w:rPr>
          <w:rFonts w:ascii="Arial" w:cs="Arial" w:eastAsia="Arial" w:hAnsi="Arial"/>
          <w:sz w:val="19"/>
          <w:szCs w:val="19"/>
          <w:color w:val="auto"/>
        </w:rPr>
        <w:t>We hereby consent to the inclusion of our opinion letter, dated February 24, 2021, to the Board of Directors of PRA Health Sciences, Inc. (“PRA”) as Annex C to, and to the reference thereto under the headings “Summary—Opinions of PRA’s Financial Advisors”, “The Merger—Background of the Merger”, “The Merger—Recommendation of the PRA Board of Directors and Reasons for the Merger”, “The Merger—Opinions of PRA’s Financial Advisors”, “The Merger Proposal—ICON Unaudited Financial Forecasts” and “The Merger Proposal—PRA Unaudited Financial Forecasts” in the joint proxy statement/prospectus relating to the proposed merger involving PRA, ICON plc (“ICON”), ICON US Holdings, Inc. (“US HoldCo”) and Indigo Merger Sub, Inc., a wholly owned subsidiary of ICON and US HoldCo, which joint proxy statement/prospectus forms a part of ICON’s Registration Statement on Form F</w:t>
      </w:r>
      <w:r>
        <w:rPr>
          <w:rFonts w:ascii="MS PGothic" w:cs="MS PGothic" w:eastAsia="MS PGothic" w:hAnsi="MS PGothic"/>
          <w:sz w:val="19"/>
          <w:szCs w:val="19"/>
          <w:color w:val="auto"/>
        </w:rPr>
        <w:t>‑</w:t>
      </w:r>
      <w:r>
        <w:rPr>
          <w:rFonts w:ascii="Arial" w:cs="Arial" w:eastAsia="Arial" w:hAnsi="Arial"/>
          <w:sz w:val="19"/>
          <w:szCs w:val="19"/>
          <w:color w:val="auto"/>
        </w:rPr>
        <w:t>4 to which this consent is filed as an exhibit (the “Registration Statement”).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BOFA SECURITIES,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UBS SECURITIES LLC</w:t>
      </w:r>
    </w:p>
    <w:p>
      <w:pPr>
        <w:spacing w:after="0" w:line="239"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We hereby consent to the use of our opinion letter dated February 24, 2021 to the Board of Directors of PRA Health Sciences, Inc. (“PRA”) included as Annex D to the Joint Proxy Statement/Prospectus, which forms a part of the Amendment No. 1 to the Registration Statement (File No. 333-254891) of ICON plc (“ICON”) on Form F-4 relating to the proposed merger of PRA and ICON and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9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23495</wp:posOffset>
            </wp:positionV>
            <wp:extent cx="213423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UBS SECURITIES LLC</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71329"/>
    <w:multiLevelType w:val="hybridMultilevel"/>
    <w:lvl w:ilvl="0">
      <w:lvlJc w:val="left"/>
      <w:lvlText w:val="☐"/>
      <w:numFmt w:val="bullet"/>
      <w:start w:val="1"/>
    </w:lvl>
  </w:abstractNum>
  <w:abstractNum w:abstractNumId="1">
    <w:nsid w:val="3DA97044"/>
    <w:multiLevelType w:val="hybridMultilevel"/>
    <w:lvl w:ilvl="0">
      <w:lvlJc w:val="left"/>
      <w:lvlText w:val="(%1)"/>
      <w:numFmt w:val="decimal"/>
      <w:start w:val="1"/>
    </w:lvl>
  </w:abstractNum>
  <w:abstractNum w:abstractNumId="2">
    <w:nsid w:val="1CDCE2DE"/>
    <w:multiLevelType w:val="hybridMultilevel"/>
    <w:lvl w:ilvl="0">
      <w:lvlJc w:val="left"/>
      <w:lvlText w:val="%1."/>
      <w:numFmt w:val="decimal"/>
      <w:start w:val="1"/>
    </w:lvl>
  </w:abstractNum>
  <w:abstractNum w:abstractNumId="3">
    <w:nsid w:val="69D3947C"/>
    <w:multiLevelType w:val="hybridMultilevel"/>
    <w:lvl w:ilvl="0">
      <w:lvlJc w:val="left"/>
      <w:lvlText w:val="•"/>
      <w:numFmt w:val="bullet"/>
      <w:start w:val="1"/>
    </w:lvl>
  </w:abstractNum>
  <w:abstractNum w:abstractNumId="4">
    <w:nsid w:val="2539DFA5"/>
    <w:multiLevelType w:val="hybridMultilevel"/>
    <w:lvl w:ilvl="0">
      <w:lvlJc w:val="left"/>
      <w:lvlText w:val="%1:"/>
      <w:numFmt w:val="upperLetter"/>
      <w:start w:val="1"/>
    </w:lvl>
  </w:abstractNum>
  <w:abstractNum w:abstractNumId="5">
    <w:nsid w:val="2DB88089"/>
    <w:multiLevelType w:val="hybridMultilevel"/>
    <w:lvl w:ilvl="0">
      <w:lvlJc w:val="left"/>
      <w:lvlText w:val="%1:"/>
      <w:numFmt w:val="upperLetter"/>
      <w:start w:val="1"/>
    </w:lvl>
  </w:abstractNum>
  <w:abstractNum w:abstractNumId="6">
    <w:nsid w:val="706B674E"/>
    <w:multiLevelType w:val="hybridMultilevel"/>
    <w:lvl w:ilvl="0">
      <w:lvlJc w:val="left"/>
      <w:lvlText w:val="%1:"/>
      <w:numFmt w:val="upperLetter"/>
      <w:start w:val="1"/>
    </w:lvl>
    <w:lvl w:ilvl="1">
      <w:lvlJc w:val="left"/>
      <w:lvlText w:val="•"/>
      <w:numFmt w:val="bullet"/>
      <w:start w:val="1"/>
    </w:lvl>
  </w:abstractNum>
  <w:abstractNum w:abstractNumId="7">
    <w:nsid w:val="2C106A57"/>
    <w:multiLevelType w:val="hybridMultilevel"/>
    <w:lvl w:ilvl="0">
      <w:lvlJc w:val="left"/>
      <w:lvlText w:val="%1:"/>
      <w:numFmt w:val="upperLetter"/>
      <w:start w:val="16"/>
    </w:lvl>
    <w:lvl w:ilvl="1">
      <w:lvlJc w:val="left"/>
      <w:lvlText w:val="•"/>
      <w:numFmt w:val="bullet"/>
      <w:start w:val="1"/>
    </w:lvl>
  </w:abstractNum>
  <w:abstractNum w:abstractNumId="8">
    <w:nsid w:val="684EED59"/>
    <w:multiLevelType w:val="hybridMultilevel"/>
    <w:lvl w:ilvl="0">
      <w:lvlJc w:val="left"/>
      <w:lvlText w:val="%1:"/>
      <w:numFmt w:val="upperLetter"/>
      <w:start w:val="1"/>
    </w:lvl>
  </w:abstractNum>
  <w:abstractNum w:abstractNumId="9">
    <w:nsid w:val="545EE5D3"/>
    <w:multiLevelType w:val="hybridMultilevel"/>
    <w:lvl w:ilvl="0">
      <w:lvlJc w:val="left"/>
      <w:lvlText w:val="%1:"/>
      <w:numFmt w:val="upperLetter"/>
      <w:start w:val="1"/>
    </w:lvl>
    <w:lvl w:ilvl="1">
      <w:lvlJc w:val="left"/>
      <w:lvlText w:val="•"/>
      <w:numFmt w:val="bullet"/>
      <w:start w:val="1"/>
    </w:lvl>
  </w:abstractNum>
  <w:abstractNum w:abstractNumId="10">
    <w:nsid w:val="4A66051"/>
    <w:multiLevelType w:val="hybridMultilevel"/>
    <w:lvl w:ilvl="0">
      <w:lvlJc w:val="left"/>
      <w:lvlText w:val="%1:"/>
      <w:numFmt w:val="upperLetter"/>
      <w:start w:val="1"/>
    </w:lvl>
  </w:abstractNum>
  <w:abstractNum w:abstractNumId="11">
    <w:nsid w:val="20F4BDAD"/>
    <w:multiLevelType w:val="hybridMultilevel"/>
    <w:lvl w:ilvl="0">
      <w:lvlJc w:val="left"/>
      <w:lvlText w:val="%1:"/>
      <w:numFmt w:val="upperLetter"/>
      <w:start w:val="1"/>
    </w:lvl>
  </w:abstractNum>
  <w:abstractNum w:abstractNumId="12">
    <w:nsid w:val="639DEFAC"/>
    <w:multiLevelType w:val="hybridMultilevel"/>
    <w:lvl w:ilvl="0">
      <w:lvlJc w:val="left"/>
      <w:lvlText w:val="%1:"/>
      <w:numFmt w:val="upperLetter"/>
      <w:start w:val="1"/>
    </w:lvl>
    <w:lvl w:ilvl="1">
      <w:lvlJc w:val="left"/>
      <w:lvlText w:val="%2."/>
      <w:numFmt w:val="decimal"/>
      <w:start w:val="1"/>
    </w:lvl>
  </w:abstractNum>
  <w:abstractNum w:abstractNumId="13">
    <w:nsid w:val="501F9786"/>
    <w:multiLevelType w:val="hybridMultilevel"/>
    <w:lvl w:ilvl="0">
      <w:lvlJc w:val="left"/>
      <w:lvlText w:val="%1:"/>
      <w:numFmt w:val="upperLetter"/>
      <w:start w:val="1"/>
    </w:lvl>
  </w:abstractNum>
  <w:abstractNum w:abstractNumId="14">
    <w:nsid w:val="6B057295"/>
    <w:multiLevelType w:val="hybridMultilevel"/>
    <w:lvl w:ilvl="0">
      <w:lvlJc w:val="left"/>
      <w:lvlText w:val="%1:"/>
      <w:numFmt w:val="upperLetter"/>
      <w:start w:val="1"/>
    </w:lvl>
  </w:abstractNum>
  <w:abstractNum w:abstractNumId="15">
    <w:nsid w:val="2771AC80"/>
    <w:multiLevelType w:val="hybridMultilevel"/>
    <w:lvl w:ilvl="0">
      <w:lvlJc w:val="left"/>
      <w:lvlText w:val="%1:"/>
      <w:numFmt w:val="upperLetter"/>
      <w:start w:val="17"/>
    </w:lvl>
  </w:abstractNum>
  <w:abstractNum w:abstractNumId="16">
    <w:nsid w:val="1C4A08EC"/>
    <w:multiLevelType w:val="hybridMultilevel"/>
    <w:lvl w:ilvl="0">
      <w:lvlJc w:val="left"/>
      <w:lvlText w:val="%1:"/>
      <w:numFmt w:val="upperLetter"/>
      <w:start w:val="1"/>
    </w:lvl>
  </w:abstractNum>
  <w:abstractNum w:abstractNumId="17">
    <w:nsid w:val="1958BD17"/>
    <w:multiLevelType w:val="hybridMultilevel"/>
    <w:lvl w:ilvl="0">
      <w:lvlJc w:val="left"/>
      <w:lvlText w:val="%1:"/>
      <w:numFmt w:val="upperLetter"/>
      <w:start w:val="17"/>
    </w:lvl>
  </w:abstractNum>
  <w:abstractNum w:abstractNumId="18">
    <w:nsid w:val="4E647FE4"/>
    <w:multiLevelType w:val="hybridMultilevel"/>
    <w:lvl w:ilvl="0">
      <w:lvlJc w:val="left"/>
      <w:lvlText w:val="%1:"/>
      <w:numFmt w:val="upperLetter"/>
      <w:start w:val="1"/>
    </w:lvl>
  </w:abstractNum>
  <w:abstractNum w:abstractNumId="19">
    <w:nsid w:val="E0BB885"/>
    <w:multiLevelType w:val="hybridMultilevel"/>
    <w:lvl w:ilvl="0">
      <w:lvlJc w:val="left"/>
      <w:lvlText w:val="%1:"/>
      <w:numFmt w:val="upperLetter"/>
      <w:start w:val="17"/>
    </w:lvl>
  </w:abstractNum>
  <w:abstractNum w:abstractNumId="20">
    <w:nsid w:val="565976F1"/>
    <w:multiLevelType w:val="hybridMultilevel"/>
    <w:lvl w:ilvl="0">
      <w:lvlJc w:val="left"/>
      <w:lvlText w:val="%1:"/>
      <w:numFmt w:val="upperLetter"/>
      <w:start w:val="1"/>
    </w:lvl>
  </w:abstractNum>
  <w:abstractNum w:abstractNumId="21">
    <w:nsid w:val="64212B8C"/>
    <w:multiLevelType w:val="hybridMultilevel"/>
    <w:lvl w:ilvl="0">
      <w:lvlJc w:val="left"/>
      <w:lvlText w:val="%1:"/>
      <w:numFmt w:val="upperLetter"/>
      <w:start w:val="1"/>
    </w:lvl>
    <w:lvl w:ilvl="1">
      <w:lvlJc w:val="left"/>
      <w:lvlText w:val="%2."/>
      <w:numFmt w:val="decimal"/>
      <w:start w:val="1"/>
    </w:lvl>
  </w:abstractNum>
  <w:abstractNum w:abstractNumId="22">
    <w:nsid w:val="5C17530C"/>
    <w:multiLevelType w:val="hybridMultilevel"/>
    <w:lvl w:ilvl="0">
      <w:lvlJc w:val="left"/>
      <w:lvlText w:val="%1:"/>
      <w:numFmt w:val="upperLetter"/>
      <w:start w:val="1"/>
    </w:lvl>
  </w:abstractNum>
  <w:abstractNum w:abstractNumId="23">
    <w:nsid w:val="19A52566"/>
    <w:multiLevelType w:val="hybridMultilevel"/>
    <w:lvl w:ilvl="0">
      <w:lvlJc w:val="left"/>
      <w:lvlText w:val="%1:"/>
      <w:numFmt w:val="upperLetter"/>
      <w:start w:val="1"/>
    </w:lvl>
  </w:abstractNum>
  <w:abstractNum w:abstractNumId="24">
    <w:nsid w:val="335A1DF1"/>
    <w:multiLevelType w:val="hybridMultilevel"/>
    <w:lvl w:ilvl="0">
      <w:lvlJc w:val="left"/>
      <w:lvlText w:val="%1:"/>
      <w:numFmt w:val="upperLetter"/>
      <w:start w:val="17"/>
    </w:lvl>
  </w:abstractNum>
  <w:abstractNum w:abstractNumId="25">
    <w:nsid w:val="28677B7C"/>
    <w:multiLevelType w:val="hybridMultilevel"/>
    <w:lvl w:ilvl="0">
      <w:lvlJc w:val="left"/>
      <w:lvlText w:val="%1:"/>
      <w:numFmt w:val="upperLetter"/>
      <w:start w:val="1"/>
    </w:lvl>
  </w:abstractNum>
  <w:abstractNum w:abstractNumId="26">
    <w:nsid w:val="378D97C0"/>
    <w:multiLevelType w:val="hybridMultilevel"/>
    <w:lvl w:ilvl="0">
      <w:lvlJc w:val="left"/>
      <w:lvlText w:val="%1:"/>
      <w:numFmt w:val="upperLetter"/>
      <w:start w:val="1"/>
    </w:lvl>
    <w:lvl w:ilvl="1">
      <w:lvlJc w:val="left"/>
      <w:lvlText w:val="•"/>
      <w:numFmt w:val="bullet"/>
      <w:start w:val="1"/>
    </w:lvl>
  </w:abstractNum>
  <w:abstractNum w:abstractNumId="27">
    <w:nsid w:val="1D91467C"/>
    <w:multiLevelType w:val="hybridMultilevel"/>
    <w:lvl w:ilvl="0">
      <w:lvlJc w:val="left"/>
      <w:lvlText w:val="%1:"/>
      <w:numFmt w:val="upperLetter"/>
      <w:start w:val="1"/>
    </w:lvl>
    <w:lvl w:ilvl="1">
      <w:lvlJc w:val="left"/>
      <w:lvlText w:val="%2."/>
      <w:numFmt w:val="decimal"/>
      <w:start w:val="1"/>
    </w:lvl>
  </w:abstractNum>
  <w:abstractNum w:abstractNumId="28">
    <w:nsid w:val="316032BB"/>
    <w:multiLevelType w:val="hybridMultilevel"/>
    <w:lvl w:ilvl="0">
      <w:lvlJc w:val="left"/>
      <w:lvlText w:val="%1:"/>
      <w:numFmt w:val="upperLetter"/>
      <w:start w:val="17"/>
    </w:lvl>
  </w:abstractNum>
  <w:abstractNum w:abstractNumId="29">
    <w:nsid w:val="44344C22"/>
    <w:multiLevelType w:val="hybridMultilevel"/>
    <w:lvl w:ilvl="0">
      <w:lvlJc w:val="left"/>
      <w:lvlText w:val="%1:"/>
      <w:numFmt w:val="upperLetter"/>
      <w:start w:val="1"/>
    </w:lvl>
  </w:abstractNum>
  <w:abstractNum w:abstractNumId="30">
    <w:nsid w:val="13CDFCFC"/>
    <w:multiLevelType w:val="hybridMultilevel"/>
    <w:lvl w:ilvl="0">
      <w:lvlJc w:val="left"/>
      <w:lvlText w:val="%1:"/>
      <w:numFmt w:val="upperLetter"/>
      <w:start w:val="1"/>
    </w:lvl>
  </w:abstractNum>
  <w:abstractNum w:abstractNumId="31">
    <w:nsid w:val="471745E4"/>
    <w:multiLevelType w:val="hybridMultilevel"/>
    <w:lvl w:ilvl="0">
      <w:lvlJc w:val="left"/>
      <w:lvlText w:val="%1:"/>
      <w:numFmt w:val="upperLetter"/>
      <w:start w:val="1"/>
    </w:lvl>
  </w:abstractNum>
  <w:abstractNum w:abstractNumId="32">
    <w:nsid w:val="1DDBC66"/>
    <w:multiLevelType w:val="hybridMultilevel"/>
    <w:lvl w:ilvl="0">
      <w:lvlJc w:val="left"/>
      <w:lvlText w:val="%1:"/>
      <w:numFmt w:val="upperLetter"/>
      <w:start w:val="1"/>
    </w:lvl>
  </w:abstractNum>
  <w:abstractNum w:abstractNumId="33">
    <w:nsid w:val="30AADFDA"/>
    <w:multiLevelType w:val="hybridMultilevel"/>
    <w:lvl w:ilvl="0">
      <w:lvlJc w:val="left"/>
      <w:lvlText w:val="%1:"/>
      <w:numFmt w:val="upperLetter"/>
      <w:start w:val="1"/>
    </w:lvl>
  </w:abstractNum>
  <w:abstractNum w:abstractNumId="34">
    <w:nsid w:val="30EADA61"/>
    <w:multiLevelType w:val="hybridMultilevel"/>
    <w:lvl w:ilvl="0">
      <w:lvlJc w:val="left"/>
      <w:lvlText w:val="%1:"/>
      <w:numFmt w:val="upperLetter"/>
      <w:start w:val="17"/>
    </w:lvl>
  </w:abstractNum>
  <w:abstractNum w:abstractNumId="35">
    <w:nsid w:val="27179C0B"/>
    <w:multiLevelType w:val="hybridMultilevel"/>
    <w:lvl w:ilvl="0">
      <w:lvlJc w:val="left"/>
      <w:lvlText w:val="%1:"/>
      <w:numFmt w:val="upperLetter"/>
      <w:start w:val="1"/>
    </w:lvl>
  </w:abstractNum>
  <w:abstractNum w:abstractNumId="36">
    <w:nsid w:val="5E636063"/>
    <w:multiLevelType w:val="hybridMultilevel"/>
    <w:lvl w:ilvl="0">
      <w:lvlJc w:val="left"/>
      <w:lvlText w:val="%1:"/>
      <w:numFmt w:val="upperLetter"/>
      <w:start w:val="1"/>
    </w:lvl>
  </w:abstractNum>
  <w:abstractNum w:abstractNumId="37">
    <w:nsid w:val="215641AF"/>
    <w:multiLevelType w:val="hybridMultilevel"/>
    <w:lvl w:ilvl="0">
      <w:lvlJc w:val="left"/>
      <w:lvlText w:val="%1:"/>
      <w:numFmt w:val="upperLetter"/>
      <w:start w:val="17"/>
    </w:lvl>
  </w:abstractNum>
  <w:abstractNum w:abstractNumId="38">
    <w:nsid w:val="53280662"/>
    <w:multiLevelType w:val="hybridMultilevel"/>
    <w:lvl w:ilvl="0">
      <w:lvlJc w:val="left"/>
      <w:lvlText w:val="%1:"/>
      <w:numFmt w:val="upperLetter"/>
      <w:start w:val="1"/>
    </w:lvl>
  </w:abstractNum>
  <w:abstractNum w:abstractNumId="39">
    <w:nsid w:val="46B24DBC"/>
    <w:multiLevelType w:val="hybridMultilevel"/>
    <w:lvl w:ilvl="0">
      <w:lvlJc w:val="left"/>
      <w:lvlText w:val="%1."/>
      <w:numFmt w:val="decimal"/>
      <w:start w:val="1"/>
    </w:lvl>
  </w:abstractNum>
  <w:abstractNum w:abstractNumId="40">
    <w:nsid w:val="75B52783"/>
    <w:multiLevelType w:val="hybridMultilevel"/>
    <w:lvl w:ilvl="0">
      <w:lvlJc w:val="left"/>
      <w:lvlText w:val="%1"/>
      <w:numFmt w:val="upperLetter"/>
      <w:start w:val="1"/>
    </w:lvl>
    <w:lvl w:ilvl="1">
      <w:lvlJc w:val="left"/>
      <w:lvlText w:val="%2."/>
      <w:numFmt w:val="decimal"/>
      <w:start w:val="1"/>
    </w:lvl>
  </w:abstractNum>
  <w:abstractNum w:abstractNumId="41">
    <w:nsid w:val="57CE66B4"/>
    <w:multiLevelType w:val="hybridMultilevel"/>
    <w:lvl w:ilvl="0">
      <w:lvlJc w:val="left"/>
      <w:lvlText w:val="%1:"/>
      <w:numFmt w:val="upperLetter"/>
      <w:start w:val="17"/>
    </w:lvl>
    <w:lvl w:ilvl="1">
      <w:lvlJc w:val="left"/>
      <w:lvlText w:val="%2"/>
      <w:numFmt w:val="decimal"/>
      <w:start w:val="1"/>
    </w:lvl>
  </w:abstractNum>
  <w:abstractNum w:abstractNumId="42">
    <w:nsid w:val="67A70B69"/>
    <w:multiLevelType w:val="hybridMultilevel"/>
    <w:lvl w:ilvl="0">
      <w:lvlJc w:val="left"/>
      <w:lvlText w:val="%1:"/>
      <w:numFmt w:val="upperLetter"/>
      <w:start w:val="1"/>
    </w:lvl>
  </w:abstractNum>
  <w:abstractNum w:abstractNumId="43">
    <w:nsid w:val="5953172F"/>
    <w:multiLevelType w:val="hybridMultilevel"/>
    <w:lvl w:ilvl="0">
      <w:lvlJc w:val="left"/>
      <w:lvlText w:val="%1:"/>
      <w:numFmt w:val="upperLetter"/>
      <w:start w:val="1"/>
    </w:lvl>
  </w:abstractNum>
  <w:abstractNum w:abstractNumId="44">
    <w:nsid w:val="27EDFE3A"/>
    <w:multiLevelType w:val="hybridMultilevel"/>
    <w:lvl w:ilvl="0">
      <w:lvlJc w:val="left"/>
      <w:lvlText w:val="%1:"/>
      <w:numFmt w:val="upperLetter"/>
      <w:start w:val="1"/>
    </w:lvl>
    <w:lvl w:ilvl="1">
      <w:lvlJc w:val="left"/>
      <w:lvlText w:val="•"/>
      <w:numFmt w:val="bullet"/>
      <w:start w:val="1"/>
    </w:lvl>
  </w:abstractNum>
  <w:abstractNum w:abstractNumId="45">
    <w:nsid w:val="52AC7DFF"/>
    <w:multiLevelType w:val="hybridMultilevel"/>
    <w:lvl w:ilvl="0">
      <w:lvlJc w:val="left"/>
      <w:lvlText w:val="•"/>
      <w:numFmt w:val="bullet"/>
      <w:start w:val="1"/>
    </w:lvl>
  </w:abstractNum>
  <w:abstractNum w:abstractNumId="46">
    <w:nsid w:val="C4C3AF"/>
    <w:multiLevelType w:val="hybridMultilevel"/>
    <w:lvl w:ilvl="0">
      <w:lvlJc w:val="left"/>
      <w:lvlText w:val="•"/>
      <w:numFmt w:val="bullet"/>
      <w:start w:val="1"/>
    </w:lvl>
  </w:abstractNum>
  <w:abstractNum w:abstractNumId="47">
    <w:nsid w:val="44380727"/>
    <w:multiLevelType w:val="hybridMultilevel"/>
    <w:lvl w:ilvl="0">
      <w:lvlJc w:val="left"/>
      <w:lvlText w:val="%1:"/>
      <w:numFmt w:val="upperLetter"/>
      <w:start w:val="17"/>
    </w:lvl>
  </w:abstractNum>
  <w:abstractNum w:abstractNumId="48">
    <w:nsid w:val="6C053B16"/>
    <w:multiLevelType w:val="hybridMultilevel"/>
    <w:lvl w:ilvl="0">
      <w:lvlJc w:val="left"/>
      <w:lvlText w:val="%1:"/>
      <w:numFmt w:val="upperLetter"/>
      <w:start w:val="1"/>
    </w:lvl>
  </w:abstractNum>
  <w:abstractNum w:abstractNumId="49">
    <w:nsid w:val="4F294393"/>
    <w:multiLevelType w:val="hybridMultilevel"/>
    <w:lvl w:ilvl="0">
      <w:lvlJc w:val="left"/>
      <w:lvlText w:val="%1:"/>
      <w:numFmt w:val="upperLetter"/>
      <w:start w:val="1"/>
    </w:lvl>
  </w:abstractNum>
  <w:abstractNum w:abstractNumId="50">
    <w:nsid w:val="5243BFAC"/>
    <w:multiLevelType w:val="hybridMultilevel"/>
    <w:lvl w:ilvl="0">
      <w:lvlJc w:val="left"/>
      <w:lvlText w:val="%1:"/>
      <w:numFmt w:val="upperLetter"/>
      <w:start w:val="1"/>
    </w:lvl>
  </w:abstractNum>
  <w:abstractNum w:abstractNumId="51">
    <w:nsid w:val="425EB207"/>
    <w:multiLevelType w:val="hybridMultilevel"/>
    <w:lvl w:ilvl="0">
      <w:lvlJc w:val="left"/>
      <w:lvlText w:val="%1:"/>
      <w:numFmt w:val="upperLetter"/>
      <w:start w:val="1"/>
    </w:lvl>
  </w:abstractNum>
  <w:abstractNum w:abstractNumId="52">
    <w:nsid w:val="334A6F1F"/>
    <w:multiLevelType w:val="hybridMultilevel"/>
    <w:lvl w:ilvl="0">
      <w:lvlJc w:val="left"/>
      <w:lvlText w:val="%1:"/>
      <w:numFmt w:val="upperLetter"/>
      <w:start w:val="1"/>
    </w:lvl>
  </w:abstractNum>
  <w:abstractNum w:abstractNumId="53">
    <w:nsid w:val="2E5B12B8"/>
    <w:multiLevelType w:val="hybridMultilevel"/>
    <w:lvl w:ilvl="0">
      <w:lvlJc w:val="left"/>
      <w:lvlText w:val="%1:"/>
      <w:numFmt w:val="upperLetter"/>
      <w:start w:val="1"/>
    </w:lvl>
  </w:abstractNum>
  <w:abstractNum w:abstractNumId="54">
    <w:nsid w:val="5C03D76D"/>
    <w:multiLevelType w:val="hybridMultilevel"/>
    <w:lvl w:ilvl="0">
      <w:lvlJc w:val="left"/>
      <w:lvlText w:val="%1:"/>
      <w:numFmt w:val="upperLetter"/>
      <w:start w:val="1"/>
    </w:lvl>
  </w:abstractNum>
  <w:abstractNum w:abstractNumId="55">
    <w:nsid w:val="66A48D11"/>
    <w:multiLevelType w:val="hybridMultilevel"/>
    <w:lvl w:ilvl="0">
      <w:lvlJc w:val="left"/>
      <w:lvlText w:val="%1:"/>
      <w:numFmt w:val="upperLetter"/>
      <w:start w:val="1"/>
    </w:lvl>
  </w:abstractNum>
  <w:abstractNum w:abstractNumId="56">
    <w:nsid w:val="56C28E34"/>
    <w:multiLevelType w:val="hybridMultilevel"/>
    <w:lvl w:ilvl="0">
      <w:lvlJc w:val="left"/>
      <w:lvlText w:val="%1:"/>
      <w:numFmt w:val="upperLetter"/>
      <w:start w:val="1"/>
    </w:lvl>
  </w:abstractNum>
  <w:abstractNum w:abstractNumId="57">
    <w:nsid w:val="13916F2D"/>
    <w:multiLevelType w:val="hybridMultilevel"/>
    <w:lvl w:ilvl="0">
      <w:lvlJc w:val="left"/>
      <w:lvlText w:val="%1:"/>
      <w:numFmt w:val="upperLetter"/>
      <w:start w:val="1"/>
    </w:lvl>
  </w:abstractNum>
  <w:abstractNum w:abstractNumId="58">
    <w:nsid w:val="435D38D"/>
    <w:multiLevelType w:val="hybridMultilevel"/>
    <w:lvl w:ilvl="0">
      <w:lvlJc w:val="left"/>
      <w:lvlText w:val="%1:"/>
      <w:numFmt w:val="upperLetter"/>
      <w:start w:val="17"/>
    </w:lvl>
  </w:abstractNum>
  <w:abstractNum w:abstractNumId="59">
    <w:nsid w:val="822C0EF"/>
    <w:multiLevelType w:val="hybridMultilevel"/>
    <w:lvl w:ilvl="0">
      <w:lvlJc w:val="left"/>
      <w:lvlText w:val="%1:"/>
      <w:numFmt w:val="upperLetter"/>
      <w:start w:val="1"/>
    </w:lvl>
  </w:abstractNum>
  <w:abstractNum w:abstractNumId="60">
    <w:nsid w:val="57C5BB4F"/>
    <w:multiLevelType w:val="hybridMultilevel"/>
    <w:lvl w:ilvl="0">
      <w:lvlJc w:val="left"/>
      <w:lvlText w:val="%1:"/>
      <w:numFmt w:val="upperLetter"/>
      <w:start w:val="1"/>
    </w:lvl>
  </w:abstractNum>
  <w:abstractNum w:abstractNumId="61">
    <w:nsid w:val="1803D089"/>
    <w:multiLevelType w:val="hybridMultilevel"/>
    <w:lvl w:ilvl="0">
      <w:lvlJc w:val="left"/>
      <w:lvlText w:val="%1:"/>
      <w:numFmt w:val="upperLetter"/>
      <w:start w:val="1"/>
    </w:lvl>
  </w:abstractNum>
  <w:abstractNum w:abstractNumId="62">
    <w:nsid w:val="4F3A06D4"/>
    <w:multiLevelType w:val="hybridMultilevel"/>
    <w:lvl w:ilvl="0">
      <w:lvlJc w:val="left"/>
      <w:lvlText w:val="%1:"/>
      <w:numFmt w:val="upperLetter"/>
      <w:start w:val="1"/>
    </w:lvl>
  </w:abstractNum>
  <w:abstractNum w:abstractNumId="63">
    <w:nsid w:val="59A377B6"/>
    <w:multiLevelType w:val="hybridMultilevel"/>
    <w:lvl w:ilvl="0">
      <w:lvlJc w:val="left"/>
      <w:lvlText w:val="%1:"/>
      <w:numFmt w:val="upperLetter"/>
      <w:start w:val="1"/>
    </w:lvl>
  </w:abstractNum>
  <w:abstractNum w:abstractNumId="64">
    <w:nsid w:val="48AEB063"/>
    <w:multiLevelType w:val="hybridMultilevel"/>
    <w:lvl w:ilvl="0">
      <w:lvlJc w:val="left"/>
      <w:lvlText w:val="(%1)"/>
      <w:numFmt w:val="lowerLetter"/>
      <w:start w:val="25"/>
    </w:lvl>
  </w:abstractNum>
  <w:abstractNum w:abstractNumId="65">
    <w:nsid w:val="24E135"/>
    <w:multiLevelType w:val="hybridMultilevel"/>
    <w:lvl w:ilvl="0">
      <w:lvlJc w:val="left"/>
      <w:lvlText w:val="(%1)"/>
      <w:numFmt w:val="lowerRoman"/>
      <w:start w:val="2"/>
    </w:lvl>
  </w:abstractNum>
  <w:abstractNum w:abstractNumId="66">
    <w:nsid w:val="BB13C1"/>
    <w:multiLevelType w:val="hybridMultilevel"/>
    <w:lvl w:ilvl="0">
      <w:lvlJc w:val="left"/>
      <w:lvlText w:val="•"/>
      <w:numFmt w:val="bullet"/>
      <w:start w:val="1"/>
    </w:lvl>
  </w:abstractNum>
  <w:abstractNum w:abstractNumId="67">
    <w:nsid w:val="271210C7"/>
    <w:multiLevelType w:val="hybridMultilevel"/>
    <w:lvl w:ilvl="0">
      <w:lvlJc w:val="left"/>
      <w:lvlText w:val="•"/>
      <w:numFmt w:val="bullet"/>
      <w:start w:val="1"/>
    </w:lvl>
  </w:abstractNum>
  <w:abstractNum w:abstractNumId="68">
    <w:nsid w:val="217B22E4"/>
    <w:multiLevelType w:val="hybridMultilevel"/>
    <w:lvl w:ilvl="0">
      <w:lvlJc w:val="left"/>
      <w:lvlText w:val="•"/>
      <w:numFmt w:val="bullet"/>
      <w:start w:val="1"/>
    </w:lvl>
  </w:abstractNum>
  <w:abstractNum w:abstractNumId="69">
    <w:nsid w:val="53E31A24"/>
    <w:multiLevelType w:val="hybridMultilevel"/>
    <w:lvl w:ilvl="0">
      <w:lvlJc w:val="left"/>
      <w:lvlText w:val="•"/>
      <w:numFmt w:val="bullet"/>
      <w:start w:val="1"/>
    </w:lvl>
  </w:abstractNum>
  <w:abstractNum w:abstractNumId="70">
    <w:nsid w:val="6DC45E83"/>
    <w:multiLevelType w:val="hybridMultilevel"/>
    <w:lvl w:ilvl="0">
      <w:lvlJc w:val="left"/>
      <w:lvlText w:val="•"/>
      <w:numFmt w:val="bullet"/>
      <w:start w:val="1"/>
    </w:lvl>
  </w:abstractNum>
  <w:abstractNum w:abstractNumId="71">
    <w:nsid w:val="17304A67"/>
    <w:multiLevelType w:val="hybridMultilevel"/>
    <w:lvl w:ilvl="0">
      <w:lvlJc w:val="left"/>
      <w:lvlText w:val="•"/>
      <w:numFmt w:val="bullet"/>
      <w:start w:val="1"/>
    </w:lvl>
  </w:abstractNum>
  <w:abstractNum w:abstractNumId="72">
    <w:nsid w:val="2BB180D8"/>
    <w:multiLevelType w:val="hybridMultilevel"/>
    <w:lvl w:ilvl="0">
      <w:lvlJc w:val="left"/>
      <w:lvlText w:val="•"/>
      <w:numFmt w:val="bullet"/>
      <w:start w:val="1"/>
    </w:lvl>
  </w:abstractNum>
  <w:abstractNum w:abstractNumId="73">
    <w:nsid w:val="556B69ED"/>
    <w:multiLevelType w:val="hybridMultilevel"/>
    <w:lvl w:ilvl="0">
      <w:lvlJc w:val="left"/>
      <w:lvlText w:val="•"/>
      <w:numFmt w:val="bullet"/>
      <w:start w:val="1"/>
    </w:lvl>
  </w:abstractNum>
  <w:abstractNum w:abstractNumId="74">
    <w:nsid w:val="70836196"/>
    <w:multiLevelType w:val="hybridMultilevel"/>
    <w:lvl w:ilvl="0">
      <w:lvlJc w:val="left"/>
      <w:lvlText w:val="•"/>
      <w:numFmt w:val="bullet"/>
      <w:start w:val="1"/>
    </w:lvl>
  </w:abstractNum>
  <w:abstractNum w:abstractNumId="75">
    <w:nsid w:val="539F7F12"/>
    <w:multiLevelType w:val="hybridMultilevel"/>
    <w:lvl w:ilvl="0">
      <w:lvlJc w:val="left"/>
      <w:lvlText w:val="•"/>
      <w:numFmt w:val="bullet"/>
      <w:start w:val="1"/>
    </w:lvl>
  </w:abstractNum>
  <w:abstractNum w:abstractNumId="76">
    <w:nsid w:val="2817E7EC"/>
    <w:multiLevelType w:val="hybridMultilevel"/>
    <w:lvl w:ilvl="0">
      <w:lvlJc w:val="left"/>
      <w:lvlText w:val="•"/>
      <w:numFmt w:val="bullet"/>
      <w:start w:val="1"/>
    </w:lvl>
  </w:abstractNum>
  <w:abstractNum w:abstractNumId="77">
    <w:nsid w:val="71482545"/>
    <w:multiLevelType w:val="hybridMultilevel"/>
    <w:lvl w:ilvl="0">
      <w:lvlJc w:val="left"/>
      <w:lvlText w:val="•"/>
      <w:numFmt w:val="bullet"/>
      <w:start w:val="1"/>
    </w:lvl>
  </w:abstractNum>
  <w:abstractNum w:abstractNumId="78">
    <w:nsid w:val="17D78639"/>
    <w:multiLevelType w:val="hybridMultilevel"/>
    <w:lvl w:ilvl="0">
      <w:lvlJc w:val="left"/>
      <w:lvlText w:val="•"/>
      <w:numFmt w:val="bullet"/>
      <w:start w:val="1"/>
    </w:lvl>
  </w:abstractNum>
  <w:abstractNum w:abstractNumId="79">
    <w:nsid w:val="141D2302"/>
    <w:multiLevelType w:val="hybridMultilevel"/>
    <w:lvl w:ilvl="0">
      <w:lvlJc w:val="left"/>
      <w:lvlText w:val="•"/>
      <w:numFmt w:val="bullet"/>
      <w:start w:val="1"/>
    </w:lvl>
  </w:abstractNum>
  <w:abstractNum w:abstractNumId="80">
    <w:nsid w:val="407168D8"/>
    <w:multiLevelType w:val="hybridMultilevel"/>
    <w:lvl w:ilvl="0">
      <w:lvlJc w:val="left"/>
      <w:lvlText w:val="•"/>
      <w:numFmt w:val="bullet"/>
      <w:start w:val="1"/>
    </w:lvl>
  </w:abstractNum>
  <w:abstractNum w:abstractNumId="81">
    <w:nsid w:val="6A1B45E5"/>
    <w:multiLevelType w:val="hybridMultilevel"/>
    <w:lvl w:ilvl="0">
      <w:lvlJc w:val="left"/>
      <w:lvlText w:val="•"/>
      <w:numFmt w:val="bullet"/>
      <w:start w:val="1"/>
    </w:lvl>
  </w:abstractNum>
  <w:abstractNum w:abstractNumId="82">
    <w:nsid w:val="567BD50A"/>
    <w:multiLevelType w:val="hybridMultilevel"/>
    <w:lvl w:ilvl="0">
      <w:lvlJc w:val="left"/>
      <w:lvlText w:val="•"/>
      <w:numFmt w:val="bullet"/>
      <w:start w:val="1"/>
    </w:lvl>
  </w:abstractNum>
  <w:abstractNum w:abstractNumId="83">
    <w:nsid w:val="73BBD7F8"/>
    <w:multiLevelType w:val="hybridMultilevel"/>
    <w:lvl w:ilvl="0">
      <w:lvlJc w:val="left"/>
      <w:lvlText w:val="•"/>
      <w:numFmt w:val="bullet"/>
      <w:start w:val="1"/>
    </w:lvl>
  </w:abstractNum>
  <w:abstractNum w:abstractNumId="84">
    <w:nsid w:val="1876589D"/>
    <w:multiLevelType w:val="hybridMultilevel"/>
    <w:lvl w:ilvl="0">
      <w:lvlJc w:val="left"/>
      <w:lvlText w:val="•"/>
      <w:numFmt w:val="bullet"/>
      <w:start w:val="1"/>
    </w:lvl>
  </w:abstractNum>
  <w:abstractNum w:abstractNumId="85">
    <w:nsid w:val="327FAC77"/>
    <w:multiLevelType w:val="hybridMultilevel"/>
    <w:lvl w:ilvl="0">
      <w:lvlJc w:val="left"/>
      <w:lvlText w:val="(%1)"/>
      <w:numFmt w:val="decimal"/>
      <w:start w:val="1"/>
    </w:lvl>
  </w:abstractNum>
  <w:abstractNum w:abstractNumId="86">
    <w:nsid w:val="5A606509"/>
    <w:multiLevelType w:val="hybridMultilevel"/>
    <w:lvl w:ilvl="0">
      <w:lvlJc w:val="left"/>
      <w:lvlText w:val="(%1)"/>
      <w:numFmt w:val="decimal"/>
      <w:start w:val="2"/>
    </w:lvl>
  </w:abstractNum>
  <w:abstractNum w:abstractNumId="87">
    <w:nsid w:val="6F38E6D1"/>
    <w:multiLevelType w:val="hybridMultilevel"/>
    <w:lvl w:ilvl="0">
      <w:lvlJc w:val="left"/>
      <w:lvlText w:val="•"/>
      <w:numFmt w:val="bullet"/>
      <w:start w:val="1"/>
    </w:lvl>
  </w:abstractNum>
  <w:abstractNum w:abstractNumId="88">
    <w:nsid w:val="46111BA5"/>
    <w:multiLevelType w:val="hybridMultilevel"/>
    <w:lvl w:ilvl="0">
      <w:lvlJc w:val="left"/>
      <w:lvlText w:val="•"/>
      <w:numFmt w:val="bullet"/>
      <w:start w:val="1"/>
    </w:lvl>
  </w:abstractNum>
  <w:abstractNum w:abstractNumId="89">
    <w:nsid w:val="5E963896"/>
    <w:multiLevelType w:val="hybridMultilevel"/>
    <w:lvl w:ilvl="0">
      <w:lvlJc w:val="left"/>
      <w:lvlText w:val="(%1)"/>
      <w:numFmt w:val="decimal"/>
      <w:start w:val="2"/>
    </w:lvl>
  </w:abstractNum>
  <w:abstractNum w:abstractNumId="90">
    <w:nsid w:val="775BA7C1"/>
    <w:multiLevelType w:val="hybridMultilevel"/>
    <w:lvl w:ilvl="0">
      <w:lvlJc w:val="left"/>
      <w:lvlText w:val="•"/>
      <w:numFmt w:val="bullet"/>
      <w:start w:val="1"/>
    </w:lvl>
  </w:abstractNum>
  <w:abstractNum w:abstractNumId="91">
    <w:nsid w:val="1DD6D6F4"/>
    <w:multiLevelType w:val="hybridMultilevel"/>
    <w:lvl w:ilvl="0">
      <w:lvlJc w:val="left"/>
      <w:lvlText w:val="•"/>
      <w:numFmt w:val="bullet"/>
      <w:start w:val="1"/>
    </w:lvl>
  </w:abstractNum>
  <w:abstractNum w:abstractNumId="92">
    <w:nsid w:val="769A091F"/>
    <w:multiLevelType w:val="hybridMultilevel"/>
    <w:lvl w:ilvl="0">
      <w:lvlJc w:val="left"/>
      <w:lvlText w:val="•"/>
      <w:numFmt w:val="bullet"/>
      <w:start w:val="1"/>
    </w:lvl>
  </w:abstractNum>
  <w:abstractNum w:abstractNumId="93">
    <w:nsid w:val="4695AE95"/>
    <w:multiLevelType w:val="hybridMultilevel"/>
    <w:lvl w:ilvl="0">
      <w:lvlJc w:val="left"/>
      <w:lvlText w:val="•"/>
      <w:numFmt w:val="bullet"/>
      <w:start w:val="1"/>
    </w:lvl>
  </w:abstractNum>
  <w:abstractNum w:abstractNumId="94">
    <w:nsid w:val="777A4EAA"/>
    <w:multiLevelType w:val="hybridMultilevel"/>
    <w:lvl w:ilvl="0">
      <w:lvlJc w:val="left"/>
      <w:lvlText w:val="•"/>
      <w:numFmt w:val="bullet"/>
      <w:start w:val="1"/>
    </w:lvl>
  </w:abstractNum>
  <w:abstractNum w:abstractNumId="95">
    <w:nsid w:val="3F48B982"/>
    <w:multiLevelType w:val="hybridMultilevel"/>
    <w:lvl w:ilvl="0">
      <w:lvlJc w:val="left"/>
      <w:lvlText w:val="•"/>
      <w:numFmt w:val="bullet"/>
      <w:start w:val="1"/>
    </w:lvl>
  </w:abstractNum>
  <w:abstractNum w:abstractNumId="96">
    <w:nsid w:val="46BA8FCA"/>
    <w:multiLevelType w:val="hybridMultilevel"/>
    <w:lvl w:ilvl="0">
      <w:lvlJc w:val="left"/>
      <w:lvlText w:val="•"/>
      <w:numFmt w:val="bullet"/>
      <w:start w:val="1"/>
    </w:lvl>
  </w:abstractNum>
  <w:abstractNum w:abstractNumId="97">
    <w:nsid w:val="7835626C"/>
    <w:multiLevelType w:val="hybridMultilevel"/>
    <w:lvl w:ilvl="0">
      <w:lvlJc w:val="left"/>
      <w:lvlText w:val="•"/>
      <w:numFmt w:val="bullet"/>
      <w:start w:val="1"/>
    </w:lvl>
  </w:abstractNum>
  <w:abstractNum w:abstractNumId="98">
    <w:nsid w:val="665ACA49"/>
    <w:multiLevelType w:val="hybridMultilevel"/>
    <w:lvl w:ilvl="0">
      <w:lvlJc w:val="left"/>
      <w:lvlText w:val="(%1)"/>
      <w:numFmt w:val="lowerRoman"/>
      <w:start w:val="4"/>
    </w:lvl>
  </w:abstractNum>
  <w:abstractNum w:abstractNumId="99">
    <w:nsid w:val="6835B2AE"/>
    <w:multiLevelType w:val="hybridMultilevel"/>
    <w:lvl w:ilvl="0">
      <w:lvlJc w:val="left"/>
      <w:lvlText w:val="(%1)"/>
      <w:numFmt w:val="lowerRoman"/>
      <w:start w:val="1"/>
    </w:lvl>
  </w:abstractNum>
  <w:abstractNum w:abstractNumId="100">
    <w:nsid w:val="4C187C90"/>
    <w:multiLevelType w:val="hybridMultilevel"/>
    <w:lvl w:ilvl="0">
      <w:lvlJc w:val="left"/>
      <w:lvlText w:val="(%1)"/>
      <w:numFmt w:val="lowerRoman"/>
      <w:start w:val="2"/>
    </w:lvl>
  </w:abstractNum>
  <w:abstractNum w:abstractNumId="101">
    <w:nsid w:val="541F28CD"/>
    <w:multiLevelType w:val="hybridMultilevel"/>
    <w:lvl w:ilvl="0">
      <w:lvlJc w:val="left"/>
      <w:lvlText w:val="•"/>
      <w:numFmt w:val="bullet"/>
      <w:start w:val="1"/>
    </w:lvl>
    <w:lvl w:ilvl="1">
      <w:lvlJc w:val="left"/>
      <w:lvlText w:val="○"/>
      <w:numFmt w:val="bullet"/>
      <w:start w:val="1"/>
    </w:lvl>
  </w:abstractNum>
  <w:abstractNum w:abstractNumId="102">
    <w:nsid w:val="7F65FD16"/>
    <w:multiLevelType w:val="hybridMultilevel"/>
    <w:lvl w:ilvl="0">
      <w:lvlJc w:val="left"/>
      <w:lvlText w:val="•"/>
      <w:numFmt w:val="bullet"/>
      <w:start w:val="1"/>
    </w:lvl>
    <w:lvl w:ilvl="1">
      <w:lvlJc w:val="left"/>
      <w:lvlText w:val="○"/>
      <w:numFmt w:val="bullet"/>
      <w:start w:val="1"/>
    </w:lvl>
  </w:abstractNum>
  <w:abstractNum w:abstractNumId="103">
    <w:nsid w:val="77C9FD68"/>
    <w:multiLevelType w:val="hybridMultilevel"/>
    <w:lvl w:ilvl="0">
      <w:lvlJc w:val="left"/>
      <w:lvlText w:val="•"/>
      <w:numFmt w:val="bullet"/>
      <w:start w:val="1"/>
    </w:lvl>
    <w:lvl w:ilvl="1">
      <w:lvlJc w:val="left"/>
      <w:lvlText w:val="○"/>
      <w:numFmt w:val="bullet"/>
      <w:start w:val="1"/>
    </w:lvl>
  </w:abstractNum>
  <w:abstractNum w:abstractNumId="104">
    <w:nsid w:val="298A92BA"/>
    <w:multiLevelType w:val="hybridMultilevel"/>
    <w:lvl w:ilvl="0">
      <w:lvlJc w:val="left"/>
      <w:lvlText w:val="•"/>
      <w:numFmt w:val="bullet"/>
      <w:start w:val="1"/>
    </w:lvl>
  </w:abstractNum>
  <w:abstractNum w:abstractNumId="105">
    <w:nsid w:val="6FE95EAC"/>
    <w:multiLevelType w:val="hybridMultilevel"/>
    <w:lvl w:ilvl="0">
      <w:lvlJc w:val="left"/>
      <w:lvlText w:val="•"/>
      <w:numFmt w:val="bullet"/>
      <w:start w:val="1"/>
    </w:lvl>
    <w:lvl w:ilvl="1">
      <w:lvlJc w:val="left"/>
      <w:lvlText w:val="○"/>
      <w:numFmt w:val="bullet"/>
      <w:start w:val="1"/>
    </w:lvl>
  </w:abstractNum>
  <w:abstractNum w:abstractNumId="106">
    <w:nsid w:val="4B697C7A"/>
    <w:multiLevelType w:val="hybridMultilevel"/>
    <w:lvl w:ilvl="0">
      <w:lvlJc w:val="left"/>
      <w:lvlText w:val="•"/>
      <w:numFmt w:val="bullet"/>
      <w:start w:val="1"/>
    </w:lvl>
  </w:abstractNum>
  <w:abstractNum w:abstractNumId="107">
    <w:nsid w:val="51A27AA6"/>
    <w:multiLevelType w:val="hybridMultilevel"/>
    <w:lvl w:ilvl="0">
      <w:lvlJc w:val="left"/>
      <w:lvlText w:val="•"/>
      <w:numFmt w:val="bullet"/>
      <w:start w:val="1"/>
    </w:lvl>
    <w:lvl w:ilvl="1">
      <w:lvlJc w:val="left"/>
      <w:lvlText w:val="○"/>
      <w:numFmt w:val="bullet"/>
      <w:start w:val="1"/>
    </w:lvl>
  </w:abstractNum>
  <w:abstractNum w:abstractNumId="108">
    <w:nsid w:val="613183F2"/>
    <w:multiLevelType w:val="hybridMultilevel"/>
    <w:lvl w:ilvl="0">
      <w:lvlJc w:val="left"/>
      <w:lvlText w:val="•"/>
      <w:numFmt w:val="bullet"/>
      <w:start w:val="1"/>
    </w:lvl>
  </w:abstractNum>
  <w:abstractNum w:abstractNumId="109">
    <w:nsid w:val="634102B4"/>
    <w:multiLevelType w:val="hybridMultilevel"/>
    <w:lvl w:ilvl="0">
      <w:lvlJc w:val="left"/>
      <w:lvlText w:val="•"/>
      <w:numFmt w:val="bullet"/>
      <w:start w:val="1"/>
    </w:lvl>
  </w:abstractNum>
  <w:abstractNum w:abstractNumId="110">
    <w:nsid w:val="65BF9DA8"/>
    <w:multiLevelType w:val="hybridMultilevel"/>
    <w:lvl w:ilvl="0">
      <w:lvlJc w:val="left"/>
      <w:lvlText w:val="•"/>
      <w:numFmt w:val="bullet"/>
      <w:start w:val="1"/>
    </w:lvl>
  </w:abstractNum>
  <w:abstractNum w:abstractNumId="111">
    <w:nsid w:val="21A2ECCA"/>
    <w:multiLevelType w:val="hybridMultilevel"/>
    <w:lvl w:ilvl="0">
      <w:lvlJc w:val="left"/>
      <w:lvlText w:val="•"/>
      <w:numFmt w:val="bullet"/>
      <w:start w:val="1"/>
    </w:lvl>
  </w:abstractNum>
  <w:abstractNum w:abstractNumId="112">
    <w:nsid w:val="4D5C4899"/>
    <w:multiLevelType w:val="hybridMultilevel"/>
    <w:lvl w:ilvl="0">
      <w:lvlJc w:val="left"/>
      <w:lvlText w:val="•"/>
      <w:numFmt w:val="bullet"/>
      <w:start w:val="1"/>
    </w:lvl>
  </w:abstractNum>
  <w:abstractNum w:abstractNumId="113">
    <w:nsid w:val="3C3B72B2"/>
    <w:multiLevelType w:val="hybridMultilevel"/>
    <w:lvl w:ilvl="0">
      <w:lvlJc w:val="left"/>
      <w:lvlText w:val="•"/>
      <w:numFmt w:val="bullet"/>
      <w:start w:val="1"/>
    </w:lvl>
  </w:abstractNum>
  <w:abstractNum w:abstractNumId="114">
    <w:nsid w:val="155EC4C2"/>
    <w:multiLevelType w:val="hybridMultilevel"/>
    <w:lvl w:ilvl="0">
      <w:lvlJc w:val="left"/>
      <w:lvlText w:val="•"/>
      <w:numFmt w:val="bullet"/>
      <w:start w:val="1"/>
    </w:lvl>
  </w:abstractNum>
  <w:abstractNum w:abstractNumId="115">
    <w:nsid w:val="65D2A137"/>
    <w:multiLevelType w:val="hybridMultilevel"/>
    <w:lvl w:ilvl="0">
      <w:lvlJc w:val="left"/>
      <w:lvlText w:val="•"/>
      <w:numFmt w:val="bullet"/>
      <w:start w:val="1"/>
    </w:lvl>
    <w:lvl w:ilvl="1">
      <w:lvlJc w:val="left"/>
      <w:lvlText w:val="(%2)"/>
      <w:numFmt w:val="decimal"/>
      <w:start w:val="2"/>
    </w:lvl>
  </w:abstractNum>
  <w:abstractNum w:abstractNumId="116">
    <w:nsid w:val="6EBB1F2A"/>
    <w:multiLevelType w:val="hybridMultilevel"/>
    <w:lvl w:ilvl="0">
      <w:lvlJc w:val="left"/>
      <w:lvlText w:val="(%1)"/>
      <w:numFmt w:val="lowerRoman"/>
      <w:start w:val="1"/>
    </w:lvl>
  </w:abstractNum>
  <w:abstractNum w:abstractNumId="117">
    <w:nsid w:val="6FBF29CB"/>
    <w:multiLevelType w:val="hybridMultilevel"/>
    <w:lvl w:ilvl="0">
      <w:lvlJc w:val="left"/>
      <w:lvlText w:val="(%1)"/>
      <w:numFmt w:val="decimal"/>
      <w:start w:val="1"/>
    </w:lvl>
  </w:abstractNum>
  <w:abstractNum w:abstractNumId="118">
    <w:nsid w:val="550B8808"/>
    <w:multiLevelType w:val="hybridMultilevel"/>
    <w:lvl w:ilvl="0">
      <w:lvlJc w:val="left"/>
      <w:lvlText w:val="(%1)"/>
      <w:numFmt w:val="decimal"/>
      <w:start w:val="5"/>
    </w:lvl>
    <w:lvl w:ilvl="1">
      <w:lvlJc w:val="left"/>
      <w:lvlText w:val="•"/>
      <w:numFmt w:val="bullet"/>
      <w:start w:val="1"/>
    </w:lvl>
  </w:abstractNum>
  <w:abstractNum w:abstractNumId="119">
    <w:nsid w:val="34CC3ACF"/>
    <w:multiLevelType w:val="hybridMultilevel"/>
    <w:lvl w:ilvl="0">
      <w:lvlJc w:val="left"/>
      <w:lvlText w:val="(%1)"/>
      <w:numFmt w:val="decimal"/>
      <w:start w:val="5"/>
    </w:lvl>
  </w:abstractNum>
  <w:abstractNum w:abstractNumId="120">
    <w:nsid w:val="4E556261"/>
    <w:multiLevelType w:val="hybridMultilevel"/>
    <w:lvl w:ilvl="0">
      <w:lvlJc w:val="left"/>
      <w:lvlText w:val="(%1)"/>
      <w:numFmt w:val="decimal"/>
      <w:start w:val="1"/>
    </w:lvl>
  </w:abstractNum>
  <w:abstractNum w:abstractNumId="121">
    <w:nsid w:val="4C672FC9"/>
    <w:multiLevelType w:val="hybridMultilevel"/>
    <w:lvl w:ilvl="0">
      <w:lvlJc w:val="left"/>
      <w:lvlText w:val="•"/>
      <w:numFmt w:val="bullet"/>
      <w:start w:val="1"/>
    </w:lvl>
  </w:abstractNum>
  <w:abstractNum w:abstractNumId="122">
    <w:nsid w:val="52A311C3"/>
    <w:multiLevelType w:val="hybridMultilevel"/>
    <w:lvl w:ilvl="0">
      <w:lvlJc w:val="left"/>
      <w:lvlText w:val="•"/>
      <w:numFmt w:val="bullet"/>
      <w:start w:val="1"/>
    </w:lvl>
  </w:abstractNum>
  <w:abstractNum w:abstractNumId="123">
    <w:nsid w:val="44EF6B80"/>
    <w:multiLevelType w:val="hybridMultilevel"/>
    <w:lvl w:ilvl="0">
      <w:lvlJc w:val="left"/>
      <w:lvlText w:val="•"/>
      <w:numFmt w:val="bullet"/>
      <w:start w:val="1"/>
    </w:lvl>
  </w:abstractNum>
  <w:abstractNum w:abstractNumId="124">
    <w:nsid w:val="12FCDE5E"/>
    <w:multiLevelType w:val="hybridMultilevel"/>
    <w:lvl w:ilvl="0">
      <w:lvlJc w:val="left"/>
      <w:lvlText w:val="•"/>
      <w:numFmt w:val="bullet"/>
      <w:start w:val="1"/>
    </w:lvl>
  </w:abstractNum>
  <w:abstractNum w:abstractNumId="125">
    <w:nsid w:val="4A1D606E"/>
    <w:multiLevelType w:val="hybridMultilevel"/>
    <w:lvl w:ilvl="0">
      <w:lvlJc w:val="left"/>
      <w:lvlText w:val="(%1)"/>
      <w:numFmt w:val="decimal"/>
      <w:start w:val="3"/>
    </w:lvl>
  </w:abstractNum>
  <w:abstractNum w:abstractNumId="126">
    <w:nsid w:val="4382503"/>
    <w:multiLevelType w:val="hybridMultilevel"/>
    <w:lvl w:ilvl="0">
      <w:lvlJc w:val="left"/>
      <w:lvlText w:val="•"/>
      <w:numFmt w:val="bullet"/>
      <w:start w:val="1"/>
    </w:lvl>
  </w:abstractNum>
  <w:abstractNum w:abstractNumId="127">
    <w:nsid w:val="59B76E28"/>
    <w:multiLevelType w:val="hybridMultilevel"/>
    <w:lvl w:ilvl="0">
      <w:lvlJc w:val="left"/>
      <w:lvlText w:val="(%1)"/>
      <w:numFmt w:val="lowerLetter"/>
      <w:start w:val="2"/>
    </w:lvl>
  </w:abstractNum>
  <w:abstractNum w:abstractNumId="128">
    <w:nsid w:val="4252C2DA"/>
    <w:multiLevelType w:val="hybridMultilevel"/>
    <w:lvl w:ilvl="0">
      <w:lvlJc w:val="left"/>
      <w:lvlText w:val="(%1)"/>
      <w:numFmt w:val="decimal"/>
      <w:start w:val="11"/>
    </w:lvl>
  </w:abstractNum>
  <w:abstractNum w:abstractNumId="129">
    <w:nsid w:val="6A92EF4C"/>
    <w:multiLevelType w:val="hybridMultilevel"/>
    <w:lvl w:ilvl="0">
      <w:lvlJc w:val="left"/>
      <w:lvlText w:val="(%1)"/>
      <w:numFmt w:val="decimal"/>
      <w:start w:val="12"/>
    </w:lvl>
  </w:abstractNum>
  <w:abstractNum w:abstractNumId="130">
    <w:nsid w:val="41ED20D7"/>
    <w:multiLevelType w:val="hybridMultilevel"/>
    <w:lvl w:ilvl="0">
      <w:lvlJc w:val="left"/>
      <w:lvlText w:val="(%1)"/>
      <w:numFmt w:val="lowerLetter"/>
      <w:start w:val="1"/>
    </w:lvl>
  </w:abstractNum>
  <w:abstractNum w:abstractNumId="131">
    <w:nsid w:val="E6B3F6A"/>
    <w:multiLevelType w:val="hybridMultilevel"/>
    <w:lvl w:ilvl="0">
      <w:lvlJc w:val="left"/>
      <w:lvlText w:val="(%1)"/>
      <w:numFmt w:val="decimal"/>
      <w:start w:val="1"/>
    </w:lvl>
  </w:abstractNum>
  <w:abstractNum w:abstractNumId="132">
    <w:nsid w:val="3EB21819"/>
    <w:multiLevelType w:val="hybridMultilevel"/>
    <w:lvl w:ilvl="0">
      <w:lvlJc w:val="left"/>
      <w:lvlText w:val="(%1)"/>
      <w:numFmt w:val="decimal"/>
      <w:start w:val="2"/>
    </w:lvl>
  </w:abstractNum>
  <w:abstractNum w:abstractNumId="133">
    <w:nsid w:val="41531DED"/>
    <w:multiLevelType w:val="hybridMultilevel"/>
    <w:lvl w:ilvl="0">
      <w:lvlJc w:val="left"/>
      <w:lvlText w:val="•"/>
      <w:numFmt w:val="bullet"/>
      <w:start w:val="1"/>
    </w:lvl>
  </w:abstractNum>
  <w:abstractNum w:abstractNumId="134">
    <w:nsid w:val="6353CD2"/>
    <w:multiLevelType w:val="hybridMultilevel"/>
    <w:lvl w:ilvl="0">
      <w:lvlJc w:val="left"/>
      <w:lvlText w:val="(%1)"/>
      <w:numFmt w:val="lowerRoman"/>
      <w:start w:val="1"/>
    </w:lvl>
  </w:abstractNum>
  <w:abstractNum w:abstractNumId="135">
    <w:nsid w:val="683CAAD3"/>
    <w:multiLevelType w:val="hybridMultilevel"/>
    <w:lvl w:ilvl="0">
      <w:lvlJc w:val="left"/>
      <w:lvlText w:val="•"/>
      <w:numFmt w:val="bullet"/>
      <w:start w:val="1"/>
    </w:lvl>
  </w:abstractNum>
  <w:abstractNum w:abstractNumId="136">
    <w:nsid w:val="313C7C99"/>
    <w:multiLevelType w:val="hybridMultilevel"/>
    <w:lvl w:ilvl="0">
      <w:lvlJc w:val="left"/>
      <w:lvlText w:val="•"/>
      <w:numFmt w:val="bullet"/>
      <w:start w:val="1"/>
    </w:lvl>
  </w:abstractNum>
  <w:abstractNum w:abstractNumId="137">
    <w:nsid w:val="519EB94C"/>
    <w:multiLevelType w:val="hybridMultilevel"/>
    <w:lvl w:ilvl="0">
      <w:lvlJc w:val="left"/>
      <w:lvlText w:val="•"/>
      <w:numFmt w:val="bullet"/>
      <w:start w:val="1"/>
    </w:lvl>
  </w:abstractNum>
  <w:abstractNum w:abstractNumId="138">
    <w:nsid w:val="39DF2579"/>
    <w:multiLevelType w:val="hybridMultilevel"/>
    <w:lvl w:ilvl="0">
      <w:lvlJc w:val="left"/>
      <w:lvlText w:val="•"/>
      <w:numFmt w:val="bullet"/>
      <w:start w:val="1"/>
    </w:lvl>
  </w:abstractNum>
  <w:abstractNum w:abstractNumId="139">
    <w:nsid w:val="126E008B"/>
    <w:multiLevelType w:val="hybridMultilevel"/>
    <w:lvl w:ilvl="0">
      <w:lvlJc w:val="left"/>
      <w:lvlText w:val="•"/>
      <w:numFmt w:val="bullet"/>
      <w:start w:val="1"/>
    </w:lvl>
  </w:abstractNum>
  <w:abstractNum w:abstractNumId="140">
    <w:nsid w:val="34DFBC00"/>
    <w:multiLevelType w:val="hybridMultilevel"/>
    <w:lvl w:ilvl="0">
      <w:lvlJc w:val="left"/>
      <w:lvlText w:val="•"/>
      <w:numFmt w:val="bullet"/>
      <w:start w:val="1"/>
    </w:lvl>
    <w:lvl w:ilvl="1">
      <w:lvlJc w:val="left"/>
      <w:lvlText w:val="○"/>
      <w:numFmt w:val="bullet"/>
      <w:start w:val="1"/>
    </w:lvl>
  </w:abstractNum>
  <w:abstractNum w:abstractNumId="141">
    <w:nsid w:val="1F9EC322"/>
    <w:multiLevelType w:val="hybridMultilevel"/>
    <w:lvl w:ilvl="0">
      <w:lvlJc w:val="left"/>
      <w:lvlText w:val="•"/>
      <w:numFmt w:val="bullet"/>
      <w:start w:val="1"/>
    </w:lvl>
  </w:abstractNum>
  <w:abstractNum w:abstractNumId="142">
    <w:nsid w:val="3410ED56"/>
    <w:multiLevelType w:val="hybridMultilevel"/>
    <w:lvl w:ilvl="0">
      <w:lvlJc w:val="left"/>
      <w:lvlText w:val="•"/>
      <w:numFmt w:val="bullet"/>
      <w:start w:val="1"/>
    </w:lvl>
  </w:abstractNum>
  <w:abstractNum w:abstractNumId="143">
    <w:nsid w:val="23C049A"/>
    <w:multiLevelType w:val="hybridMultilevel"/>
    <w:lvl w:ilvl="0">
      <w:lvlJc w:val="left"/>
      <w:lvlText w:val="•"/>
      <w:numFmt w:val="bullet"/>
      <w:start w:val="1"/>
    </w:lvl>
  </w:abstractNum>
  <w:abstractNum w:abstractNumId="144">
    <w:nsid w:val="5BDA35D4"/>
    <w:multiLevelType w:val="hybridMultilevel"/>
    <w:lvl w:ilvl="0">
      <w:lvlJc w:val="left"/>
      <w:lvlText w:val="•"/>
      <w:numFmt w:val="bullet"/>
      <w:start w:val="1"/>
    </w:lvl>
  </w:abstractNum>
  <w:abstractNum w:abstractNumId="145">
    <w:nsid w:val="496FB218"/>
    <w:multiLevelType w:val="hybridMultilevel"/>
    <w:lvl w:ilvl="0">
      <w:lvlJc w:val="left"/>
      <w:lvlText w:val="•"/>
      <w:numFmt w:val="bullet"/>
      <w:start w:val="1"/>
    </w:lvl>
  </w:abstractNum>
  <w:abstractNum w:abstractNumId="146">
    <w:nsid w:val="680EA5D1"/>
    <w:multiLevelType w:val="hybridMultilevel"/>
    <w:lvl w:ilvl="0">
      <w:lvlJc w:val="left"/>
      <w:lvlText w:val="•"/>
      <w:numFmt w:val="bullet"/>
      <w:start w:val="1"/>
    </w:lvl>
  </w:abstractNum>
  <w:abstractNum w:abstractNumId="147">
    <w:nsid w:val="4A9554FE"/>
    <w:multiLevelType w:val="hybridMultilevel"/>
    <w:lvl w:ilvl="0">
      <w:lvlJc w:val="left"/>
      <w:lvlText w:val="•"/>
      <w:numFmt w:val="bullet"/>
      <w:start w:val="1"/>
    </w:lvl>
  </w:abstractNum>
  <w:abstractNum w:abstractNumId="148">
    <w:nsid w:val="392EDBE4"/>
    <w:multiLevelType w:val="hybridMultilevel"/>
    <w:lvl w:ilvl="0">
      <w:lvlJc w:val="left"/>
      <w:lvlText w:val="•"/>
      <w:numFmt w:val="bullet"/>
      <w:start w:val="1"/>
    </w:lvl>
  </w:abstractNum>
  <w:abstractNum w:abstractNumId="149">
    <w:nsid w:val="3D1A2DD9"/>
    <w:multiLevelType w:val="hybridMultilevel"/>
    <w:lvl w:ilvl="0">
      <w:lvlJc w:val="left"/>
      <w:lvlText w:val="•"/>
      <w:numFmt w:val="bullet"/>
      <w:start w:val="1"/>
    </w:lvl>
  </w:abstractNum>
  <w:abstractNum w:abstractNumId="150">
    <w:nsid w:val="7F618FCD"/>
    <w:multiLevelType w:val="hybridMultilevel"/>
    <w:lvl w:ilvl="0">
      <w:lvlJc w:val="left"/>
      <w:lvlText w:val="•"/>
      <w:numFmt w:val="bullet"/>
      <w:start w:val="1"/>
    </w:lvl>
  </w:abstractNum>
  <w:abstractNum w:abstractNumId="151">
    <w:nsid w:val="7843E45"/>
    <w:multiLevelType w:val="hybridMultilevel"/>
    <w:lvl w:ilvl="0">
      <w:lvlJc w:val="left"/>
      <w:lvlText w:val="•"/>
      <w:numFmt w:val="bullet"/>
      <w:start w:val="1"/>
    </w:lvl>
  </w:abstractNum>
  <w:abstractNum w:abstractNumId="152">
    <w:nsid w:val="9815DA3"/>
    <w:multiLevelType w:val="hybridMultilevel"/>
    <w:lvl w:ilvl="0">
      <w:lvlJc w:val="left"/>
      <w:lvlText w:val="•"/>
      <w:numFmt w:val="bullet"/>
      <w:start w:val="1"/>
    </w:lvl>
  </w:abstractNum>
  <w:abstractNum w:abstractNumId="153">
    <w:nsid w:val="5204A191"/>
    <w:multiLevelType w:val="hybridMultilevel"/>
    <w:lvl w:ilvl="0">
      <w:lvlJc w:val="left"/>
      <w:lvlText w:val="•"/>
      <w:numFmt w:val="bullet"/>
      <w:start w:val="1"/>
    </w:lvl>
  </w:abstractNum>
  <w:abstractNum w:abstractNumId="154">
    <w:nsid w:val="4C73A9C6"/>
    <w:multiLevelType w:val="hybridMultilevel"/>
    <w:lvl w:ilvl="0">
      <w:lvlJc w:val="left"/>
      <w:lvlText w:val="•"/>
      <w:numFmt w:val="bullet"/>
      <w:start w:val="1"/>
    </w:lvl>
  </w:abstractNum>
  <w:abstractNum w:abstractNumId="155">
    <w:nsid w:val="1C7E3C01"/>
    <w:multiLevelType w:val="hybridMultilevel"/>
    <w:lvl w:ilvl="0">
      <w:lvlJc w:val="left"/>
      <w:lvlText w:val="•"/>
      <w:numFmt w:val="bullet"/>
      <w:start w:val="1"/>
    </w:lvl>
  </w:abstractNum>
  <w:abstractNum w:abstractNumId="156">
    <w:nsid w:val="1C2201FF"/>
    <w:multiLevelType w:val="hybridMultilevel"/>
    <w:lvl w:ilvl="0">
      <w:lvlJc w:val="left"/>
      <w:lvlText w:val="•"/>
      <w:numFmt w:val="bullet"/>
      <w:start w:val="1"/>
    </w:lvl>
  </w:abstractNum>
  <w:abstractNum w:abstractNumId="157">
    <w:nsid w:val="50ABCEC9"/>
    <w:multiLevelType w:val="hybridMultilevel"/>
    <w:lvl w:ilvl="0">
      <w:lvlJc w:val="left"/>
      <w:lvlText w:val="(%1)"/>
      <w:numFmt w:val="decimal"/>
      <w:start w:val="15"/>
    </w:lvl>
  </w:abstractNum>
  <w:abstractNum w:abstractNumId="158">
    <w:nsid w:val="7635AA2A"/>
    <w:multiLevelType w:val="hybridMultilevel"/>
    <w:lvl w:ilvl="0">
      <w:lvlJc w:val="left"/>
      <w:lvlText w:val="(%1)"/>
      <w:numFmt w:val="lowerRoman"/>
      <w:start w:val="2"/>
    </w:lvl>
  </w:abstractNum>
  <w:abstractNum w:abstractNumId="159">
    <w:nsid w:val="5E74C4D9"/>
    <w:multiLevelType w:val="hybridMultilevel"/>
    <w:lvl w:ilvl="0">
      <w:lvlJc w:val="left"/>
      <w:lvlText w:val="(%1)"/>
      <w:numFmt w:val="decimal"/>
      <w:start w:val="3"/>
    </w:lvl>
  </w:abstractNum>
  <w:abstractNum w:abstractNumId="160">
    <w:nsid w:val="3B3EBE15"/>
    <w:multiLevelType w:val="hybridMultilevel"/>
    <w:lvl w:ilvl="0">
      <w:lvlJc w:val="left"/>
      <w:lvlText w:val="(%1)"/>
      <w:numFmt w:val="lowerRoman"/>
      <w:start w:val="2"/>
    </w:lvl>
  </w:abstractNum>
  <w:abstractNum w:abstractNumId="161">
    <w:nsid w:val="3822CB01"/>
    <w:multiLevelType w:val="hybridMultilevel"/>
    <w:lvl w:ilvl="0">
      <w:lvlJc w:val="left"/>
      <w:lvlText w:val="•"/>
      <w:numFmt w:val="bullet"/>
      <w:start w:val="1"/>
    </w:lvl>
  </w:abstractNum>
  <w:abstractNum w:abstractNumId="162">
    <w:nsid w:val="6CE00443"/>
    <w:multiLevelType w:val="hybridMultilevel"/>
    <w:lvl w:ilvl="0">
      <w:lvlJc w:val="left"/>
      <w:lvlText w:val="•"/>
      <w:numFmt w:val="bullet"/>
      <w:start w:val="1"/>
    </w:lvl>
  </w:abstractNum>
  <w:abstractNum w:abstractNumId="163">
    <w:nsid w:val="79F0D62F"/>
    <w:multiLevelType w:val="hybridMultilevel"/>
    <w:lvl w:ilvl="0">
      <w:lvlJc w:val="left"/>
      <w:lvlText w:val="•"/>
      <w:numFmt w:val="bullet"/>
      <w:start w:val="1"/>
    </w:lvl>
  </w:abstractNum>
  <w:abstractNum w:abstractNumId="164">
    <w:nsid w:val="7975E8EE"/>
    <w:multiLevelType w:val="hybridMultilevel"/>
    <w:lvl w:ilvl="0">
      <w:lvlJc w:val="left"/>
      <w:lvlText w:val="•"/>
      <w:numFmt w:val="bullet"/>
      <w:start w:val="1"/>
    </w:lvl>
    <w:lvl w:ilvl="1">
      <w:lvlJc w:val="left"/>
      <w:lvlText w:val="(%2)"/>
      <w:numFmt w:val="lowerLetter"/>
      <w:start w:val="25"/>
    </w:lvl>
  </w:abstractNum>
  <w:abstractNum w:abstractNumId="165">
    <w:nsid w:val="73154115"/>
    <w:multiLevelType w:val="hybridMultilevel"/>
    <w:lvl w:ilvl="0">
      <w:lvlJc w:val="left"/>
      <w:lvlText w:val="•"/>
      <w:numFmt w:val="bullet"/>
      <w:start w:val="1"/>
    </w:lvl>
  </w:abstractNum>
  <w:abstractNum w:abstractNumId="166">
    <w:nsid w:val="622D8102"/>
    <w:multiLevelType w:val="hybridMultilevel"/>
    <w:lvl w:ilvl="0">
      <w:lvlJc w:val="left"/>
      <w:lvlText w:val="•"/>
      <w:numFmt w:val="bullet"/>
      <w:start w:val="1"/>
    </w:lvl>
  </w:abstractNum>
  <w:abstractNum w:abstractNumId="167">
    <w:nsid w:val="2AB26587"/>
    <w:multiLevelType w:val="hybridMultilevel"/>
    <w:lvl w:ilvl="0">
      <w:lvlJc w:val="left"/>
      <w:lvlText w:val="•"/>
      <w:numFmt w:val="bullet"/>
      <w:start w:val="1"/>
    </w:lvl>
  </w:abstractNum>
  <w:abstractNum w:abstractNumId="168">
    <w:nsid w:val="44B3FA61"/>
    <w:multiLevelType w:val="hybridMultilevel"/>
    <w:lvl w:ilvl="0">
      <w:lvlJc w:val="left"/>
      <w:lvlText w:val="•"/>
      <w:numFmt w:val="bullet"/>
      <w:start w:val="1"/>
    </w:lvl>
  </w:abstractNum>
  <w:abstractNum w:abstractNumId="169">
    <w:nsid w:val="1C0CA67C"/>
    <w:multiLevelType w:val="hybridMultilevel"/>
    <w:lvl w:ilvl="0">
      <w:lvlJc w:val="left"/>
      <w:lvlText w:val="•"/>
      <w:numFmt w:val="bullet"/>
      <w:start w:val="1"/>
    </w:lvl>
  </w:abstractNum>
  <w:abstractNum w:abstractNumId="170">
    <w:nsid w:val="3D206613"/>
    <w:multiLevelType w:val="hybridMultilevel"/>
    <w:lvl w:ilvl="0">
      <w:lvlJc w:val="left"/>
      <w:lvlText w:val="•"/>
      <w:numFmt w:val="bullet"/>
      <w:start w:val="1"/>
    </w:lvl>
  </w:abstractNum>
  <w:abstractNum w:abstractNumId="171">
    <w:nsid w:val="7993B662"/>
    <w:multiLevelType w:val="hybridMultilevel"/>
    <w:lvl w:ilvl="0">
      <w:lvlJc w:val="left"/>
      <w:lvlText w:val="•"/>
      <w:numFmt w:val="bullet"/>
      <w:start w:val="1"/>
    </w:lvl>
  </w:abstractNum>
  <w:abstractNum w:abstractNumId="172">
    <w:nsid w:val="3BAB699E"/>
    <w:multiLevelType w:val="hybridMultilevel"/>
    <w:lvl w:ilvl="0">
      <w:lvlJc w:val="left"/>
      <w:lvlText w:val="%1."/>
      <w:numFmt w:val="decimal"/>
      <w:start w:val="2"/>
    </w:lvl>
    <w:lvl w:ilvl="1">
      <w:lvlJc w:val="left"/>
      <w:lvlText w:val="•"/>
      <w:numFmt w:val="bullet"/>
      <w:start w:val="1"/>
    </w:lvl>
  </w:abstractNum>
  <w:abstractNum w:abstractNumId="173">
    <w:nsid w:val="71315369"/>
    <w:multiLevelType w:val="hybridMultilevel"/>
    <w:lvl w:ilvl="0">
      <w:lvlJc w:val="left"/>
      <w:lvlText w:val="%1."/>
      <w:numFmt w:val="lowerRoman"/>
      <w:start w:val="1"/>
    </w:lvl>
  </w:abstractNum>
  <w:abstractNum w:abstractNumId="174">
    <w:nsid w:val="7BCFBAFC"/>
    <w:multiLevelType w:val="hybridMultilevel"/>
    <w:lvl w:ilvl="0">
      <w:lvlJc w:val="left"/>
      <w:lvlText w:val="%1."/>
      <w:numFmt w:val="lowerRoman"/>
      <w:start w:val="3"/>
    </w:lvl>
  </w:abstractNum>
  <w:abstractNum w:abstractNumId="175">
    <w:nsid w:val="17859F72"/>
    <w:multiLevelType w:val="hybridMultilevel"/>
    <w:lvl w:ilvl="0">
      <w:lvlJc w:val="left"/>
      <w:lvlText w:val="%1."/>
      <w:numFmt w:val="decimal"/>
      <w:start w:val="1"/>
    </w:lvl>
  </w:abstractNum>
  <w:abstractNum w:abstractNumId="176">
    <w:nsid w:val="3AA10581"/>
    <w:multiLevelType w:val="hybridMultilevel"/>
    <w:lvl w:ilvl="0">
      <w:lvlJc w:val="left"/>
      <w:lvlText w:val="%1."/>
      <w:numFmt w:val="lowerRoman"/>
      <w:start w:val="1"/>
    </w:lvl>
  </w:abstractNum>
  <w:abstractNum w:abstractNumId="177">
    <w:nsid w:val="63DE60CD"/>
    <w:multiLevelType w:val="hybridMultilevel"/>
    <w:lvl w:ilvl="0">
      <w:lvlJc w:val="left"/>
      <w:lvlText w:val="%1."/>
      <w:numFmt w:val="lowerRoman"/>
      <w:start w:val="1"/>
    </w:lvl>
  </w:abstractNum>
  <w:abstractNum w:abstractNumId="178">
    <w:nsid w:val="621AF471"/>
    <w:multiLevelType w:val="hybridMultilevel"/>
    <w:lvl w:ilvl="0">
      <w:lvlJc w:val="left"/>
      <w:lvlText w:val="(%1)"/>
      <w:numFmt w:val="lowerRoman"/>
      <w:start w:val="2"/>
    </w:lvl>
  </w:abstractNum>
  <w:abstractNum w:abstractNumId="179">
    <w:nsid w:val="73CFE165"/>
    <w:multiLevelType w:val="hybridMultilevel"/>
    <w:lvl w:ilvl="0">
      <w:lvlJc w:val="left"/>
      <w:lvlText w:val="%1."/>
      <w:numFmt w:val="lowerRoman"/>
      <w:start w:val="1"/>
    </w:lvl>
  </w:abstractNum>
  <w:abstractNum w:abstractNumId="180">
    <w:nsid w:val="20F88EA6"/>
    <w:multiLevelType w:val="hybridMultilevel"/>
    <w:lvl w:ilvl="0">
      <w:lvlJc w:val="left"/>
      <w:lvlText w:val="(%1)"/>
      <w:numFmt w:val="decimal"/>
      <w:start w:val="1"/>
    </w:lvl>
  </w:abstractNum>
  <w:abstractNum w:abstractNumId="181">
    <w:nsid w:val="617C843E"/>
    <w:multiLevelType w:val="hybridMultilevel"/>
    <w:lvl w:ilvl="0">
      <w:lvlJc w:val="left"/>
      <w:lvlText w:val="(%1)"/>
      <w:numFmt w:val="decimal"/>
      <w:start w:val="1"/>
    </w:lvl>
  </w:abstractNum>
  <w:abstractNum w:abstractNumId="182">
    <w:nsid w:val="7B541FAB"/>
    <w:multiLevelType w:val="hybridMultilevel"/>
    <w:lvl w:ilvl="0">
      <w:lvlJc w:val="left"/>
      <w:lvlText w:val="(%1)"/>
      <w:numFmt w:val="lowerRoman"/>
      <w:start w:val="2"/>
    </w:lvl>
  </w:abstractNum>
  <w:abstractNum w:abstractNumId="183">
    <w:nsid w:val="2A79EC49"/>
    <w:multiLevelType w:val="hybridMultilevel"/>
    <w:lvl w:ilvl="0">
      <w:lvlJc w:val="left"/>
      <w:lvlText w:val="(%1)"/>
      <w:numFmt w:val="lowerLetter"/>
      <w:start w:val="25"/>
    </w:lvl>
  </w:abstractNum>
  <w:abstractNum w:abstractNumId="184">
    <w:nsid w:val="338125CF"/>
    <w:multiLevelType w:val="hybridMultilevel"/>
    <w:lvl w:ilvl="0">
      <w:lvlJc w:val="left"/>
      <w:lvlText w:val="•"/>
      <w:numFmt w:val="bullet"/>
      <w:start w:val="1"/>
    </w:lvl>
  </w:abstractNum>
  <w:abstractNum w:abstractNumId="185">
    <w:nsid w:val="47C7C971"/>
    <w:multiLevelType w:val="hybridMultilevel"/>
    <w:lvl w:ilvl="0">
      <w:lvlJc w:val="left"/>
      <w:lvlText w:val="(%1)"/>
      <w:numFmt w:val="lowerRoman"/>
      <w:start w:val="1"/>
    </w:lvl>
  </w:abstractNum>
  <w:abstractNum w:abstractNumId="186">
    <w:nsid w:val="46F8284B"/>
    <w:multiLevelType w:val="hybridMultilevel"/>
    <w:lvl w:ilvl="0">
      <w:lvlJc w:val="left"/>
      <w:lvlText w:val="(%1)"/>
      <w:numFmt w:val="decimal"/>
      <w:start w:val="1"/>
    </w:lvl>
  </w:abstractNum>
  <w:abstractNum w:abstractNumId="187">
    <w:nsid w:val="4FA327CE"/>
    <w:multiLevelType w:val="hybridMultilevel"/>
    <w:lvl w:ilvl="0">
      <w:lvlJc w:val="left"/>
      <w:lvlText w:val="*"/>
      <w:numFmt w:val="bullet"/>
      <w:start w:val="1"/>
    </w:lvl>
  </w:abstractNum>
  <w:abstractNum w:abstractNumId="188">
    <w:nsid w:val="1873983A"/>
    <w:multiLevelType w:val="hybridMultilevel"/>
    <w:lvl w:ilvl="0">
      <w:lvlJc w:val="left"/>
      <w:lvlText w:val="(%1)"/>
      <w:numFmt w:val="decimal"/>
      <w:start w:val="3"/>
    </w:lvl>
  </w:abstractNum>
  <w:abstractNum w:abstractNumId="189">
    <w:nsid w:val="3D2DD275"/>
    <w:multiLevelType w:val="hybridMultilevel"/>
    <w:lvl w:ilvl="0">
      <w:lvlJc w:val="left"/>
      <w:lvlText w:val="•"/>
      <w:numFmt w:val="bullet"/>
      <w:start w:val="1"/>
    </w:lvl>
  </w:abstractNum>
  <w:abstractNum w:abstractNumId="190">
    <w:nsid w:val="2E17ECA7"/>
    <w:multiLevelType w:val="hybridMultilevel"/>
    <w:lvl w:ilvl="0">
      <w:lvlJc w:val="left"/>
      <w:lvlText w:val="•"/>
      <w:numFmt w:val="bullet"/>
      <w:start w:val="1"/>
    </w:lvl>
  </w:abstractNum>
  <w:abstractNum w:abstractNumId="191">
    <w:nsid w:val="53B2564F"/>
    <w:multiLevelType w:val="hybridMultilevel"/>
    <w:lvl w:ilvl="0">
      <w:lvlJc w:val="left"/>
      <w:lvlText w:val="•"/>
      <w:numFmt w:val="bullet"/>
      <w:start w:val="1"/>
    </w:lvl>
  </w:abstractNum>
  <w:abstractNum w:abstractNumId="192">
    <w:nsid w:val="75509D76"/>
    <w:multiLevelType w:val="hybridMultilevel"/>
    <w:lvl w:ilvl="0">
      <w:lvlJc w:val="left"/>
      <w:lvlText w:val="%1)"/>
      <w:numFmt w:val="lowerLetter"/>
      <w:start w:val="1"/>
    </w:lvl>
  </w:abstractNum>
  <w:abstractNum w:abstractNumId="193">
    <w:nsid w:val="1AF7F0EA"/>
    <w:multiLevelType w:val="hybridMultilevel"/>
    <w:lvl w:ilvl="0">
      <w:lvlJc w:val="left"/>
      <w:lvlText w:val="%1)"/>
      <w:numFmt w:val="lowerLetter"/>
      <w:start w:val="2"/>
    </w:lvl>
  </w:abstractNum>
  <w:abstractNum w:abstractNumId="194">
    <w:nsid w:val="4DA32C7E"/>
    <w:multiLevelType w:val="hybridMultilevel"/>
    <w:lvl w:ilvl="0">
      <w:lvlJc w:val="left"/>
      <w:lvlText w:val="%1)"/>
      <w:numFmt w:val="lowerLetter"/>
      <w:start w:val="3"/>
    </w:lvl>
  </w:abstractNum>
  <w:abstractNum w:abstractNumId="195">
    <w:nsid w:val="6EC68664"/>
    <w:multiLevelType w:val="hybridMultilevel"/>
    <w:lvl w:ilvl="0">
      <w:lvlJc w:val="left"/>
      <w:lvlText w:val="%1)"/>
      <w:numFmt w:val="lowerLetter"/>
      <w:start w:val="1"/>
    </w:lvl>
  </w:abstractNum>
  <w:abstractNum w:abstractNumId="196">
    <w:nsid w:val="E0D31FF"/>
    <w:multiLevelType w:val="hybridMultilevel"/>
    <w:lvl w:ilvl="0">
      <w:lvlJc w:val="left"/>
      <w:lvlText w:val="%1)"/>
      <w:numFmt w:val="lowerLetter"/>
      <w:start w:val="2"/>
    </w:lvl>
  </w:abstractNum>
  <w:abstractNum w:abstractNumId="197">
    <w:nsid w:val="2FD0AD81"/>
    <w:multiLevelType w:val="hybridMultilevel"/>
    <w:lvl w:ilvl="0">
      <w:lvlJc w:val="left"/>
      <w:lvlText w:val="%1)"/>
      <w:numFmt w:val="lowerLetter"/>
      <w:start w:val="1"/>
    </w:lvl>
  </w:abstractNum>
  <w:abstractNum w:abstractNumId="198">
    <w:nsid w:val="1978EBEB"/>
    <w:multiLevelType w:val="hybridMultilevel"/>
    <w:lvl w:ilvl="0">
      <w:lvlJc w:val="left"/>
      <w:lvlText w:val="•"/>
      <w:numFmt w:val="bullet"/>
      <w:start w:val="1"/>
    </w:lvl>
  </w:abstractNum>
  <w:abstractNum w:abstractNumId="199">
    <w:nsid w:val="52C12C61"/>
    <w:multiLevelType w:val="hybridMultilevel"/>
    <w:lvl w:ilvl="0">
      <w:lvlJc w:val="left"/>
      <w:lvlText w:val="%1)"/>
      <w:numFmt w:val="lowerLetter"/>
      <w:start w:val="2"/>
    </w:lvl>
  </w:abstractNum>
  <w:abstractNum w:abstractNumId="200">
    <w:nsid w:val="4BDD53FD"/>
    <w:multiLevelType w:val="hybridMultilevel"/>
    <w:lvl w:ilvl="0">
      <w:lvlJc w:val="left"/>
      <w:lvlText w:val="%1)"/>
      <w:numFmt w:val="lowerLetter"/>
      <w:start w:val="1"/>
    </w:lvl>
  </w:abstractNum>
  <w:abstractNum w:abstractNumId="201">
    <w:nsid w:val="569951FE"/>
    <w:multiLevelType w:val="hybridMultilevel"/>
    <w:lvl w:ilvl="0">
      <w:lvlJc w:val="left"/>
      <w:lvlText w:val="%1)"/>
      <w:numFmt w:val="lowerLetter"/>
      <w:start w:val="2"/>
    </w:lvl>
  </w:abstractNum>
  <w:abstractNum w:abstractNumId="202">
    <w:nsid w:val="4C54E2C3"/>
    <w:multiLevelType w:val="hybridMultilevel"/>
    <w:lvl w:ilvl="0">
      <w:lvlJc w:val="left"/>
      <w:lvlText w:val="%1)"/>
      <w:numFmt w:val="lowerLetter"/>
      <w:start w:val="3"/>
    </w:lvl>
  </w:abstractNum>
  <w:abstractNum w:abstractNumId="203">
    <w:nsid w:val="788BD9B"/>
    <w:multiLevelType w:val="hybridMultilevel"/>
    <w:lvl w:ilvl="0">
      <w:lvlJc w:val="left"/>
      <w:lvlText w:val="%1)"/>
      <w:numFmt w:val="lowerLetter"/>
      <w:start w:val="4"/>
    </w:lvl>
  </w:abstractNum>
  <w:abstractNum w:abstractNumId="204">
    <w:nsid w:val="47CAA567"/>
    <w:multiLevelType w:val="hybridMultilevel"/>
    <w:lvl w:ilvl="0">
      <w:lvlJc w:val="left"/>
      <w:lvlText w:val="•"/>
      <w:numFmt w:val="bullet"/>
      <w:start w:val="1"/>
    </w:lvl>
  </w:abstractNum>
  <w:abstractNum w:abstractNumId="205">
    <w:nsid w:val="48249DBF"/>
    <w:multiLevelType w:val="hybridMultilevel"/>
    <w:lvl w:ilvl="0">
      <w:lvlJc w:val="left"/>
      <w:lvlText w:val="•"/>
      <w:numFmt w:val="bullet"/>
      <w:start w:val="1"/>
    </w:lvl>
  </w:abstractNum>
  <w:abstractNum w:abstractNumId="206">
    <w:nsid w:val="1F0E5D0D"/>
    <w:multiLevelType w:val="hybridMultilevel"/>
    <w:lvl w:ilvl="0">
      <w:lvlJc w:val="left"/>
      <w:lvlText w:val="•"/>
      <w:numFmt w:val="bullet"/>
      <w:start w:val="1"/>
    </w:lvl>
  </w:abstractNum>
  <w:abstractNum w:abstractNumId="207">
    <w:nsid w:val="26BAAE9"/>
    <w:multiLevelType w:val="hybridMultilevel"/>
    <w:lvl w:ilvl="0">
      <w:lvlJc w:val="left"/>
      <w:lvlText w:val="(%1)"/>
      <w:numFmt w:val="lowerRoman"/>
      <w:start w:val="1"/>
    </w:lvl>
  </w:abstractNum>
  <w:abstractNum w:abstractNumId="208">
    <w:nsid w:val="2C02FE8C"/>
    <w:multiLevelType w:val="hybridMultilevel"/>
    <w:lvl w:ilvl="0">
      <w:lvlJc w:val="left"/>
      <w:lvlText w:val="•"/>
      <w:numFmt w:val="bullet"/>
      <w:start w:val="1"/>
    </w:lvl>
  </w:abstractNum>
  <w:abstractNum w:abstractNumId="209">
    <w:nsid w:val="129517E"/>
    <w:multiLevelType w:val="hybridMultilevel"/>
    <w:lvl w:ilvl="0">
      <w:lvlJc w:val="left"/>
      <w:lvlText w:val="%1)"/>
      <w:numFmt w:val="lowerLetter"/>
      <w:start w:val="1"/>
    </w:lvl>
  </w:abstractNum>
  <w:abstractNum w:abstractNumId="210">
    <w:nsid w:val="763B8C4E"/>
    <w:multiLevelType w:val="hybridMultilevel"/>
    <w:lvl w:ilvl="0">
      <w:lvlJc w:val="left"/>
      <w:lvlText w:val="d"/>
      <w:numFmt w:val="bullet"/>
      <w:start w:val="1"/>
    </w:lvl>
  </w:abstractNum>
  <w:abstractNum w:abstractNumId="211">
    <w:nsid w:val="4CFB8D32"/>
    <w:multiLevelType w:val="hybridMultilevel"/>
    <w:lvl w:ilvl="0">
      <w:lvlJc w:val="left"/>
      <w:lvlText w:val="%1)"/>
      <w:numFmt w:val="lowerLetter"/>
      <w:start w:val="5"/>
    </w:lvl>
  </w:abstractNum>
  <w:abstractNum w:abstractNumId="212">
    <w:nsid w:val="62A5D5BD"/>
    <w:multiLevelType w:val="hybridMultilevel"/>
    <w:lvl w:ilvl="0">
      <w:lvlJc w:val="left"/>
      <w:lvlText w:val="%1)"/>
      <w:numFmt w:val="lowerLetter"/>
      <w:start w:val="1"/>
    </w:lvl>
  </w:abstractNum>
  <w:abstractNum w:abstractNumId="213">
    <w:nsid w:val="718FABF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214">
    <w:nsid w:val="7775797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5)"/>
      <w:numFmt w:val="lowerLetter"/>
      <w:start w:val="24"/>
    </w:lvl>
  </w:abstractNum>
  <w:abstractNum w:abstractNumId="215">
    <w:nsid w:val="1626FB8C"/>
    <w:multiLevelType w:val="hybridMultilevel"/>
    <w:lvl w:ilvl="0">
      <w:lvlJc w:val="left"/>
      <w:lvlText w:val="•"/>
      <w:numFmt w:val="bullet"/>
      <w:start w:val="1"/>
    </w:lvl>
  </w:abstractNum>
  <w:abstractNum w:abstractNumId="216">
    <w:nsid w:val="3957756A"/>
    <w:multiLevelType w:val="hybridMultilevel"/>
    <w:lvl w:ilvl="0">
      <w:lvlJc w:val="left"/>
      <w:lvlText w:val="•"/>
      <w:numFmt w:val="bullet"/>
      <w:start w:val="1"/>
    </w:lvl>
  </w:abstractNum>
  <w:abstractNum w:abstractNumId="217">
    <w:nsid w:val="3E6DA1C7"/>
    <w:multiLevelType w:val="hybridMultilevel"/>
    <w:lvl w:ilvl="0">
      <w:lvlJc w:val="left"/>
      <w:lvlText w:val="•"/>
      <w:numFmt w:val="bullet"/>
      <w:start w:val="1"/>
    </w:lvl>
  </w:abstractNum>
  <w:abstractNum w:abstractNumId="218">
    <w:nsid w:val="65CA235B"/>
    <w:multiLevelType w:val="hybridMultilevel"/>
    <w:lvl w:ilvl="0">
      <w:lvlJc w:val="left"/>
      <w:lvlText w:val="•"/>
      <w:numFmt w:val="bullet"/>
      <w:start w:val="1"/>
    </w:lvl>
  </w:abstractNum>
  <w:abstractNum w:abstractNumId="219">
    <w:nsid w:val="51CB0DA4"/>
    <w:multiLevelType w:val="hybridMultilevel"/>
    <w:lvl w:ilvl="0">
      <w:lvlJc w:val="left"/>
      <w:lvlText w:val="•"/>
      <w:numFmt w:val="bullet"/>
      <w:start w:val="1"/>
    </w:lvl>
  </w:abstractNum>
  <w:abstractNum w:abstractNumId="220">
    <w:nsid w:val="7B9B743C"/>
    <w:multiLevelType w:val="hybridMultilevel"/>
    <w:lvl w:ilvl="0">
      <w:lvlJc w:val="left"/>
      <w:lvlText w:val="•"/>
      <w:numFmt w:val="bullet"/>
      <w:start w:val="1"/>
    </w:lvl>
  </w:abstractNum>
  <w:abstractNum w:abstractNumId="221">
    <w:nsid w:val="13E21002"/>
    <w:multiLevelType w:val="hybridMultilevel"/>
    <w:lvl w:ilvl="0">
      <w:lvlJc w:val="left"/>
      <w:lvlText w:val="•"/>
      <w:numFmt w:val="bullet"/>
      <w:start w:val="1"/>
    </w:lvl>
  </w:abstractNum>
  <w:abstractNum w:abstractNumId="222">
    <w:nsid w:val="257D63F4"/>
    <w:multiLevelType w:val="hybridMultilevel"/>
    <w:lvl w:ilvl="0">
      <w:lvlJc w:val="left"/>
      <w:lvlText w:val="(%1)"/>
      <w:numFmt w:val="decimal"/>
      <w:start w:val="60"/>
    </w:lvl>
  </w:abstractNum>
  <w:abstractNum w:abstractNumId="223">
    <w:nsid w:val="70EC11B2"/>
    <w:multiLevelType w:val="hybridMultilevel"/>
    <w:lvl w:ilvl="0">
      <w:lvlJc w:val="left"/>
      <w:lvlText w:val="•"/>
      <w:numFmt w:val="bullet"/>
      <w:start w:val="1"/>
    </w:lvl>
  </w:abstractNum>
  <w:abstractNum w:abstractNumId="224">
    <w:nsid w:val="2EDA00ED"/>
    <w:multiLevelType w:val="hybridMultilevel"/>
    <w:lvl w:ilvl="0">
      <w:lvlJc w:val="left"/>
      <w:lvlText w:val="•"/>
      <w:numFmt w:val="bullet"/>
      <w:start w:val="1"/>
    </w:lvl>
  </w:abstractNum>
  <w:abstractNum w:abstractNumId="225">
    <w:nsid w:val="73209072"/>
    <w:multiLevelType w:val="hybridMultilevel"/>
    <w:lvl w:ilvl="0">
      <w:lvlJc w:val="left"/>
      <w:lvlText w:val="•"/>
      <w:numFmt w:val="bullet"/>
      <w:start w:val="1"/>
    </w:lvl>
  </w:abstractNum>
  <w:abstractNum w:abstractNumId="226">
    <w:nsid w:val="5FB29816"/>
    <w:multiLevelType w:val="hybridMultilevel"/>
    <w:lvl w:ilvl="0">
      <w:lvlJc w:val="left"/>
      <w:lvlText w:val="•"/>
      <w:numFmt w:val="bullet"/>
      <w:start w:val="1"/>
    </w:lvl>
  </w:abstractNum>
  <w:abstractNum w:abstractNumId="227">
    <w:nsid w:val="3CE732EC"/>
    <w:multiLevelType w:val="hybridMultilevel"/>
    <w:lvl w:ilvl="0">
      <w:lvlJc w:val="left"/>
      <w:lvlText w:val="(%1)"/>
      <w:numFmt w:val="lowerRoman"/>
      <w:start w:val="1"/>
    </w:lvl>
  </w:abstractNum>
  <w:abstractNum w:abstractNumId="228">
    <w:nsid w:val="22F13DF3"/>
    <w:multiLevelType w:val="hybridMultilevel"/>
    <w:lvl w:ilvl="0">
      <w:lvlJc w:val="left"/>
      <w:lvlText w:val="•"/>
      <w:numFmt w:val="bullet"/>
      <w:start w:val="1"/>
    </w:lvl>
  </w:abstractNum>
  <w:abstractNum w:abstractNumId="229">
    <w:nsid w:val="792B8401"/>
    <w:multiLevelType w:val="hybridMultilevel"/>
    <w:lvl w:ilvl="0">
      <w:lvlJc w:val="left"/>
      <w:lvlText w:val="*"/>
      <w:numFmt w:val="bullet"/>
      <w:start w:val="1"/>
    </w:lvl>
  </w:abstractNum>
  <w:abstractNum w:abstractNumId="230">
    <w:nsid w:val="FA85F4D"/>
    <w:multiLevelType w:val="hybridMultilevel"/>
    <w:lvl w:ilvl="0">
      <w:lvlJc w:val="left"/>
      <w:lvlText w:val="(%1)"/>
      <w:numFmt w:val="decimal"/>
      <w:start w:val="1"/>
    </w:lvl>
  </w:abstractNum>
  <w:abstractNum w:abstractNumId="231">
    <w:nsid w:val="6ECE91F0"/>
    <w:multiLevelType w:val="hybridMultilevel"/>
    <w:lvl w:ilvl="0">
      <w:lvlJc w:val="left"/>
      <w:lvlText w:val="*"/>
      <w:numFmt w:val="bullet"/>
      <w:start w:val="1"/>
    </w:lvl>
  </w:abstractNum>
  <w:abstractNum w:abstractNumId="232">
    <w:nsid w:val="4FC4D600"/>
    <w:multiLevelType w:val="hybridMultilevel"/>
    <w:lvl w:ilvl="0">
      <w:lvlJc w:val="left"/>
      <w:lvlText w:val="(%1)"/>
      <w:numFmt w:val="decimal"/>
      <w:start w:val="1"/>
    </w:lvl>
  </w:abstractNum>
  <w:abstractNum w:abstractNumId="233">
    <w:nsid w:val="5BFD4210"/>
    <w:multiLevelType w:val="hybridMultilevel"/>
    <w:lvl w:ilvl="0">
      <w:lvlJc w:val="left"/>
      <w:lvlText w:val="•"/>
      <w:numFmt w:val="bullet"/>
      <w:start w:val="1"/>
    </w:lvl>
  </w:abstractNum>
  <w:abstractNum w:abstractNumId="234">
    <w:nsid w:val="76574F8B"/>
    <w:multiLevelType w:val="hybridMultilevel"/>
    <w:lvl w:ilvl="0">
      <w:lvlJc w:val="left"/>
      <w:lvlText w:val="•"/>
      <w:numFmt w:val="bullet"/>
      <w:start w:val="1"/>
    </w:lvl>
  </w:abstractNum>
  <w:abstractNum w:abstractNumId="235">
    <w:nsid w:val="178F7B67"/>
    <w:multiLevelType w:val="hybridMultilevel"/>
    <w:lvl w:ilvl="0">
      <w:lvlJc w:val="left"/>
      <w:lvlText w:val="(%1)"/>
      <w:numFmt w:val="lowerLetter"/>
      <w:start w:val="2"/>
    </w:lvl>
  </w:abstractNum>
  <w:abstractNum w:abstractNumId="236">
    <w:nsid w:val="2421DFCF"/>
    <w:multiLevelType w:val="hybridMultilevel"/>
    <w:lvl w:ilvl="0">
      <w:lvlJc w:val="left"/>
      <w:lvlText w:val="(%1)"/>
      <w:numFmt w:val="lowerLetter"/>
      <w:start w:val="1"/>
    </w:lvl>
  </w:abstractNum>
  <w:abstractNum w:abstractNumId="237">
    <w:nsid w:val="1565AC99"/>
    <w:multiLevelType w:val="hybridMultilevel"/>
    <w:lvl w:ilvl="0">
      <w:lvlJc w:val="left"/>
      <w:lvlText w:val="(%1)"/>
      <w:numFmt w:val="lowerRoman"/>
      <w:start w:val="7"/>
    </w:lvl>
  </w:abstractNum>
  <w:abstractNum w:abstractNumId="238">
    <w:nsid w:val="19FB2650"/>
    <w:multiLevelType w:val="hybridMultilevel"/>
    <w:lvl w:ilvl="0">
      <w:lvlJc w:val="left"/>
      <w:lvlText w:val="(%1)"/>
      <w:numFmt w:val="lowerRoman"/>
      <w:start w:val="1"/>
    </w:lvl>
  </w:abstractNum>
  <w:abstractNum w:abstractNumId="239">
    <w:nsid w:val="5024DE5B"/>
    <w:multiLevelType w:val="hybridMultilevel"/>
    <w:lvl w:ilvl="0">
      <w:lvlJc w:val="left"/>
      <w:lvlText w:val="(%1)"/>
      <w:numFmt w:val="lowerRoman"/>
      <w:start w:val="9"/>
    </w:lvl>
  </w:abstractNum>
  <w:abstractNum w:abstractNumId="240">
    <w:nsid w:val="168EFE17"/>
    <w:multiLevelType w:val="hybridMultilevel"/>
    <w:lvl w:ilvl="0">
      <w:lvlJc w:val="left"/>
      <w:lvlText w:val="(%1)"/>
      <w:numFmt w:val="lowerLetter"/>
      <w:start w:val="2"/>
    </w:lvl>
  </w:abstractNum>
  <w:abstractNum w:abstractNumId="241">
    <w:nsid w:val="1036B29F"/>
    <w:multiLevelType w:val="hybridMultilevel"/>
    <w:lvl w:ilvl="0">
      <w:lvlJc w:val="left"/>
      <w:lvlText w:val="(%1)"/>
      <w:numFmt w:val="lowerRoman"/>
      <w:start w:val="7"/>
    </w:lvl>
  </w:abstractNum>
  <w:abstractNum w:abstractNumId="242">
    <w:nsid w:val="1D206B8E"/>
    <w:multiLevelType w:val="hybridMultilevel"/>
    <w:lvl w:ilvl="0">
      <w:lvlJc w:val="left"/>
      <w:lvlText w:val="(%1)"/>
      <w:numFmt w:val="lowerLetter"/>
      <w:start w:val="2"/>
    </w:lvl>
  </w:abstractNum>
  <w:abstractNum w:abstractNumId="243">
    <w:nsid w:val="7934D3D4"/>
    <w:multiLevelType w:val="hybridMultilevel"/>
    <w:lvl w:ilvl="0">
      <w:lvlJc w:val="left"/>
      <w:lvlText w:val="(%1)"/>
      <w:numFmt w:val="lowerRoman"/>
      <w:start w:val="10"/>
    </w:lvl>
  </w:abstractNum>
  <w:abstractNum w:abstractNumId="244">
    <w:nsid w:val="1C65E98"/>
    <w:multiLevelType w:val="hybridMultilevel"/>
    <w:lvl w:ilvl="0">
      <w:lvlJc w:val="left"/>
      <w:lvlText w:val="(%1)"/>
      <w:numFmt w:val="lowerRoman"/>
      <w:start w:val="2"/>
    </w:lvl>
  </w:abstractNum>
  <w:abstractNum w:abstractNumId="245">
    <w:nsid w:val="1495E50A"/>
    <w:multiLevelType w:val="hybridMultilevel"/>
    <w:lvl w:ilvl="0">
      <w:lvlJc w:val="left"/>
      <w:lvlText w:val="(%1)"/>
      <w:numFmt w:val="lowerLetter"/>
      <w:start w:val="1"/>
    </w:lvl>
  </w:abstractNum>
  <w:abstractNum w:abstractNumId="246">
    <w:nsid w:val="F5BCF61"/>
    <w:multiLevelType w:val="hybridMultilevel"/>
    <w:lvl w:ilvl="0">
      <w:lvlJc w:val="left"/>
      <w:lvlText w:val="%1"/>
      <w:numFmt w:val="upperLetter"/>
      <w:start w:val="1"/>
    </w:lvl>
    <w:lvl w:ilvl="1">
      <w:lvlJc w:val="left"/>
      <w:lvlText w:val="(%2)"/>
      <w:numFmt w:val="lowerLetter"/>
      <w:start w:val="3"/>
    </w:lvl>
  </w:abstractNum>
  <w:abstractNum w:abstractNumId="247">
    <w:nsid w:val="3B1DD403"/>
    <w:multiLevelType w:val="hybridMultilevel"/>
    <w:lvl w:ilvl="0">
      <w:lvlJc w:val="left"/>
      <w:lvlText w:val="(%1)"/>
      <w:numFmt w:val="upperLetter"/>
      <w:start w:val="1"/>
    </w:lvl>
    <w:lvl w:ilvl="1">
      <w:lvlJc w:val="left"/>
      <w:lvlText w:val="(%2)"/>
      <w:numFmt w:val="lowerLetter"/>
      <w:start w:val="5"/>
    </w:lvl>
  </w:abstractNum>
  <w:abstractNum w:abstractNumId="248">
    <w:nsid w:val="530386D1"/>
    <w:multiLevelType w:val="hybridMultilevel"/>
    <w:lvl w:ilvl="0">
      <w:lvlJc w:val="left"/>
      <w:lvlText w:val="(%1)"/>
      <w:numFmt w:val="lowerLetter"/>
      <w:start w:val="1"/>
    </w:lvl>
  </w:abstractNum>
  <w:abstractNum w:abstractNumId="249">
    <w:nsid w:val="7525F2BC"/>
    <w:multiLevelType w:val="hybridMultilevel"/>
    <w:lvl w:ilvl="0">
      <w:lvlJc w:val="left"/>
      <w:lvlText w:val="(%1)"/>
      <w:numFmt w:val="lowerLetter"/>
      <w:start w:val="2"/>
    </w:lvl>
  </w:abstractNum>
  <w:abstractNum w:abstractNumId="250">
    <w:nsid w:val="CE8E1A7"/>
    <w:multiLevelType w:val="hybridMultilevel"/>
    <w:lvl w:ilvl="0">
      <w:lvlJc w:val="left"/>
      <w:lvlText w:val="(%1)"/>
      <w:numFmt w:val="lowerLetter"/>
      <w:start w:val="6"/>
    </w:lvl>
  </w:abstractNum>
  <w:abstractNum w:abstractNumId="251">
    <w:nsid w:val="4E9EFB0D"/>
    <w:multiLevelType w:val="hybridMultilevel"/>
    <w:lvl w:ilvl="0">
      <w:lvlJc w:val="left"/>
      <w:lvlText w:val="(%1)"/>
      <w:numFmt w:val="lowerLetter"/>
      <w:start w:val="1"/>
    </w:lvl>
    <w:lvl w:ilvl="1">
      <w:lvlJc w:val="left"/>
      <w:lvlText w:val="(%2)"/>
      <w:numFmt w:val="lowerRoman"/>
      <w:start w:val="1"/>
    </w:lvl>
  </w:abstractNum>
  <w:abstractNum w:abstractNumId="252">
    <w:nsid w:val="90802BE"/>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253">
    <w:nsid w:val="3266459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54">
    <w:nsid w:val="3F8B0CBF"/>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1"/>
    </w:lvl>
  </w:abstractNum>
  <w:abstractNum w:abstractNumId="255">
    <w:nsid w:val="37E203AB"/>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256">
    <w:nsid w:val="2586D60E"/>
    <w:multiLevelType w:val="hybridMultilevel"/>
    <w:lvl w:ilvl="0">
      <w:lvlJc w:val="left"/>
      <w:lvlText w:val="(%1)"/>
      <w:numFmt w:val="lowerLetter"/>
      <w:start w:val="1"/>
    </w:lvl>
  </w:abstractNum>
  <w:abstractNum w:abstractNumId="257">
    <w:nsid w:val="1F3DA4D5"/>
    <w:multiLevelType w:val="hybridMultilevel"/>
    <w:lvl w:ilvl="0">
      <w:lvlJc w:val="left"/>
      <w:lvlText w:val="(%1)"/>
      <w:numFmt w:val="lowerLetter"/>
      <w:start w:val="1"/>
    </w:lvl>
  </w:abstractNum>
  <w:abstractNum w:abstractNumId="258">
    <w:nsid w:val="74C93698"/>
    <w:multiLevelType w:val="hybridMultilevel"/>
    <w:lvl w:ilvl="0">
      <w:lvlJc w:val="left"/>
      <w:lvlText w:val="(%1)"/>
      <w:numFmt w:val="upperLetter"/>
      <w:start w:val="1"/>
    </w:lvl>
    <w:lvl w:ilvl="1">
      <w:lvlJc w:val="left"/>
      <w:lvlText w:val="(%2)"/>
      <w:numFmt w:val="lowerLetter"/>
      <w:start w:val="2"/>
    </w:lvl>
    <w:lvl w:ilvl="2">
      <w:lvlJc w:val="left"/>
      <w:lvlText w:val="(%3)"/>
      <w:numFmt w:val="upperLetter"/>
    </w:lvl>
    <w:lvl w:ilvl="3">
      <w:lvlJc w:val="left"/>
      <w:lvlText w:val="(%4)"/>
      <w:numFmt w:val="lowerRoman"/>
      <w:start w:val="1"/>
    </w:lvl>
  </w:abstractNum>
  <w:abstractNum w:abstractNumId="259">
    <w:nsid w:val="48781401"/>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260">
    <w:nsid w:val="186928D6"/>
    <w:multiLevelType w:val="hybridMultilevel"/>
    <w:lvl w:ilvl="0">
      <w:lvlJc w:val="left"/>
      <w:lvlText w:val="%1"/>
      <w:numFmt w:val="upperLetter"/>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261">
    <w:nsid w:val="47195E5"/>
    <w:multiLevelType w:val="hybridMultilevel"/>
    <w:lvl w:ilvl="0">
      <w:lvlJc w:val="left"/>
      <w:lvlText w:val="(%1)"/>
      <w:numFmt w:val="lowerLetter"/>
      <w:start w:val="4"/>
    </w:lvl>
  </w:abstractNum>
  <w:abstractNum w:abstractNumId="262">
    <w:nsid w:val="3746A5F2"/>
    <w:multiLevelType w:val="hybridMultilevel"/>
    <w:lvl w:ilvl="0">
      <w:lvlJc w:val="left"/>
      <w:lvlText w:val="%1"/>
      <w:numFmt w:val="lowerLetter"/>
      <w:start w:val="1"/>
    </w:lvl>
    <w:lvl w:ilvl="1">
      <w:lvlJc w:val="left"/>
      <w:lvlText w:val="(%2)"/>
      <w:numFmt w:val="lowerLetter"/>
      <w:start w:val="1"/>
    </w:lvl>
  </w:abstractNum>
  <w:abstractNum w:abstractNumId="263">
    <w:nsid w:val="682DFED6"/>
    <w:multiLevelType w:val="hybridMultilevel"/>
    <w:lvl w:ilvl="0">
      <w:lvlJc w:val="left"/>
      <w:lvlText w:val="(%1)"/>
      <w:numFmt w:val="lowerLetter"/>
      <w:start w:val="35"/>
    </w:lvl>
    <w:lvl w:ilvl="1">
      <w:lvlJc w:val="left"/>
      <w:lvlText w:val="%2"/>
      <w:numFmt w:val="lowerLetter"/>
      <w:start w:val="1"/>
    </w:lvl>
  </w:abstractNum>
  <w:abstractNum w:abstractNumId="264">
    <w:nsid w:val="606ED7F6"/>
    <w:multiLevelType w:val="hybridMultilevel"/>
    <w:lvl w:ilvl="0">
      <w:lvlJc w:val="left"/>
      <w:lvlText w:val="%1"/>
      <w:numFmt w:val="lowerLetter"/>
      <w:start w:val="1"/>
    </w:lvl>
    <w:lvl w:ilvl="1">
      <w:lvlJc w:val="left"/>
      <w:lvlText w:val="(%2)"/>
      <w:numFmt w:val="lowerLetter"/>
      <w:start w:val="3"/>
    </w:lvl>
  </w:abstractNum>
  <w:abstractNum w:abstractNumId="265">
    <w:nsid w:val="2D9DF57D"/>
    <w:multiLevelType w:val="hybridMultilevel"/>
    <w:lvl w:ilvl="0">
      <w:lvlJc w:val="left"/>
      <w:lvlText w:val="(%1)"/>
      <w:numFmt w:val="lowerLetter"/>
      <w:start w:val="9"/>
    </w:lvl>
    <w:lvl w:ilvl="1">
      <w:lvlJc w:val="left"/>
      <w:lvlText w:val="(%2)"/>
      <w:numFmt w:val="lowerLetter"/>
      <w:start w:val="4"/>
    </w:lvl>
  </w:abstractNum>
  <w:abstractNum w:abstractNumId="266">
    <w:nsid w:val="7FBD7A3E"/>
    <w:multiLevelType w:val="hybridMultilevel"/>
    <w:lvl w:ilvl="0">
      <w:lvlJc w:val="left"/>
      <w:lvlText w:val="(%1)"/>
      <w:numFmt w:val="lowerLetter"/>
      <w:start w:val="1"/>
    </w:lvl>
  </w:abstractNum>
  <w:abstractNum w:abstractNumId="267">
    <w:nsid w:val="490B7C5"/>
    <w:multiLevelType w:val="hybridMultilevel"/>
    <w:lvl w:ilvl="0">
      <w:lvlJc w:val="left"/>
      <w:lvlText w:val="%1"/>
      <w:numFmt w:val="lowerLetter"/>
      <w:start w:val="1"/>
    </w:lvl>
    <w:lvl w:ilvl="1">
      <w:lvlJc w:val="left"/>
      <w:lvlText w:val="(%2)"/>
      <w:numFmt w:val="lowerLetter"/>
      <w:start w:val="2"/>
    </w:lvl>
  </w:abstractNum>
  <w:abstractNum w:abstractNumId="268">
    <w:nsid w:val="4303A216"/>
    <w:multiLevelType w:val="hybridMultilevel"/>
    <w:lvl w:ilvl="0">
      <w:lvlJc w:val="left"/>
      <w:lvlText w:val="(%1)"/>
      <w:numFmt w:val="lowerLetter"/>
      <w:start w:val="9"/>
    </w:lvl>
    <w:lvl w:ilvl="1">
      <w:lvlJc w:val="left"/>
      <w:lvlText w:val="%2"/>
      <w:numFmt w:val="lowerLetter"/>
      <w:start w:val="1"/>
    </w:lvl>
  </w:abstractNum>
  <w:abstractNum w:abstractNumId="269">
    <w:nsid w:val="19B8A08E"/>
    <w:multiLevelType w:val="hybridMultilevel"/>
    <w:lvl w:ilvl="0">
      <w:lvlJc w:val="left"/>
      <w:lvlText w:val="(%1)"/>
      <w:numFmt w:val="lowerLetter"/>
      <w:start w:val="61"/>
    </w:lvl>
    <w:lvl w:ilvl="1">
      <w:lvlJc w:val="left"/>
      <w:lvlText w:val="(%2)"/>
      <w:numFmt w:val="lowerLetter"/>
      <w:start w:val="3"/>
    </w:lvl>
  </w:abstractNum>
  <w:abstractNum w:abstractNumId="270">
    <w:nsid w:val="54B59621"/>
    <w:multiLevelType w:val="hybridMultilevel"/>
    <w:lvl w:ilvl="0">
      <w:lvlJc w:val="left"/>
      <w:lvlText w:val="%1"/>
      <w:numFmt w:val="lowerLetter"/>
      <w:start w:val="1"/>
    </w:lvl>
    <w:lvl w:ilvl="1">
      <w:lvlJc w:val="left"/>
      <w:lvlText w:val="(%2)"/>
      <w:numFmt w:val="lowerLetter"/>
      <w:start w:val="5"/>
    </w:lvl>
  </w:abstractNum>
  <w:abstractNum w:abstractNumId="271">
    <w:nsid w:val="5992A02E"/>
    <w:multiLevelType w:val="hybridMultilevel"/>
    <w:lvl w:ilvl="0">
      <w:lvlJc w:val="left"/>
      <w:lvlText w:val="(%1)"/>
      <w:numFmt w:val="lowerLetter"/>
      <w:start w:val="9"/>
    </w:lvl>
    <w:lvl w:ilvl="1">
      <w:lvlJc w:val="left"/>
      <w:lvlText w:val="(%2)"/>
      <w:numFmt w:val="lowerLetter"/>
      <w:start w:val="6"/>
    </w:lvl>
  </w:abstractNum>
  <w:abstractNum w:abstractNumId="272">
    <w:nsid w:val="29EF532D"/>
    <w:multiLevelType w:val="hybridMultilevel"/>
    <w:lvl w:ilvl="0">
      <w:lvlJc w:val="left"/>
      <w:lvlText w:val="(%1)"/>
      <w:numFmt w:val="lowerLetter"/>
      <w:start w:val="1"/>
    </w:lvl>
  </w:abstractNum>
  <w:abstractNum w:abstractNumId="273">
    <w:nsid w:val="71D601AF"/>
    <w:multiLevelType w:val="hybridMultilevel"/>
    <w:lvl w:ilvl="0">
      <w:lvlJc w:val="left"/>
      <w:lvlText w:val="(%1)"/>
      <w:numFmt w:val="lowerLetter"/>
      <w:start w:val="1"/>
    </w:lvl>
  </w:abstractNum>
  <w:abstractNum w:abstractNumId="274">
    <w:nsid w:val="52C77402"/>
    <w:multiLevelType w:val="hybridMultilevel"/>
    <w:lvl w:ilvl="0">
      <w:lvlJc w:val="left"/>
      <w:lvlText w:val="(%1)"/>
      <w:numFmt w:val="lowerLetter"/>
      <w:start w:val="2"/>
    </w:lvl>
  </w:abstractNum>
  <w:abstractNum w:abstractNumId="275">
    <w:nsid w:val="2BB5B1C6"/>
    <w:multiLevelType w:val="hybridMultilevel"/>
    <w:lvl w:ilvl="0">
      <w:lvlJc w:val="left"/>
      <w:lvlText w:val="(%1)"/>
      <w:numFmt w:val="lowerLetter"/>
      <w:start w:val="11"/>
    </w:lvl>
  </w:abstractNum>
  <w:abstractNum w:abstractNumId="276">
    <w:nsid w:val="66BE6B9"/>
    <w:multiLevelType w:val="hybridMultilevel"/>
    <w:lvl w:ilvl="0">
      <w:lvlJc w:val="left"/>
      <w:lvlText w:val="(%1)"/>
      <w:numFmt w:val="lowerLetter"/>
      <w:start w:val="1"/>
    </w:lvl>
  </w:abstractNum>
  <w:abstractNum w:abstractNumId="277">
    <w:nsid w:val="62234363"/>
    <w:multiLevelType w:val="hybridMultilevel"/>
    <w:lvl w:ilvl="0">
      <w:lvlJc w:val="left"/>
      <w:lvlText w:val="(%1)"/>
      <w:numFmt w:val="lowerLetter"/>
      <w:start w:val="6"/>
    </w:lvl>
  </w:abstractNum>
  <w:abstractNum w:abstractNumId="278">
    <w:nsid w:val="66D385C9"/>
    <w:multiLevelType w:val="hybridMultilevel"/>
    <w:lvl w:ilvl="0">
      <w:lvlJc w:val="left"/>
      <w:lvlText w:val="(%1)"/>
      <w:numFmt w:val="lowerLetter"/>
      <w:start w:val="1"/>
    </w:lvl>
  </w:abstractNum>
  <w:abstractNum w:abstractNumId="279">
    <w:nsid w:val="596F6D8A"/>
    <w:multiLevelType w:val="hybridMultilevel"/>
    <w:lvl w:ilvl="0">
      <w:lvlJc w:val="left"/>
      <w:lvlText w:val="(%1)"/>
      <w:numFmt w:val="lowerLetter"/>
      <w:start w:val="2"/>
    </w:lvl>
  </w:abstractNum>
  <w:abstractNum w:abstractNumId="280">
    <w:nsid w:val="5749361F"/>
    <w:multiLevelType w:val="hybridMultilevel"/>
    <w:lvl w:ilvl="0">
      <w:lvlJc w:val="left"/>
      <w:lvlText w:val="(%1)"/>
      <w:numFmt w:val="lowerLetter"/>
      <w:start w:val="1"/>
    </w:lvl>
  </w:abstractNum>
  <w:abstractNum w:abstractNumId="281">
    <w:nsid w:val="73BC6770"/>
    <w:multiLevelType w:val="hybridMultilevel"/>
    <w:lvl w:ilvl="0">
      <w:lvlJc w:val="left"/>
      <w:lvlText w:val="(%1)"/>
      <w:numFmt w:val="lowerLetter"/>
      <w:start w:val="3"/>
    </w:lvl>
  </w:abstractNum>
  <w:abstractNum w:abstractNumId="282">
    <w:nsid w:val="280E6897"/>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283">
    <w:nsid w:val="605138DE"/>
    <w:multiLevelType w:val="hybridMultilevel"/>
    <w:lvl w:ilvl="0">
      <w:lvlJc w:val="left"/>
      <w:lvlText w:val="(%1)"/>
      <w:numFmt w:val="lowerLetter"/>
      <w:start w:val="11"/>
    </w:lvl>
  </w:abstractNum>
  <w:abstractNum w:abstractNumId="284">
    <w:nsid w:val="2622AD0C"/>
    <w:multiLevelType w:val="hybridMultilevel"/>
    <w:lvl w:ilvl="0">
      <w:lvlJc w:val="left"/>
      <w:lvlText w:val="(%1)"/>
      <w:numFmt w:val="lowerLetter"/>
      <w:start w:val="1"/>
    </w:lvl>
  </w:abstractNum>
  <w:abstractNum w:abstractNumId="285">
    <w:nsid w:val="67997556"/>
    <w:multiLevelType w:val="hybridMultilevel"/>
    <w:lvl w:ilvl="0">
      <w:lvlJc w:val="left"/>
      <w:lvlText w:val="(%1)"/>
      <w:numFmt w:val="lowerLetter"/>
      <w:start w:val="1"/>
    </w:lvl>
  </w:abstractNum>
  <w:abstractNum w:abstractNumId="286">
    <w:nsid w:val="18333C89"/>
    <w:multiLevelType w:val="hybridMultilevel"/>
    <w:lvl w:ilvl="0">
      <w:lvlJc w:val="left"/>
      <w:lvlText w:val="(%1)"/>
      <w:numFmt w:val="lowerRoman"/>
      <w:start w:val="1"/>
    </w:lvl>
  </w:abstractNum>
  <w:abstractNum w:abstractNumId="287">
    <w:nsid w:val="4BA9831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288">
    <w:nsid w:val="6D71A2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lvl w:ilvl="3">
      <w:lvlJc w:val="left"/>
      <w:lvlText w:val="(%4)"/>
      <w:numFmt w:val="lowerRoman"/>
      <w:start w:val="4"/>
    </w:lvl>
  </w:abstractNum>
  <w:abstractNum w:abstractNumId="289">
    <w:nsid w:val="CFC7321"/>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lvl w:ilvl="3">
      <w:lvlJc w:val="left"/>
      <w:lvlText w:val="%4"/>
      <w:numFmt w:val="lowerRoman"/>
      <w:start w:val="1"/>
    </w:lvl>
  </w:abstractNum>
  <w:abstractNum w:abstractNumId="290">
    <w:nsid w:val="1421971B"/>
    <w:multiLevelType w:val="hybridMultilevel"/>
    <w:lvl w:ilvl="0">
      <w:lvlJc w:val="left"/>
      <w:lvlText w:val="(%1)"/>
      <w:numFmt w:val="decimal"/>
      <w:start w:val="10"/>
    </w:lvl>
    <w:lvl w:ilvl="1">
      <w:lvlJc w:val="left"/>
      <w:lvlText w:val="(%2)"/>
      <w:numFmt w:val="lowerLetter"/>
      <w:start w:val="4"/>
    </w:lvl>
    <w:lvl w:ilvl="2">
      <w:lvlJc w:val="left"/>
      <w:lvlText w:val="%3"/>
      <w:numFmt w:val="upperLetter"/>
      <w:start w:val="1"/>
    </w:lvl>
    <w:lvl w:ilvl="3">
      <w:lvlJc w:val="left"/>
      <w:lvlText w:val="%4"/>
      <w:numFmt w:val="lowerRoman"/>
      <w:start w:val="1"/>
    </w:lvl>
  </w:abstractNum>
  <w:abstractNum w:abstractNumId="291">
    <w:nsid w:val="1F404301"/>
    <w:multiLevelType w:val="hybridMultilevel"/>
    <w:lvl w:ilvl="0">
      <w:lvlJc w:val="left"/>
      <w:lvlText w:val="%1"/>
      <w:numFmt w:val="lowerRoman"/>
      <w:start w:val="1"/>
    </w:lvl>
    <w:lvl w:ilvl="1">
      <w:lvlJc w:val="left"/>
      <w:lvlText w:val="(%2)"/>
      <w:numFmt w:val="lowerLetter"/>
      <w:start w:val="1"/>
    </w:lvl>
  </w:abstractNum>
  <w:abstractNum w:abstractNumId="292">
    <w:nsid w:val="116E0907"/>
    <w:multiLevelType w:val="hybridMultilevel"/>
    <w:lvl w:ilvl="0">
      <w:lvlJc w:val="left"/>
      <w:lvlText w:val="(%1)"/>
      <w:numFmt w:val="lowerRoman"/>
      <w:start w:val="1"/>
    </w:lvl>
    <w:lvl w:ilvl="1">
      <w:lvlJc w:val="left"/>
      <w:lvlText w:val="%2"/>
      <w:numFmt w:val="lowerLetter"/>
      <w:start w:val="1"/>
    </w:lvl>
  </w:abstractNum>
  <w:abstractNum w:abstractNumId="293">
    <w:nsid w:val="4B683D0D"/>
    <w:multiLevelType w:val="hybridMultilevel"/>
    <w:lvl w:ilvl="0">
      <w:lvlJc w:val="left"/>
      <w:lvlText w:val="(%1)"/>
      <w:numFmt w:val="lowerRoman"/>
      <w:start w:val="4"/>
    </w:lvl>
    <w:lvl w:ilvl="1">
      <w:lvlJc w:val="left"/>
      <w:lvlText w:val="(%2)"/>
      <w:numFmt w:val="lowerLetter"/>
      <w:start w:val="2"/>
    </w:lvl>
  </w:abstractNum>
  <w:abstractNum w:abstractNumId="294">
    <w:nsid w:val="76E41D8"/>
    <w:multiLevelType w:val="hybridMultilevel"/>
    <w:lvl w:ilvl="0">
      <w:lvlJc w:val="left"/>
      <w:lvlText w:val="(%1)"/>
      <w:numFmt w:val="lowerLetter"/>
      <w:start w:val="1"/>
    </w:lvl>
  </w:abstractNum>
  <w:abstractNum w:abstractNumId="295">
    <w:nsid w:val="71DCE0FD"/>
    <w:multiLevelType w:val="hybridMultilevel"/>
    <w:lvl w:ilvl="0">
      <w:lvlJc w:val="left"/>
      <w:lvlText w:val="(%1)"/>
      <w:numFmt w:val="lowerLetter"/>
      <w:start w:val="2"/>
    </w:lvl>
  </w:abstractNum>
  <w:abstractNum w:abstractNumId="296">
    <w:nsid w:val="7906328B"/>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97">
    <w:nsid w:val="72BBC1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98">
    <w:nsid w:val="766D98C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99">
    <w:nsid w:val="3C09D4A1"/>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300">
    <w:nsid w:val="20E45CA4"/>
    <w:multiLevelType w:val="hybridMultilevel"/>
    <w:lvl w:ilvl="0">
      <w:lvlJc w:val="left"/>
      <w:lvlText w:val="(%1)"/>
      <w:numFmt w:val="lowerLetter"/>
      <w:start w:val="1"/>
    </w:lvl>
  </w:abstractNum>
  <w:abstractNum w:abstractNumId="301">
    <w:nsid w:val="4B232EE3"/>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302">
    <w:nsid w:val="159C74CF"/>
    <w:multiLevelType w:val="hybridMultilevel"/>
    <w:lvl w:ilvl="0">
      <w:lvlJc w:val="left"/>
      <w:lvlText w:val="(%1)"/>
      <w:numFmt w:val="lowerRoman"/>
      <w:start w:val="3"/>
    </w:lvl>
  </w:abstractNum>
  <w:abstractNum w:abstractNumId="303">
    <w:nsid w:val="4AD3AFD2"/>
    <w:multiLevelType w:val="hybridMultilevel"/>
    <w:lvl w:ilvl="0">
      <w:lvlJc w:val="left"/>
      <w:lvlText w:val="%1"/>
      <w:numFmt w:val="lowerLetter"/>
      <w:start w:val="1"/>
    </w:lvl>
    <w:lvl w:ilvl="1">
      <w:lvlJc w:val="left"/>
      <w:lvlText w:val="(%2)"/>
      <w:numFmt w:val="lowerLetter"/>
      <w:start w:val="1"/>
    </w:lvl>
  </w:abstractNum>
  <w:abstractNum w:abstractNumId="304">
    <w:nsid w:val="3CF93092"/>
    <w:multiLevelType w:val="hybridMultilevel"/>
    <w:lvl w:ilvl="0">
      <w:lvlJc w:val="left"/>
      <w:lvlText w:val="(%1)"/>
      <w:numFmt w:val="lowerLetter"/>
      <w:start w:val="9"/>
    </w:lvl>
    <w:lvl w:ilvl="1">
      <w:lvlJc w:val="left"/>
      <w:lvlText w:val="(%2)"/>
      <w:numFmt w:val="lowerLetter"/>
      <w:start w:val="3"/>
    </w:lvl>
  </w:abstractNum>
  <w:abstractNum w:abstractNumId="305">
    <w:nsid w:val="6863E8D2"/>
    <w:multiLevelType w:val="hybridMultilevel"/>
    <w:lvl w:ilvl="0">
      <w:lvlJc w:val="left"/>
      <w:lvlText w:val="(%1)"/>
      <w:numFmt w:val="lowerLetter"/>
      <w:start w:val="4"/>
    </w:lvl>
  </w:abstractNum>
  <w:abstractNum w:abstractNumId="306">
    <w:nsid w:val="76896198"/>
    <w:multiLevelType w:val="hybridMultilevel"/>
    <w:lvl w:ilvl="0">
      <w:lvlJc w:val="left"/>
      <w:lvlText w:val="(%1)"/>
      <w:numFmt w:val="lowerLetter"/>
      <w:start w:val="1"/>
    </w:lvl>
  </w:abstractNum>
  <w:abstractNum w:abstractNumId="307">
    <w:nsid w:val="4365174B"/>
    <w:multiLevelType w:val="hybridMultilevel"/>
    <w:lvl w:ilvl="0">
      <w:lvlJc w:val="left"/>
      <w:lvlText w:val="(%1)"/>
      <w:numFmt w:val="lowerLetter"/>
      <w:start w:val="1"/>
    </w:lvl>
  </w:abstractNum>
  <w:abstractNum w:abstractNumId="308">
    <w:nsid w:val="4A872C35"/>
    <w:multiLevelType w:val="hybridMultilevel"/>
    <w:lvl w:ilvl="0">
      <w:lvlJc w:val="left"/>
      <w:lvlText w:val="%1"/>
      <w:numFmt w:val="upperLetter"/>
      <w:start w:val="1"/>
    </w:lvl>
    <w:lvl w:ilvl="1">
      <w:lvlJc w:val="left"/>
      <w:lvlText w:val="(%2)"/>
      <w:numFmt w:val="lowerLetter"/>
      <w:start w:val="9"/>
    </w:lvl>
  </w:abstractNum>
  <w:abstractNum w:abstractNumId="309">
    <w:nsid w:val="5D5CE761"/>
    <w:multiLevelType w:val="hybridMultilevel"/>
    <w:lvl w:ilvl="0">
      <w:lvlJc w:val="left"/>
      <w:lvlText w:val="(%1)"/>
      <w:numFmt w:val="upperLetter"/>
      <w:start w:val="1"/>
    </w:lvl>
    <w:lvl w:ilvl="1">
      <w:lvlJc w:val="left"/>
      <w:lvlText w:val="(%2)"/>
      <w:numFmt w:val="lowerLetter"/>
      <w:start w:val="11"/>
    </w:lvl>
  </w:abstractNum>
  <w:abstractNum w:abstractNumId="310">
    <w:nsid w:val="1CD484D5"/>
    <w:multiLevelType w:val="hybridMultilevel"/>
    <w:lvl w:ilvl="0">
      <w:lvlJc w:val="left"/>
      <w:lvlText w:val="(%1)"/>
      <w:numFmt w:val="lowerLetter"/>
      <w:start w:val="1"/>
    </w:lvl>
  </w:abstractNum>
  <w:abstractNum w:abstractNumId="311">
    <w:nsid w:val="21D06255"/>
    <w:multiLevelType w:val="hybridMultilevel"/>
    <w:lvl w:ilvl="0">
      <w:lvlJc w:val="left"/>
      <w:lvlText w:val="(%1)"/>
      <w:numFmt w:val="lowerLetter"/>
      <w:start w:val="4"/>
    </w:lvl>
  </w:abstractNum>
  <w:abstractNum w:abstractNumId="312">
    <w:nsid w:val="51194ED1"/>
    <w:multiLevelType w:val="hybridMultilevel"/>
    <w:lvl w:ilvl="0">
      <w:lvlJc w:val="left"/>
      <w:lvlText w:val="(%1)"/>
      <w:numFmt w:val="lowerLetter"/>
      <w:start w:val="1"/>
    </w:lvl>
  </w:abstractNum>
  <w:abstractNum w:abstractNumId="313">
    <w:nsid w:val="44E2ED6C"/>
    <w:multiLevelType w:val="hybridMultilevel"/>
    <w:lvl w:ilvl="0">
      <w:lvlJc w:val="left"/>
      <w:lvlText w:val="(%1)"/>
      <w:numFmt w:val="lowerLetter"/>
      <w:start w:val="1"/>
    </w:lvl>
  </w:abstractNum>
  <w:abstractNum w:abstractNumId="314">
    <w:nsid w:val="2219B3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15">
    <w:nsid w:val="773BFBDD"/>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16">
    <w:nsid w:val="2C7C62C2"/>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abstractNum>
  <w:abstractNum w:abstractNumId="317">
    <w:nsid w:val="1A54D7BC"/>
    <w:multiLevelType w:val="hybridMultilevel"/>
    <w:lvl w:ilvl="0">
      <w:lvlJc w:val="left"/>
      <w:lvlText w:val="(%1)"/>
      <w:numFmt w:val="lowerLetter"/>
      <w:start w:val="5"/>
    </w:lvl>
  </w:abstractNum>
  <w:abstractNum w:abstractNumId="318">
    <w:nsid w:val="42E57EF7"/>
    <w:multiLevelType w:val="hybridMultilevel"/>
    <w:lvl w:ilvl="0">
      <w:lvlJc w:val="left"/>
      <w:lvlText w:val="(%1)"/>
      <w:numFmt w:val="lowerLetter"/>
      <w:start w:val="11"/>
    </w:lvl>
  </w:abstractNum>
  <w:abstractNum w:abstractNumId="319">
    <w:nsid w:val="33537CED"/>
    <w:multiLevelType w:val="hybridMultilevel"/>
    <w:lvl w:ilvl="0">
      <w:lvlJc w:val="left"/>
      <w:lvlText w:val="(%1)"/>
      <w:numFmt w:val="lowerLetter"/>
      <w:start w:val="1"/>
    </w:lvl>
  </w:abstractNum>
  <w:abstractNum w:abstractNumId="320">
    <w:nsid w:val="27514ADE"/>
    <w:multiLevelType w:val="hybridMultilevel"/>
    <w:lvl w:ilvl="0">
      <w:lvlJc w:val="left"/>
      <w:lvlText w:val="(%1)"/>
      <w:numFmt w:val="lowerLetter"/>
      <w:start w:val="1"/>
    </w:lvl>
  </w:abstractNum>
  <w:abstractNum w:abstractNumId="321">
    <w:nsid w:val="57071613"/>
    <w:multiLevelType w:val="hybridMultilevel"/>
    <w:lvl w:ilvl="0">
      <w:lvlJc w:val="left"/>
      <w:lvlText w:val="(%1)"/>
      <w:numFmt w:val="lowerLetter"/>
      <w:start w:val="1"/>
    </w:lvl>
    <w:lvl w:ilvl="1">
      <w:lvlJc w:val="left"/>
      <w:lvlText w:val="(%2)"/>
      <w:numFmt w:val="lowerLetter"/>
      <w:start w:val="9"/>
    </w:lvl>
  </w:abstractNum>
  <w:abstractNum w:abstractNumId="322">
    <w:nsid w:val="5293BFE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23">
    <w:nsid w:val="38BF53E5"/>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324">
    <w:nsid w:val="226F5320"/>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325">
    <w:nsid w:val="5A0201C7"/>
    <w:multiLevelType w:val="hybridMultilevel"/>
    <w:lvl w:ilvl="0">
      <w:lvlJc w:val="left"/>
      <w:lvlText w:val="%1"/>
      <w:numFmt w:val="lowerLetter"/>
      <w:start w:val="1"/>
    </w:lvl>
    <w:lvl w:ilvl="1">
      <w:lvlJc w:val="left"/>
      <w:lvlText w:val="(%2)"/>
      <w:numFmt w:val="lowerLetter"/>
      <w:start w:val="4"/>
    </w:lvl>
  </w:abstractNum>
  <w:abstractNum w:abstractNumId="326">
    <w:nsid w:val="2A9C34E2"/>
    <w:multiLevelType w:val="hybridMultilevel"/>
    <w:lvl w:ilvl="0">
      <w:lvlJc w:val="left"/>
      <w:lvlText w:val="(%1)"/>
      <w:numFmt w:val="lowerLetter"/>
      <w:start w:val="35"/>
    </w:lvl>
    <w:lvl w:ilvl="1">
      <w:lvlJc w:val="left"/>
      <w:lvlText w:val="%2"/>
      <w:numFmt w:val="lowerLetter"/>
      <w:start w:val="1"/>
    </w:lvl>
  </w:abstractNum>
  <w:abstractNum w:abstractNumId="327">
    <w:nsid w:val="1B7585AB"/>
    <w:multiLevelType w:val="hybridMultilevel"/>
    <w:lvl w:ilvl="0">
      <w:lvlJc w:val="left"/>
      <w:lvlText w:val="(%1)"/>
      <w:numFmt w:val="lowerRoman"/>
      <w:start w:val="2"/>
    </w:lvl>
  </w:abstractNum>
  <w:abstractNum w:abstractNumId="328">
    <w:nsid w:val="612DBDDD"/>
    <w:multiLevelType w:val="hybridMultilevel"/>
    <w:lvl w:ilvl="0">
      <w:lvlJc w:val="left"/>
      <w:lvlText w:val="(%1)"/>
      <w:numFmt w:val="lowerLetter"/>
      <w:start w:val="1"/>
    </w:lvl>
  </w:abstractNum>
  <w:abstractNum w:abstractNumId="329">
    <w:nsid w:val="2109CDA4"/>
    <w:multiLevelType w:val="hybridMultilevel"/>
    <w:lvl w:ilvl="0">
      <w:lvlJc w:val="left"/>
      <w:lvlText w:val="(%1)"/>
      <w:numFmt w:val="lowerRoman"/>
      <w:start w:val="2"/>
    </w:lvl>
  </w:abstractNum>
  <w:abstractNum w:abstractNumId="330">
    <w:nsid w:val="577F5A4D"/>
    <w:multiLevelType w:val="hybridMultilevel"/>
    <w:lvl w:ilvl="0">
      <w:lvlJc w:val="left"/>
      <w:lvlText w:val="(%1)"/>
      <w:numFmt w:val="lowerLetter"/>
      <w:start w:val="1"/>
    </w:lvl>
  </w:abstractNum>
  <w:abstractNum w:abstractNumId="331">
    <w:nsid w:val="2121A81"/>
    <w:multiLevelType w:val="hybridMultilevel"/>
    <w:lvl w:ilvl="0">
      <w:lvlJc w:val="left"/>
      <w:lvlText w:val="(%1)"/>
      <w:numFmt w:val="lowerLetter"/>
      <w:start w:val="35"/>
    </w:lvl>
    <w:lvl w:ilvl="1">
      <w:lvlJc w:val="left"/>
      <w:lvlText w:val="(%2)"/>
      <w:numFmt w:val="lowerLetter"/>
      <w:start w:val="3"/>
    </w:lvl>
  </w:abstractNum>
  <w:abstractNum w:abstractNumId="332">
    <w:nsid w:val="6C2CFC88"/>
    <w:multiLevelType w:val="hybridMultilevel"/>
    <w:lvl w:ilvl="0">
      <w:lvlJc w:val="left"/>
      <w:lvlText w:val="(%1)"/>
      <w:numFmt w:val="lowerLetter"/>
      <w:start w:val="1"/>
    </w:lvl>
    <w:lvl w:ilvl="1">
      <w:lvlJc w:val="left"/>
      <w:lvlText w:val="(%2)"/>
      <w:numFmt w:val="lowerRoman"/>
      <w:start w:val="1"/>
    </w:lvl>
  </w:abstractNum>
  <w:abstractNum w:abstractNumId="333">
    <w:nsid w:val="6D1BCF1C"/>
    <w:multiLevelType w:val="hybridMultilevel"/>
    <w:lvl w:ilvl="0">
      <w:lvlJc w:val="left"/>
      <w:lvlText w:val="(%1)"/>
      <w:numFmt w:val="lowerRoman"/>
      <w:start w:val="6"/>
    </w:lvl>
  </w:abstractNum>
  <w:abstractNum w:abstractNumId="334">
    <w:nsid w:val="4CE5CA53"/>
    <w:multiLevelType w:val="hybridMultilevel"/>
    <w:lvl w:ilvl="0">
      <w:lvlJc w:val="left"/>
      <w:lvlText w:val="%1"/>
      <w:numFmt w:val="upperLetter"/>
      <w:start w:val="1"/>
    </w:lvl>
    <w:lvl w:ilvl="1">
      <w:lvlJc w:val="left"/>
      <w:lvlText w:val="(%2)"/>
      <w:numFmt w:val="lowerRoman"/>
      <w:start w:val="11"/>
    </w:lvl>
  </w:abstractNum>
  <w:abstractNum w:abstractNumId="335">
    <w:nsid w:val="29262D1A"/>
    <w:multiLevelType w:val="hybridMultilevel"/>
    <w:lvl w:ilvl="0">
      <w:lvlJc w:val="left"/>
      <w:lvlText w:val="(%1)"/>
      <w:numFmt w:val="upperLetter"/>
      <w:start w:val="3"/>
    </w:lvl>
    <w:lvl w:ilvl="1">
      <w:lvlJc w:val="left"/>
      <w:lvlText w:val="(%2)"/>
      <w:numFmt w:val="lowerRoman"/>
      <w:start w:val="14"/>
    </w:lvl>
  </w:abstractNum>
  <w:abstractNum w:abstractNumId="336">
    <w:nsid w:val="557FB7EE"/>
    <w:multiLevelType w:val="hybridMultilevel"/>
    <w:lvl w:ilvl="0">
      <w:lvlJc w:val="left"/>
      <w:lvlText w:val="%1"/>
      <w:numFmt w:val="upperLetter"/>
      <w:start w:val="1"/>
    </w:lvl>
    <w:lvl w:ilvl="1">
      <w:lvlJc w:val="left"/>
      <w:lvlText w:val="(%2)"/>
      <w:numFmt w:val="lowerRoman"/>
      <w:start w:val="21"/>
    </w:lvl>
  </w:abstractNum>
  <w:abstractNum w:abstractNumId="337">
    <w:nsid w:val="436F2BEB"/>
    <w:multiLevelType w:val="hybridMultilevel"/>
    <w:lvl w:ilvl="0">
      <w:lvlJc w:val="left"/>
      <w:lvlText w:val="(%1)"/>
      <w:numFmt w:val="upperLetter"/>
      <w:start w:val="2"/>
    </w:lvl>
    <w:lvl w:ilvl="1">
      <w:lvlJc w:val="left"/>
      <w:lvlText w:val="(%2)"/>
      <w:numFmt w:val="lowerRoman"/>
      <w:start w:val="23"/>
    </w:lvl>
  </w:abstractNum>
  <w:abstractNum w:abstractNumId="338">
    <w:nsid w:val="6C8B4466"/>
    <w:multiLevelType w:val="hybridMultilevel"/>
    <w:lvl w:ilvl="0">
      <w:lvlJc w:val="left"/>
      <w:lvlText w:val="%1"/>
      <w:numFmt w:val="lowerRoman"/>
      <w:start w:val="1"/>
    </w:lvl>
    <w:lvl w:ilvl="1">
      <w:lvlJc w:val="left"/>
      <w:lvlText w:val="(%2)"/>
      <w:numFmt w:val="lowerLetter"/>
      <w:start w:val="1"/>
    </w:lvl>
  </w:abstractNum>
  <w:abstractNum w:abstractNumId="339">
    <w:nsid w:val="2006E424"/>
    <w:multiLevelType w:val="hybridMultilevel"/>
    <w:lvl w:ilvl="0">
      <w:lvlJc w:val="left"/>
      <w:lvlText w:val="(%1)"/>
      <w:numFmt w:val="lowerRoman"/>
      <w:start w:val="4"/>
    </w:lvl>
    <w:lvl w:ilvl="1">
      <w:lvlJc w:val="left"/>
      <w:lvlText w:val="(%2)"/>
      <w:numFmt w:val="lowerLetter"/>
      <w:start w:val="2"/>
    </w:lvl>
  </w:abstractNum>
  <w:abstractNum w:abstractNumId="340">
    <w:nsid w:val="20CC134C"/>
    <w:multiLevelType w:val="hybridMultilevel"/>
    <w:lvl w:ilvl="0">
      <w:lvlJc w:val="left"/>
      <w:lvlText w:val="(%1)"/>
      <w:numFmt w:val="lowerRoman"/>
      <w:start w:val="1"/>
    </w:lvl>
    <w:lvl w:ilvl="1">
      <w:lvlJc w:val="left"/>
      <w:lvlText w:val="%2"/>
      <w:numFmt w:val="lowerLetter"/>
      <w:start w:val="1"/>
    </w:lvl>
  </w:abstractNum>
  <w:abstractNum w:abstractNumId="341">
    <w:nsid w:val="95FC93B"/>
    <w:multiLevelType w:val="hybridMultilevel"/>
    <w:lvl w:ilvl="0">
      <w:lvlJc w:val="left"/>
      <w:lvlText w:val="(%1)"/>
      <w:numFmt w:val="lowerLetter"/>
      <w:start w:val="61"/>
    </w:lvl>
    <w:lvl w:ilvl="1">
      <w:lvlJc w:val="left"/>
      <w:lvlText w:val="(%2)"/>
      <w:numFmt w:val="lowerLetter"/>
      <w:start w:val="3"/>
    </w:lvl>
  </w:abstractNum>
  <w:abstractNum w:abstractNumId="342">
    <w:nsid w:val="41D74679"/>
    <w:multiLevelType w:val="hybridMultilevel"/>
    <w:lvl w:ilvl="0">
      <w:lvlJc w:val="left"/>
      <w:lvlText w:val="(%1)"/>
      <w:numFmt w:val="lowerLetter"/>
      <w:start w:val="5"/>
    </w:lvl>
    <w:lvl w:ilvl="1">
      <w:lvlJc w:val="left"/>
      <w:lvlText w:val="(%2)"/>
      <w:numFmt w:val="lowerRoman"/>
      <w:start w:val="1"/>
    </w:lvl>
  </w:abstractNum>
  <w:abstractNum w:abstractNumId="343">
    <w:nsid w:val="71E5621E"/>
    <w:multiLevelType w:val="hybridMultilevel"/>
    <w:lvl w:ilvl="0">
      <w:lvlJc w:val="left"/>
      <w:lvlText w:val="(%1)"/>
      <w:numFmt w:val="lowerLetter"/>
      <w:start w:val="1"/>
    </w:lvl>
    <w:lvl w:ilvl="1">
      <w:lvlJc w:val="left"/>
      <w:lvlText w:val="(%2)"/>
      <w:numFmt w:val="lowerRoman"/>
      <w:start w:val="1"/>
    </w:lvl>
  </w:abstractNum>
  <w:abstractNum w:abstractNumId="344">
    <w:nsid w:val="4E42B6A8"/>
    <w:multiLevelType w:val="hybridMultilevel"/>
    <w:lvl w:ilvl="0">
      <w:lvlJc w:val="left"/>
      <w:lvlText w:val="(%1)"/>
      <w:numFmt w:val="lowerRoman"/>
      <w:start w:val="6"/>
    </w:lvl>
  </w:abstractNum>
  <w:abstractNum w:abstractNumId="345">
    <w:nsid w:val="43F8E1AC"/>
    <w:multiLevelType w:val="hybridMultilevel"/>
    <w:lvl w:ilvl="0">
      <w:lvlJc w:val="left"/>
      <w:lvlText w:val="%1"/>
      <w:numFmt w:val="lowerLetter"/>
      <w:start w:val="1"/>
    </w:lvl>
    <w:lvl w:ilvl="1">
      <w:lvlJc w:val="left"/>
      <w:lvlText w:val="(%2)"/>
      <w:numFmt w:val="lowerLetter"/>
      <w:start w:val="2"/>
    </w:lvl>
  </w:abstractNum>
  <w:abstractNum w:abstractNumId="346">
    <w:nsid w:val="69215DFB"/>
    <w:multiLevelType w:val="hybridMultilevel"/>
    <w:lvl w:ilvl="0">
      <w:lvlJc w:val="left"/>
      <w:lvlText w:val="(%1)"/>
      <w:numFmt w:val="lowerLetter"/>
      <w:start w:val="9"/>
    </w:lvl>
    <w:lvl w:ilvl="1">
      <w:lvlJc w:val="left"/>
      <w:lvlText w:val="(%2)"/>
      <w:numFmt w:val="lowerLetter"/>
      <w:start w:val="5"/>
    </w:lvl>
  </w:abstractNum>
  <w:abstractNum w:abstractNumId="347">
    <w:nsid w:val="7ABF196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48">
    <w:nsid w:val="5E4DB96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349">
    <w:nsid w:val="2C06DCF3"/>
    <w:multiLevelType w:val="hybridMultilevel"/>
    <w:lvl w:ilvl="0">
      <w:lvlJc w:val="left"/>
      <w:lvlText w:val="(%1)"/>
      <w:numFmt w:val="lowerRoman"/>
      <w:start w:val="7"/>
    </w:lvl>
  </w:abstractNum>
  <w:abstractNum w:abstractNumId="350">
    <w:nsid w:val="2E129658"/>
    <w:multiLevelType w:val="hybridMultilevel"/>
    <w:lvl w:ilvl="0">
      <w:lvlJc w:val="left"/>
      <w:lvlText w:val="%1"/>
      <w:numFmt w:val="lowerRoman"/>
      <w:start w:val="1"/>
    </w:lvl>
    <w:lvl w:ilvl="1">
      <w:lvlJc w:val="left"/>
      <w:lvlText w:val="(%2)"/>
      <w:numFmt w:val="lowerLetter"/>
      <w:start w:val="1"/>
    </w:lvl>
  </w:abstractNum>
  <w:abstractNum w:abstractNumId="351">
    <w:nsid w:val="59F0446"/>
    <w:multiLevelType w:val="hybridMultilevel"/>
    <w:lvl w:ilvl="0">
      <w:lvlJc w:val="left"/>
      <w:lvlText w:val="(%1)"/>
      <w:numFmt w:val="lowerRoman"/>
      <w:start w:val="6"/>
    </w:lvl>
    <w:lvl w:ilvl="1">
      <w:lvlJc w:val="left"/>
      <w:lvlText w:val="(%2)"/>
      <w:numFmt w:val="lowerLetter"/>
      <w:start w:val="2"/>
    </w:lvl>
  </w:abstractNum>
  <w:abstractNum w:abstractNumId="352">
    <w:nsid w:val="30DF306"/>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53">
    <w:nsid w:val="A6564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54">
    <w:nsid w:val="3E5E582B"/>
    <w:multiLevelType w:val="hybridMultilevel"/>
    <w:lvl w:ilvl="0">
      <w:lvlJc w:val="left"/>
      <w:lvlText w:val="(%1)"/>
      <w:numFmt w:val="lowerLetter"/>
      <w:start w:val="1"/>
    </w:lvl>
  </w:abstractNum>
  <w:abstractNum w:abstractNumId="355">
    <w:nsid w:val="257D4626"/>
    <w:multiLevelType w:val="hybridMultilevel"/>
    <w:lvl w:ilvl="0">
      <w:lvlJc w:val="left"/>
      <w:lvlText w:val="(%1)"/>
      <w:numFmt w:val="lowerLetter"/>
      <w:start w:val="2"/>
    </w:lvl>
  </w:abstractNum>
  <w:abstractNum w:abstractNumId="356">
    <w:nsid w:val="5AA8580E"/>
    <w:multiLevelType w:val="hybridMultilevel"/>
    <w:lvl w:ilvl="0">
      <w:lvlJc w:val="left"/>
      <w:lvlText w:val="(%1)"/>
      <w:numFmt w:val="lowerLetter"/>
      <w:start w:val="1"/>
    </w:lvl>
  </w:abstractNum>
  <w:abstractNum w:abstractNumId="357">
    <w:nsid w:val="68FA8D0D"/>
    <w:multiLevelType w:val="hybridMultilevel"/>
    <w:lvl w:ilvl="0">
      <w:lvlJc w:val="left"/>
      <w:lvlText w:val="(%1)"/>
      <w:numFmt w:val="lowerLetter"/>
      <w:start w:val="1"/>
    </w:lvl>
  </w:abstractNum>
  <w:abstractNum w:abstractNumId="358">
    <w:nsid w:val="40F2CBD2"/>
    <w:multiLevelType w:val="hybridMultilevel"/>
    <w:lvl w:ilvl="0">
      <w:lvlJc w:val="left"/>
      <w:lvlText w:val="%1"/>
      <w:numFmt w:val="lowerLetter"/>
      <w:start w:val="1"/>
    </w:lvl>
    <w:lvl w:ilvl="1">
      <w:lvlJc w:val="left"/>
      <w:lvlText w:val="(%2)"/>
      <w:numFmt w:val="lowerLetter"/>
      <w:start w:val="2"/>
    </w:lvl>
  </w:abstractNum>
  <w:abstractNum w:abstractNumId="359">
    <w:nsid w:val="3BD615EB"/>
    <w:multiLevelType w:val="hybridMultilevel"/>
    <w:lvl w:ilvl="0">
      <w:lvlJc w:val="left"/>
      <w:lvlText w:val="(%1)"/>
      <w:numFmt w:val="lowerLetter"/>
      <w:start w:val="9"/>
    </w:lvl>
    <w:lvl w:ilvl="1">
      <w:lvlJc w:val="left"/>
      <w:lvlText w:val="(%2)"/>
      <w:numFmt w:val="lowerLetter"/>
      <w:start w:val="3"/>
    </w:lvl>
  </w:abstractNum>
  <w:abstractNum w:abstractNumId="360">
    <w:nsid w:val="A045AB2"/>
    <w:multiLevelType w:val="hybridMultilevel"/>
    <w:lvl w:ilvl="0">
      <w:lvlJc w:val="left"/>
      <w:lvlText w:val="(%1)"/>
      <w:numFmt w:val="lowerLetter"/>
      <w:start w:val="35"/>
    </w:lvl>
    <w:lvl w:ilvl="1">
      <w:lvlJc w:val="left"/>
      <w:lvlText w:val="%2"/>
      <w:numFmt w:val="lowerLetter"/>
      <w:start w:val="1"/>
    </w:lvl>
  </w:abstractNum>
  <w:abstractNum w:abstractNumId="361">
    <w:nsid w:val="1872261F"/>
    <w:multiLevelType w:val="hybridMultilevel"/>
    <w:lvl w:ilvl="0">
      <w:lvlJc w:val="left"/>
      <w:lvlText w:val="(%1)"/>
      <w:numFmt w:val="lowerLetter"/>
      <w:start w:val="5"/>
    </w:lvl>
  </w:abstractNum>
  <w:abstractNum w:abstractNumId="362">
    <w:nsid w:val="3DE8306C"/>
    <w:multiLevelType w:val="hybridMultilevel"/>
    <w:lvl w:ilvl="0">
      <w:lvlJc w:val="left"/>
      <w:lvlText w:val="(%1)"/>
      <w:numFmt w:val="lowerLetter"/>
      <w:start w:val="1"/>
    </w:lvl>
  </w:abstractNum>
  <w:abstractNum w:abstractNumId="363">
    <w:nsid w:val="7631573A"/>
    <w:multiLevelType w:val="hybridMultilevel"/>
    <w:lvl w:ilvl="0">
      <w:lvlJc w:val="left"/>
      <w:lvlText w:val="(%1)"/>
      <w:numFmt w:val="lowerRoman"/>
      <w:start w:val="1"/>
    </w:lvl>
  </w:abstractNum>
  <w:abstractNum w:abstractNumId="364">
    <w:nsid w:val="58DF53B"/>
    <w:multiLevelType w:val="hybridMultilevel"/>
    <w:lvl w:ilvl="0">
      <w:lvlJc w:val="left"/>
      <w:lvlText w:val="%1"/>
      <w:numFmt w:val="decimal"/>
      <w:start w:val="1"/>
    </w:lvl>
    <w:lvl w:ilvl="1">
      <w:lvlJc w:val="left"/>
      <w:lvlText w:val="(%2)"/>
      <w:numFmt w:val="lowerLetter"/>
      <w:start w:val="3"/>
    </w:lvl>
  </w:abstractNum>
  <w:abstractNum w:abstractNumId="365">
    <w:nsid w:val="ACDFAC0"/>
    <w:multiLevelType w:val="hybridMultilevel"/>
    <w:lvl w:ilvl="0">
      <w:lvlJc w:val="left"/>
      <w:lvlText w:val="(%1)"/>
      <w:numFmt w:val="decimal"/>
      <w:start w:val="2"/>
    </w:lvl>
    <w:lvl w:ilvl="1">
      <w:lvlJc w:val="left"/>
      <w:lvlText w:val="(%2)"/>
      <w:numFmt w:val="lowerLetter"/>
      <w:start w:val="4"/>
    </w:lvl>
  </w:abstractNum>
  <w:abstractNum w:abstractNumId="366">
    <w:nsid w:val="1F578454"/>
    <w:multiLevelType w:val="hybridMultilevel"/>
    <w:lvl w:ilvl="0">
      <w:lvlJc w:val="left"/>
      <w:lvlText w:val="%1"/>
      <w:numFmt w:val="lowerLetter"/>
      <w:start w:val="1"/>
    </w:lvl>
    <w:lvl w:ilvl="1">
      <w:lvlJc w:val="left"/>
      <w:lvlText w:val="(%2)"/>
      <w:numFmt w:val="lowerLetter"/>
      <w:start w:val="1"/>
    </w:lvl>
  </w:abstractNum>
  <w:abstractNum w:abstractNumId="367">
    <w:nsid w:val="5B0DAD2A"/>
    <w:multiLevelType w:val="hybridMultilevel"/>
    <w:lvl w:ilvl="0">
      <w:lvlJc w:val="left"/>
      <w:lvlText w:val="(%1)"/>
      <w:numFmt w:val="lowerLetter"/>
      <w:start w:val="9"/>
    </w:lvl>
    <w:lvl w:ilvl="1">
      <w:lvlJc w:val="left"/>
      <w:lvlText w:val="%2"/>
      <w:numFmt w:val="lowerLetter"/>
      <w:start w:val="1"/>
    </w:lvl>
  </w:abstractNum>
  <w:abstractNum w:abstractNumId="368">
    <w:nsid w:val="4E3D26AB"/>
    <w:multiLevelType w:val="hybridMultilevel"/>
    <w:lvl w:ilvl="0">
      <w:lvlJc w:val="left"/>
      <w:lvlText w:val="(%1)"/>
      <w:numFmt w:val="lowerLetter"/>
      <w:start w:val="3"/>
    </w:lvl>
  </w:abstractNum>
  <w:abstractNum w:abstractNumId="369">
    <w:nsid w:val="BE2C8BA"/>
    <w:multiLevelType w:val="hybridMultilevel"/>
    <w:lvl w:ilvl="0">
      <w:lvlJc w:val="left"/>
      <w:lvlText w:val="(%1)"/>
      <w:numFmt w:val="lowerLetter"/>
      <w:start w:val="1"/>
    </w:lvl>
  </w:abstractNum>
  <w:abstractNum w:abstractNumId="370">
    <w:nsid w:val="7B14914E"/>
    <w:multiLevelType w:val="hybridMultilevel"/>
    <w:lvl w:ilvl="0">
      <w:lvlJc w:val="left"/>
      <w:lvlText w:val="(%1)"/>
      <w:numFmt w:val="lowerLetter"/>
      <w:start w:val="1"/>
    </w:lvl>
  </w:abstractNum>
  <w:abstractNum w:abstractNumId="371">
    <w:nsid w:val="6F0939F8"/>
    <w:multiLevelType w:val="hybridMultilevel"/>
    <w:lvl w:ilvl="0">
      <w:lvlJc w:val="left"/>
      <w:lvlText w:val="%1"/>
      <w:numFmt w:val="lowerLetter"/>
      <w:start w:val="1"/>
    </w:lvl>
    <w:lvl w:ilvl="1">
      <w:lvlJc w:val="left"/>
      <w:lvlText w:val="(%2)"/>
      <w:numFmt w:val="lowerLetter"/>
      <w:start w:val="2"/>
    </w:lvl>
  </w:abstractNum>
  <w:abstractNum w:abstractNumId="372">
    <w:nsid w:val="154291F6"/>
    <w:multiLevelType w:val="hybridMultilevel"/>
    <w:lvl w:ilvl="0">
      <w:lvlJc w:val="left"/>
      <w:lvlText w:val="(%1)"/>
      <w:numFmt w:val="lowerLetter"/>
      <w:start w:val="35"/>
    </w:lvl>
    <w:lvl w:ilvl="1">
      <w:lvlJc w:val="left"/>
      <w:lvlText w:val="%2"/>
      <w:numFmt w:val="lowerLetter"/>
      <w:start w:val="1"/>
    </w:lvl>
  </w:abstractNum>
  <w:abstractNum w:abstractNumId="373">
    <w:nsid w:val="3CEBD7C7"/>
    <w:multiLevelType w:val="hybridMultilevel"/>
    <w:lvl w:ilvl="0">
      <w:lvlJc w:val="left"/>
      <w:lvlText w:val="%1"/>
      <w:numFmt w:val="lowerLetter"/>
      <w:start w:val="1"/>
    </w:lvl>
    <w:lvl w:ilvl="1">
      <w:lvlJc w:val="left"/>
      <w:lvlText w:val="(%2)"/>
      <w:numFmt w:val="lowerLetter"/>
      <w:start w:val="1"/>
    </w:lvl>
  </w:abstractNum>
  <w:abstractNum w:abstractNumId="374">
    <w:nsid w:val="60EE9C16"/>
    <w:multiLevelType w:val="hybridMultilevel"/>
    <w:lvl w:ilvl="0">
      <w:lvlJc w:val="left"/>
      <w:lvlText w:val="(%1)"/>
      <w:numFmt w:val="lowerLetter"/>
      <w:start w:val="61"/>
    </w:lvl>
    <w:lvl w:ilvl="1">
      <w:lvlJc w:val="left"/>
      <w:lvlText w:val="%2"/>
      <w:numFmt w:val="lowerLetter"/>
      <w:start w:val="1"/>
    </w:lvl>
  </w:abstractNum>
  <w:abstractNum w:abstractNumId="375">
    <w:nsid w:val="6385489E"/>
    <w:multiLevelType w:val="hybridMultilevel"/>
    <w:lvl w:ilvl="0">
      <w:lvlJc w:val="left"/>
      <w:lvlText w:val="(%1)"/>
      <w:numFmt w:val="lowerLetter"/>
      <w:start w:val="2"/>
    </w:lvl>
  </w:abstractNum>
  <w:abstractNum w:abstractNumId="376">
    <w:nsid w:val="E4B973"/>
    <w:multiLevelType w:val="hybridMultilevel"/>
    <w:lvl w:ilvl="0">
      <w:lvlJc w:val="left"/>
      <w:lvlText w:val="(%1)"/>
      <w:numFmt w:val="lowerLetter"/>
      <w:start w:val="5"/>
    </w:lvl>
  </w:abstractNum>
  <w:abstractNum w:abstractNumId="377">
    <w:nsid w:val="4A0FFA11"/>
    <w:multiLevelType w:val="hybridMultilevel"/>
    <w:lvl w:ilvl="0">
      <w:lvlJc w:val="left"/>
      <w:lvlText w:val="(%1)"/>
      <w:numFmt w:val="lowerLetter"/>
      <w:start w:val="1"/>
    </w:lvl>
  </w:abstractNum>
  <w:abstractNum w:abstractNumId="378">
    <w:nsid w:val="5E446208"/>
    <w:multiLevelType w:val="hybridMultilevel"/>
    <w:lvl w:ilvl="0">
      <w:lvlJc w:val="left"/>
      <w:lvlText w:val="%1"/>
      <w:numFmt w:val="lowerRoman"/>
      <w:start w:val="1"/>
    </w:lvl>
    <w:lvl w:ilvl="1">
      <w:lvlJc w:val="left"/>
      <w:lvlText w:val="(%2)"/>
      <w:numFmt w:val="lowerLetter"/>
      <w:start w:val="1"/>
    </w:lvl>
  </w:abstractNum>
  <w:abstractNum w:abstractNumId="379">
    <w:nsid w:val="5F3272DB"/>
    <w:multiLevelType w:val="hybridMultilevel"/>
    <w:lvl w:ilvl="0">
      <w:lvlJc w:val="left"/>
      <w:lvlText w:val="(%1)"/>
      <w:numFmt w:val="lowerRoman"/>
      <w:start w:val="4"/>
    </w:lvl>
    <w:lvl w:ilvl="1">
      <w:lvlJc w:val="left"/>
      <w:lvlText w:val="%2"/>
      <w:numFmt w:val="lowerLetter"/>
      <w:start w:val="1"/>
    </w:lvl>
  </w:abstractNum>
  <w:abstractNum w:abstractNumId="380">
    <w:nsid w:val="7616D704"/>
    <w:multiLevelType w:val="hybridMultilevel"/>
    <w:lvl w:ilvl="0">
      <w:lvlJc w:val="left"/>
      <w:lvlText w:val="(%1)"/>
      <w:numFmt w:val="lowerLetter"/>
      <w:start w:val="1"/>
    </w:lvl>
  </w:abstractNum>
  <w:abstractNum w:abstractNumId="381">
    <w:nsid w:val="C56F860"/>
    <w:multiLevelType w:val="hybridMultilevel"/>
    <w:lvl w:ilvl="0">
      <w:lvlJc w:val="left"/>
      <w:lvlText w:val="(%1)"/>
      <w:numFmt w:val="lowerLetter"/>
      <w:start w:val="1"/>
    </w:lvl>
  </w:abstractNum>
  <w:abstractNum w:abstractNumId="382">
    <w:nsid w:val="64D17722"/>
    <w:multiLevelType w:val="hybridMultilevel"/>
    <w:lvl w:ilvl="0">
      <w:lvlJc w:val="left"/>
      <w:lvlText w:val="(%1)"/>
      <w:numFmt w:val="lowerLetter"/>
      <w:start w:val="2"/>
    </w:lvl>
  </w:abstractNum>
  <w:abstractNum w:abstractNumId="383">
    <w:nsid w:val="7924CA0A"/>
    <w:multiLevelType w:val="hybridMultilevel"/>
    <w:lvl w:ilvl="0">
      <w:lvlJc w:val="left"/>
      <w:lvlText w:val="%1"/>
      <w:numFmt w:val="lowerLetter"/>
      <w:start w:val="1"/>
    </w:lvl>
    <w:lvl w:ilvl="1">
      <w:lvlJc w:val="left"/>
      <w:lvlText w:val="(%2)"/>
      <w:numFmt w:val="lowerLetter"/>
      <w:start w:val="1"/>
    </w:lvl>
  </w:abstractNum>
  <w:abstractNum w:abstractNumId="384">
    <w:nsid w:val="CFD4EA7"/>
    <w:multiLevelType w:val="hybridMultilevel"/>
    <w:lvl w:ilvl="0">
      <w:lvlJc w:val="left"/>
      <w:lvlText w:val="(%1)"/>
      <w:numFmt w:val="lowerLetter"/>
      <w:start w:val="61"/>
    </w:lvl>
    <w:lvl w:ilvl="1">
      <w:lvlJc w:val="left"/>
      <w:lvlText w:val="(%2)"/>
      <w:numFmt w:val="lowerLetter"/>
      <w:start w:val="2"/>
    </w:lvl>
  </w:abstractNum>
  <w:abstractNum w:abstractNumId="385">
    <w:nsid w:val="232FCF4D"/>
    <w:multiLevelType w:val="hybridMultilevel"/>
    <w:lvl w:ilvl="0">
      <w:lvlJc w:val="left"/>
      <w:lvlText w:val="(%1)"/>
      <w:numFmt w:val="lowerLetter"/>
      <w:start w:val="4"/>
    </w:lvl>
  </w:abstractNum>
  <w:abstractNum w:abstractNumId="386">
    <w:nsid w:val="1EA21031"/>
    <w:multiLevelType w:val="hybridMultilevel"/>
    <w:lvl w:ilvl="0">
      <w:lvlJc w:val="left"/>
      <w:lvlText w:val="(%1)"/>
      <w:numFmt w:val="lowerLetter"/>
      <w:start w:val="1"/>
    </w:lvl>
  </w:abstractNum>
  <w:abstractNum w:abstractNumId="387">
    <w:nsid w:val="67A5A6B5"/>
    <w:multiLevelType w:val="hybridMultilevel"/>
    <w:lvl w:ilvl="0">
      <w:lvlJc w:val="left"/>
      <w:lvlText w:val="(%1)"/>
      <w:numFmt w:val="lowerLetter"/>
      <w:start w:val="1"/>
    </w:lvl>
  </w:abstractNum>
  <w:abstractNum w:abstractNumId="388">
    <w:nsid w:val="C2A5C5B"/>
    <w:multiLevelType w:val="hybridMultilevel"/>
    <w:lvl w:ilvl="0">
      <w:lvlJc w:val="left"/>
      <w:lvlText w:val="(%1)"/>
      <w:numFmt w:val="lowerLetter"/>
      <w:start w:val="1"/>
    </w:lvl>
  </w:abstractNum>
  <w:abstractNum w:abstractNumId="389">
    <w:nsid w:val="5F94DC03"/>
    <w:multiLevelType w:val="hybridMultilevel"/>
    <w:lvl w:ilvl="0">
      <w:lvlJc w:val="left"/>
      <w:lvlText w:val="(%1)"/>
      <w:numFmt w:val="lowerLetter"/>
      <w:start w:val="1"/>
    </w:lvl>
    <w:lvl w:ilvl="1">
      <w:lvlJc w:val="left"/>
      <w:lvlText w:val="(%2)"/>
      <w:numFmt w:val="lowerLetter"/>
      <w:start w:val="9"/>
    </w:lvl>
  </w:abstractNum>
  <w:abstractNum w:abstractNumId="390">
    <w:nsid w:val="237BBCA0"/>
    <w:multiLevelType w:val="hybridMultilevel"/>
    <w:lvl w:ilvl="0">
      <w:lvlJc w:val="left"/>
      <w:lvlText w:val="(%1)"/>
      <w:numFmt w:val="lowerRoman"/>
      <w:start w:val="2"/>
    </w:lvl>
  </w:abstractNum>
  <w:abstractNum w:abstractNumId="391">
    <w:nsid w:val="162EB70D"/>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92">
    <w:nsid w:val="78070222"/>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93">
    <w:nsid w:val="6163ED0D"/>
    <w:multiLevelType w:val="hybridMultilevel"/>
    <w:lvl w:ilvl="0">
      <w:lvlJc w:val="left"/>
      <w:lvlText w:val="(%1)"/>
      <w:numFmt w:val="lowerRoman"/>
      <w:start w:val="4"/>
    </w:lvl>
  </w:abstractNum>
  <w:abstractNum w:abstractNumId="394">
    <w:nsid w:val="C600E47"/>
    <w:multiLevelType w:val="hybridMultilevel"/>
    <w:lvl w:ilvl="0">
      <w:lvlJc w:val="left"/>
      <w:lvlText w:val="(%1)"/>
      <w:numFmt w:val="lowerLetter"/>
      <w:start w:val="3"/>
    </w:lvl>
  </w:abstractNum>
  <w:abstractNum w:abstractNumId="395">
    <w:nsid w:val="7D94F75D"/>
    <w:multiLevelType w:val="hybridMultilevel"/>
    <w:lvl w:ilvl="0">
      <w:lvlJc w:val="left"/>
      <w:lvlText w:val="(%1)"/>
      <w:numFmt w:val="lowerLetter"/>
      <w:start w:val="35"/>
    </w:lvl>
    <w:lvl w:ilvl="1">
      <w:lvlJc w:val="left"/>
      <w:lvlText w:val="(%2)"/>
      <w:numFmt w:val="lowerLetter"/>
      <w:start w:val="4"/>
    </w:lvl>
  </w:abstractNum>
  <w:abstractNum w:abstractNumId="396">
    <w:nsid w:val="6C31E7CD"/>
    <w:multiLevelType w:val="hybridMultilevel"/>
    <w:lvl w:ilvl="0">
      <w:lvlJc w:val="left"/>
      <w:lvlText w:val="%1"/>
      <w:numFmt w:val="upperLetter"/>
      <w:start w:val="1"/>
    </w:lvl>
    <w:lvl w:ilvl="1">
      <w:lvlJc w:val="left"/>
      <w:lvlText w:val="(%2)"/>
      <w:numFmt w:val="lowerLetter"/>
      <w:start w:val="1"/>
    </w:lvl>
  </w:abstractNum>
  <w:abstractNum w:abstractNumId="397">
    <w:nsid w:val="2BB7929B"/>
    <w:multiLevelType w:val="hybridMultilevel"/>
    <w:lvl w:ilvl="0">
      <w:lvlJc w:val="left"/>
      <w:lvlText w:val="(%1)"/>
      <w:numFmt w:val="lowerLetter"/>
      <w:start w:val="1"/>
    </w:lvl>
  </w:abstractNum>
  <w:abstractNum w:abstractNumId="398">
    <w:nsid w:val="58A2A487"/>
    <w:multiLevelType w:val="hybridMultilevel"/>
    <w:lvl w:ilvl="0">
      <w:lvlJc w:val="left"/>
      <w:lvlText w:val="(%1)"/>
      <w:numFmt w:val="lowerLetter"/>
      <w:start w:val="1"/>
    </w:lvl>
  </w:abstractNum>
  <w:abstractNum w:abstractNumId="399">
    <w:nsid w:val="3A6F0E78"/>
    <w:multiLevelType w:val="hybridMultilevel"/>
    <w:lvl w:ilvl="0">
      <w:lvlJc w:val="left"/>
      <w:lvlText w:val="(%1)"/>
      <w:numFmt w:val="lowerLetter"/>
      <w:start w:val="2"/>
    </w:lvl>
  </w:abstractNum>
  <w:abstractNum w:abstractNumId="400">
    <w:nsid w:val="379A5B56"/>
    <w:multiLevelType w:val="hybridMultilevel"/>
    <w:lvl w:ilvl="0">
      <w:lvlJc w:val="left"/>
      <w:lvlText w:val="(%1)"/>
      <w:numFmt w:val="lowerLetter"/>
      <w:start w:val="1"/>
    </w:lvl>
  </w:abstractNum>
  <w:abstractNum w:abstractNumId="401">
    <w:nsid w:val="53B735D5"/>
    <w:multiLevelType w:val="hybridMultilevel"/>
    <w:lvl w:ilvl="0">
      <w:lvlJc w:val="left"/>
      <w:lvlText w:val="(%1)"/>
      <w:numFmt w:val="lowerRoman"/>
      <w:start w:val="7"/>
    </w:lvl>
  </w:abstractNum>
  <w:abstractNum w:abstractNumId="402">
    <w:nsid w:val="29784870"/>
    <w:multiLevelType w:val="hybridMultilevel"/>
    <w:lvl w:ilvl="0">
      <w:lvlJc w:val="left"/>
      <w:lvlText w:val="(%1)"/>
      <w:numFmt w:val="decimal"/>
      <w:start w:val="1"/>
    </w:lvl>
  </w:abstractNum>
  <w:abstractNum w:abstractNumId="403">
    <w:nsid w:val="4CDCED4C"/>
    <w:multiLevelType w:val="hybridMultilevel"/>
    <w:lvl w:ilvl="0">
      <w:lvlJc w:val="left"/>
      <w:lvlText w:val="(%1)"/>
      <w:numFmt w:val="decimal"/>
      <w:start w:val="11"/>
    </w:lvl>
  </w:abstractNum>
  <w:abstractNum w:abstractNumId="404">
    <w:nsid w:val="10A30D9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5">
    <w:nsid w:val="A66E486"/>
    <w:multiLevelType w:val="hybridMultilevel"/>
    <w:lvl w:ilvl="0">
      <w:lvlJc w:val="left"/>
      <w:lvlText w:val="(%1)"/>
      <w:numFmt w:val="lowerLetter"/>
      <w:start w:val="4"/>
    </w:lvl>
    <w:lvl w:ilvl="1">
      <w:lvlJc w:val="left"/>
      <w:lvlText w:val="(%2)"/>
      <w:numFmt w:val="decimal"/>
      <w:start w:val="1"/>
    </w:lvl>
  </w:abstractNum>
  <w:abstractNum w:abstractNumId="406">
    <w:nsid w:val="306235EA"/>
    <w:multiLevelType w:val="hybridMultilevel"/>
    <w:lvl w:ilvl="0">
      <w:lvlJc w:val="left"/>
      <w:lvlText w:val="(%1)"/>
      <w:numFmt w:val="lowerLetter"/>
      <w:start w:val="4"/>
    </w:lvl>
  </w:abstractNum>
  <w:abstractNum w:abstractNumId="407">
    <w:nsid w:val="1187C70F"/>
    <w:multiLevelType w:val="hybridMultilevel"/>
    <w:lvl w:ilvl="0">
      <w:lvlJc w:val="left"/>
      <w:lvlText w:val="(%1)"/>
      <w:numFmt w:val="lowerLetter"/>
      <w:start w:val="6"/>
    </w:lvl>
  </w:abstractNum>
  <w:abstractNum w:abstractNumId="408">
    <w:nsid w:val="5476DE98"/>
    <w:multiLevelType w:val="hybridMultilevel"/>
    <w:lvl w:ilvl="0">
      <w:lvlJc w:val="left"/>
      <w:lvlText w:val="(%1)"/>
      <w:numFmt w:val="lowerLetter"/>
      <w:start w:val="9"/>
    </w:lvl>
  </w:abstractNum>
  <w:abstractNum w:abstractNumId="409">
    <w:nsid w:val="EA697F2"/>
    <w:multiLevelType w:val="hybridMultilevel"/>
    <w:lvl w:ilvl="0">
      <w:lvlJc w:val="left"/>
      <w:lvlText w:val="(%1)"/>
      <w:numFmt w:val="lowerLetter"/>
      <w:start w:val="1"/>
    </w:lvl>
  </w:abstractNum>
  <w:abstractNum w:abstractNumId="410">
    <w:nsid w:val="70BA39EB"/>
    <w:multiLevelType w:val="hybridMultilevel"/>
    <w:lvl w:ilvl="0">
      <w:lvlJc w:val="left"/>
      <w:lvlText w:val="(%1)"/>
      <w:numFmt w:val="lowerLetter"/>
      <w:start w:val="2"/>
    </w:lvl>
  </w:abstractNum>
  <w:abstractNum w:abstractNumId="411">
    <w:nsid w:val="4A8DB59C"/>
    <w:multiLevelType w:val="hybridMultilevel"/>
    <w:lvl w:ilvl="0">
      <w:lvlJc w:val="left"/>
      <w:lvlText w:val="1"/>
      <w:numFmt w:val="bullet"/>
      <w:start w:val="1"/>
    </w:lvl>
  </w:abstractNum>
  <w:abstractNum w:abstractNumId="412">
    <w:nsid w:val="1AFD9053"/>
    <w:multiLevelType w:val="hybridMultilevel"/>
    <w:lvl w:ilvl="0">
      <w:lvlJc w:val="left"/>
      <w:lvlText w:val="2"/>
      <w:numFmt w:val="bullet"/>
      <w:start w:val="1"/>
    </w:lvl>
  </w:abstractNum>
  <w:abstractNum w:abstractNumId="413">
    <w:nsid w:val="558BB10D"/>
    <w:multiLevelType w:val="hybridMultilevel"/>
    <w:lvl w:ilvl="0">
      <w:lvlJc w:val="left"/>
      <w:lvlText w:val="(%1)"/>
      <w:numFmt w:val="lowerRoman"/>
      <w:start w:val="1"/>
    </w:lvl>
  </w:abstractNum>
  <w:abstractNum w:abstractNumId="414">
    <w:nsid w:val="43B27FA7"/>
    <w:multiLevelType w:val="hybridMultilevel"/>
    <w:lvl w:ilvl="0">
      <w:lvlJc w:val="left"/>
      <w:lvlText w:val="(%1)"/>
      <w:numFmt w:val="lowerRoman"/>
      <w:start w:val="4"/>
    </w:lvl>
  </w:abstractNum>
  <w:abstractNum w:abstractNumId="415">
    <w:nsid w:val="27FADEFA"/>
    <w:multiLevelType w:val="hybridMultilevel"/>
    <w:lvl w:ilvl="0">
      <w:lvlJc w:val="left"/>
      <w:lvlText w:val="3"/>
      <w:numFmt w:val="bullet"/>
      <w:start w:val="1"/>
    </w:lvl>
  </w:abstractNum>
  <w:abstractNum w:abstractNumId="416">
    <w:nsid w:val="78BB805A"/>
    <w:multiLevelType w:val="hybridMultilevel"/>
    <w:lvl w:ilvl="0">
      <w:lvlJc w:val="left"/>
      <w:lvlText w:val="(%1)"/>
      <w:numFmt w:val="lowerRoman"/>
      <w:start w:val="1"/>
    </w:lvl>
  </w:abstractNum>
  <w:abstractNum w:abstractNumId="417">
    <w:nsid w:val="62548FD8"/>
    <w:multiLevelType w:val="hybridMultilevel"/>
    <w:lvl w:ilvl="0">
      <w:lvlJc w:val="left"/>
      <w:lvlText w:val="4"/>
      <w:numFmt w:val="bullet"/>
      <w:start w:val="1"/>
    </w:lvl>
  </w:abstractNum>
  <w:abstractNum w:abstractNumId="418">
    <w:nsid w:val="FA085B0"/>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jpe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6"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5" Type="http://schemas.openxmlformats.org/officeDocument/2006/relationships/image" Target="media/image568.png"/><Relationship Id="rId586" Type="http://schemas.openxmlformats.org/officeDocument/2006/relationships/image" Target="media/image569.png"/><Relationship Id="rId587" Type="http://schemas.openxmlformats.org/officeDocument/2006/relationships/image" Target="media/image570.png"/><Relationship Id="rId588" Type="http://schemas.openxmlformats.org/officeDocument/2006/relationships/image" Target="media/image571.png"/><Relationship Id="rId589" Type="http://schemas.openxmlformats.org/officeDocument/2006/relationships/image" Target="media/image572.png"/><Relationship Id="rId590" Type="http://schemas.openxmlformats.org/officeDocument/2006/relationships/image" Target="media/image573.png"/><Relationship Id="rId591" Type="http://schemas.openxmlformats.org/officeDocument/2006/relationships/image" Target="media/image574.png"/><Relationship Id="rId592" Type="http://schemas.openxmlformats.org/officeDocument/2006/relationships/image" Target="media/image575.png"/><Relationship Id="rId593" Type="http://schemas.openxmlformats.org/officeDocument/2006/relationships/image" Target="media/image576.png"/><Relationship Id="rId594" Type="http://schemas.openxmlformats.org/officeDocument/2006/relationships/image" Target="media/image577.png"/><Relationship Id="rId595" Type="http://schemas.openxmlformats.org/officeDocument/2006/relationships/image" Target="media/image578.png"/><Relationship Id="rId596" Type="http://schemas.openxmlformats.org/officeDocument/2006/relationships/image" Target="media/image579.jpeg"/><Relationship Id="rId597" Type="http://schemas.openxmlformats.org/officeDocument/2006/relationships/image" Target="media/image580.png"/><Relationship Id="rId598" Type="http://schemas.openxmlformats.org/officeDocument/2006/relationships/image" Target="media/image581.png"/><Relationship Id="rId599" Type="http://schemas.openxmlformats.org/officeDocument/2006/relationships/image" Target="media/image582.jpeg"/><Relationship Id="rId600" Type="http://schemas.openxmlformats.org/officeDocument/2006/relationships/image" Target="media/image583.png"/><Relationship Id="rId601" Type="http://schemas.openxmlformats.org/officeDocument/2006/relationships/image" Target="media/image584.jpeg"/><Relationship Id="rId602" Type="http://schemas.openxmlformats.org/officeDocument/2006/relationships/image" Target="media/image585.png"/><Relationship Id="rId603" Type="http://schemas.openxmlformats.org/officeDocument/2006/relationships/image" Target="media/image586.png"/><Relationship Id="rId604" Type="http://schemas.openxmlformats.org/officeDocument/2006/relationships/image" Target="media/image587.png"/><Relationship Id="rId605" Type="http://schemas.openxmlformats.org/officeDocument/2006/relationships/image" Target="media/image588.png"/><Relationship Id="rId606" Type="http://schemas.openxmlformats.org/officeDocument/2006/relationships/image" Target="media/image589.png"/><Relationship Id="rId607" Type="http://schemas.openxmlformats.org/officeDocument/2006/relationships/image" Target="media/image590.png"/><Relationship Id="rId608" Type="http://schemas.openxmlformats.org/officeDocument/2006/relationships/image" Target="media/image591.png"/><Relationship Id="rId609" Type="http://schemas.openxmlformats.org/officeDocument/2006/relationships/image" Target="media/image592.png"/><Relationship Id="rId610" Type="http://schemas.openxmlformats.org/officeDocument/2006/relationships/image" Target="media/image593.png"/><Relationship Id="rId611" Type="http://schemas.openxmlformats.org/officeDocument/2006/relationships/image" Target="media/image594.png"/><Relationship Id="rId612" Type="http://schemas.openxmlformats.org/officeDocument/2006/relationships/image" Target="media/image595.png"/><Relationship Id="rId613" Type="http://schemas.openxmlformats.org/officeDocument/2006/relationships/image" Target="media/image596.png"/><Relationship Id="rId614" Type="http://schemas.openxmlformats.org/officeDocument/2006/relationships/image" Target="media/image597.png"/><Relationship Id="rId615" Type="http://schemas.openxmlformats.org/officeDocument/2006/relationships/image" Target="media/image598.png"/><Relationship Id="rId616" Type="http://schemas.openxmlformats.org/officeDocument/2006/relationships/image" Target="media/image599.png"/><Relationship Id="rId617" Type="http://schemas.openxmlformats.org/officeDocument/2006/relationships/image" Target="media/image600.png"/><Relationship Id="rId618" Type="http://schemas.openxmlformats.org/officeDocument/2006/relationships/image" Target="media/image601.png"/><Relationship Id="rId619" Type="http://schemas.openxmlformats.org/officeDocument/2006/relationships/image" Target="media/image602.png"/><Relationship Id="rId620"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3" Type="http://schemas.openxmlformats.org/officeDocument/2006/relationships/image" Target="media/image606.png"/><Relationship Id="rId451" Type="http://schemas.openxmlformats.org/officeDocument/2006/relationships/hyperlink" Target="https://www.sec.gov/Archives/edgar/data/1060955/000106095521000004/iclr-20201231.htm" TargetMode="External"/><Relationship Id="rId452" Type="http://schemas.openxmlformats.org/officeDocument/2006/relationships/hyperlink" Target="https://www.sec.gov/Archives/edgar/data/1060955/000114036121006002/nc10020781x8_6k.htm" TargetMode="External"/><Relationship Id="rId453" Type="http://schemas.openxmlformats.org/officeDocument/2006/relationships/hyperlink" Target="https://www.sec.gov/Archives/edgar/data/1060955/000106095521000004/exhibit22-2020.htm" TargetMode="External"/><Relationship Id="rId454" Type="http://schemas.openxmlformats.org/officeDocument/2006/relationships/hyperlink" Target="https://www.sec.gov/Archives/edgar/data/1613859/000161385921000011/prah-20201231.htm" TargetMode="External"/><Relationship Id="rId455" Type="http://schemas.openxmlformats.org/officeDocument/2006/relationships/hyperlink" Target="https://www.sec.gov/Archives/edgar/data/1613859/000110465921043920/tm2111204d1_10ka.htm" TargetMode="External"/><Relationship Id="rId456" Type="http://schemas.openxmlformats.org/officeDocument/2006/relationships/hyperlink" Target="https://www.sec.gov/Archives/edgar/data/1613859/000110465921027533/tm217814d3_8k.htm" TargetMode="External"/><Relationship Id="rId457" Type="http://schemas.openxmlformats.org/officeDocument/2006/relationships/hyperlink" Target="https://www.sec.gov/Archives/edgar/data/1613859/000104746920002068/a2241152zdef14a.htm" TargetMode="External"/><Relationship Id="rId575" Type="http://schemas.openxmlformats.org/officeDocument/2006/relationships/hyperlink" Target="https://www.sec.gov/Archives/edgar/data/1060955/000114036121006002/nc10020781x8_ex2-1.htm" TargetMode="External"/><Relationship Id="rId577" Type="http://schemas.openxmlformats.org/officeDocument/2006/relationships/hyperlink" Target="https://www.sec.gov/Archives/edgar/data/1060955/000115752316006157/a51386268ex99_2.htm" TargetMode="External"/><Relationship Id="rId584" Type="http://schemas.openxmlformats.org/officeDocument/2006/relationships/hyperlink" Target="https://www.sec.gov/Archives/edgar/data/1060955/000114036121010936/nt10020839x1_f4.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2021-04-27T05:29:40Z</dcterms:created>
  <dcterms:modified xsi:type="dcterms:W3CDTF">2021-04-27T05:29:40Z</dcterms:modified>
</cp:coreProperties>
</file>