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For the month of March 2025</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3051F2"/>
        </w:rPr>
        <w:t>ICON plc Unaudited Interim Financial Statements (IFRS Single Company Financial Statements)</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0" w:type="dxa"/>
            <w:vAlign w:val="bottom"/>
          </w:tcPr>
          <w:p>
            <w:pPr>
              <w:spacing w:after="0"/>
              <w:rPr>
                <w:sz w:val="1"/>
                <w:szCs w:val="1"/>
                <w:color w:val="auto"/>
              </w:rPr>
            </w:pPr>
          </w:p>
        </w:tc>
      </w:tr>
      <w:tr>
        <w:trPr>
          <w:trHeight w:val="878"/>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Nigel Clerkin</w:t>
            </w:r>
          </w:p>
        </w:tc>
        <w:tc>
          <w:tcPr>
            <w:tcW w:w="0" w:type="dxa"/>
            <w:vAlign w:val="bottom"/>
          </w:tcPr>
          <w:p>
            <w:pPr>
              <w:spacing w:after="0"/>
              <w:rPr>
                <w:sz w:val="1"/>
                <w:szCs w:val="1"/>
                <w:color w:val="auto"/>
              </w:rPr>
            </w:pPr>
          </w:p>
        </w:tc>
      </w:tr>
      <w:tr>
        <w:trPr>
          <w:trHeight w:val="245"/>
        </w:trPr>
        <w:tc>
          <w:tcPr>
            <w:tcW w:w="7480" w:type="dxa"/>
            <w:vAlign w:val="bottom"/>
            <w:vMerge w:val="continue"/>
          </w:tcPr>
          <w:p>
            <w:pPr>
              <w:spacing w:after="0"/>
              <w:rPr>
                <w:sz w:val="21"/>
                <w:szCs w:val="21"/>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Nigel Clerkin</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0" w:type="dxa"/>
            <w:vAlign w:val="bottom"/>
          </w:tcPr>
          <w:p>
            <w:pPr>
              <w:spacing w:after="0"/>
              <w:rPr>
                <w:sz w:val="1"/>
                <w:szCs w:val="1"/>
                <w:color w:val="auto"/>
              </w:rPr>
            </w:pPr>
          </w:p>
        </w:tc>
      </w:tr>
    </w:tbl>
    <w:p>
      <w:pPr>
        <w:sectPr>
          <w:pgSz w:w="11900" w:h="16838" w:orient="portrait"/>
          <w:cols w:equalWidth="0" w:num="1">
            <w:col w:w="10340"/>
          </w:cols>
          <w:pgMar w:left="320" w:top="1440"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ICON plc</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Unaudited non-consolidated non-statutory interim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For the period from 1 January 2024 to 5 March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Registered number: 145835</w:t>
      </w:r>
    </w:p>
    <w:p>
      <w:pPr>
        <w:sectPr>
          <w:pgSz w:w="11900" w:h="16838" w:orient="portrait"/>
          <w:cols w:equalWidth="0" w:num="1">
            <w:col w:w="10820"/>
          </w:cols>
          <w:pgMar w:left="740" w:top="122" w:right="339" w:bottom="1440" w:gutter="0" w:footer="0" w:header="0"/>
        </w:sectPr>
      </w:pPr>
    </w:p>
    <w:bookmarkStart w:id="4" w:name="page5"/>
    <w:bookmarkEnd w:id="4"/>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line="285" w:lineRule="auto"/>
        <w:rPr>
          <w:sz w:val="20"/>
          <w:szCs w:val="20"/>
          <w:color w:val="auto"/>
        </w:rPr>
      </w:pPr>
      <w:r>
        <w:rPr>
          <w:rFonts w:ascii="Arial" w:cs="Arial" w:eastAsia="Arial" w:hAnsi="Arial"/>
          <w:sz w:val="25"/>
          <w:szCs w:val="25"/>
          <w:color w:val="auto"/>
        </w:rPr>
        <w:t>Unaudited non-consolidated non-statutory interim financial statements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8740" w:type="dxa"/>
            <w:vAlign w:val="bottom"/>
          </w:tcPr>
          <w:p>
            <w:pPr>
              <w:spacing w:after="0"/>
              <w:rPr>
                <w:sz w:val="20"/>
                <w:szCs w:val="20"/>
                <w:color w:val="auto"/>
              </w:rPr>
            </w:pPr>
            <w:r>
              <w:rPr>
                <w:rFonts w:ascii="Arial" w:cs="Arial" w:eastAsia="Arial" w:hAnsi="Arial"/>
                <w:sz w:val="18"/>
                <w:szCs w:val="18"/>
                <w:i w:val="1"/>
                <w:iCs w:val="1"/>
                <w:color w:val="auto"/>
              </w:rPr>
              <w:t>Contents</w:t>
            </w:r>
          </w:p>
        </w:tc>
        <w:tc>
          <w:tcPr>
            <w:tcW w:w="1820" w:type="dxa"/>
            <w:vAlign w:val="bottom"/>
            <w:gridSpan w:val="2"/>
          </w:tcPr>
          <w:p>
            <w:pPr>
              <w:ind w:left="1320"/>
              <w:spacing w:after="0"/>
              <w:rPr>
                <w:sz w:val="20"/>
                <w:szCs w:val="20"/>
                <w:color w:val="auto"/>
              </w:rPr>
            </w:pPr>
            <w:r>
              <w:rPr>
                <w:rFonts w:ascii="Arial" w:cs="Arial" w:eastAsia="Arial" w:hAnsi="Arial"/>
                <w:sz w:val="18"/>
                <w:szCs w:val="18"/>
                <w:i w:val="1"/>
                <w:iCs w:val="1"/>
                <w:color w:val="auto"/>
              </w:rPr>
              <w:t>Page</w:t>
            </w:r>
          </w:p>
        </w:tc>
      </w:tr>
      <w:tr>
        <w:trPr>
          <w:trHeight w:val="499"/>
        </w:trPr>
        <w:tc>
          <w:tcPr>
            <w:tcW w:w="8740" w:type="dxa"/>
            <w:vAlign w:val="bottom"/>
          </w:tcPr>
          <w:p>
            <w:pPr>
              <w:spacing w:after="0"/>
              <w:rPr>
                <w:sz w:val="20"/>
                <w:szCs w:val="20"/>
                <w:color w:val="auto"/>
              </w:rPr>
            </w:pPr>
            <w:r>
              <w:rPr>
                <w:rFonts w:ascii="Arial" w:cs="Arial" w:eastAsia="Arial" w:hAnsi="Arial"/>
                <w:sz w:val="18"/>
                <w:szCs w:val="18"/>
                <w:color w:val="auto"/>
              </w:rPr>
              <w:t>Directors and other information</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1</w:t>
            </w:r>
          </w:p>
        </w:tc>
        <w:tc>
          <w:tcPr>
            <w:tcW w:w="380" w:type="dxa"/>
            <w:vAlign w:val="bottom"/>
          </w:tcPr>
          <w:p>
            <w:pPr>
              <w:spacing w:after="0"/>
              <w:rPr>
                <w:sz w:val="24"/>
                <w:szCs w:val="24"/>
                <w:color w:val="auto"/>
              </w:rPr>
            </w:pPr>
          </w:p>
        </w:tc>
      </w:tr>
      <w:tr>
        <w:trPr>
          <w:trHeight w:val="392"/>
        </w:trPr>
        <w:tc>
          <w:tcPr>
            <w:tcW w:w="8740" w:type="dxa"/>
            <w:vAlign w:val="bottom"/>
          </w:tcPr>
          <w:p>
            <w:pPr>
              <w:spacing w:after="0"/>
              <w:rPr>
                <w:sz w:val="20"/>
                <w:szCs w:val="20"/>
                <w:color w:val="auto"/>
              </w:rPr>
            </w:pPr>
            <w:r>
              <w:rPr>
                <w:rFonts w:ascii="Arial" w:cs="Arial" w:eastAsia="Arial" w:hAnsi="Arial"/>
                <w:sz w:val="18"/>
                <w:szCs w:val="18"/>
                <w:color w:val="auto"/>
              </w:rPr>
              <w:t>Statement of directors’ responsibilities in respect of the unaudited interim financial statements</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2</w:t>
            </w:r>
          </w:p>
        </w:tc>
        <w:tc>
          <w:tcPr>
            <w:tcW w:w="380" w:type="dxa"/>
            <w:vAlign w:val="bottom"/>
          </w:tcPr>
          <w:p>
            <w:pPr>
              <w:spacing w:after="0"/>
              <w:rPr>
                <w:sz w:val="24"/>
                <w:szCs w:val="24"/>
                <w:color w:val="auto"/>
              </w:rPr>
            </w:pPr>
          </w:p>
        </w:tc>
      </w:tr>
      <w:tr>
        <w:trPr>
          <w:trHeight w:val="392"/>
        </w:trPr>
        <w:tc>
          <w:tcPr>
            <w:tcW w:w="8740" w:type="dxa"/>
            <w:vAlign w:val="bottom"/>
          </w:tcPr>
          <w:p>
            <w:pPr>
              <w:spacing w:after="0"/>
              <w:rPr>
                <w:sz w:val="20"/>
                <w:szCs w:val="20"/>
                <w:color w:val="auto"/>
              </w:rPr>
            </w:pPr>
            <w:r>
              <w:rPr>
                <w:rFonts w:ascii="Arial" w:cs="Arial" w:eastAsia="Arial" w:hAnsi="Arial"/>
                <w:sz w:val="18"/>
                <w:szCs w:val="18"/>
                <w:color w:val="auto"/>
              </w:rPr>
              <w:t>Unaudited interim statement of profit and loss</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24"/>
                <w:szCs w:val="24"/>
                <w:color w:val="auto"/>
              </w:rPr>
            </w:pPr>
          </w:p>
        </w:tc>
      </w:tr>
      <w:tr>
        <w:trPr>
          <w:trHeight w:val="391"/>
        </w:trPr>
        <w:tc>
          <w:tcPr>
            <w:tcW w:w="8740" w:type="dxa"/>
            <w:vAlign w:val="bottom"/>
          </w:tcPr>
          <w:p>
            <w:pPr>
              <w:spacing w:after="0"/>
              <w:rPr>
                <w:sz w:val="20"/>
                <w:szCs w:val="20"/>
                <w:color w:val="auto"/>
              </w:rPr>
            </w:pPr>
            <w:r>
              <w:rPr>
                <w:rFonts w:ascii="Arial" w:cs="Arial" w:eastAsia="Arial" w:hAnsi="Arial"/>
                <w:sz w:val="18"/>
                <w:szCs w:val="18"/>
                <w:color w:val="auto"/>
              </w:rPr>
              <w:t>Unaudited interim statement of comprehensive income</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24"/>
                <w:szCs w:val="24"/>
                <w:color w:val="auto"/>
              </w:rPr>
            </w:pPr>
          </w:p>
        </w:tc>
      </w:tr>
      <w:tr>
        <w:trPr>
          <w:trHeight w:val="392"/>
        </w:trPr>
        <w:tc>
          <w:tcPr>
            <w:tcW w:w="8740" w:type="dxa"/>
            <w:vAlign w:val="bottom"/>
          </w:tcPr>
          <w:p>
            <w:pPr>
              <w:spacing w:after="0"/>
              <w:rPr>
                <w:sz w:val="20"/>
                <w:szCs w:val="20"/>
                <w:color w:val="auto"/>
              </w:rPr>
            </w:pPr>
            <w:r>
              <w:rPr>
                <w:rFonts w:ascii="Arial" w:cs="Arial" w:eastAsia="Arial" w:hAnsi="Arial"/>
                <w:sz w:val="18"/>
                <w:szCs w:val="18"/>
                <w:color w:val="auto"/>
              </w:rPr>
              <w:t>Unaudited interim statement of financial position</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5</w:t>
            </w:r>
          </w:p>
        </w:tc>
        <w:tc>
          <w:tcPr>
            <w:tcW w:w="380" w:type="dxa"/>
            <w:vAlign w:val="bottom"/>
          </w:tcPr>
          <w:p>
            <w:pPr>
              <w:spacing w:after="0"/>
              <w:rPr>
                <w:sz w:val="24"/>
                <w:szCs w:val="24"/>
                <w:color w:val="auto"/>
              </w:rPr>
            </w:pPr>
          </w:p>
        </w:tc>
      </w:tr>
      <w:tr>
        <w:trPr>
          <w:trHeight w:val="392"/>
        </w:trPr>
        <w:tc>
          <w:tcPr>
            <w:tcW w:w="8740" w:type="dxa"/>
            <w:vAlign w:val="bottom"/>
          </w:tcPr>
          <w:p>
            <w:pPr>
              <w:spacing w:after="0"/>
              <w:rPr>
                <w:sz w:val="20"/>
                <w:szCs w:val="20"/>
                <w:color w:val="auto"/>
              </w:rPr>
            </w:pPr>
            <w:r>
              <w:rPr>
                <w:rFonts w:ascii="Arial" w:cs="Arial" w:eastAsia="Arial" w:hAnsi="Arial"/>
                <w:sz w:val="18"/>
                <w:szCs w:val="18"/>
                <w:color w:val="auto"/>
              </w:rPr>
              <w:t>Unaudited interim statement of changes in equity</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6</w:t>
            </w:r>
          </w:p>
        </w:tc>
        <w:tc>
          <w:tcPr>
            <w:tcW w:w="380" w:type="dxa"/>
            <w:vAlign w:val="bottom"/>
          </w:tcPr>
          <w:p>
            <w:pPr>
              <w:ind w:left="20"/>
              <w:spacing w:after="0"/>
              <w:rPr>
                <w:sz w:val="20"/>
                <w:szCs w:val="20"/>
                <w:color w:val="auto"/>
              </w:rPr>
            </w:pPr>
            <w:r>
              <w:rPr>
                <w:rFonts w:ascii="Arial" w:cs="Arial" w:eastAsia="Arial" w:hAnsi="Arial"/>
                <w:sz w:val="18"/>
                <w:szCs w:val="18"/>
                <w:color w:val="auto"/>
              </w:rPr>
              <w:t>– 7</w:t>
            </w:r>
          </w:p>
        </w:tc>
      </w:tr>
      <w:tr>
        <w:trPr>
          <w:trHeight w:val="392"/>
        </w:trPr>
        <w:tc>
          <w:tcPr>
            <w:tcW w:w="8740" w:type="dxa"/>
            <w:vAlign w:val="bottom"/>
          </w:tcPr>
          <w:p>
            <w:pPr>
              <w:spacing w:after="0"/>
              <w:rPr>
                <w:sz w:val="20"/>
                <w:szCs w:val="20"/>
                <w:color w:val="auto"/>
              </w:rPr>
            </w:pPr>
            <w:r>
              <w:rPr>
                <w:rFonts w:ascii="Arial" w:cs="Arial" w:eastAsia="Arial" w:hAnsi="Arial"/>
                <w:sz w:val="18"/>
                <w:szCs w:val="18"/>
                <w:color w:val="auto"/>
              </w:rPr>
              <w:t>Notes forming part of the unaudited interim financial statements</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8</w:t>
            </w:r>
          </w:p>
        </w:tc>
        <w:tc>
          <w:tcPr>
            <w:tcW w:w="380" w:type="dxa"/>
            <w:vAlign w:val="bottom"/>
          </w:tcPr>
          <w:p>
            <w:pPr>
              <w:ind w:left="20"/>
              <w:spacing w:after="0"/>
              <w:rPr>
                <w:sz w:val="20"/>
                <w:szCs w:val="20"/>
                <w:color w:val="auto"/>
              </w:rPr>
            </w:pPr>
            <w:r>
              <w:rPr>
                <w:rFonts w:ascii="Arial" w:cs="Arial" w:eastAsia="Arial" w:hAnsi="Arial"/>
                <w:sz w:val="18"/>
                <w:szCs w:val="18"/>
                <w:color w:val="auto"/>
                <w:w w:val="96"/>
              </w:rPr>
              <w:t>– 28</w:t>
            </w:r>
          </w:p>
        </w:tc>
      </w:tr>
    </w:tbl>
    <w:p>
      <w:pPr>
        <w:sectPr>
          <w:pgSz w:w="11900" w:h="16838" w:orient="portrait"/>
          <w:cols w:equalWidth="0" w:num="1">
            <w:col w:w="11240"/>
          </w:cols>
          <w:pgMar w:left="320" w:top="111" w:right="339" w:bottom="1440" w:gutter="0" w:footer="0" w:header="0"/>
        </w:sectPr>
      </w:pPr>
    </w:p>
    <w:bookmarkStart w:id="5" w:name="page6"/>
    <w:bookmarkEnd w:id="5"/>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Directors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8"/>
          <w:szCs w:val="18"/>
          <w:b w:val="1"/>
          <w:bCs w:val="1"/>
          <w:color w:val="auto"/>
        </w:rPr>
        <w:t>Directors</w:t>
      </w:r>
      <w:r>
        <w:rPr>
          <w:sz w:val="20"/>
          <w:szCs w:val="20"/>
          <w:color w:val="auto"/>
        </w:rPr>
        <w:tab/>
      </w:r>
      <w:r>
        <w:rPr>
          <w:rFonts w:ascii="Arial" w:cs="Arial" w:eastAsia="Arial" w:hAnsi="Arial"/>
          <w:sz w:val="18"/>
          <w:szCs w:val="18"/>
          <w:color w:val="auto"/>
        </w:rPr>
        <w:t>Ciaran Murray (Irish – Chair)</w:t>
      </w:r>
    </w:p>
    <w:p>
      <w:pPr>
        <w:spacing w:after="0" w:line="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Dr. John Climax (Irish – Non-Executive)</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Dr. Steve Cutler (Australian – Chief Executive Officer)</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Dr. Linda Grais (American – Non-Executive)</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Eugene McCague (Irish – Non-Executive)</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Rónán Murphy (Irish – Non-Executive)</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Julie O’Neill (Irish – Non-Executive)</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Anne Whitaker (American – Non-Executive)</w:t>
      </w:r>
    </w:p>
    <w:p>
      <w:pPr>
        <w:spacing w:after="0" w:line="229"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8"/>
          <w:szCs w:val="18"/>
          <w:color w:val="auto"/>
        </w:rPr>
        <w:t>Diarmaid Cunningham</w:t>
      </w:r>
    </w:p>
    <w:p>
      <w:pPr>
        <w:spacing w:after="0" w:line="239"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8"/>
          <w:szCs w:val="18"/>
          <w:b w:val="1"/>
          <w:bCs w:val="1"/>
          <w:color w:val="auto"/>
        </w:rPr>
        <w:t>Registered office</w:t>
      </w:r>
      <w:r>
        <w:rPr>
          <w:sz w:val="20"/>
          <w:szCs w:val="20"/>
          <w:color w:val="auto"/>
        </w:rPr>
        <w:tab/>
      </w:r>
      <w:r>
        <w:rPr>
          <w:rFonts w:ascii="Arial" w:cs="Arial" w:eastAsia="Arial" w:hAnsi="Arial"/>
          <w:sz w:val="17"/>
          <w:szCs w:val="17"/>
          <w:color w:val="auto"/>
        </w:rPr>
        <w:t>South County Business Park</w:t>
      </w:r>
    </w:p>
    <w:p>
      <w:pPr>
        <w:spacing w:after="0" w:line="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Leopardstown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Dublin 18</w:t>
      </w:r>
    </w:p>
    <w:p>
      <w:pPr>
        <w:spacing w:after="0" w:line="229"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8"/>
          <w:szCs w:val="18"/>
          <w:b w:val="1"/>
          <w:bCs w:val="1"/>
          <w:color w:val="auto"/>
        </w:rPr>
        <w:t>Solicitors</w:t>
      </w:r>
      <w:r>
        <w:rPr>
          <w:sz w:val="20"/>
          <w:szCs w:val="20"/>
          <w:color w:val="auto"/>
        </w:rPr>
        <w:tab/>
      </w:r>
      <w:r>
        <w:rPr>
          <w:rFonts w:ascii="Arial" w:cs="Arial" w:eastAsia="Arial" w:hAnsi="Arial"/>
          <w:sz w:val="18"/>
          <w:szCs w:val="18"/>
          <w:color w:val="auto"/>
        </w:rPr>
        <w:t>A &amp; L Goodbody LLP</w:t>
      </w:r>
    </w:p>
    <w:p>
      <w:pPr>
        <w:spacing w:after="0" w:line="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International Financial Services Centre</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 Dublin Landings</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North Wall Quay</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Dublin 1</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Cahill Gordon Reindel LLP</w:t>
      </w:r>
    </w:p>
    <w:p>
      <w:pPr>
        <w:spacing w:after="0" w:line="3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32 Old Slip</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NY 10005</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USA</w:t>
      </w:r>
    </w:p>
    <w:p>
      <w:pPr>
        <w:spacing w:after="0" w:line="229"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8"/>
          <w:szCs w:val="18"/>
          <w:b w:val="1"/>
          <w:bCs w:val="1"/>
          <w:color w:val="auto"/>
        </w:rPr>
        <w:t>Registrars</w:t>
      </w:r>
      <w:r>
        <w:rPr>
          <w:sz w:val="20"/>
          <w:szCs w:val="20"/>
          <w:color w:val="auto"/>
        </w:rPr>
        <w:tab/>
      </w:r>
      <w:r>
        <w:rPr>
          <w:rFonts w:ascii="Arial" w:cs="Arial" w:eastAsia="Arial" w:hAnsi="Arial"/>
          <w:sz w:val="18"/>
          <w:szCs w:val="18"/>
          <w:color w:val="auto"/>
        </w:rPr>
        <w:t>Computershare Investor Services (Ireland) Limited</w:t>
      </w:r>
    </w:p>
    <w:p>
      <w:pPr>
        <w:spacing w:after="0" w:line="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3100 Lake Drive</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Citywest Business Park</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Dublin 24</w:t>
      </w:r>
    </w:p>
    <w:p>
      <w:pPr>
        <w:spacing w:after="0" w:line="229"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8"/>
          <w:szCs w:val="18"/>
          <w:b w:val="1"/>
          <w:bCs w:val="1"/>
          <w:color w:val="auto"/>
        </w:rPr>
        <w:t>Bankers</w:t>
      </w:r>
      <w:r>
        <w:rPr>
          <w:sz w:val="20"/>
          <w:szCs w:val="20"/>
          <w:color w:val="auto"/>
        </w:rPr>
        <w:tab/>
      </w:r>
      <w:r>
        <w:rPr>
          <w:rFonts w:ascii="Arial" w:cs="Arial" w:eastAsia="Arial" w:hAnsi="Arial"/>
          <w:sz w:val="18"/>
          <w:szCs w:val="18"/>
          <w:color w:val="auto"/>
        </w:rPr>
        <w:t>Citibank</w:t>
      </w:r>
    </w:p>
    <w:p>
      <w:pPr>
        <w:spacing w:after="0" w:line="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Canada Square Canary Wharf</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London E14 5LB</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United Kingdom</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JP Morgan Chase Bank N.A.</w:t>
      </w:r>
    </w:p>
    <w:p>
      <w:pPr>
        <w:spacing w:after="0" w:line="3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383 Madison Avenue</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NY 10179</w:t>
      </w:r>
    </w:p>
    <w:p>
      <w:pPr>
        <w:sectPr>
          <w:pgSz w:w="11900" w:h="16838" w:orient="portrait"/>
          <w:cols w:equalWidth="0" w:num="1">
            <w:col w:w="10139"/>
          </w:cols>
          <w:pgMar w:left="32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139"/>
          </w:cols>
          <w:pgMar w:left="320" w:top="111"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Statement of directors’ responsibilities in respect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Interim financial statements are required to be prepared if a distribution would be found to contravene the requirements of section 117 or 1082 of the Companies Act 2014, if reference were made only to the Company’s last statutory financial statements.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Interim financial statements must be properly prepared in accordance with the Companies Act 2014, subject only to matters which are not material for the purposes of determining, by reference to the profits, losses, assets, liabilities, provisions, share capital and reserves as stated in such financial statements whether that distribution would be a contravention of section 117 or 1082 of the Companies Act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Consequently in preparing these interim financial statements, the directors are required to:</w:t>
      </w:r>
    </w:p>
    <w:p>
      <w:pPr>
        <w:spacing w:after="0" w:line="252" w:lineRule="exact"/>
        <w:rPr>
          <w:sz w:val="20"/>
          <w:szCs w:val="20"/>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select suitable accounting policies and then apply them consistently;</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make judgements and estimates that are reasonable and prudent;</w:t>
      </w:r>
    </w:p>
    <w:p>
      <w:pPr>
        <w:spacing w:after="0" w:line="8" w:lineRule="exact"/>
        <w:rPr>
          <w:rFonts w:ascii="Times New Roman" w:cs="Times New Roman" w:eastAsia="Times New Roman" w:hAnsi="Times New Roman"/>
          <w:sz w:val="18"/>
          <w:szCs w:val="18"/>
          <w:color w:val="auto"/>
        </w:rPr>
      </w:pPr>
    </w:p>
    <w:p>
      <w:pPr>
        <w:ind w:left="400" w:hanging="392"/>
        <w:spacing w:after="0" w:line="249" w:lineRule="auto"/>
        <w:tabs>
          <w:tab w:leader="none" w:pos="399"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state whether applicable Accounting Standards and Irish law have been followed, subject to departues that are not material for the purposes of determining the distributable reserves position of the Company;</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assess the Company’s ability to continue as a going concern, disclosing, as applicable, matters related to going concern; and</w:t>
      </w:r>
    </w:p>
    <w:p>
      <w:pPr>
        <w:spacing w:after="0" w:line="8" w:lineRule="exact"/>
        <w:rPr>
          <w:rFonts w:ascii="Times New Roman" w:cs="Times New Roman" w:eastAsia="Times New Roman" w:hAnsi="Times New Roman"/>
          <w:sz w:val="18"/>
          <w:szCs w:val="18"/>
          <w:color w:val="auto"/>
        </w:rPr>
      </w:pPr>
    </w:p>
    <w:p>
      <w:pPr>
        <w:ind w:left="400" w:hanging="392"/>
        <w:spacing w:after="0" w:line="265" w:lineRule="auto"/>
        <w:tabs>
          <w:tab w:leader="none" w:pos="399"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use the going concern basis of accounting unless they either intend to liquidate the Company or to cease operations, or have no realistic alternative but to do so.</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directors are responsible for keeping adequate accounting records which disclose with reasonable accuracy at any time the assets, liabilities, financial position and profit or loss of the Company and enable them to ensure that its statutory financial statements, should they be required and which would be prepared separately, comply with the Companies Act 2014. They are responsible for such internal controls as they determine is necessary to enable the preparation of financial statements that are free from material misstatement, whether due to fraud or error, and have general responsibility for taking such steps as are reasonably open to them to safeguard the assets of the Company and to prevent and detect fraud and other irregularities.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Rónán Murphy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Steve Cutler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2540"/>
        <w:spacing w:after="0"/>
        <w:rPr>
          <w:sz w:val="20"/>
          <w:szCs w:val="20"/>
          <w:color w:val="auto"/>
        </w:rPr>
      </w:pPr>
      <w:r>
        <w:rPr>
          <w:rFonts w:ascii="Arial" w:cs="Arial" w:eastAsia="Arial" w:hAnsi="Arial"/>
          <w:sz w:val="17"/>
          <w:szCs w:val="17"/>
          <w:color w:val="auto"/>
        </w:rPr>
        <w:t>10 March 2025</w:t>
      </w:r>
    </w:p>
    <w:p>
      <w:pPr>
        <w:spacing w:after="0" w:line="450" w:lineRule="exact"/>
        <w:rPr>
          <w:sz w:val="20"/>
          <w:szCs w:val="20"/>
          <w:color w:val="auto"/>
        </w:rPr>
      </w:pPr>
    </w:p>
    <w:p>
      <w:pPr>
        <w:sectPr>
          <w:pgSz w:w="11900" w:h="16838" w:orient="portrait"/>
          <w:cols w:equalWidth="0" w:num="3">
            <w:col w:w="3040" w:space="720"/>
            <w:col w:w="3020" w:space="720"/>
            <w:col w:w="374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Unaudited interim statement of profit and loss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period ended 1 January 2024 to 5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 ended</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1 January 2024</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Year Ended 31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to</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47"/>
        </w:trPr>
        <w:tc>
          <w:tcPr>
            <w:tcW w:w="5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5 March 2025</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162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99"/>
              </w:rPr>
              <w:t>Note</w:t>
            </w:r>
          </w:p>
        </w:tc>
        <w:tc>
          <w:tcPr>
            <w:tcW w:w="274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513"/>
        </w:trPr>
        <w:tc>
          <w:tcPr>
            <w:tcW w:w="51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20" w:type="dxa"/>
            <w:vAlign w:val="bottom"/>
          </w:tcPr>
          <w:p>
            <w:pPr>
              <w:jc w:val="center"/>
              <w:ind w:left="470"/>
              <w:spacing w:after="0"/>
              <w:rPr>
                <w:sz w:val="20"/>
                <w:szCs w:val="20"/>
                <w:color w:val="auto"/>
              </w:rPr>
            </w:pPr>
            <w:r>
              <w:rPr>
                <w:rFonts w:ascii="Arial" w:cs="Arial" w:eastAsia="Arial" w:hAnsi="Arial"/>
                <w:sz w:val="18"/>
                <w:szCs w:val="18"/>
                <w:i w:val="1"/>
                <w:iCs w:val="1"/>
                <w:color w:val="auto"/>
                <w:w w:val="99"/>
              </w:rPr>
              <w:t>2</w:t>
            </w: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49,264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64,713</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Direct costs</w:t>
            </w:r>
          </w:p>
        </w:tc>
        <w:tc>
          <w:tcPr>
            <w:tcW w:w="1620" w:type="dxa"/>
            <w:vAlign w:val="bottom"/>
          </w:tcPr>
          <w:p>
            <w:pPr>
              <w:spacing w:after="0"/>
              <w:rPr>
                <w:sz w:val="23"/>
                <w:szCs w:val="23"/>
                <w:color w:val="auto"/>
              </w:rPr>
            </w:pPr>
          </w:p>
        </w:tc>
        <w:tc>
          <w:tcPr>
            <w:tcW w:w="2740" w:type="dxa"/>
            <w:vAlign w:val="bottom"/>
          </w:tcPr>
          <w:p>
            <w:pPr>
              <w:jc w:val="right"/>
              <w:ind w:right="250"/>
              <w:spacing w:after="0"/>
              <w:rPr>
                <w:sz w:val="20"/>
                <w:szCs w:val="20"/>
                <w:color w:val="auto"/>
              </w:rPr>
            </w:pPr>
            <w:r>
              <w:rPr>
                <w:rFonts w:ascii="Arial" w:cs="Arial" w:eastAsia="Arial" w:hAnsi="Arial"/>
                <w:sz w:val="18"/>
                <w:szCs w:val="18"/>
                <w:b w:val="1"/>
                <w:bCs w:val="1"/>
                <w:color w:val="auto"/>
              </w:rPr>
              <w:t>(35,308)</w:t>
            </w:r>
          </w:p>
        </w:tc>
        <w:tc>
          <w:tcPr>
            <w:tcW w:w="1620" w:type="dxa"/>
            <w:vAlign w:val="bottom"/>
          </w:tcPr>
          <w:p>
            <w:pPr>
              <w:jc w:val="right"/>
              <w:spacing w:after="0"/>
              <w:rPr>
                <w:sz w:val="20"/>
                <w:szCs w:val="20"/>
                <w:color w:val="auto"/>
              </w:rPr>
            </w:pPr>
            <w:r>
              <w:rPr>
                <w:rFonts w:ascii="Arial" w:cs="Arial" w:eastAsia="Arial" w:hAnsi="Arial"/>
                <w:sz w:val="18"/>
                <w:szCs w:val="18"/>
                <w:color w:val="auto"/>
              </w:rPr>
              <w:t>(47,893)</w:t>
            </w:r>
          </w:p>
        </w:tc>
        <w:tc>
          <w:tcPr>
            <w:tcW w:w="0" w:type="dxa"/>
            <w:vAlign w:val="bottom"/>
          </w:tcPr>
          <w:p>
            <w:pPr>
              <w:spacing w:after="0"/>
              <w:rPr>
                <w:sz w:val="1"/>
                <w:szCs w:val="1"/>
                <w:color w:val="auto"/>
              </w:rPr>
            </w:pPr>
          </w:p>
        </w:tc>
      </w:tr>
      <w:tr>
        <w:trPr>
          <w:trHeight w:val="258"/>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620" w:type="dxa"/>
            <w:vAlign w:val="bottom"/>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8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13,956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16,820</w:t>
            </w:r>
          </w:p>
        </w:tc>
        <w:tc>
          <w:tcPr>
            <w:tcW w:w="0" w:type="dxa"/>
            <w:vAlign w:val="bottom"/>
          </w:tcPr>
          <w:p>
            <w:pPr>
              <w:spacing w:after="0"/>
              <w:rPr>
                <w:sz w:val="1"/>
                <w:szCs w:val="1"/>
                <w:color w:val="auto"/>
              </w:rPr>
            </w:pPr>
          </w:p>
        </w:tc>
      </w:tr>
      <w:tr>
        <w:trPr>
          <w:trHeight w:val="513"/>
        </w:trPr>
        <w:tc>
          <w:tcPr>
            <w:tcW w:w="51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620" w:type="dxa"/>
            <w:vAlign w:val="bottom"/>
          </w:tcPr>
          <w:p>
            <w:pPr>
              <w:spacing w:after="0"/>
              <w:rPr>
                <w:sz w:val="24"/>
                <w:szCs w:val="24"/>
                <w:color w:val="auto"/>
              </w:rPr>
            </w:pPr>
          </w:p>
        </w:tc>
        <w:tc>
          <w:tcPr>
            <w:tcW w:w="2740" w:type="dxa"/>
            <w:vAlign w:val="bottom"/>
          </w:tcPr>
          <w:p>
            <w:pPr>
              <w:jc w:val="right"/>
              <w:ind w:right="250"/>
              <w:spacing w:after="0"/>
              <w:rPr>
                <w:sz w:val="20"/>
                <w:szCs w:val="20"/>
                <w:color w:val="auto"/>
              </w:rPr>
            </w:pPr>
            <w:r>
              <w:rPr>
                <w:rFonts w:ascii="Arial" w:cs="Arial" w:eastAsia="Arial" w:hAnsi="Arial"/>
                <w:sz w:val="18"/>
                <w:szCs w:val="18"/>
                <w:b w:val="1"/>
                <w:bCs w:val="1"/>
                <w:color w:val="auto"/>
              </w:rPr>
              <w:t>(22,502)</w:t>
            </w:r>
          </w:p>
        </w:tc>
        <w:tc>
          <w:tcPr>
            <w:tcW w:w="1620" w:type="dxa"/>
            <w:vAlign w:val="bottom"/>
          </w:tcPr>
          <w:p>
            <w:pPr>
              <w:jc w:val="right"/>
              <w:spacing w:after="0"/>
              <w:rPr>
                <w:sz w:val="20"/>
                <w:szCs w:val="20"/>
                <w:color w:val="auto"/>
              </w:rPr>
            </w:pPr>
            <w:r>
              <w:rPr>
                <w:rFonts w:ascii="Arial" w:cs="Arial" w:eastAsia="Arial" w:hAnsi="Arial"/>
                <w:sz w:val="18"/>
                <w:szCs w:val="18"/>
                <w:color w:val="auto"/>
              </w:rPr>
              <w:t>(26,035)</w:t>
            </w:r>
          </w:p>
        </w:tc>
        <w:tc>
          <w:tcPr>
            <w:tcW w:w="0" w:type="dxa"/>
            <w:vAlign w:val="bottom"/>
          </w:tcPr>
          <w:p>
            <w:pPr>
              <w:spacing w:after="0"/>
              <w:rPr>
                <w:sz w:val="1"/>
                <w:szCs w:val="1"/>
                <w:color w:val="auto"/>
              </w:rPr>
            </w:pPr>
          </w:p>
        </w:tc>
      </w:tr>
      <w:tr>
        <w:trPr>
          <w:trHeight w:val="258"/>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1620" w:type="dxa"/>
            <w:vAlign w:val="bottom"/>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8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2740" w:type="dxa"/>
            <w:vAlign w:val="bottom"/>
          </w:tcPr>
          <w:p>
            <w:pPr>
              <w:jc w:val="right"/>
              <w:ind w:right="250"/>
              <w:spacing w:after="0"/>
              <w:rPr>
                <w:sz w:val="20"/>
                <w:szCs w:val="20"/>
                <w:color w:val="auto"/>
              </w:rPr>
            </w:pPr>
            <w:r>
              <w:rPr>
                <w:rFonts w:ascii="Arial" w:cs="Arial" w:eastAsia="Arial" w:hAnsi="Arial"/>
                <w:sz w:val="18"/>
                <w:szCs w:val="18"/>
                <w:b w:val="1"/>
                <w:bCs w:val="1"/>
                <w:color w:val="auto"/>
              </w:rPr>
              <w:t>(8,546)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513"/>
        </w:trPr>
        <w:tc>
          <w:tcPr>
            <w:tcW w:w="5180" w:type="dxa"/>
            <w:vAlign w:val="bottom"/>
          </w:tcPr>
          <w:p>
            <w:pPr>
              <w:spacing w:after="0"/>
              <w:rPr>
                <w:sz w:val="20"/>
                <w:szCs w:val="20"/>
                <w:color w:val="auto"/>
              </w:rPr>
            </w:pPr>
            <w:r>
              <w:rPr>
                <w:rFonts w:ascii="Arial" w:cs="Arial" w:eastAsia="Arial" w:hAnsi="Arial"/>
                <w:sz w:val="18"/>
                <w:szCs w:val="18"/>
                <w:color w:val="auto"/>
              </w:rPr>
              <w:t>Income from shares in group undertakings</w:t>
            </w:r>
          </w:p>
        </w:tc>
        <w:tc>
          <w:tcPr>
            <w:tcW w:w="1620" w:type="dxa"/>
            <w:vAlign w:val="bottom"/>
          </w:tcPr>
          <w:p>
            <w:pPr>
              <w:jc w:val="center"/>
              <w:ind w:left="470"/>
              <w:spacing w:after="0"/>
              <w:rPr>
                <w:sz w:val="20"/>
                <w:szCs w:val="20"/>
                <w:color w:val="auto"/>
              </w:rPr>
            </w:pPr>
            <w:r>
              <w:rPr>
                <w:rFonts w:ascii="Arial" w:cs="Arial" w:eastAsia="Arial" w:hAnsi="Arial"/>
                <w:sz w:val="18"/>
                <w:szCs w:val="18"/>
                <w:i w:val="1"/>
                <w:iCs w:val="1"/>
                <w:color w:val="auto"/>
                <w:w w:val="99"/>
              </w:rPr>
              <w:t>3</w:t>
            </w: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681,247</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Finance income</w:t>
            </w:r>
          </w:p>
        </w:tc>
        <w:tc>
          <w:tcPr>
            <w:tcW w:w="1620" w:type="dxa"/>
            <w:vAlign w:val="bottom"/>
          </w:tcPr>
          <w:p>
            <w:pPr>
              <w:jc w:val="center"/>
              <w:ind w:left="470"/>
              <w:spacing w:after="0"/>
              <w:rPr>
                <w:sz w:val="20"/>
                <w:szCs w:val="20"/>
                <w:color w:val="auto"/>
              </w:rPr>
            </w:pPr>
            <w:r>
              <w:rPr>
                <w:rFonts w:ascii="Arial" w:cs="Arial" w:eastAsia="Arial" w:hAnsi="Arial"/>
                <w:sz w:val="18"/>
                <w:szCs w:val="18"/>
                <w:i w:val="1"/>
                <w:iCs w:val="1"/>
                <w:color w:val="auto"/>
                <w:w w:val="99"/>
              </w:rPr>
              <w:t>4</w:t>
            </w: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3,633</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Finance expense</w:t>
            </w:r>
          </w:p>
        </w:tc>
        <w:tc>
          <w:tcPr>
            <w:tcW w:w="1620" w:type="dxa"/>
            <w:vAlign w:val="bottom"/>
          </w:tcPr>
          <w:p>
            <w:pPr>
              <w:jc w:val="center"/>
              <w:ind w:left="470"/>
              <w:spacing w:after="0"/>
              <w:rPr>
                <w:sz w:val="20"/>
                <w:szCs w:val="20"/>
                <w:color w:val="auto"/>
              </w:rPr>
            </w:pPr>
            <w:r>
              <w:rPr>
                <w:rFonts w:ascii="Arial" w:cs="Arial" w:eastAsia="Arial" w:hAnsi="Arial"/>
                <w:sz w:val="18"/>
                <w:szCs w:val="18"/>
                <w:i w:val="1"/>
                <w:iCs w:val="1"/>
                <w:color w:val="auto"/>
                <w:w w:val="99"/>
              </w:rPr>
              <w:t>5</w:t>
            </w:r>
          </w:p>
        </w:tc>
        <w:tc>
          <w:tcPr>
            <w:tcW w:w="2740" w:type="dxa"/>
            <w:vAlign w:val="bottom"/>
          </w:tcPr>
          <w:p>
            <w:pPr>
              <w:jc w:val="right"/>
              <w:ind w:right="250"/>
              <w:spacing w:after="0"/>
              <w:rPr>
                <w:sz w:val="20"/>
                <w:szCs w:val="20"/>
                <w:color w:val="auto"/>
              </w:rPr>
            </w:pPr>
            <w:r>
              <w:rPr>
                <w:rFonts w:ascii="Arial" w:cs="Arial" w:eastAsia="Arial" w:hAnsi="Arial"/>
                <w:sz w:val="18"/>
                <w:szCs w:val="18"/>
                <w:b w:val="1"/>
                <w:bCs w:val="1"/>
                <w:color w:val="auto"/>
              </w:rPr>
              <w:t>(264)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Profit / (loss) on ordinary activities before taxation</w:t>
            </w:r>
          </w:p>
        </w:tc>
        <w:tc>
          <w:tcPr>
            <w:tcW w:w="1620" w:type="dxa"/>
            <w:vAlign w:val="bottom"/>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8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676,070</w:t>
            </w:r>
          </w:p>
        </w:tc>
        <w:tc>
          <w:tcPr>
            <w:tcW w:w="1620" w:type="dxa"/>
            <w:vAlign w:val="bottom"/>
          </w:tcPr>
          <w:p>
            <w:pPr>
              <w:jc w:val="right"/>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513"/>
        </w:trPr>
        <w:tc>
          <w:tcPr>
            <w:tcW w:w="5180" w:type="dxa"/>
            <w:vAlign w:val="bottom"/>
          </w:tcPr>
          <w:p>
            <w:pPr>
              <w:spacing w:after="0"/>
              <w:rPr>
                <w:sz w:val="20"/>
                <w:szCs w:val="20"/>
                <w:color w:val="auto"/>
              </w:rPr>
            </w:pPr>
            <w:r>
              <w:rPr>
                <w:rFonts w:ascii="Arial" w:cs="Arial" w:eastAsia="Arial" w:hAnsi="Arial"/>
                <w:sz w:val="18"/>
                <w:szCs w:val="18"/>
                <w:color w:val="auto"/>
              </w:rPr>
              <w:t>Tax on profit / (loss) on ordinary activities</w:t>
            </w:r>
          </w:p>
        </w:tc>
        <w:tc>
          <w:tcPr>
            <w:tcW w:w="1620" w:type="dxa"/>
            <w:vAlign w:val="bottom"/>
          </w:tcPr>
          <w:p>
            <w:pPr>
              <w:jc w:val="center"/>
              <w:ind w:left="470"/>
              <w:spacing w:after="0"/>
              <w:rPr>
                <w:sz w:val="20"/>
                <w:szCs w:val="20"/>
                <w:color w:val="auto"/>
              </w:rPr>
            </w:pPr>
            <w:r>
              <w:rPr>
                <w:rFonts w:ascii="Arial" w:cs="Arial" w:eastAsia="Arial" w:hAnsi="Arial"/>
                <w:sz w:val="18"/>
                <w:szCs w:val="18"/>
                <w:i w:val="1"/>
                <w:iCs w:val="1"/>
                <w:color w:val="auto"/>
                <w:w w:val="99"/>
              </w:rPr>
              <w:t>7</w:t>
            </w:r>
          </w:p>
        </w:tc>
        <w:tc>
          <w:tcPr>
            <w:tcW w:w="2740" w:type="dxa"/>
            <w:vAlign w:val="bottom"/>
          </w:tcPr>
          <w:p>
            <w:pPr>
              <w:jc w:val="right"/>
              <w:ind w:right="250"/>
              <w:spacing w:after="0"/>
              <w:rPr>
                <w:sz w:val="20"/>
                <w:szCs w:val="20"/>
                <w:color w:val="auto"/>
              </w:rPr>
            </w:pPr>
            <w:r>
              <w:rPr>
                <w:rFonts w:ascii="Arial" w:cs="Arial" w:eastAsia="Arial" w:hAnsi="Arial"/>
                <w:sz w:val="18"/>
                <w:szCs w:val="18"/>
                <w:b w:val="1"/>
                <w:bCs w:val="1"/>
                <w:color w:val="auto"/>
              </w:rPr>
              <w:t>(11,320)</w:t>
            </w:r>
          </w:p>
        </w:tc>
        <w:tc>
          <w:tcPr>
            <w:tcW w:w="162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58"/>
        </w:trPr>
        <w:tc>
          <w:tcPr>
            <w:tcW w:w="5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0"/>
                <w:szCs w:val="20"/>
                <w:color w:val="auto"/>
              </w:rPr>
            </w:pPr>
            <w:r>
              <w:rPr>
                <w:rFonts w:ascii="Arial" w:cs="Arial" w:eastAsia="Arial" w:hAnsi="Arial"/>
                <w:sz w:val="18"/>
                <w:szCs w:val="18"/>
                <w:b w:val="1"/>
                <w:bCs w:val="1"/>
                <w:color w:val="auto"/>
              </w:rPr>
              <w:t>Profit / (loss) for the financial period / year</w:t>
            </w:r>
          </w:p>
        </w:tc>
        <w:tc>
          <w:tcPr>
            <w:tcW w:w="1620" w:type="dxa"/>
            <w:vAlign w:val="bottom"/>
          </w:tcPr>
          <w:p>
            <w:pPr>
              <w:spacing w:after="0"/>
              <w:rPr>
                <w:sz w:val="22"/>
                <w:szCs w:val="22"/>
                <w:color w:val="auto"/>
              </w:rPr>
            </w:pPr>
          </w:p>
        </w:tc>
        <w:tc>
          <w:tcPr>
            <w:tcW w:w="2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664,750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Unaudited interim statement of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period ended 1 January 2024 to 5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80" w:type="dxa"/>
            <w:vAlign w:val="bottom"/>
          </w:tcPr>
          <w:p>
            <w:pPr>
              <w:jc w:val="right"/>
              <w:ind w:right="130"/>
              <w:spacing w:after="0"/>
              <w:rPr>
                <w:sz w:val="20"/>
                <w:szCs w:val="20"/>
                <w:color w:val="auto"/>
              </w:rPr>
            </w:pPr>
            <w:r>
              <w:rPr>
                <w:rFonts w:ascii="Arial" w:cs="Arial" w:eastAsia="Arial" w:hAnsi="Arial"/>
                <w:sz w:val="18"/>
                <w:szCs w:val="18"/>
                <w:b w:val="1"/>
                <w:bCs w:val="1"/>
                <w:color w:val="auto"/>
              </w:rPr>
              <w:t>Period ended</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80" w:type="dxa"/>
            <w:vAlign w:val="bottom"/>
          </w:tcPr>
          <w:p>
            <w:pPr>
              <w:jc w:val="right"/>
              <w:ind w:right="130"/>
              <w:spacing w:after="0"/>
              <w:rPr>
                <w:sz w:val="20"/>
                <w:szCs w:val="20"/>
                <w:color w:val="auto"/>
              </w:rPr>
            </w:pPr>
            <w:r>
              <w:rPr>
                <w:rFonts w:ascii="Arial" w:cs="Arial" w:eastAsia="Arial" w:hAnsi="Arial"/>
                <w:sz w:val="18"/>
                <w:szCs w:val="18"/>
                <w:b w:val="1"/>
                <w:bCs w:val="1"/>
                <w:color w:val="auto"/>
              </w:rPr>
              <w:t>1 January 2024</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80" w:type="dxa"/>
            <w:vAlign w:val="bottom"/>
          </w:tcPr>
          <w:p>
            <w:pPr>
              <w:jc w:val="right"/>
              <w:ind w:right="130"/>
              <w:spacing w:after="0"/>
              <w:rPr>
                <w:sz w:val="20"/>
                <w:szCs w:val="20"/>
                <w:color w:val="auto"/>
              </w:rPr>
            </w:pPr>
            <w:r>
              <w:rPr>
                <w:rFonts w:ascii="Arial" w:cs="Arial" w:eastAsia="Arial" w:hAnsi="Arial"/>
                <w:sz w:val="18"/>
                <w:szCs w:val="18"/>
                <w:b w:val="1"/>
                <w:bCs w:val="1"/>
                <w:color w:val="auto"/>
              </w:rPr>
              <w:t>to</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Year Ended 31</w:t>
            </w:r>
          </w:p>
        </w:tc>
        <w:tc>
          <w:tcPr>
            <w:tcW w:w="0" w:type="dxa"/>
            <w:vAlign w:val="bottom"/>
          </w:tcPr>
          <w:p>
            <w:pPr>
              <w:spacing w:after="0"/>
              <w:rPr>
                <w:sz w:val="1"/>
                <w:szCs w:val="1"/>
                <w:color w:val="auto"/>
              </w:rPr>
            </w:pPr>
          </w:p>
        </w:tc>
      </w:tr>
      <w:tr>
        <w:trPr>
          <w:trHeight w:val="247"/>
        </w:trPr>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80" w:type="dxa"/>
            <w:vAlign w:val="bottom"/>
          </w:tcPr>
          <w:p>
            <w:pPr>
              <w:jc w:val="right"/>
              <w:ind w:right="130"/>
              <w:spacing w:after="0"/>
              <w:rPr>
                <w:sz w:val="20"/>
                <w:szCs w:val="20"/>
                <w:color w:val="auto"/>
              </w:rPr>
            </w:pPr>
            <w:r>
              <w:rPr>
                <w:rFonts w:ascii="Arial" w:cs="Arial" w:eastAsia="Arial" w:hAnsi="Arial"/>
                <w:sz w:val="18"/>
                <w:szCs w:val="18"/>
                <w:b w:val="1"/>
                <w:bCs w:val="1"/>
                <w:color w:val="auto"/>
              </w:rPr>
              <w:t>5 March 2025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December 2023</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i w:val="1"/>
                <w:iCs w:val="1"/>
                <w:color w:val="auto"/>
                <w:w w:val="99"/>
              </w:rPr>
              <w:t>Note</w:t>
            </w:r>
          </w:p>
        </w:tc>
        <w:tc>
          <w:tcPr>
            <w:tcW w:w="228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513"/>
        </w:trPr>
        <w:tc>
          <w:tcPr>
            <w:tcW w:w="5700" w:type="dxa"/>
            <w:vAlign w:val="bottom"/>
          </w:tcPr>
          <w:p>
            <w:pPr>
              <w:spacing w:after="0"/>
              <w:rPr>
                <w:sz w:val="20"/>
                <w:szCs w:val="20"/>
                <w:color w:val="auto"/>
              </w:rPr>
            </w:pPr>
            <w:r>
              <w:rPr>
                <w:rFonts w:ascii="Arial" w:cs="Arial" w:eastAsia="Arial" w:hAnsi="Arial"/>
                <w:sz w:val="18"/>
                <w:szCs w:val="18"/>
                <w:b w:val="1"/>
                <w:bCs w:val="1"/>
                <w:color w:val="auto"/>
              </w:rPr>
              <w:t>Profit / (loss) for the financial period / year</w:t>
            </w:r>
          </w:p>
        </w:tc>
        <w:tc>
          <w:tcPr>
            <w:tcW w:w="1600" w:type="dxa"/>
            <w:vAlign w:val="bottom"/>
          </w:tcPr>
          <w:p>
            <w:pPr>
              <w:spacing w:after="0"/>
              <w:rPr>
                <w:sz w:val="24"/>
                <w:szCs w:val="24"/>
                <w:color w:val="auto"/>
              </w:rPr>
            </w:pP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664,750</w:t>
            </w:r>
          </w:p>
        </w:tc>
        <w:tc>
          <w:tcPr>
            <w:tcW w:w="1580" w:type="dxa"/>
            <w:vAlign w:val="bottom"/>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513"/>
        </w:trPr>
        <w:tc>
          <w:tcPr>
            <w:tcW w:w="5700" w:type="dxa"/>
            <w:vAlign w:val="bottom"/>
          </w:tcPr>
          <w:p>
            <w:pPr>
              <w:spacing w:after="0"/>
              <w:rPr>
                <w:sz w:val="20"/>
                <w:szCs w:val="20"/>
                <w:color w:val="auto"/>
              </w:rPr>
            </w:pPr>
            <w:r>
              <w:rPr>
                <w:rFonts w:ascii="Arial" w:cs="Arial" w:eastAsia="Arial" w:hAnsi="Arial"/>
                <w:sz w:val="18"/>
                <w:szCs w:val="18"/>
                <w:b w:val="1"/>
                <w:bCs w:val="1"/>
                <w:color w:val="auto"/>
              </w:rPr>
              <w:t>Other Comprehensive (loss) / income</w:t>
            </w: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700" w:type="dxa"/>
            <w:vAlign w:val="bottom"/>
          </w:tcPr>
          <w:p>
            <w:pPr>
              <w:ind w:left="100"/>
              <w:spacing w:after="0"/>
              <w:rPr>
                <w:sz w:val="20"/>
                <w:szCs w:val="20"/>
                <w:color w:val="auto"/>
              </w:rPr>
            </w:pPr>
            <w:r>
              <w:rPr>
                <w:rFonts w:ascii="Arial" w:cs="Arial" w:eastAsia="Arial" w:hAnsi="Arial"/>
                <w:sz w:val="18"/>
                <w:szCs w:val="18"/>
                <w:color w:val="auto"/>
              </w:rPr>
              <w:t>Currency translation differences</w:t>
            </w:r>
          </w:p>
        </w:tc>
        <w:tc>
          <w:tcPr>
            <w:tcW w:w="1600" w:type="dxa"/>
            <w:vAlign w:val="bottom"/>
          </w:tcPr>
          <w:p>
            <w:pPr>
              <w:jc w:val="right"/>
              <w:ind w:right="670"/>
              <w:spacing w:after="0"/>
              <w:rPr>
                <w:sz w:val="20"/>
                <w:szCs w:val="20"/>
                <w:color w:val="auto"/>
              </w:rPr>
            </w:pPr>
            <w:r>
              <w:rPr>
                <w:rFonts w:ascii="Arial" w:cs="Arial" w:eastAsia="Arial" w:hAnsi="Arial"/>
                <w:sz w:val="18"/>
                <w:szCs w:val="18"/>
                <w:i w:val="1"/>
                <w:iCs w:val="1"/>
                <w:color w:val="auto"/>
              </w:rPr>
              <w:t>17</w:t>
            </w:r>
          </w:p>
        </w:tc>
        <w:tc>
          <w:tcPr>
            <w:tcW w:w="2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55"/>
        </w:trPr>
        <w:tc>
          <w:tcPr>
            <w:tcW w:w="5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80" w:type="dxa"/>
            <w:vAlign w:val="bottom"/>
          </w:tcPr>
          <w:p>
            <w:pPr>
              <w:jc w:val="right"/>
              <w:ind w:right="110"/>
              <w:spacing w:after="0"/>
              <w:rPr>
                <w:sz w:val="20"/>
                <w:szCs w:val="20"/>
                <w:color w:val="auto"/>
              </w:rPr>
            </w:pPr>
            <w:r>
              <w:rPr>
                <w:rFonts w:ascii="Arial" w:cs="Arial" w:eastAsia="Arial" w:hAnsi="Arial"/>
                <w:sz w:val="18"/>
                <w:szCs w:val="18"/>
                <w:b w:val="1"/>
                <w:bCs w:val="1"/>
                <w:color w:val="auto"/>
              </w:rPr>
              <w:t>(333)</w:t>
            </w:r>
          </w:p>
        </w:tc>
        <w:tc>
          <w:tcPr>
            <w:tcW w:w="158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528"/>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 / (loss) for the financial period /</w:t>
            </w:r>
          </w:p>
        </w:tc>
        <w:tc>
          <w:tcPr>
            <w:tcW w:w="16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70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2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664,417</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40"/>
        </w:trPr>
        <w:tc>
          <w:tcPr>
            <w:tcW w:w="57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600" w:type="dxa"/>
            <w:vAlign w:val="bottom"/>
          </w:tcPr>
          <w:p>
            <w:pPr>
              <w:spacing w:after="0"/>
              <w:rPr>
                <w:sz w:val="20"/>
                <w:szCs w:val="20"/>
                <w:color w:val="auto"/>
              </w:rPr>
            </w:pPr>
          </w:p>
        </w:tc>
        <w:tc>
          <w:tcPr>
            <w:tcW w:w="228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Unaudited interim statement of financial position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 at 5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180" w:type="dxa"/>
            <w:vAlign w:val="bottom"/>
          </w:tcPr>
          <w:p>
            <w:pPr>
              <w:jc w:val="right"/>
              <w:ind w:right="510"/>
              <w:spacing w:after="0"/>
              <w:rPr>
                <w:sz w:val="20"/>
                <w:szCs w:val="20"/>
                <w:color w:val="auto"/>
              </w:rPr>
            </w:pPr>
            <w:r>
              <w:rPr>
                <w:rFonts w:ascii="Arial" w:cs="Arial" w:eastAsia="Arial" w:hAnsi="Arial"/>
                <w:sz w:val="18"/>
                <w:szCs w:val="18"/>
                <w:b w:val="1"/>
                <w:bCs w:val="1"/>
                <w:i w:val="1"/>
                <w:iCs w:val="1"/>
                <w:color w:val="auto"/>
              </w:rPr>
              <w:t>Note</w:t>
            </w: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As at</w:t>
            </w:r>
          </w:p>
        </w:tc>
        <w:tc>
          <w:tcPr>
            <w:tcW w:w="1980" w:type="dxa"/>
            <w:vAlign w:val="bottom"/>
          </w:tcPr>
          <w:p>
            <w:pPr>
              <w:jc w:val="right"/>
              <w:spacing w:after="0"/>
              <w:rPr>
                <w:sz w:val="20"/>
                <w:szCs w:val="20"/>
                <w:color w:val="auto"/>
              </w:rPr>
            </w:pPr>
            <w:r>
              <w:rPr>
                <w:rFonts w:ascii="Arial" w:cs="Arial" w:eastAsia="Arial" w:hAnsi="Arial"/>
                <w:sz w:val="18"/>
                <w:szCs w:val="18"/>
                <w:color w:val="auto"/>
              </w:rPr>
              <w:t>As at</w:t>
            </w:r>
          </w:p>
        </w:tc>
      </w:tr>
      <w:tr>
        <w:trPr>
          <w:trHeight w:val="243"/>
        </w:trPr>
        <w:tc>
          <w:tcPr>
            <w:tcW w:w="48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5 March 2025</w:t>
            </w:r>
          </w:p>
        </w:tc>
        <w:tc>
          <w:tcPr>
            <w:tcW w:w="198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43"/>
        </w:trPr>
        <w:tc>
          <w:tcPr>
            <w:tcW w:w="4800" w:type="dxa"/>
            <w:vAlign w:val="bottom"/>
          </w:tcPr>
          <w:p>
            <w:pPr>
              <w:ind w:left="80"/>
              <w:spacing w:after="0"/>
              <w:rPr>
                <w:sz w:val="20"/>
                <w:szCs w:val="20"/>
                <w:color w:val="auto"/>
              </w:rPr>
            </w:pPr>
            <w:r>
              <w:rPr>
                <w:rFonts w:ascii="Arial" w:cs="Arial" w:eastAsia="Arial" w:hAnsi="Arial"/>
                <w:sz w:val="18"/>
                <w:szCs w:val="18"/>
                <w:b w:val="1"/>
                <w:bCs w:val="1"/>
                <w:color w:val="auto"/>
              </w:rPr>
              <w:t>ASSETS</w:t>
            </w:r>
          </w:p>
        </w:tc>
        <w:tc>
          <w:tcPr>
            <w:tcW w:w="2180" w:type="dxa"/>
            <w:vAlign w:val="bottom"/>
          </w:tcPr>
          <w:p>
            <w:pPr>
              <w:spacing w:after="0"/>
              <w:rPr>
                <w:sz w:val="21"/>
                <w:szCs w:val="21"/>
                <w:color w:val="auto"/>
              </w:rPr>
            </w:pP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9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4800" w:type="dxa"/>
            <w:vAlign w:val="bottom"/>
          </w:tcPr>
          <w:p>
            <w:pPr>
              <w:ind w:left="80"/>
              <w:spacing w:after="0"/>
              <w:rPr>
                <w:sz w:val="20"/>
                <w:szCs w:val="20"/>
                <w:color w:val="auto"/>
              </w:rPr>
            </w:pPr>
            <w:r>
              <w:rPr>
                <w:rFonts w:ascii="Arial" w:cs="Arial" w:eastAsia="Arial" w:hAnsi="Arial"/>
                <w:sz w:val="18"/>
                <w:szCs w:val="18"/>
                <w:b w:val="1"/>
                <w:bCs w:val="1"/>
                <w:color w:val="auto"/>
              </w:rPr>
              <w:t>Non-current assets</w:t>
            </w:r>
          </w:p>
        </w:tc>
        <w:tc>
          <w:tcPr>
            <w:tcW w:w="21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180" w:type="dxa"/>
            <w:vAlign w:val="bottom"/>
          </w:tcPr>
          <w:p>
            <w:pPr>
              <w:jc w:val="center"/>
              <w:ind w:left="490"/>
              <w:spacing w:after="0"/>
              <w:rPr>
                <w:sz w:val="20"/>
                <w:szCs w:val="20"/>
                <w:color w:val="auto"/>
              </w:rPr>
            </w:pPr>
            <w:r>
              <w:rPr>
                <w:rFonts w:ascii="Arial" w:cs="Arial" w:eastAsia="Arial" w:hAnsi="Arial"/>
                <w:sz w:val="18"/>
                <w:szCs w:val="18"/>
                <w:i w:val="1"/>
                <w:iCs w:val="1"/>
                <w:color w:val="auto"/>
                <w:w w:val="99"/>
              </w:rPr>
              <w:t>10</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509</w:t>
            </w:r>
          </w:p>
        </w:tc>
        <w:tc>
          <w:tcPr>
            <w:tcW w:w="19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180" w:type="dxa"/>
            <w:vAlign w:val="bottom"/>
          </w:tcPr>
          <w:p>
            <w:pPr>
              <w:jc w:val="center"/>
              <w:ind w:left="510"/>
              <w:spacing w:after="0"/>
              <w:rPr>
                <w:sz w:val="20"/>
                <w:szCs w:val="20"/>
                <w:color w:val="auto"/>
              </w:rPr>
            </w:pPr>
            <w:r>
              <w:rPr>
                <w:rFonts w:ascii="Arial" w:cs="Arial" w:eastAsia="Arial" w:hAnsi="Arial"/>
                <w:sz w:val="18"/>
                <w:szCs w:val="18"/>
                <w:i w:val="1"/>
                <w:iCs w:val="1"/>
                <w:color w:val="auto"/>
                <w:w w:val="89"/>
              </w:rPr>
              <w:t>11</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5,628</w:t>
            </w:r>
          </w:p>
        </w:tc>
        <w:tc>
          <w:tcPr>
            <w:tcW w:w="1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Investment in subsidiaries</w:t>
            </w:r>
          </w:p>
        </w:tc>
        <w:tc>
          <w:tcPr>
            <w:tcW w:w="2180" w:type="dxa"/>
            <w:vAlign w:val="bottom"/>
          </w:tcPr>
          <w:p>
            <w:pPr>
              <w:jc w:val="center"/>
              <w:ind w:left="490"/>
              <w:spacing w:after="0"/>
              <w:rPr>
                <w:sz w:val="20"/>
                <w:szCs w:val="20"/>
                <w:color w:val="auto"/>
              </w:rPr>
            </w:pPr>
            <w:r>
              <w:rPr>
                <w:rFonts w:ascii="Arial" w:cs="Arial" w:eastAsia="Arial" w:hAnsi="Arial"/>
                <w:sz w:val="18"/>
                <w:szCs w:val="18"/>
                <w:i w:val="1"/>
                <w:iCs w:val="1"/>
                <w:color w:val="auto"/>
                <w:w w:val="99"/>
              </w:rPr>
              <w:t>12</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7,125,001</w:t>
            </w:r>
          </w:p>
        </w:tc>
        <w:tc>
          <w:tcPr>
            <w:tcW w:w="1980" w:type="dxa"/>
            <w:vAlign w:val="bottom"/>
          </w:tcPr>
          <w:p>
            <w:pPr>
              <w:jc w:val="right"/>
              <w:spacing w:after="0"/>
              <w:rPr>
                <w:sz w:val="20"/>
                <w:szCs w:val="20"/>
                <w:color w:val="auto"/>
              </w:rPr>
            </w:pPr>
            <w:r>
              <w:rPr>
                <w:rFonts w:ascii="Arial" w:cs="Arial" w:eastAsia="Arial" w:hAnsi="Arial"/>
                <w:sz w:val="18"/>
                <w:szCs w:val="18"/>
                <w:color w:val="auto"/>
              </w:rPr>
              <w:t>7,149,445</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18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14</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Other non-current asset</w:t>
            </w:r>
          </w:p>
        </w:tc>
        <w:tc>
          <w:tcPr>
            <w:tcW w:w="218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tax asset</w:t>
            </w:r>
          </w:p>
        </w:tc>
        <w:tc>
          <w:tcPr>
            <w:tcW w:w="21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i w:val="1"/>
                <w:iCs w:val="1"/>
                <w:color w:val="auto"/>
                <w:w w:val="99"/>
              </w:rPr>
              <w:t>8</w:t>
            </w: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388</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3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non-current assets</w:t>
            </w: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242828"/>
              </w:rPr>
              <w:t>7,131,540</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7,150,206</w:t>
            </w:r>
          </w:p>
        </w:tc>
      </w:tr>
      <w:tr>
        <w:trPr>
          <w:trHeight w:val="474"/>
        </w:trPr>
        <w:tc>
          <w:tcPr>
            <w:tcW w:w="4800" w:type="dxa"/>
            <w:vAlign w:val="bottom"/>
          </w:tcPr>
          <w:p>
            <w:pPr>
              <w:ind w:left="80"/>
              <w:spacing w:after="0"/>
              <w:rPr>
                <w:sz w:val="20"/>
                <w:szCs w:val="20"/>
                <w:color w:val="auto"/>
              </w:rPr>
            </w:pPr>
            <w:r>
              <w:rPr>
                <w:rFonts w:ascii="Arial" w:cs="Arial" w:eastAsia="Arial" w:hAnsi="Arial"/>
                <w:sz w:val="18"/>
                <w:szCs w:val="18"/>
                <w:b w:val="1"/>
                <w:bCs w:val="1"/>
                <w:color w:val="auto"/>
              </w:rPr>
              <w:t>Current assets</w:t>
            </w:r>
          </w:p>
        </w:tc>
        <w:tc>
          <w:tcPr>
            <w:tcW w:w="2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180" w:type="dxa"/>
            <w:vAlign w:val="bottom"/>
          </w:tcPr>
          <w:p>
            <w:pPr>
              <w:jc w:val="center"/>
              <w:ind w:left="490"/>
              <w:spacing w:after="0"/>
              <w:rPr>
                <w:sz w:val="20"/>
                <w:szCs w:val="20"/>
                <w:color w:val="auto"/>
              </w:rPr>
            </w:pPr>
            <w:r>
              <w:rPr>
                <w:rFonts w:ascii="Arial" w:cs="Arial" w:eastAsia="Arial" w:hAnsi="Arial"/>
                <w:sz w:val="18"/>
                <w:szCs w:val="18"/>
                <w:i w:val="1"/>
                <w:iCs w:val="1"/>
                <w:color w:val="auto"/>
                <w:w w:val="99"/>
              </w:rPr>
              <w:t>13</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657</w:t>
            </w:r>
          </w:p>
        </w:tc>
        <w:tc>
          <w:tcPr>
            <w:tcW w:w="198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43"/>
        </w:trPr>
        <w:tc>
          <w:tcPr>
            <w:tcW w:w="4800" w:type="dxa"/>
            <w:vAlign w:val="bottom"/>
          </w:tcPr>
          <w:p>
            <w:pPr>
              <w:ind w:left="160"/>
              <w:spacing w:after="0"/>
              <w:rPr>
                <w:sz w:val="20"/>
                <w:szCs w:val="20"/>
                <w:color w:val="auto"/>
              </w:rPr>
            </w:pPr>
            <w:r>
              <w:rPr>
                <w:rFonts w:ascii="Arial" w:cs="Arial" w:eastAsia="Arial" w:hAnsi="Arial"/>
                <w:sz w:val="18"/>
                <w:szCs w:val="18"/>
                <w:color w:val="auto"/>
              </w:rPr>
              <w:t>Amounts due from subsidiary undertakings</w:t>
            </w:r>
          </w:p>
        </w:tc>
        <w:tc>
          <w:tcPr>
            <w:tcW w:w="2180" w:type="dxa"/>
            <w:vAlign w:val="bottom"/>
          </w:tcPr>
          <w:p>
            <w:pPr>
              <w:jc w:val="center"/>
              <w:ind w:left="490"/>
              <w:spacing w:after="0"/>
              <w:rPr>
                <w:sz w:val="20"/>
                <w:szCs w:val="20"/>
                <w:color w:val="auto"/>
              </w:rPr>
            </w:pPr>
            <w:r>
              <w:rPr>
                <w:rFonts w:ascii="Arial" w:cs="Arial" w:eastAsia="Arial" w:hAnsi="Arial"/>
                <w:sz w:val="18"/>
                <w:szCs w:val="18"/>
                <w:i w:val="1"/>
                <w:iCs w:val="1"/>
                <w:color w:val="auto"/>
                <w:w w:val="99"/>
              </w:rPr>
              <w:t>14</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231,912</w:t>
            </w:r>
          </w:p>
        </w:tc>
        <w:tc>
          <w:tcPr>
            <w:tcW w:w="1980" w:type="dxa"/>
            <w:vAlign w:val="bottom"/>
          </w:tcPr>
          <w:p>
            <w:pPr>
              <w:jc w:val="right"/>
              <w:spacing w:after="0"/>
              <w:rPr>
                <w:sz w:val="20"/>
                <w:szCs w:val="20"/>
                <w:color w:val="auto"/>
              </w:rPr>
            </w:pPr>
            <w:r>
              <w:rPr>
                <w:rFonts w:ascii="Arial" w:cs="Arial" w:eastAsia="Arial" w:hAnsi="Arial"/>
                <w:sz w:val="18"/>
                <w:szCs w:val="18"/>
                <w:color w:val="auto"/>
              </w:rPr>
              <w:t>191,711</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18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Cash and cash equivalents</w:t>
            </w:r>
          </w:p>
        </w:tc>
        <w:tc>
          <w:tcPr>
            <w:tcW w:w="21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250,642</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r>
      <w:tr>
        <w:trPr>
          <w:trHeight w:val="23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current assets</w:t>
            </w: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483,211</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201,459</w:t>
            </w:r>
          </w:p>
        </w:tc>
      </w:tr>
      <w:tr>
        <w:trPr>
          <w:trHeight w:val="236"/>
        </w:trPr>
        <w:tc>
          <w:tcPr>
            <w:tcW w:w="48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r>
      <w:tr>
        <w:trPr>
          <w:trHeight w:val="23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assets</w:t>
            </w: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7,614,751</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7,351,665</w:t>
            </w:r>
          </w:p>
        </w:tc>
      </w:tr>
      <w:tr>
        <w:trPr>
          <w:trHeight w:val="717"/>
        </w:trPr>
        <w:tc>
          <w:tcPr>
            <w:tcW w:w="4800" w:type="dxa"/>
            <w:vAlign w:val="bottom"/>
          </w:tcPr>
          <w:p>
            <w:pPr>
              <w:ind w:left="80"/>
              <w:spacing w:after="0"/>
              <w:rPr>
                <w:sz w:val="20"/>
                <w:szCs w:val="20"/>
                <w:color w:val="auto"/>
              </w:rPr>
            </w:pPr>
            <w:r>
              <w:rPr>
                <w:rFonts w:ascii="Arial" w:cs="Arial" w:eastAsia="Arial" w:hAnsi="Arial"/>
                <w:sz w:val="18"/>
                <w:szCs w:val="18"/>
                <w:b w:val="1"/>
                <w:bCs w:val="1"/>
                <w:color w:val="auto"/>
              </w:rPr>
              <w:t>EQUITY</w:t>
            </w:r>
          </w:p>
        </w:tc>
        <w:tc>
          <w:tcPr>
            <w:tcW w:w="2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Share capital</w:t>
            </w:r>
          </w:p>
        </w:tc>
        <w:tc>
          <w:tcPr>
            <w:tcW w:w="2180" w:type="dxa"/>
            <w:vAlign w:val="bottom"/>
          </w:tcPr>
          <w:p>
            <w:pPr>
              <w:jc w:val="right"/>
              <w:ind w:right="510"/>
              <w:spacing w:after="0"/>
              <w:rPr>
                <w:sz w:val="20"/>
                <w:szCs w:val="20"/>
                <w:color w:val="auto"/>
              </w:rPr>
            </w:pPr>
            <w:r>
              <w:rPr>
                <w:rFonts w:ascii="Arial" w:cs="Arial" w:eastAsia="Arial" w:hAnsi="Arial"/>
                <w:sz w:val="18"/>
                <w:szCs w:val="18"/>
                <w:i w:val="1"/>
                <w:iCs w:val="1"/>
                <w:color w:val="auto"/>
              </w:rPr>
              <w:t>16</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6,589</w:t>
            </w:r>
          </w:p>
        </w:tc>
        <w:tc>
          <w:tcPr>
            <w:tcW w:w="1980" w:type="dxa"/>
            <w:vAlign w:val="bottom"/>
          </w:tcPr>
          <w:p>
            <w:pPr>
              <w:jc w:val="right"/>
              <w:spacing w:after="0"/>
              <w:rPr>
                <w:sz w:val="20"/>
                <w:szCs w:val="20"/>
                <w:color w:val="auto"/>
              </w:rPr>
            </w:pPr>
            <w:r>
              <w:rPr>
                <w:rFonts w:ascii="Arial" w:cs="Arial" w:eastAsia="Arial" w:hAnsi="Arial"/>
                <w:sz w:val="18"/>
                <w:szCs w:val="18"/>
                <w:color w:val="auto"/>
              </w:rPr>
              <w:t>6,699</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Share premium</w:t>
            </w:r>
          </w:p>
        </w:tc>
        <w:tc>
          <w:tcPr>
            <w:tcW w:w="218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561,626</w:t>
            </w:r>
          </w:p>
        </w:tc>
        <w:tc>
          <w:tcPr>
            <w:tcW w:w="1980" w:type="dxa"/>
            <w:vAlign w:val="bottom"/>
          </w:tcPr>
          <w:p>
            <w:pPr>
              <w:jc w:val="right"/>
              <w:spacing w:after="0"/>
              <w:rPr>
                <w:sz w:val="20"/>
                <w:szCs w:val="20"/>
                <w:color w:val="auto"/>
              </w:rPr>
            </w:pPr>
            <w:r>
              <w:rPr>
                <w:rFonts w:ascii="Arial" w:cs="Arial" w:eastAsia="Arial" w:hAnsi="Arial"/>
                <w:sz w:val="18"/>
                <w:szCs w:val="18"/>
                <w:color w:val="auto"/>
              </w:rPr>
              <w:t>523,646</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Merger reserve</w:t>
            </w:r>
          </w:p>
        </w:tc>
        <w:tc>
          <w:tcPr>
            <w:tcW w:w="2180" w:type="dxa"/>
            <w:vAlign w:val="bottom"/>
          </w:tcPr>
          <w:p>
            <w:pPr>
              <w:jc w:val="right"/>
              <w:ind w:right="510"/>
              <w:spacing w:after="0"/>
              <w:rPr>
                <w:sz w:val="20"/>
                <w:szCs w:val="20"/>
                <w:color w:val="auto"/>
              </w:rPr>
            </w:pPr>
            <w:r>
              <w:rPr>
                <w:rFonts w:ascii="Arial" w:cs="Arial" w:eastAsia="Arial" w:hAnsi="Arial"/>
                <w:sz w:val="18"/>
                <w:szCs w:val="18"/>
                <w:i w:val="1"/>
                <w:iCs w:val="1"/>
                <w:color w:val="auto"/>
              </w:rPr>
              <w:t>17</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5,656,195</w:t>
            </w:r>
          </w:p>
        </w:tc>
        <w:tc>
          <w:tcPr>
            <w:tcW w:w="1980" w:type="dxa"/>
            <w:vAlign w:val="bottom"/>
          </w:tcPr>
          <w:p>
            <w:pPr>
              <w:jc w:val="right"/>
              <w:spacing w:after="0"/>
              <w:rPr>
                <w:sz w:val="20"/>
                <w:szCs w:val="20"/>
                <w:color w:val="auto"/>
              </w:rPr>
            </w:pPr>
            <w:r>
              <w:rPr>
                <w:rFonts w:ascii="Arial" w:cs="Arial" w:eastAsia="Arial" w:hAnsi="Arial"/>
                <w:sz w:val="18"/>
                <w:szCs w:val="18"/>
                <w:color w:val="auto"/>
              </w:rPr>
              <w:t>5,656,195</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Other undenominated capital</w:t>
            </w:r>
          </w:p>
        </w:tc>
        <w:tc>
          <w:tcPr>
            <w:tcW w:w="2180" w:type="dxa"/>
            <w:vAlign w:val="bottom"/>
          </w:tcPr>
          <w:p>
            <w:pPr>
              <w:jc w:val="right"/>
              <w:ind w:right="510"/>
              <w:spacing w:after="0"/>
              <w:rPr>
                <w:sz w:val="20"/>
                <w:szCs w:val="20"/>
                <w:color w:val="auto"/>
              </w:rPr>
            </w:pPr>
            <w:r>
              <w:rPr>
                <w:rFonts w:ascii="Arial" w:cs="Arial" w:eastAsia="Arial" w:hAnsi="Arial"/>
                <w:sz w:val="18"/>
                <w:szCs w:val="18"/>
                <w:i w:val="1"/>
                <w:iCs w:val="1"/>
                <w:color w:val="auto"/>
              </w:rPr>
              <w:t>17</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1,304</w:t>
            </w:r>
          </w:p>
        </w:tc>
        <w:tc>
          <w:tcPr>
            <w:tcW w:w="198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Share-based payment reserve</w:t>
            </w:r>
          </w:p>
        </w:tc>
        <w:tc>
          <w:tcPr>
            <w:tcW w:w="2180" w:type="dxa"/>
            <w:vAlign w:val="bottom"/>
          </w:tcPr>
          <w:p>
            <w:pPr>
              <w:jc w:val="right"/>
              <w:ind w:right="510"/>
              <w:spacing w:after="0"/>
              <w:rPr>
                <w:sz w:val="20"/>
                <w:szCs w:val="20"/>
                <w:color w:val="auto"/>
              </w:rPr>
            </w:pPr>
            <w:r>
              <w:rPr>
                <w:rFonts w:ascii="Arial" w:cs="Arial" w:eastAsia="Arial" w:hAnsi="Arial"/>
                <w:sz w:val="18"/>
                <w:szCs w:val="18"/>
                <w:i w:val="1"/>
                <w:iCs w:val="1"/>
                <w:color w:val="auto"/>
              </w:rPr>
              <w:t>17</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279,349</w:t>
            </w:r>
          </w:p>
        </w:tc>
        <w:tc>
          <w:tcPr>
            <w:tcW w:w="1980" w:type="dxa"/>
            <w:vAlign w:val="bottom"/>
          </w:tcPr>
          <w:p>
            <w:pPr>
              <w:jc w:val="right"/>
              <w:spacing w:after="0"/>
              <w:rPr>
                <w:sz w:val="20"/>
                <w:szCs w:val="20"/>
                <w:color w:val="auto"/>
              </w:rPr>
            </w:pPr>
            <w:r>
              <w:rPr>
                <w:rFonts w:ascii="Arial" w:cs="Arial" w:eastAsia="Arial" w:hAnsi="Arial"/>
                <w:sz w:val="18"/>
                <w:szCs w:val="18"/>
                <w:color w:val="auto"/>
              </w:rPr>
              <w:t>282,520</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Other reserve</w:t>
            </w:r>
          </w:p>
        </w:tc>
        <w:tc>
          <w:tcPr>
            <w:tcW w:w="2180" w:type="dxa"/>
            <w:vAlign w:val="bottom"/>
          </w:tcPr>
          <w:p>
            <w:pPr>
              <w:jc w:val="right"/>
              <w:ind w:right="510"/>
              <w:spacing w:after="0"/>
              <w:rPr>
                <w:sz w:val="20"/>
                <w:szCs w:val="20"/>
                <w:color w:val="auto"/>
              </w:rPr>
            </w:pPr>
            <w:r>
              <w:rPr>
                <w:rFonts w:ascii="Arial" w:cs="Arial" w:eastAsia="Arial" w:hAnsi="Arial"/>
                <w:sz w:val="18"/>
                <w:szCs w:val="18"/>
                <w:i w:val="1"/>
                <w:iCs w:val="1"/>
                <w:color w:val="auto"/>
              </w:rPr>
              <w:t>17</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27,405</w:t>
            </w:r>
          </w:p>
        </w:tc>
        <w:tc>
          <w:tcPr>
            <w:tcW w:w="1980" w:type="dxa"/>
            <w:vAlign w:val="bottom"/>
          </w:tcPr>
          <w:p>
            <w:pPr>
              <w:jc w:val="right"/>
              <w:spacing w:after="0"/>
              <w:rPr>
                <w:sz w:val="20"/>
                <w:szCs w:val="20"/>
                <w:color w:val="auto"/>
              </w:rPr>
            </w:pPr>
            <w:r>
              <w:rPr>
                <w:rFonts w:ascii="Arial" w:cs="Arial" w:eastAsia="Arial" w:hAnsi="Arial"/>
                <w:sz w:val="18"/>
                <w:szCs w:val="18"/>
                <w:color w:val="auto"/>
              </w:rPr>
              <w:t>27,405</w:t>
            </w:r>
          </w:p>
        </w:tc>
      </w:tr>
      <w:tr>
        <w:trPr>
          <w:trHeight w:val="252"/>
        </w:trPr>
        <w:tc>
          <w:tcPr>
            <w:tcW w:w="4800" w:type="dxa"/>
            <w:vAlign w:val="bottom"/>
          </w:tcPr>
          <w:p>
            <w:pPr>
              <w:ind w:left="180"/>
              <w:spacing w:after="0"/>
              <w:rPr>
                <w:sz w:val="20"/>
                <w:szCs w:val="20"/>
                <w:color w:val="auto"/>
              </w:rPr>
            </w:pPr>
            <w:r>
              <w:rPr>
                <w:rFonts w:ascii="Arial" w:cs="Arial" w:eastAsia="Arial" w:hAnsi="Arial"/>
                <w:sz w:val="18"/>
                <w:szCs w:val="18"/>
                <w:color w:val="auto"/>
              </w:rPr>
              <w:t>Foreign currency reserve</w:t>
            </w:r>
          </w:p>
        </w:tc>
        <w:tc>
          <w:tcPr>
            <w:tcW w:w="2180" w:type="dxa"/>
            <w:vAlign w:val="bottom"/>
          </w:tcPr>
          <w:p>
            <w:pPr>
              <w:jc w:val="right"/>
              <w:ind w:right="510"/>
              <w:spacing w:after="0"/>
              <w:rPr>
                <w:sz w:val="20"/>
                <w:szCs w:val="20"/>
                <w:color w:val="auto"/>
              </w:rPr>
            </w:pPr>
            <w:r>
              <w:rPr>
                <w:rFonts w:ascii="Arial" w:cs="Arial" w:eastAsia="Arial" w:hAnsi="Arial"/>
                <w:sz w:val="18"/>
                <w:szCs w:val="18"/>
                <w:i w:val="1"/>
                <w:iCs w:val="1"/>
                <w:color w:val="auto"/>
              </w:rPr>
              <w:t>17</w:t>
            </w:r>
          </w:p>
        </w:tc>
        <w:tc>
          <w:tcPr>
            <w:tcW w:w="2160" w:type="dxa"/>
            <w:vAlign w:val="bottom"/>
          </w:tcPr>
          <w:p>
            <w:pPr>
              <w:jc w:val="right"/>
              <w:ind w:right="310"/>
              <w:spacing w:after="0"/>
              <w:rPr>
                <w:sz w:val="20"/>
                <w:szCs w:val="20"/>
                <w:color w:val="auto"/>
              </w:rPr>
            </w:pPr>
            <w:r>
              <w:rPr>
                <w:rFonts w:ascii="Arial" w:cs="Arial" w:eastAsia="Arial" w:hAnsi="Arial"/>
                <w:sz w:val="18"/>
                <w:szCs w:val="18"/>
                <w:b w:val="1"/>
                <w:bCs w:val="1"/>
                <w:color w:val="auto"/>
              </w:rPr>
              <w:t>(113,181)</w:t>
            </w:r>
          </w:p>
        </w:tc>
        <w:tc>
          <w:tcPr>
            <w:tcW w:w="1980" w:type="dxa"/>
            <w:vAlign w:val="bottom"/>
          </w:tcPr>
          <w:p>
            <w:pPr>
              <w:jc w:val="right"/>
              <w:spacing w:after="0"/>
              <w:rPr>
                <w:sz w:val="20"/>
                <w:szCs w:val="20"/>
                <w:color w:val="auto"/>
              </w:rPr>
            </w:pPr>
            <w:r>
              <w:rPr>
                <w:rFonts w:ascii="Arial" w:cs="Arial" w:eastAsia="Arial" w:hAnsi="Arial"/>
                <w:sz w:val="18"/>
                <w:szCs w:val="18"/>
                <w:color w:val="auto"/>
              </w:rPr>
              <w:t>(112,848)</w:t>
            </w:r>
          </w:p>
        </w:tc>
      </w:tr>
      <w:tr>
        <w:trPr>
          <w:trHeight w:val="265"/>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Retained earnings</w:t>
            </w:r>
          </w:p>
        </w:tc>
        <w:tc>
          <w:tcPr>
            <w:tcW w:w="2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17</w:t>
            </w: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1,167,498</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949,128</w:t>
            </w:r>
          </w:p>
        </w:tc>
      </w:tr>
      <w:tr>
        <w:trPr>
          <w:trHeight w:val="23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equity attributable to equity holders</w:t>
            </w: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7,586,785</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7,333,907</w:t>
            </w:r>
          </w:p>
        </w:tc>
      </w:tr>
      <w:tr>
        <w:trPr>
          <w:trHeight w:val="474"/>
        </w:trPr>
        <w:tc>
          <w:tcPr>
            <w:tcW w:w="4800" w:type="dxa"/>
            <w:vAlign w:val="bottom"/>
          </w:tcPr>
          <w:p>
            <w:pPr>
              <w:ind w:left="80"/>
              <w:spacing w:after="0"/>
              <w:rPr>
                <w:sz w:val="20"/>
                <w:szCs w:val="20"/>
                <w:color w:val="auto"/>
              </w:rPr>
            </w:pPr>
            <w:r>
              <w:rPr>
                <w:rFonts w:ascii="Arial" w:cs="Arial" w:eastAsia="Arial" w:hAnsi="Arial"/>
                <w:sz w:val="18"/>
                <w:szCs w:val="18"/>
                <w:b w:val="1"/>
                <w:bCs w:val="1"/>
                <w:color w:val="auto"/>
              </w:rPr>
              <w:t>LIABILITIES</w:t>
            </w:r>
          </w:p>
        </w:tc>
        <w:tc>
          <w:tcPr>
            <w:tcW w:w="2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4800" w:type="dxa"/>
            <w:vAlign w:val="bottom"/>
          </w:tcPr>
          <w:p>
            <w:pPr>
              <w:ind w:left="80"/>
              <w:spacing w:after="0"/>
              <w:rPr>
                <w:sz w:val="20"/>
                <w:szCs w:val="20"/>
                <w:color w:val="auto"/>
              </w:rPr>
            </w:pPr>
            <w:r>
              <w:rPr>
                <w:rFonts w:ascii="Arial" w:cs="Arial" w:eastAsia="Arial" w:hAnsi="Arial"/>
                <w:sz w:val="18"/>
                <w:szCs w:val="18"/>
                <w:b w:val="1"/>
                <w:bCs w:val="1"/>
                <w:color w:val="auto"/>
              </w:rPr>
              <w:t>Non-current liabilities</w:t>
            </w:r>
          </w:p>
        </w:tc>
        <w:tc>
          <w:tcPr>
            <w:tcW w:w="21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48"/>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Non-current lease liabilities</w:t>
            </w:r>
          </w:p>
        </w:tc>
        <w:tc>
          <w:tcPr>
            <w:tcW w:w="2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19</w:t>
            </w: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5,579</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non-current liabilities</w:t>
            </w: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5,579</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74"/>
        </w:trPr>
        <w:tc>
          <w:tcPr>
            <w:tcW w:w="4800" w:type="dxa"/>
            <w:vAlign w:val="bottom"/>
          </w:tcPr>
          <w:p>
            <w:pPr>
              <w:ind w:left="80"/>
              <w:spacing w:after="0"/>
              <w:rPr>
                <w:sz w:val="20"/>
                <w:szCs w:val="20"/>
                <w:color w:val="auto"/>
              </w:rPr>
            </w:pPr>
            <w:r>
              <w:rPr>
                <w:rFonts w:ascii="Arial" w:cs="Arial" w:eastAsia="Arial" w:hAnsi="Arial"/>
                <w:sz w:val="18"/>
                <w:szCs w:val="18"/>
                <w:b w:val="1"/>
                <w:bCs w:val="1"/>
                <w:color w:val="auto"/>
              </w:rPr>
              <w:t>Current liabilities</w:t>
            </w:r>
          </w:p>
        </w:tc>
        <w:tc>
          <w:tcPr>
            <w:tcW w:w="2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4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180" w:type="dxa"/>
            <w:vAlign w:val="bottom"/>
          </w:tcPr>
          <w:p>
            <w:pPr>
              <w:spacing w:after="0"/>
              <w:rPr>
                <w:sz w:val="21"/>
                <w:szCs w:val="21"/>
                <w:color w:val="auto"/>
              </w:rPr>
            </w:pP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87</w:t>
            </w:r>
          </w:p>
        </w:tc>
        <w:tc>
          <w:tcPr>
            <w:tcW w:w="19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43"/>
        </w:trPr>
        <w:tc>
          <w:tcPr>
            <w:tcW w:w="4800" w:type="dxa"/>
            <w:vAlign w:val="bottom"/>
          </w:tcPr>
          <w:p>
            <w:pPr>
              <w:ind w:left="160"/>
              <w:spacing w:after="0"/>
              <w:rPr>
                <w:sz w:val="20"/>
                <w:szCs w:val="20"/>
                <w:color w:val="auto"/>
              </w:rPr>
            </w:pPr>
            <w:r>
              <w:rPr>
                <w:rFonts w:ascii="Arial" w:cs="Arial" w:eastAsia="Arial" w:hAnsi="Arial"/>
                <w:sz w:val="18"/>
                <w:szCs w:val="18"/>
                <w:color w:val="auto"/>
              </w:rPr>
              <w:t>Amounts due to subsidiary undertakings</w:t>
            </w:r>
          </w:p>
        </w:tc>
        <w:tc>
          <w:tcPr>
            <w:tcW w:w="2180" w:type="dxa"/>
            <w:vAlign w:val="bottom"/>
          </w:tcPr>
          <w:p>
            <w:pPr>
              <w:jc w:val="right"/>
              <w:ind w:right="510"/>
              <w:spacing w:after="0"/>
              <w:rPr>
                <w:sz w:val="20"/>
                <w:szCs w:val="20"/>
                <w:color w:val="auto"/>
              </w:rPr>
            </w:pPr>
            <w:r>
              <w:rPr>
                <w:rFonts w:ascii="Arial" w:cs="Arial" w:eastAsia="Arial" w:hAnsi="Arial"/>
                <w:sz w:val="18"/>
                <w:szCs w:val="18"/>
                <w:i w:val="1"/>
                <w:iCs w:val="1"/>
                <w:color w:val="auto"/>
              </w:rPr>
              <w:t>14</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3,744</w:t>
            </w:r>
          </w:p>
        </w:tc>
        <w:tc>
          <w:tcPr>
            <w:tcW w:w="198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43"/>
        </w:trPr>
        <w:tc>
          <w:tcPr>
            <w:tcW w:w="4800" w:type="dxa"/>
            <w:vAlign w:val="bottom"/>
          </w:tcPr>
          <w:p>
            <w:pPr>
              <w:ind w:left="160"/>
              <w:spacing w:after="0"/>
              <w:rPr>
                <w:sz w:val="20"/>
                <w:szCs w:val="20"/>
                <w:color w:val="auto"/>
              </w:rPr>
            </w:pPr>
            <w:r>
              <w:rPr>
                <w:rFonts w:ascii="Arial" w:cs="Arial" w:eastAsia="Arial" w:hAnsi="Arial"/>
                <w:sz w:val="18"/>
                <w:szCs w:val="18"/>
                <w:color w:val="auto"/>
              </w:rPr>
              <w:t>Accrued and other liabilities</w:t>
            </w:r>
          </w:p>
        </w:tc>
        <w:tc>
          <w:tcPr>
            <w:tcW w:w="2180" w:type="dxa"/>
            <w:vAlign w:val="bottom"/>
          </w:tcPr>
          <w:p>
            <w:pPr>
              <w:jc w:val="right"/>
              <w:ind w:right="510"/>
              <w:spacing w:after="0"/>
              <w:rPr>
                <w:sz w:val="20"/>
                <w:szCs w:val="20"/>
                <w:color w:val="auto"/>
              </w:rPr>
            </w:pPr>
            <w:r>
              <w:rPr>
                <w:rFonts w:ascii="Arial" w:cs="Arial" w:eastAsia="Arial" w:hAnsi="Arial"/>
                <w:sz w:val="18"/>
                <w:szCs w:val="18"/>
                <w:i w:val="1"/>
                <w:iCs w:val="1"/>
                <w:color w:val="auto"/>
              </w:rPr>
              <w:t>15</w:t>
            </w:r>
          </w:p>
        </w:tc>
        <w:tc>
          <w:tcPr>
            <w:tcW w:w="2160" w:type="dxa"/>
            <w:vAlign w:val="bottom"/>
          </w:tcPr>
          <w:p>
            <w:pPr>
              <w:jc w:val="right"/>
              <w:ind w:right="390"/>
              <w:spacing w:after="0"/>
              <w:rPr>
                <w:sz w:val="20"/>
                <w:szCs w:val="20"/>
                <w:color w:val="auto"/>
              </w:rPr>
            </w:pPr>
            <w:r>
              <w:rPr>
                <w:rFonts w:ascii="Arial" w:cs="Arial" w:eastAsia="Arial" w:hAnsi="Arial"/>
                <w:sz w:val="18"/>
                <w:szCs w:val="18"/>
                <w:b w:val="1"/>
                <w:bCs w:val="1"/>
                <w:color w:val="auto"/>
              </w:rPr>
              <w:t>7,870</w:t>
            </w:r>
          </w:p>
        </w:tc>
        <w:tc>
          <w:tcPr>
            <w:tcW w:w="1980" w:type="dxa"/>
            <w:vAlign w:val="bottom"/>
          </w:tcPr>
          <w:p>
            <w:pPr>
              <w:jc w:val="right"/>
              <w:spacing w:after="0"/>
              <w:rPr>
                <w:sz w:val="20"/>
                <w:szCs w:val="20"/>
                <w:color w:val="auto"/>
              </w:rPr>
            </w:pPr>
            <w:r>
              <w:rPr>
                <w:rFonts w:ascii="Arial" w:cs="Arial" w:eastAsia="Arial" w:hAnsi="Arial"/>
                <w:sz w:val="18"/>
                <w:szCs w:val="18"/>
                <w:color w:val="auto"/>
              </w:rPr>
              <w:t>16,517</w:t>
            </w:r>
          </w:p>
        </w:tc>
      </w:tr>
      <w:tr>
        <w:trPr>
          <w:trHeight w:val="248"/>
        </w:trPr>
        <w:tc>
          <w:tcPr>
            <w:tcW w:w="4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Current taxes payable</w:t>
            </w:r>
          </w:p>
        </w:tc>
        <w:tc>
          <w:tcPr>
            <w:tcW w:w="21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10,686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3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current liabilities</w:t>
            </w: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22,387</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17,758</w:t>
            </w:r>
          </w:p>
        </w:tc>
      </w:tr>
      <w:tr>
        <w:trPr>
          <w:trHeight w:val="236"/>
        </w:trPr>
        <w:tc>
          <w:tcPr>
            <w:tcW w:w="48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r>
      <w:tr>
        <w:trPr>
          <w:trHeight w:val="23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w:t>
            </w: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27,966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17,758</w:t>
            </w:r>
          </w:p>
        </w:tc>
      </w:tr>
      <w:tr>
        <w:trPr>
          <w:trHeight w:val="236"/>
        </w:trPr>
        <w:tc>
          <w:tcPr>
            <w:tcW w:w="48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r>
      <w:tr>
        <w:trPr>
          <w:trHeight w:val="237"/>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equity and liabilities</w:t>
            </w:r>
          </w:p>
        </w:tc>
        <w:tc>
          <w:tcPr>
            <w:tcW w:w="2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7,614,751</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7,351,665</w:t>
            </w:r>
          </w:p>
        </w:tc>
      </w:tr>
    </w:tbl>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behalf of the Board</w:t>
      </w:r>
    </w:p>
    <w:p>
      <w:pPr>
        <w:sectPr>
          <w:pgSz w:w="11900" w:h="16838" w:orient="portrait"/>
          <w:cols w:equalWidth="0" w:num="1">
            <w:col w:w="11220"/>
          </w:cols>
          <w:pgMar w:left="320" w:top="111" w:right="359" w:bottom="344" w:gutter="0" w:footer="0" w:header="0"/>
        </w:sectPr>
      </w:pPr>
    </w:p>
    <w:p>
      <w:pPr>
        <w:spacing w:after="0" w:line="29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Rónán Murphy</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Steve Cutler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ectPr>
          <w:pgSz w:w="11900" w:h="16838" w:orient="portrait"/>
          <w:cols w:equalWidth="0" w:num="2">
            <w:col w:w="4840" w:space="720"/>
            <w:col w:w="5660"/>
          </w:cols>
          <w:pgMar w:left="320" w:top="111" w:right="359" w:bottom="344"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526" w:right="1440" w:bottom="1440" w:gutter="0" w:footer="0" w:header="0"/>
        </w:sectPr>
      </w:pPr>
    </w:p>
    <w:bookmarkStart w:id="11" w:name="page12"/>
    <w:bookmarkEnd w:id="11"/>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statement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period ended 1 January 2024 to 5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Share</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Merger</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Foreign</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76"/>
        </w:trPr>
        <w:tc>
          <w:tcPr>
            <w:tcW w:w="2500" w:type="dxa"/>
            <w:vAlign w:val="bottom"/>
          </w:tcPr>
          <w:p>
            <w:pPr>
              <w:spacing w:after="0"/>
              <w:rPr>
                <w:sz w:val="15"/>
                <w:szCs w:val="15"/>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of shares</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Premium</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Reserve</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Unde-</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Based</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Reserve</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Currency</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62"/>
        </w:trPr>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nominated</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Payment</w:t>
            </w:r>
          </w:p>
        </w:tc>
        <w:tc>
          <w:tcPr>
            <w:tcW w:w="8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Reserve</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2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Reserve</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73"/>
        </w:trPr>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$’000</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$’000</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480"/>
        </w:trPr>
        <w:tc>
          <w:tcPr>
            <w:tcW w:w="2500" w:type="dxa"/>
            <w:vAlign w:val="bottom"/>
          </w:tcPr>
          <w:p>
            <w:pPr>
              <w:ind w:left="80"/>
              <w:spacing w:after="0"/>
              <w:rPr>
                <w:sz w:val="20"/>
                <w:szCs w:val="20"/>
                <w:color w:val="auto"/>
              </w:rPr>
            </w:pPr>
            <w:r>
              <w:rPr>
                <w:rFonts w:ascii="Arial" w:cs="Arial" w:eastAsia="Arial" w:hAnsi="Arial"/>
                <w:sz w:val="14"/>
                <w:szCs w:val="14"/>
                <w:color w:val="auto"/>
              </w:rPr>
              <w:t>Balance at 1 January 2024</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82,495,086</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6,699</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523,646</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5,656,195</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1,162</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282,520</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27,405</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(112,848)</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949,128</w:t>
            </w:r>
          </w:p>
        </w:tc>
        <w:tc>
          <w:tcPr>
            <w:tcW w:w="820" w:type="dxa"/>
            <w:vAlign w:val="bottom"/>
          </w:tcPr>
          <w:p>
            <w:pPr>
              <w:jc w:val="right"/>
              <w:spacing w:after="0"/>
              <w:rPr>
                <w:sz w:val="20"/>
                <w:szCs w:val="20"/>
                <w:color w:val="auto"/>
              </w:rPr>
            </w:pPr>
            <w:r>
              <w:rPr>
                <w:rFonts w:ascii="Arial" w:cs="Arial" w:eastAsia="Arial" w:hAnsi="Arial"/>
                <w:sz w:val="14"/>
                <w:szCs w:val="14"/>
                <w:color w:val="auto"/>
              </w:rPr>
              <w:t>7,333,907</w:t>
            </w:r>
          </w:p>
        </w:tc>
      </w:tr>
      <w:tr>
        <w:trPr>
          <w:trHeight w:val="473"/>
        </w:trPr>
        <w:tc>
          <w:tcPr>
            <w:tcW w:w="2500" w:type="dxa"/>
            <w:vAlign w:val="bottom"/>
          </w:tcPr>
          <w:p>
            <w:pPr>
              <w:ind w:left="80"/>
              <w:spacing w:after="0"/>
              <w:rPr>
                <w:sz w:val="20"/>
                <w:szCs w:val="20"/>
                <w:color w:val="auto"/>
              </w:rPr>
            </w:pPr>
            <w:r>
              <w:rPr>
                <w:rFonts w:ascii="Arial" w:cs="Arial" w:eastAsia="Arial" w:hAnsi="Arial"/>
                <w:sz w:val="14"/>
                <w:szCs w:val="14"/>
                <w:color w:val="auto"/>
              </w:rPr>
              <w:t>Profit for the interim period</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664,750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664,750</w:t>
            </w:r>
          </w:p>
        </w:tc>
      </w:tr>
      <w:tr>
        <w:trPr>
          <w:trHeight w:val="249"/>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Other comprehensive loss</w:t>
            </w: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4"/>
        </w:trPr>
        <w:tc>
          <w:tcPr>
            <w:tcW w:w="2500" w:type="dxa"/>
            <w:vAlign w:val="bottom"/>
          </w:tcPr>
          <w:p>
            <w:pPr>
              <w:ind w:left="160"/>
              <w:spacing w:after="0"/>
              <w:rPr>
                <w:sz w:val="20"/>
                <w:szCs w:val="20"/>
                <w:color w:val="auto"/>
              </w:rPr>
            </w:pPr>
            <w:r>
              <w:rPr>
                <w:rFonts w:ascii="Arial" w:cs="Arial" w:eastAsia="Arial" w:hAnsi="Arial"/>
                <w:sz w:val="14"/>
                <w:szCs w:val="14"/>
                <w:color w:val="auto"/>
              </w:rPr>
              <w:t>Foreign currency translation</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(333)</w:t>
            </w:r>
          </w:p>
        </w:tc>
      </w:tr>
      <w:tr>
        <w:trPr>
          <w:trHeight w:val="22"/>
        </w:trPr>
        <w:tc>
          <w:tcPr>
            <w:tcW w:w="2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4"/>
        </w:trPr>
        <w:tc>
          <w:tcPr>
            <w:tcW w:w="2500" w:type="dxa"/>
            <w:vAlign w:val="bottom"/>
          </w:tcPr>
          <w:p>
            <w:pPr>
              <w:ind w:left="80"/>
              <w:spacing w:after="0"/>
              <w:rPr>
                <w:sz w:val="20"/>
                <w:szCs w:val="20"/>
                <w:color w:val="auto"/>
              </w:rPr>
            </w:pPr>
            <w:r>
              <w:rPr>
                <w:rFonts w:ascii="Arial" w:cs="Arial" w:eastAsia="Arial" w:hAnsi="Arial"/>
                <w:sz w:val="14"/>
                <w:szCs w:val="14"/>
                <w:color w:val="auto"/>
              </w:rPr>
              <w:t>Total other comprehensive loss</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(333)</w:t>
            </w:r>
          </w:p>
        </w:tc>
      </w:tr>
      <w:tr>
        <w:trPr>
          <w:trHeight w:val="22"/>
        </w:trPr>
        <w:tc>
          <w:tcPr>
            <w:tcW w:w="2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30"/>
        </w:trPr>
        <w:tc>
          <w:tcPr>
            <w:tcW w:w="2500" w:type="dxa"/>
            <w:vAlign w:val="bottom"/>
          </w:tcPr>
          <w:p>
            <w:pPr>
              <w:ind w:left="80"/>
              <w:spacing w:after="0"/>
              <w:rPr>
                <w:sz w:val="20"/>
                <w:szCs w:val="20"/>
                <w:color w:val="auto"/>
              </w:rPr>
            </w:pPr>
            <w:r>
              <w:rPr>
                <w:rFonts w:ascii="Arial" w:cs="Arial" w:eastAsia="Arial" w:hAnsi="Arial"/>
                <w:sz w:val="14"/>
                <w:szCs w:val="14"/>
                <w:color w:val="auto"/>
              </w:rPr>
              <w:t>Total comprehensive income for the</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0"/>
        </w:trPr>
        <w:tc>
          <w:tcPr>
            <w:tcW w:w="2500" w:type="dxa"/>
            <w:vAlign w:val="bottom"/>
          </w:tcPr>
          <w:p>
            <w:pPr>
              <w:ind w:left="80"/>
              <w:spacing w:after="0"/>
              <w:rPr>
                <w:sz w:val="20"/>
                <w:szCs w:val="20"/>
                <w:color w:val="auto"/>
              </w:rPr>
            </w:pPr>
            <w:r>
              <w:rPr>
                <w:rFonts w:ascii="Arial" w:cs="Arial" w:eastAsia="Arial" w:hAnsi="Arial"/>
                <w:sz w:val="14"/>
                <w:szCs w:val="14"/>
                <w:color w:val="auto"/>
              </w:rPr>
              <w:t>period</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664,750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664,417</w:t>
            </w:r>
          </w:p>
        </w:tc>
      </w:tr>
      <w:tr>
        <w:trPr>
          <w:trHeight w:val="22"/>
        </w:trPr>
        <w:tc>
          <w:tcPr>
            <w:tcW w:w="2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30"/>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Transactions with owners,</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recorded directly in equity</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3"/>
        </w:trPr>
        <w:tc>
          <w:tcPr>
            <w:tcW w:w="2500" w:type="dxa"/>
            <w:vAlign w:val="bottom"/>
          </w:tcPr>
          <w:p>
            <w:pPr>
              <w:ind w:left="160"/>
              <w:spacing w:after="0"/>
              <w:rPr>
                <w:sz w:val="20"/>
                <w:szCs w:val="20"/>
                <w:color w:val="auto"/>
              </w:rPr>
            </w:pPr>
            <w:r>
              <w:rPr>
                <w:rFonts w:ascii="Arial" w:cs="Arial" w:eastAsia="Arial" w:hAnsi="Arial"/>
                <w:sz w:val="14"/>
                <w:szCs w:val="14"/>
                <w:color w:val="auto"/>
              </w:rPr>
              <w:t>Share-based payment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50,857</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50,857</w:t>
            </w:r>
          </w:p>
        </w:tc>
      </w:tr>
      <w:tr>
        <w:trPr>
          <w:trHeight w:val="229"/>
        </w:trPr>
        <w:tc>
          <w:tcPr>
            <w:tcW w:w="2500" w:type="dxa"/>
            <w:vAlign w:val="bottom"/>
          </w:tcPr>
          <w:p>
            <w:pPr>
              <w:ind w:left="160"/>
              <w:spacing w:after="0"/>
              <w:rPr>
                <w:sz w:val="20"/>
                <w:szCs w:val="20"/>
                <w:color w:val="auto"/>
              </w:rPr>
            </w:pPr>
            <w:r>
              <w:rPr>
                <w:rFonts w:ascii="Arial" w:cs="Arial" w:eastAsia="Arial" w:hAnsi="Arial"/>
                <w:sz w:val="14"/>
                <w:szCs w:val="14"/>
                <w:color w:val="auto"/>
              </w:rPr>
              <w:t>Exercise of share options</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347,891</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37,980</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38,003</w:t>
            </w:r>
          </w:p>
        </w:tc>
      </w:tr>
      <w:tr>
        <w:trPr>
          <w:trHeight w:val="230"/>
        </w:trPr>
        <w:tc>
          <w:tcPr>
            <w:tcW w:w="2500" w:type="dxa"/>
            <w:vAlign w:val="bottom"/>
          </w:tcPr>
          <w:p>
            <w:pPr>
              <w:ind w:left="160"/>
              <w:spacing w:after="0"/>
              <w:rPr>
                <w:sz w:val="20"/>
                <w:szCs w:val="20"/>
                <w:color w:val="auto"/>
              </w:rPr>
            </w:pPr>
            <w:r>
              <w:rPr>
                <w:rFonts w:ascii="Arial" w:cs="Arial" w:eastAsia="Arial" w:hAnsi="Arial"/>
                <w:sz w:val="14"/>
                <w:szCs w:val="14"/>
                <w:color w:val="auto"/>
              </w:rPr>
              <w:t>Share issue costs</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15"/>
        </w:trPr>
        <w:tc>
          <w:tcPr>
            <w:tcW w:w="2500" w:type="dxa"/>
            <w:vAlign w:val="bottom"/>
          </w:tcPr>
          <w:p>
            <w:pPr>
              <w:ind w:left="160"/>
              <w:spacing w:after="0"/>
              <w:rPr>
                <w:sz w:val="20"/>
                <w:szCs w:val="20"/>
                <w:color w:val="auto"/>
              </w:rPr>
            </w:pPr>
            <w:r>
              <w:rPr>
                <w:rFonts w:ascii="Arial" w:cs="Arial" w:eastAsia="Arial" w:hAnsi="Arial"/>
                <w:sz w:val="14"/>
                <w:szCs w:val="14"/>
                <w:color w:val="auto"/>
              </w:rPr>
              <w:t>Issue of restricted share units /</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157,479</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190"/>
        </w:trPr>
        <w:tc>
          <w:tcPr>
            <w:tcW w:w="2500" w:type="dxa"/>
            <w:vAlign w:val="bottom"/>
          </w:tcPr>
          <w:p>
            <w:pPr>
              <w:ind w:left="180"/>
              <w:spacing w:after="0"/>
              <w:rPr>
                <w:sz w:val="20"/>
                <w:szCs w:val="20"/>
                <w:color w:val="auto"/>
              </w:rPr>
            </w:pPr>
            <w:r>
              <w:rPr>
                <w:rFonts w:ascii="Arial" w:cs="Arial" w:eastAsia="Arial" w:hAnsi="Arial"/>
                <w:sz w:val="14"/>
                <w:szCs w:val="14"/>
                <w:color w:val="auto"/>
              </w:rPr>
              <w:t>performance share units</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4"/>
                <w:szCs w:val="14"/>
                <w:color w:val="auto"/>
              </w:rPr>
              <w:t>Repurchase of ordinary shares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(2,179,699)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142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(499,998)</w:t>
            </w:r>
          </w:p>
        </w:tc>
        <w:tc>
          <w:tcPr>
            <w:tcW w:w="820" w:type="dxa"/>
            <w:vAlign w:val="bottom"/>
          </w:tcPr>
          <w:p>
            <w:pPr>
              <w:jc w:val="right"/>
              <w:spacing w:after="0"/>
              <w:rPr>
                <w:sz w:val="20"/>
                <w:szCs w:val="20"/>
                <w:color w:val="auto"/>
              </w:rPr>
            </w:pPr>
            <w:r>
              <w:rPr>
                <w:rFonts w:ascii="Arial" w:cs="Arial" w:eastAsia="Arial" w:hAnsi="Arial"/>
                <w:sz w:val="14"/>
                <w:szCs w:val="14"/>
                <w:color w:val="auto"/>
              </w:rPr>
              <w:t>(499,998)</w:t>
            </w:r>
          </w:p>
        </w:tc>
      </w:tr>
      <w:tr>
        <w:trPr>
          <w:trHeight w:val="229"/>
        </w:trPr>
        <w:tc>
          <w:tcPr>
            <w:tcW w:w="2500" w:type="dxa"/>
            <w:vAlign w:val="bottom"/>
          </w:tcPr>
          <w:p>
            <w:pPr>
              <w:ind w:left="160"/>
              <w:spacing w:after="0"/>
              <w:rPr>
                <w:sz w:val="20"/>
                <w:szCs w:val="20"/>
                <w:color w:val="auto"/>
              </w:rPr>
            </w:pPr>
            <w:r>
              <w:rPr>
                <w:rFonts w:ascii="Arial" w:cs="Arial" w:eastAsia="Arial" w:hAnsi="Arial"/>
                <w:sz w:val="14"/>
                <w:szCs w:val="14"/>
                <w:color w:val="auto"/>
              </w:rPr>
              <w:t>Share repurchase costs</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(388)</w:t>
            </w:r>
          </w:p>
        </w:tc>
        <w:tc>
          <w:tcPr>
            <w:tcW w:w="82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184"/>
        </w:trPr>
        <w:tc>
          <w:tcPr>
            <w:tcW w:w="2500" w:type="dxa"/>
            <w:vAlign w:val="bottom"/>
          </w:tcPr>
          <w:p>
            <w:pPr>
              <w:ind w:left="100"/>
              <w:spacing w:after="0"/>
              <w:rPr>
                <w:sz w:val="20"/>
                <w:szCs w:val="20"/>
                <w:color w:val="auto"/>
              </w:rPr>
            </w:pPr>
            <w:r>
              <w:rPr>
                <w:rFonts w:ascii="Arial" w:cs="Arial" w:eastAsia="Arial" w:hAnsi="Arial"/>
                <w:sz w:val="14"/>
                <w:szCs w:val="14"/>
                <w:color w:val="auto"/>
              </w:rPr>
              <w:t>Transfer of exercised and expired</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(54,028)</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54,028</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share-based awards</w:t>
            </w: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430"/>
        </w:trPr>
        <w:tc>
          <w:tcPr>
            <w:tcW w:w="2500" w:type="dxa"/>
            <w:vAlign w:val="bottom"/>
          </w:tcPr>
          <w:p>
            <w:pPr>
              <w:ind w:left="80"/>
              <w:spacing w:after="0"/>
              <w:rPr>
                <w:sz w:val="20"/>
                <w:szCs w:val="20"/>
                <w:color w:val="auto"/>
              </w:rPr>
            </w:pPr>
            <w:r>
              <w:rPr>
                <w:rFonts w:ascii="Arial" w:cs="Arial" w:eastAsia="Arial" w:hAnsi="Arial"/>
                <w:sz w:val="14"/>
                <w:szCs w:val="14"/>
                <w:color w:val="auto"/>
              </w:rPr>
              <w:t>Total contributions by and</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(1,674,329)</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37,980</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142</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(3,171)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(446,380)</w:t>
            </w:r>
          </w:p>
        </w:tc>
        <w:tc>
          <w:tcPr>
            <w:tcW w:w="820" w:type="dxa"/>
            <w:vAlign w:val="bottom"/>
          </w:tcPr>
          <w:p>
            <w:pPr>
              <w:jc w:val="right"/>
              <w:spacing w:after="0"/>
              <w:rPr>
                <w:sz w:val="20"/>
                <w:szCs w:val="20"/>
                <w:color w:val="auto"/>
              </w:rPr>
            </w:pPr>
            <w:r>
              <w:rPr>
                <w:rFonts w:ascii="Arial" w:cs="Arial" w:eastAsia="Arial" w:hAnsi="Arial"/>
                <w:sz w:val="14"/>
                <w:szCs w:val="14"/>
                <w:color w:val="auto"/>
              </w:rPr>
              <w:t>(411,539)</w:t>
            </w:r>
          </w:p>
        </w:tc>
      </w:tr>
      <w:tr>
        <w:trPr>
          <w:trHeight w:val="190"/>
        </w:trPr>
        <w:tc>
          <w:tcPr>
            <w:tcW w:w="2500" w:type="dxa"/>
            <w:vAlign w:val="bottom"/>
          </w:tcPr>
          <w:p>
            <w:pPr>
              <w:ind w:left="80"/>
              <w:spacing w:after="0"/>
              <w:rPr>
                <w:sz w:val="20"/>
                <w:szCs w:val="20"/>
                <w:color w:val="auto"/>
              </w:rPr>
            </w:pPr>
            <w:r>
              <w:rPr>
                <w:rFonts w:ascii="Arial" w:cs="Arial" w:eastAsia="Arial" w:hAnsi="Arial"/>
                <w:sz w:val="14"/>
                <w:szCs w:val="14"/>
                <w:color w:val="auto"/>
              </w:rPr>
              <w:t>distributions to owners</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
        </w:trPr>
        <w:tc>
          <w:tcPr>
            <w:tcW w:w="2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60"/>
        </w:trPr>
        <w:tc>
          <w:tcPr>
            <w:tcW w:w="2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Balance at 5 March 2025</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80,820,757</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6,589</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561,626</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5,656,195</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1,304</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279,349</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27,405</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(113,181)</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1,167,498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7,586,785</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1" w:right="339" w:bottom="1440" w:gutter="0" w:footer="0" w:header="0"/>
        </w:sectPr>
      </w:pPr>
    </w:p>
    <w:bookmarkStart w:id="12" w:name="page13"/>
    <w:bookmarkEnd w:id="12"/>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statement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the year ended 31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Share</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Merger</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Foreign</w:t>
            </w: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76"/>
        </w:trPr>
        <w:tc>
          <w:tcPr>
            <w:tcW w:w="25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of shares</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Premium</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Reserve</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Unde-</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Based</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Reserve</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Currency</w:t>
            </w: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62"/>
        </w:trPr>
        <w:tc>
          <w:tcPr>
            <w:tcW w:w="2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nominated</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Payment</w:t>
            </w:r>
          </w:p>
        </w:tc>
        <w:tc>
          <w:tcPr>
            <w:tcW w:w="8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Reserve</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2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Reserve</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73"/>
        </w:trPr>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$’000</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480"/>
        </w:trPr>
        <w:tc>
          <w:tcPr>
            <w:tcW w:w="2540" w:type="dxa"/>
            <w:vAlign w:val="bottom"/>
          </w:tcPr>
          <w:p>
            <w:pPr>
              <w:ind w:left="80"/>
              <w:spacing w:after="0"/>
              <w:rPr>
                <w:sz w:val="20"/>
                <w:szCs w:val="20"/>
                <w:color w:val="auto"/>
              </w:rPr>
            </w:pPr>
            <w:r>
              <w:rPr>
                <w:rFonts w:ascii="Arial" w:cs="Arial" w:eastAsia="Arial" w:hAnsi="Arial"/>
                <w:sz w:val="14"/>
                <w:szCs w:val="14"/>
                <w:color w:val="auto"/>
              </w:rPr>
              <w:t>Balance at 1 January 2023</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81,723,555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6,649</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472,723</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5,656,195</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1,162</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326,803</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6,071</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(114,392)</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866,648</w:t>
            </w:r>
          </w:p>
        </w:tc>
        <w:tc>
          <w:tcPr>
            <w:tcW w:w="800" w:type="dxa"/>
            <w:vAlign w:val="bottom"/>
          </w:tcPr>
          <w:p>
            <w:pPr>
              <w:jc w:val="right"/>
              <w:spacing w:after="0"/>
              <w:rPr>
                <w:sz w:val="20"/>
                <w:szCs w:val="20"/>
                <w:color w:val="auto"/>
              </w:rPr>
            </w:pPr>
            <w:r>
              <w:rPr>
                <w:rFonts w:ascii="Arial" w:cs="Arial" w:eastAsia="Arial" w:hAnsi="Arial"/>
                <w:sz w:val="14"/>
                <w:szCs w:val="14"/>
                <w:color w:val="auto"/>
              </w:rPr>
              <w:t>7,221,859</w:t>
            </w:r>
          </w:p>
        </w:tc>
      </w:tr>
      <w:tr>
        <w:trPr>
          <w:trHeight w:val="473"/>
        </w:trPr>
        <w:tc>
          <w:tcPr>
            <w:tcW w:w="2540" w:type="dxa"/>
            <w:vAlign w:val="bottom"/>
          </w:tcPr>
          <w:p>
            <w:pPr>
              <w:ind w:left="80"/>
              <w:spacing w:after="0"/>
              <w:rPr>
                <w:sz w:val="20"/>
                <w:szCs w:val="20"/>
                <w:color w:val="auto"/>
              </w:rPr>
            </w:pPr>
            <w:r>
              <w:rPr>
                <w:rFonts w:ascii="Arial" w:cs="Arial" w:eastAsia="Arial" w:hAnsi="Arial"/>
                <w:sz w:val="14"/>
                <w:szCs w:val="14"/>
                <w:color w:val="auto"/>
              </w:rPr>
              <w:t>Loss for the the year</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(8,958)</w:t>
            </w:r>
          </w:p>
        </w:tc>
        <w:tc>
          <w:tcPr>
            <w:tcW w:w="800" w:type="dxa"/>
            <w:vAlign w:val="bottom"/>
          </w:tcPr>
          <w:p>
            <w:pPr>
              <w:jc w:val="right"/>
              <w:spacing w:after="0"/>
              <w:rPr>
                <w:sz w:val="20"/>
                <w:szCs w:val="20"/>
                <w:color w:val="auto"/>
              </w:rPr>
            </w:pPr>
            <w:r>
              <w:rPr>
                <w:rFonts w:ascii="Arial" w:cs="Arial" w:eastAsia="Arial" w:hAnsi="Arial"/>
                <w:sz w:val="14"/>
                <w:szCs w:val="14"/>
                <w:color w:val="auto"/>
              </w:rPr>
              <w:t>(8,958)</w:t>
            </w:r>
          </w:p>
        </w:tc>
      </w:tr>
      <w:tr>
        <w:trPr>
          <w:trHeight w:val="249"/>
        </w:trPr>
        <w:tc>
          <w:tcPr>
            <w:tcW w:w="2540" w:type="dxa"/>
            <w:vAlign w:val="bottom"/>
          </w:tcPr>
          <w:p>
            <w:pPr>
              <w:ind w:left="80"/>
              <w:spacing w:after="0"/>
              <w:rPr>
                <w:sz w:val="20"/>
                <w:szCs w:val="20"/>
                <w:color w:val="auto"/>
              </w:rPr>
            </w:pPr>
            <w:r>
              <w:rPr>
                <w:rFonts w:ascii="Arial" w:cs="Arial" w:eastAsia="Arial" w:hAnsi="Arial"/>
                <w:sz w:val="14"/>
                <w:szCs w:val="14"/>
                <w:b w:val="1"/>
                <w:bCs w:val="1"/>
                <w:color w:val="auto"/>
              </w:rPr>
              <w:t>Other comprehensive income</w:t>
            </w: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540" w:type="dxa"/>
            <w:vAlign w:val="bottom"/>
          </w:tcPr>
          <w:p>
            <w:pPr>
              <w:ind w:left="160"/>
              <w:spacing w:after="0"/>
              <w:rPr>
                <w:sz w:val="20"/>
                <w:szCs w:val="20"/>
                <w:color w:val="auto"/>
              </w:rPr>
            </w:pPr>
            <w:r>
              <w:rPr>
                <w:rFonts w:ascii="Arial" w:cs="Arial" w:eastAsia="Arial" w:hAnsi="Arial"/>
                <w:sz w:val="14"/>
                <w:szCs w:val="14"/>
                <w:color w:val="auto"/>
              </w:rPr>
              <w:t>Foreign currency translation</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1,544</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1,544</w:t>
            </w:r>
          </w:p>
        </w:tc>
      </w:tr>
      <w:tr>
        <w:trPr>
          <w:trHeight w:val="22"/>
        </w:trPr>
        <w:tc>
          <w:tcPr>
            <w:tcW w:w="2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4"/>
        </w:trPr>
        <w:tc>
          <w:tcPr>
            <w:tcW w:w="2540" w:type="dxa"/>
            <w:vAlign w:val="bottom"/>
          </w:tcPr>
          <w:p>
            <w:pPr>
              <w:ind w:left="80"/>
              <w:spacing w:after="0"/>
              <w:rPr>
                <w:sz w:val="20"/>
                <w:szCs w:val="20"/>
                <w:color w:val="auto"/>
              </w:rPr>
            </w:pPr>
            <w:r>
              <w:rPr>
                <w:rFonts w:ascii="Arial" w:cs="Arial" w:eastAsia="Arial" w:hAnsi="Arial"/>
                <w:sz w:val="14"/>
                <w:szCs w:val="14"/>
                <w:color w:val="auto"/>
              </w:rPr>
              <w:t>Total other comprehensive income</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1,544</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1,544</w:t>
            </w:r>
          </w:p>
        </w:tc>
      </w:tr>
      <w:tr>
        <w:trPr>
          <w:trHeight w:val="22"/>
        </w:trPr>
        <w:tc>
          <w:tcPr>
            <w:tcW w:w="2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4"/>
        </w:trPr>
        <w:tc>
          <w:tcPr>
            <w:tcW w:w="2540" w:type="dxa"/>
            <w:vAlign w:val="bottom"/>
          </w:tcPr>
          <w:p>
            <w:pPr>
              <w:ind w:left="80"/>
              <w:spacing w:after="0"/>
              <w:rPr>
                <w:sz w:val="20"/>
                <w:szCs w:val="20"/>
                <w:color w:val="auto"/>
              </w:rPr>
            </w:pPr>
            <w:r>
              <w:rPr>
                <w:rFonts w:ascii="Arial" w:cs="Arial" w:eastAsia="Arial" w:hAnsi="Arial"/>
                <w:sz w:val="14"/>
                <w:szCs w:val="14"/>
                <w:color w:val="auto"/>
              </w:rPr>
              <w:t>Total comprehensive loss for the year</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1,544</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(8,958)</w:t>
            </w:r>
          </w:p>
        </w:tc>
        <w:tc>
          <w:tcPr>
            <w:tcW w:w="800" w:type="dxa"/>
            <w:vAlign w:val="bottom"/>
          </w:tcPr>
          <w:p>
            <w:pPr>
              <w:jc w:val="right"/>
              <w:spacing w:after="0"/>
              <w:rPr>
                <w:sz w:val="20"/>
                <w:szCs w:val="20"/>
                <w:color w:val="auto"/>
              </w:rPr>
            </w:pPr>
            <w:r>
              <w:rPr>
                <w:rFonts w:ascii="Arial" w:cs="Arial" w:eastAsia="Arial" w:hAnsi="Arial"/>
                <w:sz w:val="14"/>
                <w:szCs w:val="14"/>
                <w:color w:val="auto"/>
              </w:rPr>
              <w:t>(7,414)</w:t>
            </w:r>
          </w:p>
        </w:tc>
      </w:tr>
      <w:tr>
        <w:trPr>
          <w:trHeight w:val="22"/>
        </w:trPr>
        <w:tc>
          <w:tcPr>
            <w:tcW w:w="2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30"/>
        </w:trPr>
        <w:tc>
          <w:tcPr>
            <w:tcW w:w="2540" w:type="dxa"/>
            <w:vAlign w:val="bottom"/>
          </w:tcPr>
          <w:p>
            <w:pPr>
              <w:ind w:left="80"/>
              <w:spacing w:after="0"/>
              <w:rPr>
                <w:sz w:val="20"/>
                <w:szCs w:val="20"/>
                <w:color w:val="auto"/>
              </w:rPr>
            </w:pPr>
            <w:r>
              <w:rPr>
                <w:rFonts w:ascii="Arial" w:cs="Arial" w:eastAsia="Arial" w:hAnsi="Arial"/>
                <w:sz w:val="14"/>
                <w:szCs w:val="14"/>
                <w:b w:val="1"/>
                <w:bCs w:val="1"/>
                <w:color w:val="auto"/>
              </w:rPr>
              <w:t>Transactions with owners,</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2540" w:type="dxa"/>
            <w:vAlign w:val="bottom"/>
          </w:tcPr>
          <w:p>
            <w:pPr>
              <w:ind w:left="80"/>
              <w:spacing w:after="0"/>
              <w:rPr>
                <w:sz w:val="20"/>
                <w:szCs w:val="20"/>
                <w:color w:val="auto"/>
              </w:rPr>
            </w:pPr>
            <w:r>
              <w:rPr>
                <w:rFonts w:ascii="Arial" w:cs="Arial" w:eastAsia="Arial" w:hAnsi="Arial"/>
                <w:sz w:val="14"/>
                <w:szCs w:val="14"/>
                <w:b w:val="1"/>
                <w:bCs w:val="1"/>
                <w:color w:val="auto"/>
              </w:rPr>
              <w:t>recorded directly in equity</w:t>
            </w: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3"/>
        </w:trPr>
        <w:tc>
          <w:tcPr>
            <w:tcW w:w="2540" w:type="dxa"/>
            <w:vAlign w:val="bottom"/>
          </w:tcPr>
          <w:p>
            <w:pPr>
              <w:ind w:left="160"/>
              <w:spacing w:after="0"/>
              <w:rPr>
                <w:sz w:val="20"/>
                <w:szCs w:val="20"/>
                <w:color w:val="auto"/>
              </w:rPr>
            </w:pPr>
            <w:r>
              <w:rPr>
                <w:rFonts w:ascii="Arial" w:cs="Arial" w:eastAsia="Arial" w:hAnsi="Arial"/>
                <w:sz w:val="14"/>
                <w:szCs w:val="14"/>
                <w:color w:val="auto"/>
              </w:rPr>
              <w:t>Share-based payment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47,171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47,171</w:t>
            </w:r>
          </w:p>
        </w:tc>
      </w:tr>
      <w:tr>
        <w:trPr>
          <w:trHeight w:val="230"/>
        </w:trPr>
        <w:tc>
          <w:tcPr>
            <w:tcW w:w="2540" w:type="dxa"/>
            <w:vAlign w:val="bottom"/>
          </w:tcPr>
          <w:p>
            <w:pPr>
              <w:ind w:left="160"/>
              <w:spacing w:after="0"/>
              <w:rPr>
                <w:sz w:val="20"/>
                <w:szCs w:val="20"/>
                <w:color w:val="auto"/>
              </w:rPr>
            </w:pPr>
            <w:r>
              <w:rPr>
                <w:rFonts w:ascii="Arial" w:cs="Arial" w:eastAsia="Arial" w:hAnsi="Arial"/>
                <w:sz w:val="14"/>
                <w:szCs w:val="14"/>
                <w:color w:val="auto"/>
              </w:rPr>
              <w:t>Exercise of share options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535,705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50,923</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50,958</w:t>
            </w:r>
          </w:p>
        </w:tc>
      </w:tr>
      <w:tr>
        <w:trPr>
          <w:trHeight w:val="230"/>
        </w:trPr>
        <w:tc>
          <w:tcPr>
            <w:tcW w:w="2540" w:type="dxa"/>
            <w:vAlign w:val="bottom"/>
          </w:tcPr>
          <w:p>
            <w:pPr>
              <w:ind w:left="160"/>
              <w:spacing w:after="0"/>
              <w:rPr>
                <w:sz w:val="20"/>
                <w:szCs w:val="20"/>
                <w:color w:val="auto"/>
              </w:rPr>
            </w:pPr>
            <w:r>
              <w:rPr>
                <w:rFonts w:ascii="Arial" w:cs="Arial" w:eastAsia="Arial" w:hAnsi="Arial"/>
                <w:sz w:val="14"/>
                <w:szCs w:val="14"/>
                <w:color w:val="auto"/>
              </w:rPr>
              <w:t>Share issue costs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15"/>
        </w:trPr>
        <w:tc>
          <w:tcPr>
            <w:tcW w:w="2540" w:type="dxa"/>
            <w:vAlign w:val="bottom"/>
          </w:tcPr>
          <w:p>
            <w:pPr>
              <w:ind w:left="160"/>
              <w:spacing w:after="0"/>
              <w:rPr>
                <w:sz w:val="20"/>
                <w:szCs w:val="20"/>
                <w:color w:val="auto"/>
              </w:rPr>
            </w:pPr>
            <w:r>
              <w:rPr>
                <w:rFonts w:ascii="Arial" w:cs="Arial" w:eastAsia="Arial" w:hAnsi="Arial"/>
                <w:sz w:val="14"/>
                <w:szCs w:val="14"/>
                <w:color w:val="auto"/>
              </w:rPr>
              <w:t>Issue of restricted share units/</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235,826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90"/>
        </w:trPr>
        <w:tc>
          <w:tcPr>
            <w:tcW w:w="2540" w:type="dxa"/>
            <w:vAlign w:val="bottom"/>
          </w:tcPr>
          <w:p>
            <w:pPr>
              <w:ind w:left="180"/>
              <w:spacing w:after="0"/>
              <w:rPr>
                <w:sz w:val="20"/>
                <w:szCs w:val="20"/>
                <w:color w:val="auto"/>
              </w:rPr>
            </w:pPr>
            <w:r>
              <w:rPr>
                <w:rFonts w:ascii="Arial" w:cs="Arial" w:eastAsia="Arial" w:hAnsi="Arial"/>
                <w:sz w:val="14"/>
                <w:szCs w:val="14"/>
                <w:color w:val="auto"/>
              </w:rPr>
              <w:t>performance share units</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0"/>
        </w:trPr>
        <w:tc>
          <w:tcPr>
            <w:tcW w:w="2540" w:type="dxa"/>
            <w:vAlign w:val="bottom"/>
          </w:tcPr>
          <w:p>
            <w:pPr>
              <w:ind w:left="160"/>
              <w:spacing w:after="0"/>
              <w:rPr>
                <w:sz w:val="20"/>
                <w:szCs w:val="20"/>
                <w:color w:val="auto"/>
              </w:rPr>
            </w:pPr>
            <w:r>
              <w:rPr>
                <w:rFonts w:ascii="Arial" w:cs="Arial" w:eastAsia="Arial" w:hAnsi="Arial"/>
                <w:sz w:val="14"/>
                <w:szCs w:val="14"/>
                <w:color w:val="auto"/>
              </w:rPr>
              <w:t>Group reorganisation (note 12)</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21,334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21,334</w:t>
            </w:r>
          </w:p>
        </w:tc>
      </w:tr>
      <w:tr>
        <w:trPr>
          <w:trHeight w:val="183"/>
        </w:trPr>
        <w:tc>
          <w:tcPr>
            <w:tcW w:w="2540" w:type="dxa"/>
            <w:vAlign w:val="bottom"/>
          </w:tcPr>
          <w:p>
            <w:pPr>
              <w:ind w:left="100"/>
              <w:spacing w:after="0"/>
              <w:rPr>
                <w:sz w:val="20"/>
                <w:szCs w:val="20"/>
                <w:color w:val="auto"/>
              </w:rPr>
            </w:pPr>
            <w:r>
              <w:rPr>
                <w:rFonts w:ascii="Arial" w:cs="Arial" w:eastAsia="Arial" w:hAnsi="Arial"/>
                <w:sz w:val="14"/>
                <w:szCs w:val="14"/>
                <w:color w:val="auto"/>
              </w:rPr>
              <w:t>Transfer of exercised and expired</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(91,454)</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91,454</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share-based awards</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87"/>
        </w:trPr>
        <w:tc>
          <w:tcPr>
            <w:tcW w:w="2540" w:type="dxa"/>
            <w:vAlign w:val="bottom"/>
          </w:tcPr>
          <w:p>
            <w:pPr>
              <w:ind w:left="160"/>
              <w:spacing w:after="0"/>
              <w:rPr>
                <w:sz w:val="20"/>
                <w:szCs w:val="20"/>
                <w:color w:val="auto"/>
              </w:rPr>
            </w:pPr>
            <w:r>
              <w:rPr>
                <w:rFonts w:ascii="Arial" w:cs="Arial" w:eastAsia="Arial" w:hAnsi="Arial"/>
                <w:sz w:val="14"/>
                <w:szCs w:val="14"/>
                <w:color w:val="auto"/>
              </w:rPr>
              <w:t>Total contributions by and</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771,531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50,923</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(44,283)</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21,334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91,438</w:t>
            </w:r>
          </w:p>
        </w:tc>
        <w:tc>
          <w:tcPr>
            <w:tcW w:w="800" w:type="dxa"/>
            <w:vAlign w:val="bottom"/>
          </w:tcPr>
          <w:p>
            <w:pPr>
              <w:jc w:val="right"/>
              <w:spacing w:after="0"/>
              <w:rPr>
                <w:sz w:val="20"/>
                <w:szCs w:val="20"/>
                <w:color w:val="auto"/>
              </w:rPr>
            </w:pPr>
            <w:r>
              <w:rPr>
                <w:rFonts w:ascii="Arial" w:cs="Arial" w:eastAsia="Arial" w:hAnsi="Arial"/>
                <w:sz w:val="14"/>
                <w:szCs w:val="14"/>
                <w:color w:val="auto"/>
              </w:rPr>
              <w:t>119,462</w:t>
            </w:r>
          </w:p>
        </w:tc>
      </w:tr>
      <w:tr>
        <w:trPr>
          <w:trHeight w:val="190"/>
        </w:trPr>
        <w:tc>
          <w:tcPr>
            <w:tcW w:w="2540" w:type="dxa"/>
            <w:vAlign w:val="bottom"/>
          </w:tcPr>
          <w:p>
            <w:pPr>
              <w:ind w:left="180"/>
              <w:spacing w:after="0"/>
              <w:rPr>
                <w:sz w:val="20"/>
                <w:szCs w:val="20"/>
                <w:color w:val="auto"/>
              </w:rPr>
            </w:pPr>
            <w:r>
              <w:rPr>
                <w:rFonts w:ascii="Arial" w:cs="Arial" w:eastAsia="Arial" w:hAnsi="Arial"/>
                <w:sz w:val="14"/>
                <w:szCs w:val="14"/>
                <w:color w:val="auto"/>
              </w:rPr>
              <w:t>distributions to owners</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
        </w:trPr>
        <w:tc>
          <w:tcPr>
            <w:tcW w:w="2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60"/>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Balance at 31 December 2023</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82,495,086</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6,699</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523,646</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5,656,195</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1,162</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282,520</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27,405</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(112,848)</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949,128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7,333,907</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1" w:right="339" w:bottom="1440" w:gutter="0" w:footer="0" w:header="0"/>
        </w:sectPr>
      </w:pPr>
    </w:p>
    <w:bookmarkStart w:id="13" w:name="page14"/>
    <w:bookmarkEnd w:id="13"/>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Reporting entity</w:t>
      </w:r>
    </w:p>
    <w:p>
      <w:pPr>
        <w:spacing w:after="0" w:line="252" w:lineRule="exact"/>
        <w:rPr>
          <w:sz w:val="20"/>
          <w:szCs w:val="20"/>
          <w:color w:val="auto"/>
        </w:rPr>
      </w:pPr>
    </w:p>
    <w:p>
      <w:pPr>
        <w:jc w:val="both"/>
        <w:ind w:left="420"/>
        <w:spacing w:after="0" w:line="268" w:lineRule="auto"/>
        <w:rPr>
          <w:sz w:val="20"/>
          <w:szCs w:val="20"/>
          <w:color w:val="auto"/>
        </w:rPr>
      </w:pPr>
      <w:r>
        <w:rPr>
          <w:rFonts w:ascii="Arial" w:cs="Arial" w:eastAsia="Arial" w:hAnsi="Arial"/>
          <w:sz w:val="18"/>
          <w:szCs w:val="18"/>
          <w:color w:val="auto"/>
        </w:rPr>
        <w:t>ICON public limited company (“ICON plc” and the “Company”) is a public company limited by shares, incorporated, domiciled and registered in the Republic of Ireland. The Company’s registered office is South County Business Park, Leopardstown, Dublin 18, D18 X5R3, Ireland. The Company’s registered number is 145835.</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Basis of preparation</w:t>
      </w:r>
    </w:p>
    <w:p>
      <w:pPr>
        <w:spacing w:after="0" w:line="252" w:lineRule="exact"/>
        <w:rPr>
          <w:sz w:val="20"/>
          <w:szCs w:val="20"/>
          <w:color w:val="auto"/>
        </w:rPr>
      </w:pPr>
    </w:p>
    <w:p>
      <w:pPr>
        <w:jc w:val="both"/>
        <w:ind w:left="420"/>
        <w:spacing w:after="0" w:line="262" w:lineRule="auto"/>
        <w:rPr>
          <w:sz w:val="20"/>
          <w:szCs w:val="20"/>
          <w:color w:val="auto"/>
        </w:rPr>
      </w:pPr>
      <w:r>
        <w:rPr>
          <w:rFonts w:ascii="Arial" w:cs="Arial" w:eastAsia="Arial" w:hAnsi="Arial"/>
          <w:sz w:val="18"/>
          <w:szCs w:val="18"/>
          <w:color w:val="auto"/>
        </w:rPr>
        <w:t>These unaudited interim financial statements are not the statutory financial statements of the Company which company law requires to be prepared and laid before the members at an Annual General Meeting. Statutory financial statements, for the year-ended 31 December 2023, have been prepared separately as consolidated financial statements and present information about the ICON group comprising of this Company and its subsidiaries and associated undertakings.</w:t>
      </w:r>
    </w:p>
    <w:p>
      <w:pPr>
        <w:spacing w:after="0" w:line="190" w:lineRule="exact"/>
        <w:rPr>
          <w:sz w:val="20"/>
          <w:szCs w:val="20"/>
          <w:color w:val="auto"/>
        </w:rPr>
      </w:pPr>
    </w:p>
    <w:p>
      <w:pPr>
        <w:jc w:val="both"/>
        <w:ind w:left="420"/>
        <w:spacing w:after="0" w:line="215" w:lineRule="auto"/>
        <w:rPr>
          <w:sz w:val="20"/>
          <w:szCs w:val="20"/>
          <w:color w:val="auto"/>
        </w:rPr>
      </w:pPr>
      <w:r>
        <w:rPr>
          <w:rFonts w:ascii="Arial" w:cs="Arial" w:eastAsia="Arial" w:hAnsi="Arial"/>
          <w:sz w:val="18"/>
          <w:szCs w:val="18"/>
          <w:color w:val="auto"/>
        </w:rPr>
        <w:t>These unaudited interim financial statements have been prepared solely to facilitate the directors to present information about this Company on a stand-alone basis for filing with the Company Registration Office and to record the Company’s profits available for distribution in its relevant financial statements in accordance with Companies Act 2014, for the purpose of its share repurchase</w:t>
      </w:r>
    </w:p>
    <w:p>
      <w:pPr>
        <w:spacing w:after="0" w:line="2" w:lineRule="exact"/>
        <w:rPr>
          <w:sz w:val="20"/>
          <w:szCs w:val="20"/>
          <w:color w:val="auto"/>
        </w:rPr>
      </w:pPr>
    </w:p>
    <w:p>
      <w:pPr>
        <w:jc w:val="both"/>
        <w:ind w:left="420"/>
        <w:spacing w:after="0" w:line="216" w:lineRule="auto"/>
        <w:rPr>
          <w:sz w:val="20"/>
          <w:szCs w:val="20"/>
          <w:color w:val="auto"/>
        </w:rPr>
      </w:pPr>
      <w:r>
        <w:rPr>
          <w:rFonts w:ascii="Arial" w:cs="Arial" w:eastAsia="Arial" w:hAnsi="Arial"/>
          <w:sz w:val="18"/>
          <w:szCs w:val="18"/>
          <w:color w:val="auto"/>
        </w:rPr>
        <w:t>programme. Except that the financial statements are not consolidated financial statements and do not contain all relevant information required under Company law in Ireland, they have been prepared under the historical cost convention, in accordance with the recognition and measurement requirements of International Financial Reporting Standards as adopted by the European Union and have set out below where advantage of FRS 101 disclosure exemptions have been taken.</w:t>
      </w:r>
    </w:p>
    <w:p>
      <w:pPr>
        <w:spacing w:after="0" w:line="195" w:lineRule="exact"/>
        <w:rPr>
          <w:sz w:val="20"/>
          <w:szCs w:val="20"/>
          <w:color w:val="auto"/>
        </w:rPr>
      </w:pPr>
    </w:p>
    <w:p>
      <w:pPr>
        <w:jc w:val="both"/>
        <w:ind w:left="420"/>
        <w:spacing w:after="0"/>
        <w:rPr>
          <w:sz w:val="20"/>
          <w:szCs w:val="20"/>
          <w:color w:val="auto"/>
        </w:rPr>
      </w:pPr>
      <w:r>
        <w:rPr>
          <w:rFonts w:ascii="Arial" w:cs="Arial" w:eastAsia="Arial" w:hAnsi="Arial"/>
          <w:sz w:val="18"/>
          <w:szCs w:val="18"/>
          <w:color w:val="auto"/>
        </w:rPr>
        <w:t>The financial statements include the financial statements of the Company and its branches (Latvia, Lithuania and Poland). Inter branch transactions and balances have been eliminated in their preparation.</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these financial statements, the Company has adopted certain disclosure exemptions available under FRS 101. These include:</w:t>
      </w:r>
    </w:p>
    <w:p>
      <w:pPr>
        <w:spacing w:after="0" w:line="239" w:lineRule="exact"/>
        <w:rPr>
          <w:sz w:val="20"/>
          <w:szCs w:val="20"/>
          <w:color w:val="auto"/>
        </w:rPr>
      </w:pPr>
    </w:p>
    <w:p>
      <w:pPr>
        <w:ind w:left="1060" w:hanging="325"/>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 cash flow statement and related notes;</w:t>
      </w:r>
    </w:p>
    <w:p>
      <w:pPr>
        <w:spacing w:after="0" w:line="26"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disclosures in respect of the compensation of key management personnel;</w:t>
      </w:r>
    </w:p>
    <w:p>
      <w:pPr>
        <w:spacing w:after="0" w:line="8"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disclosures in respect of transactions with wholly owned subsidiaries;</w:t>
      </w:r>
    </w:p>
    <w:p>
      <w:pPr>
        <w:spacing w:after="0" w:line="8"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disclosures in respect of capital management;</w:t>
      </w:r>
    </w:p>
    <w:p>
      <w:pPr>
        <w:spacing w:after="0" w:line="8"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certain comparative information;</w:t>
      </w:r>
    </w:p>
    <w:p>
      <w:pPr>
        <w:spacing w:after="0" w:line="8"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certain disclosures regarding revenue;</w:t>
      </w:r>
    </w:p>
    <w:p>
      <w:pPr>
        <w:spacing w:after="0" w:line="8"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certain disclosures regarding leases and</w:t>
      </w:r>
    </w:p>
    <w:p>
      <w:pPr>
        <w:spacing w:after="0" w:line="8"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new but not yet effective IFRSs.</w:t>
      </w:r>
    </w:p>
    <w:p>
      <w:pPr>
        <w:spacing w:after="0" w:line="233"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color w:val="auto"/>
        </w:rPr>
        <w:t>As the consolidated financial statements of ICON plc, which are prepared in accordance with Adopted IFRS include the equivalent disclosures, the Company has also taken the exemptions under FRS 101 available in respect of the following:</w:t>
      </w:r>
    </w:p>
    <w:p>
      <w:pPr>
        <w:spacing w:after="0" w:line="180" w:lineRule="exact"/>
        <w:rPr>
          <w:sz w:val="20"/>
          <w:szCs w:val="20"/>
          <w:color w:val="auto"/>
        </w:rPr>
      </w:pPr>
    </w:p>
    <w:p>
      <w:pPr>
        <w:ind w:left="1060" w:hanging="325"/>
        <w:spacing w:after="0" w:line="286" w:lineRule="auto"/>
        <w:tabs>
          <w:tab w:leader="none" w:pos="1055"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Certain disclosures required by IFRS 13 Fair Value Measurement and the disclosures required by IFRS 7 Financial Instrument Disclosure;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1" w:right="339" w:bottom="1440" w:gutter="0" w:footer="0" w:header="0"/>
        </w:sectPr>
      </w:pPr>
    </w:p>
    <w:bookmarkStart w:id="14" w:name="page15"/>
    <w:bookmarkEnd w:id="14"/>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0" w:right="7280" w:hanging="412"/>
        <w:spacing w:after="0" w:line="538" w:lineRule="auto"/>
        <w:tabs>
          <w:tab w:leader="none" w:pos="367"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i w:val="1"/>
          <w:iCs w:val="1"/>
          <w:color w:val="auto"/>
        </w:rPr>
        <w:t>(continued)</w:t>
      </w:r>
      <w:r>
        <w:rPr>
          <w:rFonts w:ascii="Arial" w:cs="Arial" w:eastAsia="Arial" w:hAnsi="Arial"/>
          <w:sz w:val="17"/>
          <w:szCs w:val="17"/>
          <w:b w:val="1"/>
          <w:bCs w:val="1"/>
          <w:color w:val="auto"/>
        </w:rPr>
        <w:t xml:space="preserve"> Basis of preparation </w:t>
      </w:r>
      <w:r>
        <w:rPr>
          <w:rFonts w:ascii="Arial" w:cs="Arial" w:eastAsia="Arial" w:hAnsi="Arial"/>
          <w:sz w:val="17"/>
          <w:szCs w:val="17"/>
          <w:i w:val="1"/>
          <w:iCs w:val="1"/>
          <w:color w:val="auto"/>
        </w:rPr>
        <w:t>(continued)</w:t>
      </w:r>
    </w:p>
    <w:p>
      <w:pPr>
        <w:spacing w:after="0" w:line="1" w:lineRule="exact"/>
        <w:rPr>
          <w:rFonts w:ascii="Arial" w:cs="Arial" w:eastAsia="Arial" w:hAnsi="Arial"/>
          <w:sz w:val="17"/>
          <w:szCs w:val="17"/>
          <w:b w:val="1"/>
          <w:bCs w:val="1"/>
          <w:color w:val="auto"/>
        </w:rPr>
      </w:pPr>
    </w:p>
    <w:p>
      <w:pPr>
        <w:ind w:left="1060" w:hanging="325"/>
        <w:spacing w:after="0"/>
        <w:tabs>
          <w:tab w:leader="none" w:pos="106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Certain disclosures required by IAS 36 Impairment of Assets;</w:t>
      </w:r>
    </w:p>
    <w:p>
      <w:pPr>
        <w:spacing w:after="0" w:line="26"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Certain disclosures required by IFRS 2 Share-Based Payment;</w:t>
      </w:r>
    </w:p>
    <w:p>
      <w:pPr>
        <w:spacing w:after="0" w:line="8"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Certain disclosures required by IAS 24 Related Party Disclosures; and</w:t>
      </w:r>
    </w:p>
    <w:p>
      <w:pPr>
        <w:spacing w:after="0" w:line="8" w:lineRule="exact"/>
        <w:rPr>
          <w:rFonts w:ascii="Times New Roman" w:cs="Times New Roman" w:eastAsia="Times New Roman" w:hAnsi="Times New Roman"/>
          <w:sz w:val="18"/>
          <w:szCs w:val="18"/>
          <w:color w:val="auto"/>
        </w:rPr>
      </w:pPr>
    </w:p>
    <w:p>
      <w:pPr>
        <w:ind w:left="1060" w:hanging="325"/>
        <w:spacing w:after="0"/>
        <w:tabs>
          <w:tab w:leader="none" w:pos="106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Certain disclosures required by the Amendments to IAS 12 – International Tax Reform – Pillar Two Model Rules.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New and amended standards adopted by the Company</w:t>
      </w:r>
    </w:p>
    <w:p>
      <w:pPr>
        <w:spacing w:after="0" w:line="225" w:lineRule="exact"/>
        <w:rPr>
          <w:sz w:val="20"/>
          <w:szCs w:val="20"/>
          <w:color w:val="auto"/>
        </w:rPr>
      </w:pPr>
    </w:p>
    <w:p>
      <w:pPr>
        <w:ind w:left="400" w:right="20" w:firstLine="208"/>
        <w:spacing w:after="0" w:line="287" w:lineRule="auto"/>
        <w:rPr>
          <w:sz w:val="20"/>
          <w:szCs w:val="20"/>
          <w:color w:val="auto"/>
        </w:rPr>
      </w:pPr>
      <w:r>
        <w:rPr>
          <w:rFonts w:ascii="Arial" w:cs="Arial" w:eastAsia="Arial" w:hAnsi="Arial"/>
          <w:sz w:val="18"/>
          <w:szCs w:val="18"/>
          <w:color w:val="auto"/>
        </w:rPr>
        <w:t>The following standards and interpretations became effective for the Company during the financial period but do not have a material effect on the results or financial position of the Company:</w:t>
      </w:r>
    </w:p>
    <w:p>
      <w:pPr>
        <w:spacing w:after="0" w:line="166" w:lineRule="exact"/>
        <w:rPr>
          <w:sz w:val="20"/>
          <w:szCs w:val="20"/>
          <w:color w:val="auto"/>
        </w:rPr>
      </w:pPr>
    </w:p>
    <w:p>
      <w:pPr>
        <w:ind w:left="1060" w:hanging="325"/>
        <w:spacing w:after="0" w:line="221"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 - classification of liabilities as current or non-current and non-current liabilities with covenants.</w:t>
      </w:r>
    </w:p>
    <w:p>
      <w:pPr>
        <w:spacing w:after="0" w:line="1" w:lineRule="exact"/>
        <w:rPr>
          <w:rFonts w:ascii="Arial" w:cs="Arial" w:eastAsia="Arial" w:hAnsi="Arial"/>
          <w:sz w:val="18"/>
          <w:szCs w:val="18"/>
          <w:color w:val="auto"/>
        </w:rPr>
      </w:pPr>
    </w:p>
    <w:p>
      <w:pPr>
        <w:ind w:left="1060" w:hanging="325"/>
        <w:spacing w:after="0" w:line="20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Amendments to IFRS 16 Leases - lease liability in a sale and leaseback.</w:t>
      </w:r>
    </w:p>
    <w:p>
      <w:pPr>
        <w:ind w:left="1060" w:hanging="32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Amendments to IAS 7 Statement of Cashflows and IFRS 7 Financial Instrument Disclosures - supplier finance arrangements.</w:t>
      </w:r>
    </w:p>
    <w:p>
      <w:pPr>
        <w:spacing w:after="0" w:line="207"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The accounting policies set out below have, unless otherwise stated, been applied consistently to all periods presented in these financial statements.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Going concern</w:t>
      </w:r>
    </w:p>
    <w:p>
      <w:pPr>
        <w:spacing w:after="0" w:line="252"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The directors, having made inquiries believe that the Company has adequate resources to continue in operational existence for at least the next 12 months and that it is appropriate to adopt the going concern basis in preparing the financial statements.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Revenue recognition</w:t>
      </w:r>
    </w:p>
    <w:p>
      <w:pPr>
        <w:spacing w:after="0" w:line="252"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The Company earns revenue from contract research services provided in Ireland and recognises revenue as those services are provided. The Company’s revenue is a function of the group’s global transfer pricing model. ICON Clinical Research Limited acts as the group entrepreneur under the group’s global transfer pricing model given its role in the development and management of the group, its ownership of key intellectual property and customer relationships, its key role in the mitigation of risks faced by the group and its responsibility for maintaining the group’s global network. ICON Clinical Research Limited enters into the majority of the group’s customer contracts. ICON Clinical Research Limited remunerates the Company on the basis of a guaranteed cost plus mark up for the services it performs. The cost plus mark up for the Company is established to ensure that ICON Clinical Research Limited and the Company are involved in the conduct of services for customers and earn an appropriate arms-length return having regard to the assets owned, risks borne, and functions performed by the Company from these transactions.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Functional currency</w:t>
      </w:r>
    </w:p>
    <w:p>
      <w:pPr>
        <w:spacing w:after="0" w:line="239" w:lineRule="exact"/>
        <w:rPr>
          <w:sz w:val="20"/>
          <w:szCs w:val="20"/>
          <w:color w:val="auto"/>
        </w:rPr>
      </w:pPr>
    </w:p>
    <w:p>
      <w:pPr>
        <w:ind w:left="420" w:right="40"/>
        <w:spacing w:after="0" w:line="256" w:lineRule="auto"/>
        <w:rPr>
          <w:sz w:val="20"/>
          <w:szCs w:val="20"/>
          <w:color w:val="auto"/>
        </w:rPr>
      </w:pPr>
      <w:r>
        <w:rPr>
          <w:rFonts w:ascii="Arial" w:cs="Arial" w:eastAsia="Arial" w:hAnsi="Arial"/>
          <w:sz w:val="18"/>
          <w:szCs w:val="18"/>
          <w:color w:val="auto"/>
        </w:rPr>
        <w:t>These financial statements are presented in US Dollar (‘USD’), being the functional currency of the Company.The functional currency of the company changed from Euro to USD on 1 August 2015.</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Cash and cash equivalents</w:t>
      </w:r>
    </w:p>
    <w:p>
      <w:pPr>
        <w:spacing w:after="0" w:line="225" w:lineRule="exact"/>
        <w:rPr>
          <w:sz w:val="20"/>
          <w:szCs w:val="20"/>
          <w:color w:val="auto"/>
        </w:rPr>
      </w:pPr>
    </w:p>
    <w:p>
      <w:pPr>
        <w:ind w:left="420" w:right="40"/>
        <w:spacing w:after="0" w:line="256" w:lineRule="auto"/>
        <w:rPr>
          <w:sz w:val="20"/>
          <w:szCs w:val="20"/>
          <w:color w:val="auto"/>
        </w:rPr>
      </w:pPr>
      <w:r>
        <w:rPr>
          <w:rFonts w:ascii="Arial" w:cs="Arial" w:eastAsia="Arial" w:hAnsi="Arial"/>
          <w:sz w:val="18"/>
          <w:szCs w:val="18"/>
          <w:color w:val="auto"/>
        </w:rPr>
        <w:t>Cash and cash equivalents include cash and highly liquid investments with original maturities of three months or less and are stated at fair value on initial recognition followed by amortised cost, which approximates fair value.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1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Accounts payable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Trade and other payables are presented as current liabilities unless payment is not due within 12 months after the reporting period.</w:t>
      </w:r>
    </w:p>
    <w:p>
      <w:pPr>
        <w:ind w:left="420"/>
        <w:spacing w:after="0"/>
        <w:rPr>
          <w:sz w:val="20"/>
          <w:szCs w:val="20"/>
          <w:color w:val="auto"/>
        </w:rPr>
      </w:pPr>
      <w:r>
        <w:rPr>
          <w:rFonts w:ascii="Arial" w:cs="Arial" w:eastAsia="Arial" w:hAnsi="Arial"/>
          <w:sz w:val="18"/>
          <w:szCs w:val="18"/>
          <w:color w:val="auto"/>
        </w:rPr>
        <w:t>They are recognised initially at fair value and subsequently measured at amortised cost using the effective interest rate method</w:t>
      </w:r>
      <w:r>
        <w:rPr>
          <w:rFonts w:ascii="Arial" w:cs="Arial" w:eastAsia="Arial" w:hAnsi="Arial"/>
          <w:sz w:val="18"/>
          <w:szCs w:val="18"/>
          <w:b w:val="1"/>
          <w:bCs w:val="1"/>
          <w:color w:val="auto"/>
        </w:rPr>
        <w:t>.</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Trade receivables</w:t>
      </w:r>
    </w:p>
    <w:p>
      <w:pPr>
        <w:spacing w:after="0" w:line="212" w:lineRule="exact"/>
        <w:rPr>
          <w:sz w:val="20"/>
          <w:szCs w:val="20"/>
          <w:color w:val="auto"/>
        </w:rPr>
      </w:pPr>
    </w:p>
    <w:p>
      <w:pPr>
        <w:ind w:left="420" w:right="20"/>
        <w:spacing w:after="0" w:line="237" w:lineRule="auto"/>
        <w:rPr>
          <w:sz w:val="20"/>
          <w:szCs w:val="20"/>
          <w:color w:val="auto"/>
        </w:rPr>
      </w:pPr>
      <w:r>
        <w:rPr>
          <w:rFonts w:ascii="Arial" w:cs="Arial" w:eastAsia="Arial" w:hAnsi="Arial"/>
          <w:sz w:val="18"/>
          <w:szCs w:val="18"/>
          <w:color w:val="auto"/>
        </w:rPr>
        <w:t>Trade receivables are amounts due from customers for services performed in the ordinary course of business. Trade receivables are recognised initially at the amount of consideration that is unconditional unless they contain significant financing components. The</w:t>
      </w:r>
    </w:p>
    <w:p>
      <w:pPr>
        <w:spacing w:after="0" w:line="1" w:lineRule="exact"/>
        <w:rPr>
          <w:sz w:val="20"/>
          <w:szCs w:val="20"/>
          <w:color w:val="auto"/>
        </w:rPr>
      </w:pPr>
    </w:p>
    <w:p>
      <w:pPr>
        <w:ind w:left="420" w:right="20"/>
        <w:spacing w:after="0" w:line="237" w:lineRule="auto"/>
        <w:rPr>
          <w:sz w:val="20"/>
          <w:szCs w:val="20"/>
          <w:color w:val="auto"/>
        </w:rPr>
      </w:pPr>
      <w:r>
        <w:rPr>
          <w:rFonts w:ascii="Arial" w:cs="Arial" w:eastAsia="Arial" w:hAnsi="Arial"/>
          <w:sz w:val="18"/>
          <w:szCs w:val="18"/>
          <w:color w:val="auto"/>
        </w:rPr>
        <w:t>amount of consideration that is unconditional approximates to fair value. The Company holds the trade receivables with the objective to collect the contractual cash flows and therefore measures them subsequently at amortised cost using the effective interest method.</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Foreign currency</w:t>
      </w:r>
    </w:p>
    <w:p>
      <w:pPr>
        <w:spacing w:after="0" w:line="252"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Transactions in foreign currencies are translated to the functional currency of the Company at exchange rates at the dates of the transactions. Monetary assets and liabilities denominated in foreign currencies are translated to the functional currency at the exchange rate at the reporting date. Foreign currency differences are generally recognised in profit or loss.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Taxation</w:t>
      </w:r>
    </w:p>
    <w:p>
      <w:pPr>
        <w:spacing w:after="0" w:line="239"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The income tax expense comprises current and deferred tax. It is recognised in the profit and loss account except to the extent that it relates to items recognised in OCI or directly in equity, in which case it is recognised in OCI or directly in equity.</w:t>
      </w:r>
    </w:p>
    <w:p>
      <w:pPr>
        <w:spacing w:after="0" w:line="180" w:lineRule="exact"/>
        <w:rPr>
          <w:sz w:val="20"/>
          <w:szCs w:val="20"/>
          <w:color w:val="auto"/>
        </w:rPr>
      </w:pPr>
    </w:p>
    <w:p>
      <w:pPr>
        <w:jc w:val="both"/>
        <w:ind w:left="400" w:right="20"/>
        <w:spacing w:after="0" w:line="287" w:lineRule="auto"/>
        <w:rPr>
          <w:sz w:val="20"/>
          <w:szCs w:val="20"/>
          <w:color w:val="auto"/>
        </w:rPr>
      </w:pPr>
      <w:r>
        <w:rPr>
          <w:rFonts w:ascii="Arial" w:cs="Arial" w:eastAsia="Arial" w:hAnsi="Arial"/>
          <w:sz w:val="18"/>
          <w:szCs w:val="18"/>
          <w:color w:val="auto"/>
        </w:rPr>
        <w:t>Current tax is the expected tax payable on the taxable income for the period using tax rates and laws that have been enacted or substantively enacted at the reporting date, and any adjustment to tax payable in respect of previous periods.</w:t>
      </w:r>
    </w:p>
    <w:p>
      <w:pPr>
        <w:spacing w:after="0" w:line="180"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The Company has determined that the global minimum top-up tax – which it is required to pay under Pillar Two legislation – is an income tax in scope of IAS 12. The Company has applied the temporary mandatory relief from deferred tax accounting for the impacts of the top-up tax and accounts for it as a current tax when it is incurred.</w:t>
      </w:r>
    </w:p>
    <w:p>
      <w:pPr>
        <w:spacing w:after="0" w:line="198"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Deferred tax is recognised in respect of temporary differences between the carrying amounts of assets and liabilities for financial reporting purposes and amounts used for taxation purposes.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deferred tax asset is recognised to the extent that it is probable future taxable profits will be available against which the temporary</w:t>
      </w:r>
    </w:p>
    <w:p>
      <w:pPr>
        <w:spacing w:after="0" w:line="14" w:lineRule="exact"/>
        <w:rPr>
          <w:sz w:val="20"/>
          <w:szCs w:val="20"/>
          <w:color w:val="auto"/>
        </w:rPr>
      </w:pPr>
    </w:p>
    <w:p>
      <w:pPr>
        <w:jc w:val="both"/>
        <w:ind w:left="420" w:right="20"/>
        <w:spacing w:after="0" w:line="237" w:lineRule="auto"/>
        <w:rPr>
          <w:sz w:val="20"/>
          <w:szCs w:val="20"/>
          <w:color w:val="auto"/>
        </w:rPr>
      </w:pPr>
      <w:r>
        <w:rPr>
          <w:rFonts w:ascii="Arial" w:cs="Arial" w:eastAsia="Arial" w:hAnsi="Arial"/>
          <w:sz w:val="18"/>
          <w:szCs w:val="18"/>
          <w:color w:val="auto"/>
        </w:rPr>
        <w:t>difference can be utilised. Deferred tax assets are reviewed at each reporting date and are reduced to the extent that it is no longer probable that the related tax benefit will be realised.</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tax is measured at the tax rates that are expected to be applied to the temporary differences when they reverse, based on the</w:t>
      </w:r>
    </w:p>
    <w:p>
      <w:pPr>
        <w:spacing w:after="0" w:line="14" w:lineRule="exact"/>
        <w:rPr>
          <w:sz w:val="20"/>
          <w:szCs w:val="20"/>
          <w:color w:val="auto"/>
        </w:rPr>
      </w:pPr>
    </w:p>
    <w:p>
      <w:pPr>
        <w:jc w:val="both"/>
        <w:ind w:left="420"/>
        <w:spacing w:after="0" w:line="226" w:lineRule="auto"/>
        <w:rPr>
          <w:sz w:val="20"/>
          <w:szCs w:val="20"/>
          <w:color w:val="auto"/>
        </w:rPr>
      </w:pPr>
      <w:r>
        <w:rPr>
          <w:rFonts w:ascii="Arial" w:cs="Arial" w:eastAsia="Arial" w:hAnsi="Arial"/>
          <w:sz w:val="18"/>
          <w:szCs w:val="18"/>
          <w:color w:val="auto"/>
        </w:rPr>
        <w:t>laws that have been enacted or substantively enacted by the reporting date. Deferred tax assets and liabilities are offset if there is a legally enforceable right to offset current tax liabilities and assets, and they relate to income taxes levied by the same tax authority on</w:t>
      </w:r>
    </w:p>
    <w:p>
      <w:pPr>
        <w:spacing w:after="0" w:line="2" w:lineRule="exact"/>
        <w:rPr>
          <w:sz w:val="20"/>
          <w:szCs w:val="20"/>
          <w:color w:val="auto"/>
        </w:rPr>
      </w:pPr>
    </w:p>
    <w:p>
      <w:pPr>
        <w:jc w:val="both"/>
        <w:ind w:left="420"/>
        <w:spacing w:after="0" w:line="250" w:lineRule="auto"/>
        <w:rPr>
          <w:sz w:val="20"/>
          <w:szCs w:val="20"/>
          <w:color w:val="auto"/>
        </w:rPr>
      </w:pPr>
      <w:r>
        <w:rPr>
          <w:rFonts w:ascii="Arial" w:cs="Arial" w:eastAsia="Arial" w:hAnsi="Arial"/>
          <w:sz w:val="18"/>
          <w:szCs w:val="18"/>
          <w:color w:val="auto"/>
        </w:rPr>
        <w:t>the same taxable entity, or on different entities, but they intend to settle current tax liabilities and assets on a net basis or their tax assets and liabilities will be realised simultaneously.</w:t>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Dividend income</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Dividend income is recognised when the right to receive payment is established.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1" w:right="339" w:bottom="1440" w:gutter="0" w:footer="0" w:header="0"/>
        </w:sectPr>
      </w:pPr>
    </w:p>
    <w:bookmarkStart w:id="16" w:name="page17"/>
    <w:bookmarkEnd w:id="16"/>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Intangible assets – computer software</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are stated at cost less accumulated amortisation and impairment losses. Useful lives of intangibles are reviewed and</w:t>
      </w:r>
    </w:p>
    <w:p>
      <w:pPr>
        <w:jc w:val="both"/>
        <w:ind w:left="420"/>
        <w:spacing w:after="0" w:line="229" w:lineRule="auto"/>
        <w:rPr>
          <w:sz w:val="20"/>
          <w:szCs w:val="20"/>
          <w:color w:val="auto"/>
        </w:rPr>
      </w:pPr>
      <w:r>
        <w:rPr>
          <w:rFonts w:ascii="Arial" w:cs="Arial" w:eastAsia="Arial" w:hAnsi="Arial"/>
          <w:sz w:val="18"/>
          <w:szCs w:val="18"/>
          <w:color w:val="auto"/>
        </w:rPr>
        <w:t>adjusted if appropriate at each reporting date. Residual value is estimated to be zero. Amortisation is charged to the income statement on a straight line basis over the estimated useful lives of intangible assets, currently estimated as follows:</w:t>
      </w:r>
    </w:p>
    <w:p>
      <w:pPr>
        <w:spacing w:after="0" w:line="235"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Years</w:t>
      </w:r>
    </w:p>
    <w:p>
      <w:pPr>
        <w:spacing w:after="0" w:line="40" w:lineRule="exact"/>
        <w:rPr>
          <w:sz w:val="20"/>
          <w:szCs w:val="20"/>
          <w:color w:val="auto"/>
        </w:rPr>
      </w:pPr>
    </w:p>
    <w:p>
      <w:pPr>
        <w:ind w:left="420"/>
        <w:spacing w:after="0"/>
        <w:tabs>
          <w:tab w:leader="none" w:pos="6240" w:val="left"/>
        </w:tabs>
        <w:rPr>
          <w:sz w:val="20"/>
          <w:szCs w:val="20"/>
          <w:color w:val="auto"/>
        </w:rPr>
      </w:pPr>
      <w:r>
        <w:rPr>
          <w:rFonts w:ascii="Arial" w:cs="Arial" w:eastAsia="Arial" w:hAnsi="Arial"/>
          <w:sz w:val="18"/>
          <w:szCs w:val="18"/>
          <w:color w:val="auto"/>
        </w:rPr>
        <w:t>Computer software</w:t>
      </w:r>
      <w:r>
        <w:rPr>
          <w:sz w:val="20"/>
          <w:szCs w:val="20"/>
          <w:color w:val="auto"/>
        </w:rPr>
        <w:tab/>
      </w:r>
      <w:r>
        <w:rPr>
          <w:rFonts w:ascii="Arial" w:cs="Arial" w:eastAsia="Arial" w:hAnsi="Arial"/>
          <w:sz w:val="17"/>
          <w:szCs w:val="17"/>
          <w:color w:val="auto"/>
        </w:rPr>
        <w:t>4-8</w:t>
      </w: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are stated at cost less accumulated depreciation and any provisions for impairment.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is calculated to write off the original cost of property, plant and equipment less its estimated residual value over its</w:t>
      </w:r>
    </w:p>
    <w:p>
      <w:pPr>
        <w:jc w:val="both"/>
        <w:ind w:left="420"/>
        <w:spacing w:after="0" w:line="221" w:lineRule="auto"/>
        <w:rPr>
          <w:sz w:val="20"/>
          <w:szCs w:val="20"/>
          <w:color w:val="auto"/>
        </w:rPr>
      </w:pPr>
      <w:r>
        <w:rPr>
          <w:rFonts w:ascii="Arial" w:cs="Arial" w:eastAsia="Arial" w:hAnsi="Arial"/>
          <w:sz w:val="18"/>
          <w:szCs w:val="18"/>
          <w:color w:val="auto"/>
        </w:rPr>
        <w:t>expected useful lives on a straight line basis. Residual values and useful lives of property, plant and equipment are reviewed and adjusted if appropriate at each reporting date. At present it is estimated that all items of property, plant and equipment have no residual value.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useful lives applied in determining the charge to depreciation are as follows:</w:t>
      </w:r>
    </w:p>
    <w:p>
      <w:pPr>
        <w:spacing w:after="0" w:line="26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Computer equipment</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9"/>
        </w:trPr>
        <w:tc>
          <w:tcPr>
            <w:tcW w:w="390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301" w:lineRule="exact"/>
        <w:rPr>
          <w:sz w:val="20"/>
          <w:szCs w:val="20"/>
          <w:color w:val="auto"/>
        </w:rPr>
      </w:pPr>
    </w:p>
    <w:p>
      <w:pPr>
        <w:jc w:val="both"/>
        <w:ind w:left="420"/>
        <w:spacing w:after="0"/>
        <w:rPr>
          <w:sz w:val="20"/>
          <w:szCs w:val="20"/>
          <w:color w:val="auto"/>
        </w:rPr>
      </w:pPr>
      <w:r>
        <w:rPr>
          <w:rFonts w:ascii="Arial" w:cs="Arial" w:eastAsia="Arial" w:hAnsi="Arial"/>
          <w:sz w:val="18"/>
          <w:szCs w:val="18"/>
          <w:color w:val="auto"/>
        </w:rPr>
        <w:t>Leasehold improvements are amortised using the straight-line method over the estimated useful life of the asset or the lease term, whichever is shorter.</w:t>
      </w:r>
    </w:p>
    <w:p>
      <w:pPr>
        <w:spacing w:after="0" w:line="180"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On disposal of property, plant and equipment the cost and related accumulated depreciation and impairment are removed from the financial statements and the net amount, less any proceeds, is taken to the income statement.</w:t>
      </w:r>
    </w:p>
    <w:p>
      <w:pPr>
        <w:spacing w:after="0" w:line="166" w:lineRule="exact"/>
        <w:rPr>
          <w:sz w:val="20"/>
          <w:szCs w:val="20"/>
          <w:color w:val="auto"/>
        </w:rPr>
      </w:pPr>
    </w:p>
    <w:p>
      <w:pPr>
        <w:jc w:val="both"/>
        <w:ind w:left="420"/>
        <w:spacing w:after="0" w:line="221" w:lineRule="auto"/>
        <w:rPr>
          <w:sz w:val="20"/>
          <w:szCs w:val="20"/>
          <w:color w:val="auto"/>
        </w:rPr>
      </w:pPr>
      <w:r>
        <w:rPr>
          <w:rFonts w:ascii="Arial" w:cs="Arial" w:eastAsia="Arial" w:hAnsi="Arial"/>
          <w:sz w:val="18"/>
          <w:szCs w:val="18"/>
          <w:color w:val="auto"/>
        </w:rPr>
        <w:t>The carrying amounts of property, plant and equipment are reviewed at each reporting date to determine whether there is any indication of impairment. Where such an indication exists an impairment review is carried out. An impairment loss is recognised whenever the</w:t>
      </w:r>
    </w:p>
    <w:p>
      <w:pPr>
        <w:spacing w:after="0" w:line="1" w:lineRule="exact"/>
        <w:rPr>
          <w:sz w:val="20"/>
          <w:szCs w:val="20"/>
          <w:color w:val="auto"/>
        </w:rPr>
      </w:pPr>
    </w:p>
    <w:p>
      <w:pPr>
        <w:jc w:val="both"/>
        <w:ind w:left="420"/>
        <w:spacing w:after="0" w:line="221" w:lineRule="auto"/>
        <w:rPr>
          <w:sz w:val="20"/>
          <w:szCs w:val="20"/>
          <w:color w:val="auto"/>
        </w:rPr>
      </w:pPr>
      <w:r>
        <w:rPr>
          <w:rFonts w:ascii="Arial" w:cs="Arial" w:eastAsia="Arial" w:hAnsi="Arial"/>
          <w:sz w:val="18"/>
          <w:szCs w:val="18"/>
          <w:color w:val="auto"/>
        </w:rPr>
        <w:t>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193" w:lineRule="exact"/>
        <w:rPr>
          <w:sz w:val="20"/>
          <w:szCs w:val="20"/>
          <w:color w:val="auto"/>
        </w:rPr>
      </w:pPr>
    </w:p>
    <w:p>
      <w:pPr>
        <w:jc w:val="both"/>
        <w:ind w:left="420"/>
        <w:spacing w:after="0" w:line="215" w:lineRule="auto"/>
        <w:rPr>
          <w:sz w:val="20"/>
          <w:szCs w:val="20"/>
          <w:color w:val="auto"/>
        </w:rPr>
      </w:pPr>
      <w:r>
        <w:rPr>
          <w:rFonts w:ascii="Arial" w:cs="Arial" w:eastAsia="Arial" w:hAnsi="Arial"/>
          <w:sz w:val="18"/>
          <w:szCs w:val="18"/>
          <w:color w:val="auto"/>
        </w:rPr>
        <w:t>Subsequent costs are included in an asset’s carrying amount or recognised as a separate asset, as appropriate, only when it is probable that future economic benefits associated with the item will flow to the Company and the cost of the replaced item can be measured reliably. All other repair and maintenance costs are charged to the income statement during the financial period in which they</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are incurred.</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Right-of-use assets and liabilities</w:t>
      </w:r>
    </w:p>
    <w:p>
      <w:pPr>
        <w:spacing w:after="0" w:line="212" w:lineRule="exact"/>
        <w:rPr>
          <w:sz w:val="20"/>
          <w:szCs w:val="20"/>
          <w:color w:val="auto"/>
        </w:rPr>
      </w:pPr>
    </w:p>
    <w:p>
      <w:pPr>
        <w:jc w:val="both"/>
        <w:ind w:left="420" w:right="20"/>
        <w:spacing w:after="0" w:line="256" w:lineRule="auto"/>
        <w:rPr>
          <w:sz w:val="20"/>
          <w:szCs w:val="20"/>
          <w:color w:val="auto"/>
        </w:rPr>
      </w:pPr>
      <w:r>
        <w:rPr>
          <w:rFonts w:ascii="Arial" w:cs="Arial" w:eastAsia="Arial" w:hAnsi="Arial"/>
          <w:sz w:val="18"/>
          <w:szCs w:val="18"/>
          <w:color w:val="auto"/>
        </w:rPr>
        <w:t>The Company determines if an arrangement is a lease at inception and recognises the rights and obligations on the Company’s financial position as right-of-use (ROU) assets with corresponding lease liabilities.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1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right="7020" w:hanging="392"/>
        <w:spacing w:after="0" w:line="500" w:lineRule="auto"/>
        <w:tabs>
          <w:tab w:leader="none" w:pos="34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Right-of-use assets and liabilities </w:t>
      </w:r>
      <w:r>
        <w:rPr>
          <w:rFonts w:ascii="Arial" w:cs="Arial" w:eastAsia="Arial" w:hAnsi="Arial"/>
          <w:sz w:val="18"/>
          <w:szCs w:val="18"/>
          <w:i w:val="1"/>
          <w:iCs w:val="1"/>
          <w:color w:val="auto"/>
        </w:rPr>
        <w:t>(continued)</w:t>
      </w:r>
    </w:p>
    <w:p>
      <w:pPr>
        <w:spacing w:after="0" w:line="2" w:lineRule="exact"/>
        <w:rPr>
          <w:sz w:val="20"/>
          <w:szCs w:val="20"/>
          <w:color w:val="auto"/>
        </w:rPr>
      </w:pPr>
    </w:p>
    <w:p>
      <w:pPr>
        <w:jc w:val="both"/>
        <w:ind w:left="420"/>
        <w:spacing w:after="0" w:line="227" w:lineRule="auto"/>
        <w:rPr>
          <w:sz w:val="20"/>
          <w:szCs w:val="20"/>
          <w:color w:val="auto"/>
        </w:rPr>
      </w:pPr>
      <w:r>
        <w:rPr>
          <w:rFonts w:ascii="Arial" w:cs="Arial" w:eastAsia="Arial" w:hAnsi="Arial"/>
          <w:sz w:val="18"/>
          <w:szCs w:val="18"/>
          <w:color w:val="auto"/>
        </w:rPr>
        <w:t>The right-of-use assets comprise the initial measurement of the corresponding lease liability, plus lease payments made at or before the commencement day and any initial direct costs, less any lease incentives received. They are subsequently measured at cost less accumulated depreciation and impairment losses. Right-of-use assets are depreciated over the lease term.</w:t>
      </w:r>
    </w:p>
    <w:p>
      <w:pPr>
        <w:spacing w:after="0" w:line="128" w:lineRule="exact"/>
        <w:rPr>
          <w:sz w:val="20"/>
          <w:szCs w:val="20"/>
          <w:color w:val="auto"/>
        </w:rPr>
      </w:pPr>
    </w:p>
    <w:p>
      <w:pPr>
        <w:jc w:val="both"/>
        <w:ind w:left="420"/>
        <w:spacing w:after="0" w:line="227" w:lineRule="auto"/>
        <w:rPr>
          <w:sz w:val="20"/>
          <w:szCs w:val="20"/>
          <w:color w:val="auto"/>
        </w:rPr>
      </w:pPr>
      <w:r>
        <w:rPr>
          <w:rFonts w:ascii="Arial" w:cs="Arial" w:eastAsia="Arial" w:hAnsi="Arial"/>
          <w:sz w:val="18"/>
          <w:szCs w:val="18"/>
          <w:color w:val="auto"/>
        </w:rPr>
        <w:t>The right-of-use assets are presented as a separate line in the Company’s unaudited interim statement of financial position. The Company applies IAS 36 to determine whether a right-of-use asset is impaired and accounts for any identified impairment loss as described in the ‘Property, Plant and Equipment’ policy.</w:t>
      </w:r>
    </w:p>
    <w:p>
      <w:pPr>
        <w:spacing w:after="0" w:line="196" w:lineRule="exact"/>
        <w:rPr>
          <w:sz w:val="20"/>
          <w:szCs w:val="20"/>
          <w:color w:val="auto"/>
        </w:rPr>
      </w:pPr>
    </w:p>
    <w:p>
      <w:pPr>
        <w:jc w:val="both"/>
        <w:ind w:left="420"/>
        <w:spacing w:after="0" w:line="228" w:lineRule="auto"/>
        <w:rPr>
          <w:sz w:val="20"/>
          <w:szCs w:val="20"/>
          <w:color w:val="auto"/>
        </w:rPr>
      </w:pPr>
      <w:r>
        <w:rPr>
          <w:rFonts w:ascii="Arial" w:cs="Arial" w:eastAsia="Arial" w:hAnsi="Arial"/>
          <w:sz w:val="17"/>
          <w:szCs w:val="17"/>
          <w:color w:val="auto"/>
        </w:rPr>
        <w:t>Lease liabilities are recognised based on the present value of future minimum lease payments over the lease term at commencement date or date of transition with the interest element of the finance lease charged to finance expense. As most of Company’s leases do not provide an implicit rate, the discount rate used is based on the Company’s incremental borrowing rate derived from the rate of traded</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corporate bonds available at the commencement date adjusted for country risk, liquidity and lease term.</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Current lease liabilities are included in accrued and other liabilities in the Company’s unaudited interim statement of financial position</w:t>
      </w:r>
    </w:p>
    <w:p>
      <w:pPr>
        <w:jc w:val="both"/>
        <w:ind w:left="420"/>
        <w:spacing w:after="0" w:line="221" w:lineRule="auto"/>
        <w:rPr>
          <w:sz w:val="20"/>
          <w:szCs w:val="20"/>
          <w:color w:val="auto"/>
        </w:rPr>
      </w:pPr>
      <w:r>
        <w:rPr>
          <w:rFonts w:ascii="Arial" w:cs="Arial" w:eastAsia="Arial" w:hAnsi="Arial"/>
          <w:sz w:val="18"/>
          <w:szCs w:val="18"/>
          <w:color w:val="auto"/>
        </w:rPr>
        <w:t>and non-current lease liabilities are presented as a separate line. The lease liability is subsequently measured by increasing the carrying amount to reflect interest on the lease liability (using the effective interest method) and by reducing the carrying amount to reflect the lease payments made.</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Investments in subsidiaries</w:t>
      </w:r>
    </w:p>
    <w:p>
      <w:pPr>
        <w:spacing w:after="0" w:line="225"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Investments in subsidiary undertakings are stated at cost less any accumulated impairment and are reviewed for impairment if there are indicators that the carrying value may not be recoverable.</w:t>
      </w:r>
    </w:p>
    <w:p>
      <w:pPr>
        <w:spacing w:after="0" w:line="180" w:lineRule="exact"/>
        <w:rPr>
          <w:sz w:val="20"/>
          <w:szCs w:val="20"/>
          <w:color w:val="auto"/>
        </w:rPr>
      </w:pPr>
    </w:p>
    <w:p>
      <w:pPr>
        <w:jc w:val="both"/>
        <w:ind w:left="400" w:right="20" w:firstLine="2"/>
        <w:spacing w:after="0" w:line="287" w:lineRule="auto"/>
        <w:rPr>
          <w:sz w:val="20"/>
          <w:szCs w:val="20"/>
          <w:color w:val="auto"/>
        </w:rPr>
      </w:pPr>
      <w:r>
        <w:rPr>
          <w:rFonts w:ascii="Arial" w:cs="Arial" w:eastAsia="Arial" w:hAnsi="Arial"/>
          <w:sz w:val="18"/>
          <w:szCs w:val="18"/>
          <w:color w:val="auto"/>
        </w:rPr>
        <w:t>Intercompany loans receivable and payable are initially recognised at fair value. These are subsequently measured at amortised cost, less any loss allowance.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Share capital</w:t>
      </w:r>
    </w:p>
    <w:p>
      <w:pPr>
        <w:spacing w:after="0" w:line="225"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80"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Where ordinary shares are re-purchased by the Company they are cancelled and the nominal value of the shares is transferred to other undenominated capital within equity.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Employee benefits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Pension and other post-employment benefits</w:t>
      </w:r>
    </w:p>
    <w:p>
      <w:pPr>
        <w:spacing w:after="0" w:line="252"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The Company operates a defined contribution pension plan. A defined contribution plan is a pension plan under which the Company pays fixed contributions into a separate entity. The Company has no legal or constructive obligation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 Share-based payments</w:t>
      </w:r>
    </w:p>
    <w:p>
      <w:pPr>
        <w:spacing w:after="0" w:line="225"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The Company operates a number of share-based payment plans the details of which are presented in note 9 Share-based Payments to the unaudited interim financial statements.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1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Employee benefits </w:t>
      </w:r>
      <w:r>
        <w:rPr>
          <w:rFonts w:ascii="Arial" w:cs="Arial" w:eastAsia="Arial" w:hAnsi="Arial"/>
          <w:sz w:val="18"/>
          <w:szCs w:val="18"/>
          <w:i w:val="1"/>
          <w:iCs w:val="1"/>
          <w:color w:val="auto"/>
        </w:rPr>
        <w:t>(continued)</w:t>
      </w:r>
    </w:p>
    <w:p>
      <w:pPr>
        <w:spacing w:after="0" w:line="185"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Share-based payments comprise options to acquire ordinary shares in the Company, Restricted Share Units ('RSUs') and and Performance Share Units ('PSUs') in the form of ordinary share entitlements after a certain period of time. These are awarded to certain key employees and Directors of the Company based on service conditions such as term of employment and individual performance. The fair value is measured at grant date and spread over the period during which the Directors and other employees become unconditionally entitled to the options, RSUs or PSUs. The fair value of options granted is measured using a model taking into account the terms and conditions upon which the options were granted.</w:t>
      </w:r>
    </w:p>
    <w:p>
      <w:pPr>
        <w:spacing w:after="0" w:line="209"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The fair value of RSUs and PSUs is equal to the market price of a share at date of grant. The total amount to be expensed is determined by reference to the fair value of the options, RSUs or PSUs granted. The amount recognised as an expense is adjusted to reflect the actual number of share options, RSUs or PSUs that vest.</w:t>
      </w:r>
    </w:p>
    <w:p>
      <w:pPr>
        <w:spacing w:after="0" w:line="198"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Forfeitures are estimated on the date of grant and revised if actual or expected forfeiture activity differs materially from original estimates.</w:t>
      </w:r>
    </w:p>
    <w:p>
      <w:pPr>
        <w:spacing w:after="0" w:line="180"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Share-based payment expense is recognised over the requisite service period for awards of equity instruments to employees based on the grant date fair value of those awards expected to ultimately vest.</w:t>
      </w:r>
    </w:p>
    <w:p>
      <w:pPr>
        <w:spacing w:after="0" w:line="180"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unaudited interim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with certain subsidiaries, on the date of exercise the Company is paid an amount equal to the fair value of the ordinary shares issued that is in excess of the award exercise price with such amount reducing the Company’s investment in its subsidiaries.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net effect of the grant date fair value of the Company’s share-based compensation to employees of the Company’s subsidiaries and</w:t>
      </w:r>
    </w:p>
    <w:p>
      <w:pPr>
        <w:spacing w:after="0" w:line="27" w:lineRule="exact"/>
        <w:rPr>
          <w:sz w:val="20"/>
          <w:szCs w:val="20"/>
          <w:color w:val="auto"/>
        </w:rPr>
      </w:pPr>
    </w:p>
    <w:p>
      <w:pPr>
        <w:jc w:val="both"/>
        <w:ind w:left="400" w:right="20"/>
        <w:spacing w:after="0" w:line="266" w:lineRule="auto"/>
        <w:rPr>
          <w:sz w:val="20"/>
          <w:szCs w:val="20"/>
          <w:color w:val="auto"/>
        </w:rPr>
      </w:pPr>
      <w:r>
        <w:rPr>
          <w:rFonts w:ascii="Arial" w:cs="Arial" w:eastAsia="Arial" w:hAnsi="Arial"/>
          <w:sz w:val="18"/>
          <w:szCs w:val="18"/>
          <w:color w:val="auto"/>
        </w:rPr>
        <w:t>recharges received from those subsidiaries is presented as a movement in financial fixed assets (see note 12 Investment in subsidiaries).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Direct costs</w:t>
      </w:r>
    </w:p>
    <w:p>
      <w:pPr>
        <w:spacing w:after="0" w:line="225"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Other operating expenses</w:t>
      </w:r>
    </w:p>
    <w:p>
      <w:pPr>
        <w:spacing w:after="0" w:line="225"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Other operating expenses consist of compensation, associated employee benefits and share-based payments for non-project-related employees and other indirect costs associated with the business. Other operating expenses also include depreciation expense of the tangible assets and amortisation of intangible assets.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Finance income</w:t>
      </w:r>
    </w:p>
    <w:p>
      <w:pPr>
        <w:spacing w:after="0" w:line="225"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Interest income is recognised in the Company’s statement of profit and loss as it accrues using the effective interest rate method and includes interest receivable on investments.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1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Finance expense</w:t>
      </w:r>
    </w:p>
    <w:p>
      <w:pPr>
        <w:spacing w:after="0" w:line="225"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Finance expense comprises interest payable on borrowings calculated using the effective interest rate method and finance charges on leases.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Critical accounting judgements and key sources of estimation uncertainty</w:t>
      </w:r>
    </w:p>
    <w:p>
      <w:pPr>
        <w:spacing w:after="0" w:line="225"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The preparation of Company’s financial statements requires management to make estimates and judgments that affect the reported amounts of assets and liabilities at the date of the unaudited interim financial statements and the reported amounts of revenues and expenses during the reported period.</w:t>
      </w:r>
    </w:p>
    <w:p>
      <w:pPr>
        <w:spacing w:after="0" w:line="171"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principal management estimates and judgments used in preparing the unaudited interim financial statements relate to the recoverability of financial assets.</w:t>
      </w:r>
    </w:p>
    <w:p>
      <w:pPr>
        <w:spacing w:after="0" w:line="203"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Where there are indicators of impairment of financial assets, the Company performs impairment tests based on fair value less costs to sell or a value in use calculation. The fair value less costs to sell calculation is based on available data from binding sales transactions in an arm’s length transaction on similar assets or observable market prices. The value in use calculation is based on a discounted cash flow model. The cash flows do not include restructuring activities that are not yet committed to or significant future investments that will enhance performance of the investments being tested. The recoverable amount is most sensitive to the discount rate used for the discounted cash flow model as well as the expected future cash flows and the growth rate used for extrapolation purposes.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2.  Revenue</w:t>
            </w:r>
          </w:p>
        </w:tc>
        <w:tc>
          <w:tcPr>
            <w:tcW w:w="2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97"/>
        </w:trPr>
        <w:tc>
          <w:tcPr>
            <w:tcW w:w="6500" w:type="dxa"/>
            <w:vAlign w:val="bottom"/>
            <w:gridSpan w:val="3"/>
          </w:tcPr>
          <w:p>
            <w:pPr>
              <w:ind w:left="400"/>
              <w:spacing w:after="0"/>
              <w:rPr>
                <w:sz w:val="20"/>
                <w:szCs w:val="20"/>
                <w:color w:val="auto"/>
              </w:rPr>
            </w:pPr>
            <w:r>
              <w:rPr>
                <w:rFonts w:ascii="Arial" w:cs="Arial" w:eastAsia="Arial" w:hAnsi="Arial"/>
                <w:sz w:val="18"/>
                <w:szCs w:val="18"/>
                <w:color w:val="auto"/>
              </w:rPr>
              <w:t>The analyses of turnover by activity and geographical area is as follows:</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1"/>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jc w:val="right"/>
              <w:ind w:right="430"/>
              <w:spacing w:after="0"/>
              <w:rPr>
                <w:sz w:val="20"/>
                <w:szCs w:val="20"/>
                <w:color w:val="auto"/>
              </w:rPr>
            </w:pPr>
            <w:r>
              <w:rPr>
                <w:rFonts w:ascii="Arial" w:cs="Arial" w:eastAsia="Arial" w:hAnsi="Arial"/>
                <w:sz w:val="18"/>
                <w:szCs w:val="18"/>
                <w:b w:val="1"/>
                <w:bCs w:val="1"/>
                <w:color w:val="auto"/>
              </w:rPr>
              <w:t>Period ended</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6"/>
        </w:trPr>
        <w:tc>
          <w:tcPr>
            <w:tcW w:w="5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40" w:type="dxa"/>
            <w:vAlign w:val="bottom"/>
          </w:tcPr>
          <w:p>
            <w:pPr>
              <w:jc w:val="right"/>
              <w:ind w:right="430"/>
              <w:spacing w:after="0"/>
              <w:rPr>
                <w:sz w:val="20"/>
                <w:szCs w:val="20"/>
                <w:color w:val="auto"/>
              </w:rPr>
            </w:pPr>
            <w:r>
              <w:rPr>
                <w:rFonts w:ascii="Arial" w:cs="Arial" w:eastAsia="Arial" w:hAnsi="Arial"/>
                <w:sz w:val="18"/>
                <w:szCs w:val="18"/>
                <w:b w:val="1"/>
                <w:bCs w:val="1"/>
                <w:color w:val="auto"/>
              </w:rPr>
              <w:t>1 January 2024</w:t>
            </w:r>
          </w:p>
        </w:tc>
        <w:tc>
          <w:tcPr>
            <w:tcW w:w="206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40" w:type="dxa"/>
            <w:vAlign w:val="bottom"/>
          </w:tcPr>
          <w:p>
            <w:pPr>
              <w:spacing w:after="0"/>
              <w:rPr>
                <w:sz w:val="23"/>
                <w:szCs w:val="23"/>
                <w:color w:val="auto"/>
              </w:rPr>
            </w:pPr>
          </w:p>
        </w:tc>
      </w:tr>
      <w:tr>
        <w:trPr>
          <w:trHeight w:val="278"/>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jc w:val="right"/>
              <w:ind w:right="430"/>
              <w:spacing w:after="0"/>
              <w:rPr>
                <w:sz w:val="20"/>
                <w:szCs w:val="20"/>
                <w:color w:val="auto"/>
              </w:rPr>
            </w:pPr>
            <w:r>
              <w:rPr>
                <w:rFonts w:ascii="Arial" w:cs="Arial" w:eastAsia="Arial" w:hAnsi="Arial"/>
                <w:sz w:val="18"/>
                <w:szCs w:val="18"/>
                <w:b w:val="1"/>
                <w:bCs w:val="1"/>
                <w:color w:val="auto"/>
              </w:rPr>
              <w:t>to 5 March 2025</w:t>
            </w:r>
          </w:p>
        </w:tc>
        <w:tc>
          <w:tcPr>
            <w:tcW w:w="2060" w:type="dxa"/>
            <w:vAlign w:val="bottom"/>
          </w:tcPr>
          <w:p>
            <w:pPr>
              <w:jc w:val="right"/>
              <w:spacing w:after="0"/>
              <w:rPr>
                <w:sz w:val="20"/>
                <w:szCs w:val="20"/>
                <w:color w:val="auto"/>
              </w:rPr>
            </w:pPr>
            <w:r>
              <w:rPr>
                <w:rFonts w:ascii="Arial" w:cs="Arial" w:eastAsia="Arial" w:hAnsi="Arial"/>
                <w:sz w:val="18"/>
                <w:szCs w:val="18"/>
                <w:color w:val="auto"/>
              </w:rPr>
              <w:t>31 December 2023</w:t>
            </w:r>
          </w:p>
        </w:tc>
        <w:tc>
          <w:tcPr>
            <w:tcW w:w="40" w:type="dxa"/>
            <w:vAlign w:val="bottom"/>
          </w:tcPr>
          <w:p>
            <w:pPr>
              <w:spacing w:after="0"/>
              <w:rPr>
                <w:sz w:val="24"/>
                <w:szCs w:val="24"/>
                <w:color w:val="auto"/>
              </w:rPr>
            </w:pPr>
          </w:p>
        </w:tc>
      </w:tr>
      <w:tr>
        <w:trPr>
          <w:trHeight w:val="270"/>
        </w:trPr>
        <w:tc>
          <w:tcPr>
            <w:tcW w:w="5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4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206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3"/>
                <w:szCs w:val="23"/>
                <w:color w:val="auto"/>
              </w:rPr>
            </w:pPr>
          </w:p>
        </w:tc>
      </w:tr>
      <w:tr>
        <w:trPr>
          <w:trHeight w:val="270"/>
        </w:trPr>
        <w:tc>
          <w:tcPr>
            <w:tcW w:w="6500" w:type="dxa"/>
            <w:vAlign w:val="bottom"/>
            <w:gridSpan w:val="3"/>
          </w:tcPr>
          <w:p>
            <w:pPr>
              <w:ind w:left="420"/>
              <w:spacing w:after="0"/>
              <w:rPr>
                <w:sz w:val="20"/>
                <w:szCs w:val="20"/>
                <w:color w:val="auto"/>
              </w:rPr>
            </w:pPr>
            <w:r>
              <w:rPr>
                <w:rFonts w:ascii="Arial" w:cs="Arial" w:eastAsia="Arial" w:hAnsi="Arial"/>
                <w:sz w:val="18"/>
                <w:szCs w:val="18"/>
                <w:b w:val="1"/>
                <w:bCs w:val="1"/>
                <w:i w:val="1"/>
                <w:iCs w:val="1"/>
                <w:color w:val="auto"/>
              </w:rPr>
              <w:t>Activity</w:t>
            </w:r>
          </w:p>
        </w:tc>
        <w:tc>
          <w:tcPr>
            <w:tcW w:w="22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6500" w:type="dxa"/>
            <w:vAlign w:val="bottom"/>
            <w:gridSpan w:val="3"/>
          </w:tcPr>
          <w:p>
            <w:pPr>
              <w:ind w:left="420"/>
              <w:spacing w:after="0"/>
              <w:rPr>
                <w:sz w:val="20"/>
                <w:szCs w:val="20"/>
                <w:color w:val="auto"/>
              </w:rPr>
            </w:pPr>
            <w:r>
              <w:rPr>
                <w:rFonts w:ascii="Arial" w:cs="Arial" w:eastAsia="Arial" w:hAnsi="Arial"/>
                <w:sz w:val="18"/>
                <w:szCs w:val="18"/>
                <w:color w:val="auto"/>
              </w:rPr>
              <w:t>Clinical research income</w:t>
            </w:r>
          </w:p>
        </w:tc>
        <w:tc>
          <w:tcPr>
            <w:tcW w:w="2240" w:type="dxa"/>
            <w:vAlign w:val="bottom"/>
          </w:tcPr>
          <w:p>
            <w:pPr>
              <w:jc w:val="right"/>
              <w:ind w:right="430"/>
              <w:spacing w:after="0"/>
              <w:rPr>
                <w:sz w:val="20"/>
                <w:szCs w:val="20"/>
                <w:color w:val="auto"/>
              </w:rPr>
            </w:pPr>
            <w:r>
              <w:rPr>
                <w:rFonts w:ascii="Arial" w:cs="Arial" w:eastAsia="Arial" w:hAnsi="Arial"/>
                <w:sz w:val="18"/>
                <w:szCs w:val="18"/>
                <w:b w:val="1"/>
                <w:bCs w:val="1"/>
                <w:color w:val="auto"/>
              </w:rPr>
              <w:t>40,544</w:t>
            </w:r>
          </w:p>
        </w:tc>
        <w:tc>
          <w:tcPr>
            <w:tcW w:w="2060" w:type="dxa"/>
            <w:vAlign w:val="bottom"/>
          </w:tcPr>
          <w:p>
            <w:pPr>
              <w:jc w:val="right"/>
              <w:spacing w:after="0"/>
              <w:rPr>
                <w:sz w:val="20"/>
                <w:szCs w:val="20"/>
                <w:color w:val="auto"/>
              </w:rPr>
            </w:pPr>
            <w:r>
              <w:rPr>
                <w:rFonts w:ascii="Arial" w:cs="Arial" w:eastAsia="Arial" w:hAnsi="Arial"/>
                <w:sz w:val="18"/>
                <w:szCs w:val="18"/>
                <w:color w:val="auto"/>
              </w:rPr>
              <w:t>55,037</w:t>
            </w:r>
          </w:p>
        </w:tc>
        <w:tc>
          <w:tcPr>
            <w:tcW w:w="40" w:type="dxa"/>
            <w:vAlign w:val="bottom"/>
          </w:tcPr>
          <w:p>
            <w:pPr>
              <w:spacing w:after="0"/>
              <w:rPr>
                <w:sz w:val="23"/>
                <w:szCs w:val="23"/>
                <w:color w:val="auto"/>
              </w:rPr>
            </w:pPr>
          </w:p>
        </w:tc>
      </w:tr>
      <w:tr>
        <w:trPr>
          <w:trHeight w:val="279"/>
        </w:trPr>
        <w:tc>
          <w:tcPr>
            <w:tcW w:w="6500" w:type="dxa"/>
            <w:vAlign w:val="bottom"/>
            <w:gridSpan w:val="3"/>
          </w:tcPr>
          <w:p>
            <w:pPr>
              <w:ind w:left="420"/>
              <w:spacing w:after="0"/>
              <w:rPr>
                <w:sz w:val="20"/>
                <w:szCs w:val="20"/>
                <w:color w:val="auto"/>
              </w:rPr>
            </w:pPr>
            <w:r>
              <w:rPr>
                <w:rFonts w:ascii="Arial" w:cs="Arial" w:eastAsia="Arial" w:hAnsi="Arial"/>
                <w:sz w:val="18"/>
                <w:szCs w:val="18"/>
                <w:color w:val="auto"/>
              </w:rPr>
              <w:t>Management services</w:t>
            </w:r>
          </w:p>
        </w:tc>
        <w:tc>
          <w:tcPr>
            <w:tcW w:w="2240" w:type="dxa"/>
            <w:vAlign w:val="bottom"/>
          </w:tcPr>
          <w:p>
            <w:pPr>
              <w:jc w:val="right"/>
              <w:ind w:right="430"/>
              <w:spacing w:after="0"/>
              <w:rPr>
                <w:sz w:val="20"/>
                <w:szCs w:val="20"/>
                <w:color w:val="auto"/>
              </w:rPr>
            </w:pPr>
            <w:r>
              <w:rPr>
                <w:rFonts w:ascii="Arial" w:cs="Arial" w:eastAsia="Arial" w:hAnsi="Arial"/>
                <w:sz w:val="18"/>
                <w:szCs w:val="18"/>
                <w:b w:val="1"/>
                <w:bCs w:val="1"/>
                <w:color w:val="auto"/>
              </w:rPr>
              <w:t>8,720</w:t>
            </w:r>
          </w:p>
        </w:tc>
        <w:tc>
          <w:tcPr>
            <w:tcW w:w="2060" w:type="dxa"/>
            <w:vAlign w:val="bottom"/>
          </w:tcPr>
          <w:p>
            <w:pPr>
              <w:jc w:val="right"/>
              <w:spacing w:after="0"/>
              <w:rPr>
                <w:sz w:val="20"/>
                <w:szCs w:val="20"/>
                <w:color w:val="auto"/>
              </w:rPr>
            </w:pPr>
            <w:r>
              <w:rPr>
                <w:rFonts w:ascii="Arial" w:cs="Arial" w:eastAsia="Arial" w:hAnsi="Arial"/>
                <w:sz w:val="18"/>
                <w:szCs w:val="18"/>
                <w:color w:val="auto"/>
              </w:rPr>
              <w:t>9,676</w:t>
            </w:r>
          </w:p>
        </w:tc>
        <w:tc>
          <w:tcPr>
            <w:tcW w:w="40" w:type="dxa"/>
            <w:vAlign w:val="bottom"/>
          </w:tcPr>
          <w:p>
            <w:pPr>
              <w:spacing w:after="0"/>
              <w:rPr>
                <w:sz w:val="24"/>
                <w:szCs w:val="24"/>
                <w:color w:val="auto"/>
              </w:rPr>
            </w:pPr>
          </w:p>
        </w:tc>
      </w:tr>
      <w:tr>
        <w:trPr>
          <w:trHeight w:val="263"/>
        </w:trPr>
        <w:tc>
          <w:tcPr>
            <w:tcW w:w="58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49,264</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64,713</w:t>
            </w:r>
          </w:p>
        </w:tc>
        <w:tc>
          <w:tcPr>
            <w:tcW w:w="40" w:type="dxa"/>
            <w:vAlign w:val="bottom"/>
          </w:tcPr>
          <w:p>
            <w:pPr>
              <w:spacing w:after="0"/>
              <w:rPr>
                <w:sz w:val="22"/>
                <w:szCs w:val="22"/>
                <w:color w:val="auto"/>
              </w:rPr>
            </w:pPr>
          </w:p>
        </w:tc>
      </w:tr>
      <w:tr>
        <w:trPr>
          <w:trHeight w:val="27"/>
        </w:trPr>
        <w:tc>
          <w:tcPr>
            <w:tcW w:w="5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613"/>
        </w:trPr>
        <w:tc>
          <w:tcPr>
            <w:tcW w:w="6500" w:type="dxa"/>
            <w:vAlign w:val="bottom"/>
            <w:gridSpan w:val="3"/>
          </w:tcPr>
          <w:p>
            <w:pPr>
              <w:ind w:left="420"/>
              <w:spacing w:after="0"/>
              <w:rPr>
                <w:sz w:val="20"/>
                <w:szCs w:val="20"/>
                <w:color w:val="auto"/>
              </w:rPr>
            </w:pPr>
            <w:r>
              <w:rPr>
                <w:rFonts w:ascii="Arial" w:cs="Arial" w:eastAsia="Arial" w:hAnsi="Arial"/>
                <w:sz w:val="18"/>
                <w:szCs w:val="18"/>
                <w:b w:val="1"/>
                <w:bCs w:val="1"/>
                <w:i w:val="1"/>
                <w:iCs w:val="1"/>
                <w:color w:val="auto"/>
              </w:rPr>
              <w:t>Geographical area</w:t>
            </w:r>
          </w:p>
        </w:tc>
        <w:tc>
          <w:tcPr>
            <w:tcW w:w="2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5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rPr>
              <w:t>Period ended</w:t>
            </w: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6"/>
        </w:trPr>
        <w:tc>
          <w:tcPr>
            <w:tcW w:w="5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rPr>
              <w:t>1 January 2024</w:t>
            </w:r>
          </w:p>
        </w:tc>
        <w:tc>
          <w:tcPr>
            <w:tcW w:w="206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40" w:type="dxa"/>
            <w:vAlign w:val="bottom"/>
          </w:tcPr>
          <w:p>
            <w:pPr>
              <w:spacing w:after="0"/>
              <w:rPr>
                <w:sz w:val="23"/>
                <w:szCs w:val="23"/>
                <w:color w:val="auto"/>
              </w:rPr>
            </w:pPr>
          </w:p>
        </w:tc>
      </w:tr>
      <w:tr>
        <w:trPr>
          <w:trHeight w:val="278"/>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rPr>
              <w:t>to 5 March 2025</w:t>
            </w:r>
          </w:p>
        </w:tc>
        <w:tc>
          <w:tcPr>
            <w:tcW w:w="2060" w:type="dxa"/>
            <w:vAlign w:val="bottom"/>
          </w:tcPr>
          <w:p>
            <w:pPr>
              <w:jc w:val="right"/>
              <w:spacing w:after="0"/>
              <w:rPr>
                <w:sz w:val="20"/>
                <w:szCs w:val="20"/>
                <w:color w:val="auto"/>
              </w:rPr>
            </w:pPr>
            <w:r>
              <w:rPr>
                <w:rFonts w:ascii="Arial" w:cs="Arial" w:eastAsia="Arial" w:hAnsi="Arial"/>
                <w:sz w:val="18"/>
                <w:szCs w:val="18"/>
                <w:color w:val="auto"/>
              </w:rPr>
              <w:t>31 December 2023</w:t>
            </w:r>
          </w:p>
        </w:tc>
        <w:tc>
          <w:tcPr>
            <w:tcW w:w="40" w:type="dxa"/>
            <w:vAlign w:val="bottom"/>
          </w:tcPr>
          <w:p>
            <w:pPr>
              <w:spacing w:after="0"/>
              <w:rPr>
                <w:sz w:val="24"/>
                <w:szCs w:val="24"/>
                <w:color w:val="auto"/>
              </w:rPr>
            </w:pPr>
          </w:p>
        </w:tc>
      </w:tr>
      <w:tr>
        <w:trPr>
          <w:trHeight w:val="270"/>
        </w:trPr>
        <w:tc>
          <w:tcPr>
            <w:tcW w:w="5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rPr>
              <w:t>$’000</w:t>
            </w:r>
          </w:p>
        </w:tc>
        <w:tc>
          <w:tcPr>
            <w:tcW w:w="206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3"/>
                <w:szCs w:val="23"/>
                <w:color w:val="auto"/>
              </w:rPr>
            </w:pPr>
          </w:p>
        </w:tc>
      </w:tr>
      <w:tr>
        <w:trPr>
          <w:trHeight w:val="513"/>
        </w:trPr>
        <w:tc>
          <w:tcPr>
            <w:tcW w:w="6500" w:type="dxa"/>
            <w:vAlign w:val="bottom"/>
            <w:gridSpan w:val="3"/>
          </w:tcPr>
          <w:p>
            <w:pPr>
              <w:ind w:left="420"/>
              <w:spacing w:after="0"/>
              <w:rPr>
                <w:sz w:val="20"/>
                <w:szCs w:val="20"/>
                <w:color w:val="auto"/>
              </w:rPr>
            </w:pPr>
            <w:r>
              <w:rPr>
                <w:rFonts w:ascii="Arial" w:cs="Arial" w:eastAsia="Arial" w:hAnsi="Arial"/>
                <w:sz w:val="18"/>
                <w:szCs w:val="18"/>
                <w:color w:val="auto"/>
              </w:rPr>
              <w:t>Ireland</w:t>
            </w: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rPr>
              <w:t>8,720</w:t>
            </w:r>
          </w:p>
        </w:tc>
        <w:tc>
          <w:tcPr>
            <w:tcW w:w="2060" w:type="dxa"/>
            <w:vAlign w:val="bottom"/>
          </w:tcPr>
          <w:p>
            <w:pPr>
              <w:jc w:val="right"/>
              <w:spacing w:after="0"/>
              <w:rPr>
                <w:sz w:val="20"/>
                <w:szCs w:val="20"/>
                <w:color w:val="auto"/>
              </w:rPr>
            </w:pPr>
            <w:r>
              <w:rPr>
                <w:rFonts w:ascii="Arial" w:cs="Arial" w:eastAsia="Arial" w:hAnsi="Arial"/>
                <w:sz w:val="18"/>
                <w:szCs w:val="18"/>
                <w:color w:val="auto"/>
              </w:rPr>
              <w:t>9,676</w:t>
            </w:r>
          </w:p>
        </w:tc>
        <w:tc>
          <w:tcPr>
            <w:tcW w:w="40" w:type="dxa"/>
            <w:vAlign w:val="bottom"/>
          </w:tcPr>
          <w:p>
            <w:pPr>
              <w:spacing w:after="0"/>
              <w:rPr>
                <w:sz w:val="24"/>
                <w:szCs w:val="24"/>
                <w:color w:val="auto"/>
              </w:rPr>
            </w:pPr>
          </w:p>
        </w:tc>
      </w:tr>
      <w:tr>
        <w:trPr>
          <w:trHeight w:val="278"/>
        </w:trPr>
        <w:tc>
          <w:tcPr>
            <w:tcW w:w="6500" w:type="dxa"/>
            <w:vAlign w:val="bottom"/>
            <w:gridSpan w:val="3"/>
          </w:tcPr>
          <w:p>
            <w:pPr>
              <w:ind w:left="420"/>
              <w:spacing w:after="0"/>
              <w:rPr>
                <w:sz w:val="20"/>
                <w:szCs w:val="20"/>
                <w:color w:val="auto"/>
              </w:rPr>
            </w:pPr>
            <w:r>
              <w:rPr>
                <w:rFonts w:ascii="Arial" w:cs="Arial" w:eastAsia="Arial" w:hAnsi="Arial"/>
                <w:sz w:val="18"/>
                <w:szCs w:val="18"/>
                <w:color w:val="auto"/>
              </w:rPr>
              <w:t>Europe</w:t>
            </w: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rPr>
              <w:t>40,544</w:t>
            </w:r>
          </w:p>
        </w:tc>
        <w:tc>
          <w:tcPr>
            <w:tcW w:w="2060" w:type="dxa"/>
            <w:vAlign w:val="bottom"/>
          </w:tcPr>
          <w:p>
            <w:pPr>
              <w:jc w:val="right"/>
              <w:spacing w:after="0"/>
              <w:rPr>
                <w:sz w:val="20"/>
                <w:szCs w:val="20"/>
                <w:color w:val="auto"/>
              </w:rPr>
            </w:pPr>
            <w:r>
              <w:rPr>
                <w:rFonts w:ascii="Arial" w:cs="Arial" w:eastAsia="Arial" w:hAnsi="Arial"/>
                <w:sz w:val="18"/>
                <w:szCs w:val="18"/>
                <w:color w:val="auto"/>
              </w:rPr>
              <w:t>55,037</w:t>
            </w:r>
          </w:p>
        </w:tc>
        <w:tc>
          <w:tcPr>
            <w:tcW w:w="40" w:type="dxa"/>
            <w:vAlign w:val="bottom"/>
          </w:tcPr>
          <w:p>
            <w:pPr>
              <w:spacing w:after="0"/>
              <w:rPr>
                <w:sz w:val="24"/>
                <w:szCs w:val="24"/>
                <w:color w:val="auto"/>
              </w:rPr>
            </w:pPr>
          </w:p>
        </w:tc>
      </w:tr>
      <w:tr>
        <w:trPr>
          <w:trHeight w:val="264"/>
        </w:trPr>
        <w:tc>
          <w:tcPr>
            <w:tcW w:w="5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49,264</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64,713</w:t>
            </w:r>
          </w:p>
        </w:tc>
        <w:tc>
          <w:tcPr>
            <w:tcW w:w="40" w:type="dxa"/>
            <w:vAlign w:val="bottom"/>
            <w:tcBorders>
              <w:top w:val="single" w:sz="8" w:color="auto"/>
              <w:bottom w:val="single" w:sz="8" w:color="auto"/>
            </w:tcBorders>
          </w:tcPr>
          <w:p>
            <w:pPr>
              <w:spacing w:after="0"/>
              <w:rPr>
                <w:sz w:val="22"/>
                <w:szCs w:val="22"/>
                <w:color w:val="auto"/>
              </w:rPr>
            </w:pPr>
          </w:p>
        </w:tc>
      </w:tr>
      <w:tr>
        <w:trPr>
          <w:trHeight w:val="27"/>
        </w:trPr>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ind w:left="400"/>
        <w:spacing w:after="0" w:line="287" w:lineRule="auto"/>
        <w:rPr>
          <w:sz w:val="20"/>
          <w:szCs w:val="20"/>
          <w:color w:val="auto"/>
        </w:rPr>
      </w:pPr>
      <w:r>
        <w:rPr>
          <w:rFonts w:ascii="Arial" w:cs="Arial" w:eastAsia="Arial" w:hAnsi="Arial"/>
          <w:sz w:val="18"/>
          <w:szCs w:val="18"/>
          <w:color w:val="auto"/>
        </w:rPr>
        <w:t>On 1 July 2023, ICON plc transferred the trade of its Italian branch to ICON Holdings Clinical Research International Limited. The branch had Revenue of $18.8 million for the year ended 31 December 2023.</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1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ectPr>
          <w:pgSz w:w="11900" w:h="16838" w:orient="portrait"/>
          <w:cols w:equalWidth="0" w:num="1">
            <w:col w:w="11220"/>
          </w:cols>
          <w:pgMar w:left="320" w:top="1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Income from shares in group undertakings</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384"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8"/>
          <w:szCs w:val="18"/>
          <w:color w:val="auto"/>
        </w:rPr>
        <w:t>Dividends received from group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jc w:val="right"/>
              <w:ind w:right="290"/>
              <w:spacing w:after="0"/>
              <w:rPr>
                <w:sz w:val="20"/>
                <w:szCs w:val="20"/>
                <w:color w:val="auto"/>
              </w:rPr>
            </w:pPr>
            <w:r>
              <w:rPr>
                <w:rFonts w:ascii="Arial" w:cs="Arial" w:eastAsia="Arial" w:hAnsi="Arial"/>
                <w:sz w:val="18"/>
                <w:szCs w:val="18"/>
                <w:b w:val="1"/>
                <w:bCs w:val="1"/>
                <w:color w:val="auto"/>
              </w:rPr>
              <w:t>Period ended</w:t>
            </w:r>
          </w:p>
        </w:tc>
        <w:tc>
          <w:tcPr>
            <w:tcW w:w="1980" w:type="dxa"/>
            <w:vAlign w:val="bottom"/>
          </w:tcPr>
          <w:p>
            <w:pPr>
              <w:spacing w:after="0"/>
              <w:rPr>
                <w:sz w:val="18"/>
                <w:szCs w:val="18"/>
                <w:color w:val="auto"/>
              </w:rPr>
            </w:pPr>
          </w:p>
        </w:tc>
      </w:tr>
      <w:tr>
        <w:trPr>
          <w:trHeight w:val="266"/>
        </w:trPr>
        <w:tc>
          <w:tcPr>
            <w:tcW w:w="2660" w:type="dxa"/>
            <w:vAlign w:val="bottom"/>
          </w:tcPr>
          <w:p>
            <w:pPr>
              <w:jc w:val="right"/>
              <w:ind w:right="290"/>
              <w:spacing w:after="0"/>
              <w:rPr>
                <w:sz w:val="20"/>
                <w:szCs w:val="20"/>
                <w:color w:val="auto"/>
              </w:rPr>
            </w:pPr>
            <w:r>
              <w:rPr>
                <w:rFonts w:ascii="Arial" w:cs="Arial" w:eastAsia="Arial" w:hAnsi="Arial"/>
                <w:sz w:val="18"/>
                <w:szCs w:val="18"/>
                <w:b w:val="1"/>
                <w:bCs w:val="1"/>
                <w:color w:val="auto"/>
              </w:rPr>
              <w:t>1 January 2024</w:t>
            </w:r>
          </w:p>
        </w:tc>
        <w:tc>
          <w:tcPr>
            <w:tcW w:w="198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78"/>
        </w:trPr>
        <w:tc>
          <w:tcPr>
            <w:tcW w:w="2660" w:type="dxa"/>
            <w:vAlign w:val="bottom"/>
          </w:tcPr>
          <w:p>
            <w:pPr>
              <w:jc w:val="right"/>
              <w:ind w:right="290"/>
              <w:spacing w:after="0"/>
              <w:rPr>
                <w:sz w:val="20"/>
                <w:szCs w:val="20"/>
                <w:color w:val="auto"/>
              </w:rPr>
            </w:pPr>
            <w:r>
              <w:rPr>
                <w:rFonts w:ascii="Arial" w:cs="Arial" w:eastAsia="Arial" w:hAnsi="Arial"/>
                <w:sz w:val="18"/>
                <w:szCs w:val="18"/>
                <w:b w:val="1"/>
                <w:bCs w:val="1"/>
                <w:color w:val="auto"/>
              </w:rPr>
              <w:t>to 5 March 2025</w:t>
            </w:r>
          </w:p>
        </w:tc>
        <w:tc>
          <w:tcPr>
            <w:tcW w:w="198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70"/>
        </w:trPr>
        <w:tc>
          <w:tcPr>
            <w:tcW w:w="266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9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40"/>
        </w:trPr>
        <w:tc>
          <w:tcPr>
            <w:tcW w:w="2660" w:type="dxa"/>
            <w:vAlign w:val="bottom"/>
          </w:tcPr>
          <w:p>
            <w:pPr>
              <w:jc w:val="right"/>
              <w:ind w:right="290"/>
              <w:spacing w:after="0"/>
              <w:rPr>
                <w:sz w:val="20"/>
                <w:szCs w:val="20"/>
                <w:color w:val="auto"/>
              </w:rPr>
            </w:pPr>
            <w:r>
              <w:rPr>
                <w:rFonts w:ascii="Arial" w:cs="Arial" w:eastAsia="Arial" w:hAnsi="Arial"/>
                <w:sz w:val="18"/>
                <w:szCs w:val="18"/>
                <w:b w:val="1"/>
                <w:bCs w:val="1"/>
                <w:color w:val="auto"/>
              </w:rPr>
              <w:t>681,247</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8"/>
        </w:trPr>
        <w:tc>
          <w:tcPr>
            <w:tcW w:w="26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8"/>
        </w:trPr>
        <w:tc>
          <w:tcPr>
            <w:tcW w:w="2660" w:type="dxa"/>
            <w:vAlign w:val="bottom"/>
          </w:tcPr>
          <w:p>
            <w:pPr>
              <w:jc w:val="right"/>
              <w:ind w:right="290"/>
              <w:spacing w:after="0"/>
              <w:rPr>
                <w:sz w:val="20"/>
                <w:szCs w:val="20"/>
                <w:color w:val="auto"/>
              </w:rPr>
            </w:pPr>
            <w:r>
              <w:rPr>
                <w:rFonts w:ascii="Arial" w:cs="Arial" w:eastAsia="Arial" w:hAnsi="Arial"/>
                <w:sz w:val="18"/>
                <w:szCs w:val="18"/>
                <w:b w:val="1"/>
                <w:bCs w:val="1"/>
                <w:color w:val="auto"/>
              </w:rPr>
              <w:t>681,247</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8"/>
        </w:trPr>
        <w:tc>
          <w:tcPr>
            <w:tcW w:w="26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40" w:space="720"/>
            <w:col w:w="5060"/>
          </w:cols>
          <w:pgMar w:left="320" w:top="111" w:right="359" w:bottom="1440" w:gutter="0" w:footer="0" w:header="0"/>
          <w:type w:val="continuous"/>
        </w:sectPr>
      </w:pPr>
    </w:p>
    <w:p>
      <w:pPr>
        <w:spacing w:after="0" w:line="92" w:lineRule="exact"/>
        <w:rPr>
          <w:sz w:val="20"/>
          <w:szCs w:val="20"/>
          <w:color w:val="auto"/>
        </w:rPr>
      </w:pPr>
    </w:p>
    <w:p>
      <w:pPr>
        <w:ind w:left="400"/>
        <w:spacing w:after="0" w:line="287" w:lineRule="auto"/>
        <w:rPr>
          <w:sz w:val="20"/>
          <w:szCs w:val="20"/>
          <w:color w:val="auto"/>
        </w:rPr>
      </w:pPr>
      <w:r>
        <w:rPr>
          <w:rFonts w:ascii="Arial" w:cs="Arial" w:eastAsia="Arial" w:hAnsi="Arial"/>
          <w:sz w:val="18"/>
          <w:szCs w:val="18"/>
          <w:color w:val="auto"/>
        </w:rPr>
        <w:t>During the period ended 5 March 2025, the Company received dividends of $681.2 million from its subsidiary undertakings; ICON Clinical Global Holdings Unlimited Company ($677.7 million) and ICON Investments Five Unlimited Company ($3.5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4.</w:t>
            </w:r>
          </w:p>
        </w:tc>
        <w:tc>
          <w:tcPr>
            <w:tcW w:w="5880" w:type="dxa"/>
            <w:vAlign w:val="bottom"/>
          </w:tcPr>
          <w:p>
            <w:pPr>
              <w:ind w:left="120"/>
              <w:spacing w:after="0"/>
              <w:rPr>
                <w:sz w:val="20"/>
                <w:szCs w:val="20"/>
                <w:color w:val="auto"/>
              </w:rPr>
            </w:pPr>
            <w:r>
              <w:rPr>
                <w:rFonts w:ascii="Arial" w:cs="Arial" w:eastAsia="Arial" w:hAnsi="Arial"/>
                <w:sz w:val="18"/>
                <w:szCs w:val="18"/>
                <w:b w:val="1"/>
                <w:bCs w:val="1"/>
                <w:color w:val="auto"/>
              </w:rPr>
              <w:t>Finance income</w:t>
            </w:r>
          </w:p>
        </w:tc>
        <w:tc>
          <w:tcPr>
            <w:tcW w:w="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2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jc w:val="right"/>
              <w:ind w:right="290"/>
              <w:spacing w:after="0"/>
              <w:rPr>
                <w:sz w:val="20"/>
                <w:szCs w:val="20"/>
                <w:color w:val="auto"/>
              </w:rPr>
            </w:pPr>
            <w:r>
              <w:rPr>
                <w:rFonts w:ascii="Arial" w:cs="Arial" w:eastAsia="Arial" w:hAnsi="Arial"/>
                <w:sz w:val="18"/>
                <w:szCs w:val="18"/>
                <w:b w:val="1"/>
                <w:bCs w:val="1"/>
                <w:color w:val="auto"/>
              </w:rPr>
              <w:t>Period ended</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80" w:type="dxa"/>
            <w:vAlign w:val="bottom"/>
          </w:tcPr>
          <w:p>
            <w:pPr>
              <w:jc w:val="right"/>
              <w:ind w:right="290"/>
              <w:spacing w:after="0"/>
              <w:rPr>
                <w:sz w:val="20"/>
                <w:szCs w:val="20"/>
                <w:color w:val="auto"/>
              </w:rPr>
            </w:pPr>
            <w:r>
              <w:rPr>
                <w:rFonts w:ascii="Arial" w:cs="Arial" w:eastAsia="Arial" w:hAnsi="Arial"/>
                <w:sz w:val="18"/>
                <w:szCs w:val="18"/>
                <w:b w:val="1"/>
                <w:bCs w:val="1"/>
                <w:color w:val="auto"/>
              </w:rPr>
              <w:t>1 January 2024</w:t>
            </w:r>
          </w:p>
        </w:tc>
        <w:tc>
          <w:tcPr>
            <w:tcW w:w="196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jc w:val="right"/>
              <w:ind w:right="290"/>
              <w:spacing w:after="0"/>
              <w:rPr>
                <w:sz w:val="20"/>
                <w:szCs w:val="20"/>
                <w:color w:val="auto"/>
              </w:rPr>
            </w:pPr>
            <w:r>
              <w:rPr>
                <w:rFonts w:ascii="Arial" w:cs="Arial" w:eastAsia="Arial" w:hAnsi="Arial"/>
                <w:sz w:val="18"/>
                <w:szCs w:val="18"/>
                <w:b w:val="1"/>
                <w:bCs w:val="1"/>
                <w:color w:val="auto"/>
              </w:rPr>
              <w:t>to 5 March 2025</w:t>
            </w:r>
          </w:p>
        </w:tc>
        <w:tc>
          <w:tcPr>
            <w:tcW w:w="1960" w:type="dxa"/>
            <w:vAlign w:val="bottom"/>
          </w:tcPr>
          <w:p>
            <w:pPr>
              <w:jc w:val="right"/>
              <w:spacing w:after="0"/>
              <w:rPr>
                <w:sz w:val="20"/>
                <w:szCs w:val="20"/>
                <w:color w:val="auto"/>
              </w:rPr>
            </w:pPr>
            <w:r>
              <w:rPr>
                <w:rFonts w:ascii="Arial" w:cs="Arial" w:eastAsia="Arial" w:hAnsi="Arial"/>
                <w:sz w:val="18"/>
                <w:szCs w:val="18"/>
                <w:color w:val="auto"/>
              </w:rPr>
              <w:t>31 December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8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96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80" w:type="dxa"/>
            <w:vAlign w:val="bottom"/>
          </w:tcPr>
          <w:p>
            <w:pPr>
              <w:spacing w:after="0"/>
              <w:rPr>
                <w:sz w:val="24"/>
                <w:szCs w:val="24"/>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6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596</w:t>
            </w:r>
          </w:p>
        </w:tc>
        <w:tc>
          <w:tcPr>
            <w:tcW w:w="196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80" w:type="dxa"/>
            <w:vAlign w:val="bottom"/>
          </w:tcPr>
          <w:p>
            <w:pPr>
              <w:spacing w:after="0"/>
              <w:rPr>
                <w:sz w:val="24"/>
                <w:szCs w:val="24"/>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Interest income on loans to group undertakings</w:t>
            </w:r>
          </w:p>
        </w:tc>
        <w:tc>
          <w:tcPr>
            <w:tcW w:w="26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3,037</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26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3,633</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5.</w:t>
            </w:r>
          </w:p>
        </w:tc>
        <w:tc>
          <w:tcPr>
            <w:tcW w:w="58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Finance expense</w:t>
            </w:r>
          </w:p>
        </w:tc>
        <w:tc>
          <w:tcPr>
            <w:tcW w:w="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02"/>
        </w:trPr>
        <w:tc>
          <w:tcPr>
            <w:tcW w:w="280" w:type="dxa"/>
            <w:vAlign w:val="bottom"/>
            <w:vMerge w:val="continue"/>
          </w:tcPr>
          <w:p>
            <w:pPr>
              <w:spacing w:after="0"/>
              <w:rPr>
                <w:sz w:val="24"/>
                <w:szCs w:val="24"/>
                <w:color w:val="auto"/>
              </w:rPr>
            </w:pPr>
          </w:p>
        </w:tc>
        <w:tc>
          <w:tcPr>
            <w:tcW w:w="5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jc w:val="right"/>
              <w:ind w:right="310"/>
              <w:spacing w:after="0"/>
              <w:rPr>
                <w:sz w:val="20"/>
                <w:szCs w:val="20"/>
                <w:color w:val="auto"/>
              </w:rPr>
            </w:pPr>
            <w:r>
              <w:rPr>
                <w:rFonts w:ascii="Arial" w:cs="Arial" w:eastAsia="Arial" w:hAnsi="Arial"/>
                <w:sz w:val="18"/>
                <w:szCs w:val="18"/>
                <w:b w:val="1"/>
                <w:bCs w:val="1"/>
                <w:color w:val="auto"/>
              </w:rPr>
              <w:t>Period ended</w:t>
            </w: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8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80" w:type="dxa"/>
            <w:vAlign w:val="bottom"/>
          </w:tcPr>
          <w:p>
            <w:pPr>
              <w:jc w:val="right"/>
              <w:ind w:right="310"/>
              <w:spacing w:after="0"/>
              <w:rPr>
                <w:sz w:val="20"/>
                <w:szCs w:val="20"/>
                <w:color w:val="auto"/>
              </w:rPr>
            </w:pPr>
            <w:r>
              <w:rPr>
                <w:rFonts w:ascii="Arial" w:cs="Arial" w:eastAsia="Arial" w:hAnsi="Arial"/>
                <w:sz w:val="18"/>
                <w:szCs w:val="18"/>
                <w:b w:val="1"/>
                <w:bCs w:val="1"/>
                <w:color w:val="auto"/>
              </w:rPr>
              <w:t>1 January 2024</w:t>
            </w:r>
          </w:p>
        </w:tc>
        <w:tc>
          <w:tcPr>
            <w:tcW w:w="196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jc w:val="right"/>
              <w:ind w:right="310"/>
              <w:spacing w:after="0"/>
              <w:rPr>
                <w:sz w:val="20"/>
                <w:szCs w:val="20"/>
                <w:color w:val="auto"/>
              </w:rPr>
            </w:pPr>
            <w:r>
              <w:rPr>
                <w:rFonts w:ascii="Arial" w:cs="Arial" w:eastAsia="Arial" w:hAnsi="Arial"/>
                <w:sz w:val="18"/>
                <w:szCs w:val="18"/>
                <w:b w:val="1"/>
                <w:bCs w:val="1"/>
                <w:color w:val="auto"/>
              </w:rPr>
              <w:t>to 5 March 2025</w:t>
            </w:r>
          </w:p>
        </w:tc>
        <w:tc>
          <w:tcPr>
            <w:tcW w:w="1960" w:type="dxa"/>
            <w:vAlign w:val="bottom"/>
          </w:tcPr>
          <w:p>
            <w:pPr>
              <w:jc w:val="right"/>
              <w:spacing w:after="0"/>
              <w:rPr>
                <w:sz w:val="20"/>
                <w:szCs w:val="20"/>
                <w:color w:val="auto"/>
              </w:rPr>
            </w:pPr>
            <w:r>
              <w:rPr>
                <w:rFonts w:ascii="Arial" w:cs="Arial" w:eastAsia="Arial" w:hAnsi="Arial"/>
                <w:sz w:val="18"/>
                <w:szCs w:val="18"/>
                <w:color w:val="auto"/>
              </w:rPr>
              <w:t>31 December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58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96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280" w:type="dxa"/>
            <w:vAlign w:val="bottom"/>
          </w:tcPr>
          <w:p>
            <w:pPr>
              <w:spacing w:after="0"/>
              <w:rPr>
                <w:sz w:val="24"/>
                <w:szCs w:val="24"/>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26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264</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6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264</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11"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Payroll and related benefits</w:t>
      </w:r>
    </w:p>
    <w:p>
      <w:pPr>
        <w:spacing w:after="0" w:line="252"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aggregate payroll costs of employees of the Company for the period ended 5 March 2025 was as follows:</w:t>
      </w:r>
    </w:p>
    <w:p>
      <w:pPr>
        <w:spacing w:after="0" w:line="306"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Period ended</w:t>
            </w:r>
          </w:p>
        </w:tc>
        <w:tc>
          <w:tcPr>
            <w:tcW w:w="202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1 January 2024</w:t>
            </w:r>
          </w:p>
        </w:tc>
        <w:tc>
          <w:tcPr>
            <w:tcW w:w="202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6"/>
        </w:trPr>
        <w:tc>
          <w:tcPr>
            <w:tcW w:w="5200" w:type="dxa"/>
            <w:vAlign w:val="bottom"/>
          </w:tcPr>
          <w:p>
            <w:pPr>
              <w:spacing w:after="0"/>
              <w:rPr>
                <w:sz w:val="23"/>
                <w:szCs w:val="23"/>
                <w:color w:val="auto"/>
              </w:rPr>
            </w:pP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to 5 March 2025</w:t>
            </w:r>
          </w:p>
        </w:tc>
        <w:tc>
          <w:tcPr>
            <w:tcW w:w="202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78"/>
        </w:trPr>
        <w:tc>
          <w:tcPr>
            <w:tcW w:w="5200" w:type="dxa"/>
            <w:vAlign w:val="bottom"/>
          </w:tcPr>
          <w:p>
            <w:pPr>
              <w:spacing w:after="0"/>
              <w:rPr>
                <w:sz w:val="24"/>
                <w:szCs w:val="24"/>
                <w:color w:val="auto"/>
              </w:rPr>
            </w:pPr>
          </w:p>
        </w:tc>
        <w:tc>
          <w:tcPr>
            <w:tcW w:w="3000" w:type="dxa"/>
            <w:vAlign w:val="bottom"/>
          </w:tcPr>
          <w:p>
            <w:pPr>
              <w:jc w:val="right"/>
              <w:ind w:right="350"/>
              <w:spacing w:after="0"/>
              <w:rPr>
                <w:sz w:val="20"/>
                <w:szCs w:val="20"/>
                <w:color w:val="auto"/>
              </w:rPr>
            </w:pPr>
            <w:r>
              <w:rPr>
                <w:rFonts w:ascii="Arial" w:cs="Arial" w:eastAsia="Arial" w:hAnsi="Arial"/>
                <w:sz w:val="18"/>
                <w:szCs w:val="18"/>
                <w:b w:val="1"/>
                <w:bCs w:val="1"/>
                <w:color w:val="auto"/>
              </w:rPr>
              <w:t>$’000</w:t>
            </w:r>
          </w:p>
        </w:tc>
        <w:tc>
          <w:tcPr>
            <w:tcW w:w="20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53"/>
        </w:trPr>
        <w:tc>
          <w:tcPr>
            <w:tcW w:w="5200" w:type="dxa"/>
            <w:vAlign w:val="bottom"/>
          </w:tcPr>
          <w:p>
            <w:pPr>
              <w:spacing w:after="0"/>
              <w:rPr>
                <w:sz w:val="20"/>
                <w:szCs w:val="20"/>
                <w:color w:val="auto"/>
              </w:rPr>
            </w:pPr>
            <w:r>
              <w:rPr>
                <w:rFonts w:ascii="Arial" w:cs="Arial" w:eastAsia="Arial" w:hAnsi="Arial"/>
                <w:sz w:val="18"/>
                <w:szCs w:val="18"/>
                <w:color w:val="auto"/>
              </w:rPr>
              <w:t>Wages and salaries</w:t>
            </w: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35,214</w:t>
            </w:r>
          </w:p>
        </w:tc>
        <w:tc>
          <w:tcPr>
            <w:tcW w:w="2020" w:type="dxa"/>
            <w:vAlign w:val="bottom"/>
          </w:tcPr>
          <w:p>
            <w:pPr>
              <w:jc w:val="right"/>
              <w:spacing w:after="0"/>
              <w:rPr>
                <w:sz w:val="20"/>
                <w:szCs w:val="20"/>
                <w:color w:val="auto"/>
              </w:rPr>
            </w:pPr>
            <w:r>
              <w:rPr>
                <w:rFonts w:ascii="Arial" w:cs="Arial" w:eastAsia="Arial" w:hAnsi="Arial"/>
                <w:sz w:val="18"/>
                <w:szCs w:val="18"/>
                <w:color w:val="auto"/>
              </w:rPr>
              <w:t>43,999</w:t>
            </w: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Social security</w:t>
            </w: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4,108</w:t>
            </w:r>
          </w:p>
        </w:tc>
        <w:tc>
          <w:tcPr>
            <w:tcW w:w="202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84"/>
        </w:trPr>
        <w:tc>
          <w:tcPr>
            <w:tcW w:w="5200" w:type="dxa"/>
            <w:vAlign w:val="bottom"/>
          </w:tcPr>
          <w:p>
            <w:pPr>
              <w:spacing w:after="0"/>
              <w:rPr>
                <w:sz w:val="20"/>
                <w:szCs w:val="20"/>
                <w:color w:val="auto"/>
              </w:rPr>
            </w:pPr>
            <w:r>
              <w:rPr>
                <w:rFonts w:ascii="Arial" w:cs="Arial" w:eastAsia="Arial" w:hAnsi="Arial"/>
                <w:sz w:val="18"/>
                <w:szCs w:val="18"/>
                <w:color w:val="auto"/>
              </w:rPr>
              <w:t>Pension costs</w:t>
            </w: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020" w:type="dxa"/>
            <w:vAlign w:val="bottom"/>
          </w:tcPr>
          <w:p>
            <w:pPr>
              <w:jc w:val="right"/>
              <w:spacing w:after="0"/>
              <w:rPr>
                <w:sz w:val="20"/>
                <w:szCs w:val="20"/>
                <w:color w:val="auto"/>
              </w:rPr>
            </w:pPr>
            <w:r>
              <w:rPr>
                <w:rFonts w:ascii="Arial" w:cs="Arial" w:eastAsia="Arial" w:hAnsi="Arial"/>
                <w:sz w:val="18"/>
                <w:szCs w:val="18"/>
                <w:color w:val="auto"/>
              </w:rPr>
              <w:t>2,598</w:t>
            </w: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Share-based payment</w:t>
            </w: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6,561</w:t>
            </w:r>
          </w:p>
        </w:tc>
        <w:tc>
          <w:tcPr>
            <w:tcW w:w="2020" w:type="dxa"/>
            <w:vAlign w:val="bottom"/>
          </w:tcPr>
          <w:p>
            <w:pPr>
              <w:jc w:val="right"/>
              <w:spacing w:after="0"/>
              <w:rPr>
                <w:sz w:val="20"/>
                <w:szCs w:val="20"/>
                <w:color w:val="auto"/>
              </w:rPr>
            </w:pPr>
            <w:r>
              <w:rPr>
                <w:rFonts w:ascii="Arial" w:cs="Arial" w:eastAsia="Arial" w:hAnsi="Arial"/>
                <w:sz w:val="18"/>
                <w:szCs w:val="18"/>
                <w:color w:val="auto"/>
              </w:rPr>
              <w:t>9,549</w:t>
            </w:r>
          </w:p>
        </w:tc>
      </w:tr>
      <w:tr>
        <w:trPr>
          <w:trHeight w:val="28"/>
        </w:trPr>
        <w:tc>
          <w:tcPr>
            <w:tcW w:w="52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8"/>
        </w:trPr>
        <w:tc>
          <w:tcPr>
            <w:tcW w:w="5200" w:type="dxa"/>
            <w:vAlign w:val="bottom"/>
          </w:tcPr>
          <w:p>
            <w:pPr>
              <w:spacing w:after="0"/>
              <w:rPr>
                <w:sz w:val="21"/>
                <w:szCs w:val="21"/>
                <w:color w:val="auto"/>
              </w:rPr>
            </w:pPr>
          </w:p>
        </w:tc>
        <w:tc>
          <w:tcPr>
            <w:tcW w:w="3000" w:type="dxa"/>
            <w:vAlign w:val="bottom"/>
          </w:tcPr>
          <w:p>
            <w:pPr>
              <w:jc w:val="right"/>
              <w:ind w:right="330"/>
              <w:spacing w:after="0"/>
              <w:rPr>
                <w:sz w:val="20"/>
                <w:szCs w:val="20"/>
                <w:color w:val="auto"/>
              </w:rPr>
            </w:pPr>
            <w:r>
              <w:rPr>
                <w:rFonts w:ascii="Arial" w:cs="Arial" w:eastAsia="Arial" w:hAnsi="Arial"/>
                <w:sz w:val="18"/>
                <w:szCs w:val="18"/>
                <w:b w:val="1"/>
                <w:bCs w:val="1"/>
                <w:color w:val="auto"/>
              </w:rPr>
              <w:t>47,889</w:t>
            </w:r>
          </w:p>
        </w:tc>
        <w:tc>
          <w:tcPr>
            <w:tcW w:w="2020" w:type="dxa"/>
            <w:vAlign w:val="bottom"/>
          </w:tcPr>
          <w:p>
            <w:pPr>
              <w:jc w:val="right"/>
              <w:spacing w:after="0"/>
              <w:rPr>
                <w:sz w:val="20"/>
                <w:szCs w:val="20"/>
                <w:color w:val="auto"/>
              </w:rPr>
            </w:pPr>
            <w:r>
              <w:rPr>
                <w:rFonts w:ascii="Arial" w:cs="Arial" w:eastAsia="Arial" w:hAnsi="Arial"/>
                <w:sz w:val="18"/>
                <w:szCs w:val="18"/>
                <w:color w:val="auto"/>
              </w:rPr>
              <w:t>63,146</w:t>
            </w:r>
          </w:p>
        </w:tc>
      </w:tr>
      <w:tr>
        <w:trPr>
          <w:trHeight w:val="29"/>
        </w:trPr>
        <w:tc>
          <w:tcPr>
            <w:tcW w:w="52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Certain employees of the Company are eligible to participate in a defined contribution plan (the "plan"). Participants in the Plan may elect to defer a portion of their pre-tax earnings into a pension plan, which is run by an independent party. The Company matches each participant's contributions up to 8% of the participant's annual compensation. The Company also makes contributions for Directors and Executive officers. Contributions to this plan are recorded as a remuneration expense in the unaudited interim statement of profit and loss. Contributions for the period ended 5 March 2025 and the year ended 31 December 2023 were $2.0 million and $2.6 million respectively.</w:t>
      </w:r>
    </w:p>
    <w:p>
      <w:pPr>
        <w:spacing w:after="0" w:line="209"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The average number of employees, including executive Directors, employed by the Company for the period ended 5 March 2025 was as follows:</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020" w:type="dxa"/>
            <w:vAlign w:val="bottom"/>
          </w:tcPr>
          <w:p>
            <w:pPr>
              <w:jc w:val="right"/>
              <w:ind w:right="310"/>
              <w:spacing w:after="0"/>
              <w:rPr>
                <w:sz w:val="20"/>
                <w:szCs w:val="20"/>
                <w:color w:val="auto"/>
              </w:rPr>
            </w:pPr>
            <w:r>
              <w:rPr>
                <w:rFonts w:ascii="Arial" w:cs="Arial" w:eastAsia="Arial" w:hAnsi="Arial"/>
                <w:sz w:val="18"/>
                <w:szCs w:val="18"/>
                <w:b w:val="1"/>
                <w:bCs w:val="1"/>
                <w:color w:val="auto"/>
              </w:rPr>
              <w:t>Period ended</w:t>
            </w:r>
          </w:p>
        </w:tc>
        <w:tc>
          <w:tcPr>
            <w:tcW w:w="2000" w:type="dxa"/>
            <w:vAlign w:val="bottom"/>
          </w:tcPr>
          <w:p>
            <w:pPr>
              <w:spacing w:after="0"/>
              <w:rPr>
                <w:sz w:val="18"/>
                <w:szCs w:val="18"/>
                <w:color w:val="auto"/>
              </w:rPr>
            </w:pPr>
          </w:p>
        </w:tc>
      </w:tr>
      <w:tr>
        <w:trPr>
          <w:trHeight w:val="266"/>
        </w:trPr>
        <w:tc>
          <w:tcPr>
            <w:tcW w:w="5260" w:type="dxa"/>
            <w:vAlign w:val="bottom"/>
          </w:tcPr>
          <w:p>
            <w:pPr>
              <w:spacing w:after="0"/>
              <w:rPr>
                <w:sz w:val="23"/>
                <w:szCs w:val="23"/>
                <w:color w:val="auto"/>
              </w:rPr>
            </w:pPr>
          </w:p>
        </w:tc>
        <w:tc>
          <w:tcPr>
            <w:tcW w:w="3020" w:type="dxa"/>
            <w:vAlign w:val="bottom"/>
          </w:tcPr>
          <w:p>
            <w:pPr>
              <w:jc w:val="right"/>
              <w:ind w:right="310"/>
              <w:spacing w:after="0"/>
              <w:rPr>
                <w:sz w:val="20"/>
                <w:szCs w:val="20"/>
                <w:color w:val="auto"/>
              </w:rPr>
            </w:pPr>
            <w:r>
              <w:rPr>
                <w:rFonts w:ascii="Arial" w:cs="Arial" w:eastAsia="Arial" w:hAnsi="Arial"/>
                <w:sz w:val="18"/>
                <w:szCs w:val="18"/>
                <w:b w:val="1"/>
                <w:bCs w:val="1"/>
                <w:color w:val="auto"/>
              </w:rPr>
              <w:t>1 January 2024</w:t>
            </w:r>
          </w:p>
        </w:tc>
        <w:tc>
          <w:tcPr>
            <w:tcW w:w="200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92"/>
        </w:trPr>
        <w:tc>
          <w:tcPr>
            <w:tcW w:w="5260" w:type="dxa"/>
            <w:vAlign w:val="bottom"/>
          </w:tcPr>
          <w:p>
            <w:pPr>
              <w:spacing w:after="0"/>
              <w:rPr>
                <w:sz w:val="24"/>
                <w:szCs w:val="24"/>
                <w:color w:val="auto"/>
              </w:rPr>
            </w:pPr>
          </w:p>
        </w:tc>
        <w:tc>
          <w:tcPr>
            <w:tcW w:w="3020" w:type="dxa"/>
            <w:vAlign w:val="bottom"/>
          </w:tcPr>
          <w:p>
            <w:pPr>
              <w:jc w:val="right"/>
              <w:ind w:right="310"/>
              <w:spacing w:after="0"/>
              <w:rPr>
                <w:sz w:val="20"/>
                <w:szCs w:val="20"/>
                <w:color w:val="auto"/>
              </w:rPr>
            </w:pPr>
            <w:r>
              <w:rPr>
                <w:rFonts w:ascii="Arial" w:cs="Arial" w:eastAsia="Arial" w:hAnsi="Arial"/>
                <w:sz w:val="18"/>
                <w:szCs w:val="18"/>
                <w:b w:val="1"/>
                <w:bCs w:val="1"/>
                <w:color w:val="auto"/>
              </w:rPr>
              <w:t>to 5 March 2025</w:t>
            </w:r>
          </w:p>
        </w:tc>
        <w:tc>
          <w:tcPr>
            <w:tcW w:w="200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83"/>
        </w:trPr>
        <w:tc>
          <w:tcPr>
            <w:tcW w:w="5260" w:type="dxa"/>
            <w:vAlign w:val="bottom"/>
          </w:tcPr>
          <w:p>
            <w:pPr>
              <w:spacing w:after="0"/>
              <w:rPr>
                <w:sz w:val="24"/>
                <w:szCs w:val="24"/>
                <w:color w:val="auto"/>
              </w:rPr>
            </w:pPr>
          </w:p>
        </w:tc>
        <w:tc>
          <w:tcPr>
            <w:tcW w:w="302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w:t>
            </w:r>
          </w:p>
        </w:tc>
        <w:tc>
          <w:tcPr>
            <w:tcW w:w="2000" w:type="dxa"/>
            <w:vAlign w:val="bottom"/>
          </w:tcPr>
          <w:p>
            <w:pPr>
              <w:jc w:val="right"/>
              <w:spacing w:after="0"/>
              <w:rPr>
                <w:sz w:val="20"/>
                <w:szCs w:val="20"/>
                <w:color w:val="auto"/>
              </w:rPr>
            </w:pPr>
            <w:r>
              <w:rPr>
                <w:rFonts w:ascii="Arial" w:cs="Arial" w:eastAsia="Arial" w:hAnsi="Arial"/>
                <w:sz w:val="18"/>
                <w:szCs w:val="18"/>
                <w:color w:val="auto"/>
              </w:rPr>
              <w:t>Number</w:t>
            </w:r>
          </w:p>
        </w:tc>
      </w:tr>
      <w:tr>
        <w:trPr>
          <w:trHeight w:val="526"/>
        </w:trPr>
        <w:tc>
          <w:tcPr>
            <w:tcW w:w="5260" w:type="dxa"/>
            <w:vAlign w:val="bottom"/>
          </w:tcPr>
          <w:p>
            <w:pPr>
              <w:spacing w:after="0"/>
              <w:rPr>
                <w:sz w:val="20"/>
                <w:szCs w:val="20"/>
                <w:color w:val="auto"/>
              </w:rPr>
            </w:pPr>
            <w:r>
              <w:rPr>
                <w:rFonts w:ascii="Arial" w:cs="Arial" w:eastAsia="Arial" w:hAnsi="Arial"/>
                <w:sz w:val="18"/>
                <w:szCs w:val="18"/>
                <w:color w:val="auto"/>
              </w:rPr>
              <w:t>Administration</w:t>
            </w:r>
          </w:p>
        </w:tc>
        <w:tc>
          <w:tcPr>
            <w:tcW w:w="3020" w:type="dxa"/>
            <w:vAlign w:val="bottom"/>
          </w:tcPr>
          <w:p>
            <w:pPr>
              <w:jc w:val="right"/>
              <w:ind w:right="310"/>
              <w:spacing w:after="0"/>
              <w:rPr>
                <w:sz w:val="20"/>
                <w:szCs w:val="20"/>
                <w:color w:val="auto"/>
              </w:rPr>
            </w:pPr>
            <w:r>
              <w:rPr>
                <w:rFonts w:ascii="Arial" w:cs="Arial" w:eastAsia="Arial" w:hAnsi="Arial"/>
                <w:sz w:val="18"/>
                <w:szCs w:val="18"/>
                <w:b w:val="1"/>
                <w:bCs w:val="1"/>
                <w:color w:val="auto"/>
              </w:rPr>
              <w:t>16</w:t>
            </w:r>
          </w:p>
        </w:tc>
        <w:tc>
          <w:tcPr>
            <w:tcW w:w="2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5260" w:type="dxa"/>
            <w:vAlign w:val="bottom"/>
          </w:tcPr>
          <w:p>
            <w:pPr>
              <w:spacing w:after="0"/>
              <w:rPr>
                <w:sz w:val="20"/>
                <w:szCs w:val="20"/>
                <w:color w:val="auto"/>
              </w:rPr>
            </w:pPr>
            <w:r>
              <w:rPr>
                <w:rFonts w:ascii="Arial" w:cs="Arial" w:eastAsia="Arial" w:hAnsi="Arial"/>
                <w:sz w:val="18"/>
                <w:szCs w:val="18"/>
                <w:color w:val="auto"/>
              </w:rPr>
              <w:t>Clinical Research</w:t>
            </w:r>
          </w:p>
        </w:tc>
        <w:tc>
          <w:tcPr>
            <w:tcW w:w="3020" w:type="dxa"/>
            <w:vAlign w:val="bottom"/>
          </w:tcPr>
          <w:p>
            <w:pPr>
              <w:jc w:val="right"/>
              <w:ind w:right="310"/>
              <w:spacing w:after="0"/>
              <w:rPr>
                <w:sz w:val="20"/>
                <w:szCs w:val="20"/>
                <w:color w:val="auto"/>
              </w:rPr>
            </w:pPr>
            <w:r>
              <w:rPr>
                <w:rFonts w:ascii="Arial" w:cs="Arial" w:eastAsia="Arial" w:hAnsi="Arial"/>
                <w:sz w:val="18"/>
                <w:szCs w:val="18"/>
                <w:b w:val="1"/>
                <w:bCs w:val="1"/>
                <w:color w:val="auto"/>
              </w:rPr>
              <w:t>468</w:t>
            </w:r>
          </w:p>
        </w:tc>
        <w:tc>
          <w:tcPr>
            <w:tcW w:w="200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9"/>
        </w:trPr>
        <w:tc>
          <w:tcPr>
            <w:tcW w:w="526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8"/>
        </w:trPr>
        <w:tc>
          <w:tcPr>
            <w:tcW w:w="5260" w:type="dxa"/>
            <w:vAlign w:val="bottom"/>
          </w:tcPr>
          <w:p>
            <w:pPr>
              <w:spacing w:after="0"/>
              <w:rPr>
                <w:sz w:val="21"/>
                <w:szCs w:val="21"/>
                <w:color w:val="auto"/>
              </w:rPr>
            </w:pPr>
          </w:p>
        </w:tc>
        <w:tc>
          <w:tcPr>
            <w:tcW w:w="3020" w:type="dxa"/>
            <w:vAlign w:val="bottom"/>
          </w:tcPr>
          <w:p>
            <w:pPr>
              <w:jc w:val="right"/>
              <w:ind w:right="310"/>
              <w:spacing w:after="0"/>
              <w:rPr>
                <w:sz w:val="20"/>
                <w:szCs w:val="20"/>
                <w:color w:val="auto"/>
              </w:rPr>
            </w:pPr>
            <w:r>
              <w:rPr>
                <w:rFonts w:ascii="Arial" w:cs="Arial" w:eastAsia="Arial" w:hAnsi="Arial"/>
                <w:sz w:val="18"/>
                <w:szCs w:val="18"/>
                <w:b w:val="1"/>
                <w:bCs w:val="1"/>
                <w:color w:val="auto"/>
              </w:rPr>
              <w:t>484</w:t>
            </w:r>
          </w:p>
        </w:tc>
        <w:tc>
          <w:tcPr>
            <w:tcW w:w="200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8"/>
        </w:trPr>
        <w:tc>
          <w:tcPr>
            <w:tcW w:w="526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
        </w:trPr>
        <w:tc>
          <w:tcPr>
            <w:tcW w:w="526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Tax on profit / (loss) on ordinary activities</w:t>
      </w:r>
    </w:p>
    <w:p>
      <w:pPr>
        <w:spacing w:after="0" w:line="252"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current and deferred tax expense for the period ended 5 March 2025 and 31 December 2023 were as follows: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Current tax expense</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Current year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 (over) provided in prior years</w:t>
      </w:r>
    </w:p>
    <w:p>
      <w:pPr>
        <w:spacing w:after="0" w:line="200" w:lineRule="exact"/>
        <w:rPr>
          <w:sz w:val="20"/>
          <w:szCs w:val="20"/>
          <w:color w:val="auto"/>
        </w:r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tax credit</w:t>
      </w:r>
    </w:p>
    <w:p>
      <w:pPr>
        <w:spacing w:after="0" w:line="30" w:lineRule="exact"/>
        <w:rPr>
          <w:sz w:val="20"/>
          <w:szCs w:val="20"/>
          <w:color w:val="auto"/>
        </w:rPr>
      </w:pPr>
    </w:p>
    <w:p>
      <w:pPr>
        <w:ind w:left="440" w:right="1180"/>
        <w:spacing w:after="0" w:line="354" w:lineRule="auto"/>
        <w:rPr>
          <w:sz w:val="20"/>
          <w:szCs w:val="20"/>
          <w:color w:val="auto"/>
        </w:rPr>
      </w:pPr>
      <w:r>
        <w:rPr>
          <w:rFonts w:ascii="Arial" w:cs="Arial" w:eastAsia="Arial" w:hAnsi="Arial"/>
          <w:sz w:val="18"/>
          <w:szCs w:val="18"/>
          <w:color w:val="auto"/>
        </w:rPr>
        <w:t>Origination and reversal of temporary differences Over provided in prior years</w:t>
      </w:r>
    </w:p>
    <w:p>
      <w:pPr>
        <w:spacing w:after="0" w:line="3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Total income tax expense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jc w:val="right"/>
              <w:ind w:right="310"/>
              <w:spacing w:after="0"/>
              <w:rPr>
                <w:sz w:val="20"/>
                <w:szCs w:val="20"/>
                <w:color w:val="auto"/>
              </w:rPr>
            </w:pPr>
            <w:r>
              <w:rPr>
                <w:rFonts w:ascii="Arial" w:cs="Arial" w:eastAsia="Arial" w:hAnsi="Arial"/>
                <w:sz w:val="18"/>
                <w:szCs w:val="18"/>
                <w:b w:val="1"/>
                <w:bCs w:val="1"/>
                <w:color w:val="auto"/>
              </w:rPr>
              <w:t>Period ended</w:t>
            </w:r>
          </w:p>
        </w:tc>
        <w:tc>
          <w:tcPr>
            <w:tcW w:w="1940" w:type="dxa"/>
            <w:vAlign w:val="bottom"/>
          </w:tcPr>
          <w:p>
            <w:pPr>
              <w:spacing w:after="0"/>
              <w:rPr>
                <w:sz w:val="18"/>
                <w:szCs w:val="18"/>
                <w:color w:val="auto"/>
              </w:rPr>
            </w:pPr>
          </w:p>
        </w:tc>
      </w:tr>
      <w:tr>
        <w:trPr>
          <w:trHeight w:val="266"/>
        </w:trPr>
        <w:tc>
          <w:tcPr>
            <w:tcW w:w="2560" w:type="dxa"/>
            <w:vAlign w:val="bottom"/>
          </w:tcPr>
          <w:p>
            <w:pPr>
              <w:jc w:val="right"/>
              <w:ind w:right="310"/>
              <w:spacing w:after="0"/>
              <w:rPr>
                <w:sz w:val="20"/>
                <w:szCs w:val="20"/>
                <w:color w:val="auto"/>
              </w:rPr>
            </w:pPr>
            <w:r>
              <w:rPr>
                <w:rFonts w:ascii="Arial" w:cs="Arial" w:eastAsia="Arial" w:hAnsi="Arial"/>
                <w:sz w:val="18"/>
                <w:szCs w:val="18"/>
                <w:b w:val="1"/>
                <w:bCs w:val="1"/>
                <w:color w:val="auto"/>
              </w:rPr>
              <w:t>1 January 2024</w:t>
            </w:r>
          </w:p>
        </w:tc>
        <w:tc>
          <w:tcPr>
            <w:tcW w:w="194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91"/>
        </w:trPr>
        <w:tc>
          <w:tcPr>
            <w:tcW w:w="2560" w:type="dxa"/>
            <w:vAlign w:val="bottom"/>
          </w:tcPr>
          <w:p>
            <w:pPr>
              <w:jc w:val="right"/>
              <w:ind w:right="310"/>
              <w:spacing w:after="0"/>
              <w:rPr>
                <w:sz w:val="20"/>
                <w:szCs w:val="20"/>
                <w:color w:val="auto"/>
              </w:rPr>
            </w:pPr>
            <w:r>
              <w:rPr>
                <w:rFonts w:ascii="Arial" w:cs="Arial" w:eastAsia="Arial" w:hAnsi="Arial"/>
                <w:sz w:val="18"/>
                <w:szCs w:val="18"/>
                <w:b w:val="1"/>
                <w:bCs w:val="1"/>
                <w:color w:val="auto"/>
              </w:rPr>
              <w:t>to 5 March 2025</w:t>
            </w:r>
          </w:p>
        </w:tc>
        <w:tc>
          <w:tcPr>
            <w:tcW w:w="194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70"/>
        </w:trPr>
        <w:tc>
          <w:tcPr>
            <w:tcW w:w="2560" w:type="dxa"/>
            <w:vAlign w:val="bottom"/>
          </w:tcPr>
          <w:p>
            <w:pPr>
              <w:jc w:val="right"/>
              <w:ind w:right="310"/>
              <w:spacing w:after="0"/>
              <w:rPr>
                <w:sz w:val="20"/>
                <w:szCs w:val="20"/>
                <w:color w:val="auto"/>
              </w:rPr>
            </w:pPr>
            <w:r>
              <w:rPr>
                <w:rFonts w:ascii="Arial" w:cs="Arial" w:eastAsia="Arial" w:hAnsi="Arial"/>
                <w:sz w:val="18"/>
                <w:szCs w:val="18"/>
                <w:b w:val="1"/>
                <w:bCs w:val="1"/>
                <w:color w:val="auto"/>
              </w:rPr>
              <w:t>$’000</w:t>
            </w:r>
          </w:p>
        </w:tc>
        <w:tc>
          <w:tcPr>
            <w:tcW w:w="19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42"/>
        </w:trPr>
        <w:tc>
          <w:tcPr>
            <w:tcW w:w="2560" w:type="dxa"/>
            <w:vAlign w:val="bottom"/>
          </w:tcPr>
          <w:p>
            <w:pPr>
              <w:jc w:val="right"/>
              <w:ind w:right="310"/>
              <w:spacing w:after="0"/>
              <w:rPr>
                <w:sz w:val="20"/>
                <w:szCs w:val="20"/>
                <w:color w:val="auto"/>
              </w:rPr>
            </w:pPr>
            <w:r>
              <w:rPr>
                <w:rFonts w:ascii="Arial" w:cs="Arial" w:eastAsia="Arial" w:hAnsi="Arial"/>
                <w:sz w:val="18"/>
                <w:szCs w:val="18"/>
                <w:b w:val="1"/>
                <w:bCs w:val="1"/>
                <w:color w:val="auto"/>
              </w:rPr>
              <w:t>11,227</w:t>
            </w:r>
          </w:p>
        </w:tc>
        <w:tc>
          <w:tcPr>
            <w:tcW w:w="194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35"/>
        </w:trPr>
        <w:tc>
          <w:tcPr>
            <w:tcW w:w="2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94</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0"/>
        </w:trPr>
        <w:tc>
          <w:tcPr>
            <w:tcW w:w="2560" w:type="dxa"/>
            <w:vAlign w:val="bottom"/>
          </w:tcPr>
          <w:p>
            <w:pPr>
              <w:jc w:val="right"/>
              <w:ind w:right="310"/>
              <w:spacing w:after="0"/>
              <w:rPr>
                <w:sz w:val="20"/>
                <w:szCs w:val="20"/>
                <w:color w:val="auto"/>
              </w:rPr>
            </w:pPr>
            <w:r>
              <w:rPr>
                <w:rFonts w:ascii="Arial" w:cs="Arial" w:eastAsia="Arial" w:hAnsi="Arial"/>
                <w:sz w:val="18"/>
                <w:szCs w:val="18"/>
                <w:b w:val="1"/>
                <w:bCs w:val="1"/>
                <w:color w:val="auto"/>
              </w:rPr>
              <w:t>11,321</w:t>
            </w:r>
          </w:p>
        </w:tc>
        <w:tc>
          <w:tcPr>
            <w:tcW w:w="194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683"/>
        </w:trPr>
        <w:tc>
          <w:tcPr>
            <w:tcW w:w="25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2560" w:type="dxa"/>
            <w:vAlign w:val="bottom"/>
          </w:tcPr>
          <w:p>
            <w:pPr>
              <w:jc w:val="right"/>
              <w:ind w:right="270"/>
              <w:spacing w:after="0"/>
              <w:rPr>
                <w:sz w:val="20"/>
                <w:szCs w:val="20"/>
                <w:color w:val="auto"/>
              </w:rPr>
            </w:pPr>
            <w:r>
              <w:rPr>
                <w:rFonts w:ascii="Arial" w:cs="Arial" w:eastAsia="Arial" w:hAnsi="Arial"/>
                <w:sz w:val="18"/>
                <w:szCs w:val="18"/>
                <w:b w:val="1"/>
                <w:bCs w:val="1"/>
                <w:color w:val="auto"/>
              </w:rPr>
              <w:t>(1)</w:t>
            </w:r>
          </w:p>
        </w:tc>
        <w:tc>
          <w:tcPr>
            <w:tcW w:w="1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
        </w:trPr>
        <w:tc>
          <w:tcPr>
            <w:tcW w:w="2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0"/>
        </w:trPr>
        <w:tc>
          <w:tcPr>
            <w:tcW w:w="2560" w:type="dxa"/>
            <w:vAlign w:val="bottom"/>
          </w:tcPr>
          <w:p>
            <w:pPr>
              <w:jc w:val="right"/>
              <w:ind w:right="270"/>
              <w:spacing w:after="0"/>
              <w:rPr>
                <w:sz w:val="20"/>
                <w:szCs w:val="20"/>
                <w:color w:val="auto"/>
              </w:rPr>
            </w:pPr>
            <w:r>
              <w:rPr>
                <w:rFonts w:ascii="Arial" w:cs="Arial" w:eastAsia="Arial" w:hAnsi="Arial"/>
                <w:sz w:val="18"/>
                <w:szCs w:val="18"/>
                <w:b w:val="1"/>
                <w:bCs w:val="1"/>
                <w:color w:val="auto"/>
              </w:rPr>
              <w:t>(1)</w:t>
            </w:r>
          </w:p>
        </w:tc>
        <w:tc>
          <w:tcPr>
            <w:tcW w:w="1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9"/>
        </w:trPr>
        <w:tc>
          <w:tcPr>
            <w:tcW w:w="25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r>
      <w:tr>
        <w:trPr>
          <w:trHeight w:val="223"/>
        </w:trPr>
        <w:tc>
          <w:tcPr>
            <w:tcW w:w="2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11,320</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720"/>
            <w:col w:w="5000"/>
          </w:cols>
          <w:pgMar w:left="320" w:top="111" w:right="339" w:bottom="1440" w:gutter="0" w:footer="0" w:header="0"/>
          <w:type w:val="continuous"/>
        </w:sectPr>
      </w:pPr>
    </w:p>
    <w:p>
      <w:pPr>
        <w:spacing w:after="0" w:line="119" w:lineRule="exact"/>
        <w:rPr>
          <w:sz w:val="20"/>
          <w:szCs w:val="20"/>
          <w:color w:val="auto"/>
        </w:rPr>
      </w:pPr>
    </w:p>
    <w:p>
      <w:pPr>
        <w:ind w:left="400"/>
        <w:spacing w:after="0" w:line="287" w:lineRule="auto"/>
        <w:rPr>
          <w:sz w:val="20"/>
          <w:szCs w:val="20"/>
          <w:color w:val="auto"/>
        </w:rPr>
      </w:pPr>
      <w:r>
        <w:rPr>
          <w:rFonts w:ascii="Arial" w:cs="Arial" w:eastAsia="Arial" w:hAnsi="Arial"/>
          <w:sz w:val="18"/>
          <w:szCs w:val="18"/>
          <w:color w:val="auto"/>
        </w:rPr>
        <w:t>A reconciliation of the expected tax expense, computed by applying the standard Irish tax rate to profit / (loss) before tax to the actual tax expense, is as follows:</w:t>
      </w:r>
    </w:p>
    <w:p>
      <w:pPr>
        <w:spacing w:after="0" w:line="23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0" w:type="dxa"/>
            <w:vAlign w:val="bottom"/>
          </w:tcPr>
          <w:p>
            <w:pPr>
              <w:jc w:val="right"/>
              <w:ind w:right="330"/>
              <w:spacing w:after="0"/>
              <w:rPr>
                <w:sz w:val="20"/>
                <w:szCs w:val="20"/>
                <w:color w:val="auto"/>
              </w:rPr>
            </w:pPr>
            <w:r>
              <w:rPr>
                <w:rFonts w:ascii="Arial" w:cs="Arial" w:eastAsia="Arial" w:hAnsi="Arial"/>
                <w:sz w:val="18"/>
                <w:szCs w:val="18"/>
                <w:b w:val="1"/>
                <w:bCs w:val="1"/>
                <w:color w:val="auto"/>
              </w:rPr>
              <w:t>Period ended</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20" w:type="dxa"/>
            <w:vAlign w:val="bottom"/>
          </w:tcPr>
          <w:p>
            <w:pPr>
              <w:spacing w:after="0"/>
              <w:rPr>
                <w:sz w:val="23"/>
                <w:szCs w:val="23"/>
                <w:color w:val="auto"/>
              </w:rPr>
            </w:pPr>
          </w:p>
        </w:tc>
        <w:tc>
          <w:tcPr>
            <w:tcW w:w="2400" w:type="dxa"/>
            <w:vAlign w:val="bottom"/>
          </w:tcPr>
          <w:p>
            <w:pPr>
              <w:jc w:val="right"/>
              <w:ind w:right="330"/>
              <w:spacing w:after="0"/>
              <w:rPr>
                <w:sz w:val="20"/>
                <w:szCs w:val="20"/>
                <w:color w:val="auto"/>
              </w:rPr>
            </w:pPr>
            <w:r>
              <w:rPr>
                <w:rFonts w:ascii="Arial" w:cs="Arial" w:eastAsia="Arial" w:hAnsi="Arial"/>
                <w:sz w:val="18"/>
                <w:szCs w:val="18"/>
                <w:b w:val="1"/>
                <w:bCs w:val="1"/>
                <w:color w:val="auto"/>
              </w:rPr>
              <w:t>1 January 2024</w:t>
            </w:r>
          </w:p>
        </w:tc>
        <w:tc>
          <w:tcPr>
            <w:tcW w:w="194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91"/>
        </w:trPr>
        <w:tc>
          <w:tcPr>
            <w:tcW w:w="6020" w:type="dxa"/>
            <w:vAlign w:val="bottom"/>
          </w:tcPr>
          <w:p>
            <w:pPr>
              <w:spacing w:after="0"/>
              <w:rPr>
                <w:sz w:val="24"/>
                <w:szCs w:val="24"/>
                <w:color w:val="auto"/>
              </w:rPr>
            </w:pPr>
          </w:p>
        </w:tc>
        <w:tc>
          <w:tcPr>
            <w:tcW w:w="2400" w:type="dxa"/>
            <w:vAlign w:val="bottom"/>
          </w:tcPr>
          <w:p>
            <w:pPr>
              <w:jc w:val="right"/>
              <w:ind w:right="330"/>
              <w:spacing w:after="0"/>
              <w:rPr>
                <w:sz w:val="20"/>
                <w:szCs w:val="20"/>
                <w:color w:val="auto"/>
              </w:rPr>
            </w:pPr>
            <w:r>
              <w:rPr>
                <w:rFonts w:ascii="Arial" w:cs="Arial" w:eastAsia="Arial" w:hAnsi="Arial"/>
                <w:sz w:val="18"/>
                <w:szCs w:val="18"/>
                <w:b w:val="1"/>
                <w:bCs w:val="1"/>
                <w:color w:val="auto"/>
              </w:rPr>
              <w:t>to 5 March 2025</w:t>
            </w:r>
          </w:p>
        </w:tc>
        <w:tc>
          <w:tcPr>
            <w:tcW w:w="1940" w:type="dxa"/>
            <w:vAlign w:val="bottom"/>
          </w:tcPr>
          <w:p>
            <w:pPr>
              <w:jc w:val="right"/>
              <w:spacing w:after="0"/>
              <w:rPr>
                <w:sz w:val="20"/>
                <w:szCs w:val="20"/>
                <w:color w:val="auto"/>
              </w:rPr>
            </w:pPr>
            <w:r>
              <w:rPr>
                <w:rFonts w:ascii="Arial" w:cs="Arial" w:eastAsia="Arial" w:hAnsi="Arial"/>
                <w:sz w:val="18"/>
                <w:szCs w:val="18"/>
                <w:color w:val="auto"/>
              </w:rPr>
              <w:t>31 December 2023</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240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94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45"/>
        </w:trPr>
        <w:tc>
          <w:tcPr>
            <w:tcW w:w="6020" w:type="dxa"/>
            <w:vAlign w:val="bottom"/>
          </w:tcPr>
          <w:p>
            <w:pPr>
              <w:spacing w:after="0"/>
              <w:rPr>
                <w:sz w:val="20"/>
                <w:szCs w:val="20"/>
                <w:color w:val="auto"/>
              </w:rPr>
            </w:pPr>
            <w:r>
              <w:rPr>
                <w:rFonts w:ascii="Arial" w:cs="Arial" w:eastAsia="Arial" w:hAnsi="Arial"/>
                <w:sz w:val="18"/>
                <w:szCs w:val="18"/>
                <w:color w:val="auto"/>
              </w:rPr>
              <w:t>Profit / (loss) before tax</w:t>
            </w:r>
          </w:p>
        </w:tc>
        <w:tc>
          <w:tcPr>
            <w:tcW w:w="2400" w:type="dxa"/>
            <w:vAlign w:val="bottom"/>
          </w:tcPr>
          <w:p>
            <w:pPr>
              <w:jc w:val="right"/>
              <w:ind w:right="330"/>
              <w:spacing w:after="0"/>
              <w:rPr>
                <w:sz w:val="20"/>
                <w:szCs w:val="20"/>
                <w:color w:val="auto"/>
              </w:rPr>
            </w:pPr>
            <w:r>
              <w:rPr>
                <w:rFonts w:ascii="Arial" w:cs="Arial" w:eastAsia="Arial" w:hAnsi="Arial"/>
                <w:sz w:val="18"/>
                <w:szCs w:val="18"/>
                <w:b w:val="1"/>
                <w:bCs w:val="1"/>
                <w:color w:val="auto"/>
              </w:rPr>
              <w:t>676,070</w:t>
            </w:r>
          </w:p>
        </w:tc>
        <w:tc>
          <w:tcPr>
            <w:tcW w:w="1940" w:type="dxa"/>
            <w:vAlign w:val="bottom"/>
          </w:tcPr>
          <w:p>
            <w:pPr>
              <w:jc w:val="right"/>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486"/>
        </w:trPr>
        <w:tc>
          <w:tcPr>
            <w:tcW w:w="6020" w:type="dxa"/>
            <w:vAlign w:val="bottom"/>
          </w:tcPr>
          <w:p>
            <w:pPr>
              <w:spacing w:after="0"/>
              <w:rPr>
                <w:sz w:val="20"/>
                <w:szCs w:val="20"/>
                <w:color w:val="auto"/>
              </w:rPr>
            </w:pPr>
            <w:r>
              <w:rPr>
                <w:rFonts w:ascii="Arial" w:cs="Arial" w:eastAsia="Arial" w:hAnsi="Arial"/>
                <w:sz w:val="18"/>
                <w:szCs w:val="18"/>
                <w:color w:val="auto"/>
              </w:rPr>
              <w:t xml:space="preserve">Taxes at Irish standard tax rate of 12.5% </w:t>
            </w:r>
            <w:r>
              <w:rPr>
                <w:rFonts w:ascii="Arial" w:cs="Arial" w:eastAsia="Arial" w:hAnsi="Arial"/>
                <w:sz w:val="18"/>
                <w:szCs w:val="18"/>
                <w:i w:val="1"/>
                <w:iCs w:val="1"/>
                <w:color w:val="auto"/>
              </w:rPr>
              <w:t>(2023: 12.5%)</w:t>
            </w:r>
          </w:p>
        </w:tc>
        <w:tc>
          <w:tcPr>
            <w:tcW w:w="2400" w:type="dxa"/>
            <w:vAlign w:val="bottom"/>
          </w:tcPr>
          <w:p>
            <w:pPr>
              <w:jc w:val="right"/>
              <w:ind w:right="310"/>
              <w:spacing w:after="0"/>
              <w:rPr>
                <w:sz w:val="20"/>
                <w:szCs w:val="20"/>
                <w:color w:val="auto"/>
              </w:rPr>
            </w:pPr>
            <w:r>
              <w:rPr>
                <w:rFonts w:ascii="Arial" w:cs="Arial" w:eastAsia="Arial" w:hAnsi="Arial"/>
                <w:sz w:val="18"/>
                <w:szCs w:val="18"/>
                <w:b w:val="1"/>
                <w:bCs w:val="1"/>
                <w:color w:val="auto"/>
              </w:rPr>
              <w:t>84,509</w:t>
            </w:r>
          </w:p>
        </w:tc>
        <w:tc>
          <w:tcPr>
            <w:tcW w:w="194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428"/>
        </w:trPr>
        <w:tc>
          <w:tcPr>
            <w:tcW w:w="6020" w:type="dxa"/>
            <w:vAlign w:val="bottom"/>
          </w:tcPr>
          <w:p>
            <w:pPr>
              <w:spacing w:after="0"/>
              <w:rPr>
                <w:sz w:val="20"/>
                <w:szCs w:val="20"/>
                <w:color w:val="auto"/>
              </w:rPr>
            </w:pPr>
            <w:r>
              <w:rPr>
                <w:rFonts w:ascii="Arial" w:cs="Arial" w:eastAsia="Arial" w:hAnsi="Arial"/>
                <w:sz w:val="18"/>
                <w:szCs w:val="18"/>
                <w:i w:val="1"/>
                <w:iCs w:val="1"/>
                <w:color w:val="auto"/>
              </w:rPr>
              <w:t>Effects of:</w:t>
            </w:r>
          </w:p>
        </w:tc>
        <w:tc>
          <w:tcPr>
            <w:tcW w:w="2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8"/>
                <w:szCs w:val="18"/>
                <w:color w:val="auto"/>
              </w:rPr>
              <w:t>Global Minimum Tax</w:t>
            </w:r>
          </w:p>
        </w:tc>
        <w:tc>
          <w:tcPr>
            <w:tcW w:w="2400" w:type="dxa"/>
            <w:vAlign w:val="bottom"/>
          </w:tcPr>
          <w:p>
            <w:pPr>
              <w:jc w:val="right"/>
              <w:ind w:right="310"/>
              <w:spacing w:after="0"/>
              <w:rPr>
                <w:sz w:val="20"/>
                <w:szCs w:val="20"/>
                <w:color w:val="auto"/>
              </w:rPr>
            </w:pPr>
            <w:r>
              <w:rPr>
                <w:rFonts w:ascii="Arial" w:cs="Arial" w:eastAsia="Arial" w:hAnsi="Arial"/>
                <w:sz w:val="18"/>
                <w:szCs w:val="18"/>
                <w:b w:val="1"/>
                <w:bCs w:val="1"/>
                <w:color w:val="auto"/>
              </w:rPr>
              <w:t>10,782</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Non-taxable income and non-tax deductible expenses</w:t>
            </w:r>
          </w:p>
        </w:tc>
        <w:tc>
          <w:tcPr>
            <w:tcW w:w="2400" w:type="dxa"/>
            <w:vAlign w:val="bottom"/>
          </w:tcPr>
          <w:p>
            <w:pPr>
              <w:jc w:val="right"/>
              <w:ind w:right="330"/>
              <w:spacing w:after="0"/>
              <w:rPr>
                <w:sz w:val="20"/>
                <w:szCs w:val="20"/>
                <w:color w:val="auto"/>
              </w:rPr>
            </w:pPr>
            <w:r>
              <w:rPr>
                <w:rFonts w:ascii="Arial" w:cs="Arial" w:eastAsia="Arial" w:hAnsi="Arial"/>
                <w:sz w:val="18"/>
                <w:szCs w:val="18"/>
                <w:b w:val="1"/>
                <w:bCs w:val="1"/>
                <w:color w:val="auto"/>
              </w:rPr>
              <w:t>1,404</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47"/>
        </w:trPr>
        <w:tc>
          <w:tcPr>
            <w:tcW w:w="6020" w:type="dxa"/>
            <w:vAlign w:val="bottom"/>
          </w:tcPr>
          <w:p>
            <w:pPr>
              <w:spacing w:after="0"/>
              <w:rPr>
                <w:sz w:val="20"/>
                <w:szCs w:val="20"/>
                <w:color w:val="auto"/>
              </w:rPr>
            </w:pPr>
            <w:r>
              <w:rPr>
                <w:rFonts w:ascii="Arial" w:cs="Arial" w:eastAsia="Arial" w:hAnsi="Arial"/>
                <w:sz w:val="18"/>
                <w:szCs w:val="18"/>
                <w:color w:val="auto"/>
              </w:rPr>
              <w:t>Dividend income</w:t>
            </w:r>
          </w:p>
        </w:tc>
        <w:tc>
          <w:tcPr>
            <w:tcW w:w="2400" w:type="dxa"/>
            <w:vAlign w:val="bottom"/>
          </w:tcPr>
          <w:p>
            <w:pPr>
              <w:jc w:val="right"/>
              <w:ind w:right="270"/>
              <w:spacing w:after="0"/>
              <w:rPr>
                <w:sz w:val="20"/>
                <w:szCs w:val="20"/>
                <w:color w:val="auto"/>
              </w:rPr>
            </w:pPr>
            <w:r>
              <w:rPr>
                <w:rFonts w:ascii="Arial" w:cs="Arial" w:eastAsia="Arial" w:hAnsi="Arial"/>
                <w:sz w:val="18"/>
                <w:szCs w:val="18"/>
                <w:b w:val="1"/>
                <w:bCs w:val="1"/>
                <w:color w:val="auto"/>
              </w:rPr>
              <w:t>(85,156)</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Reversal of prior year under / (over) provision</w:t>
            </w:r>
          </w:p>
        </w:tc>
        <w:tc>
          <w:tcPr>
            <w:tcW w:w="2400" w:type="dxa"/>
            <w:vAlign w:val="bottom"/>
          </w:tcPr>
          <w:p>
            <w:pPr>
              <w:jc w:val="right"/>
              <w:ind w:right="330"/>
              <w:spacing w:after="0"/>
              <w:rPr>
                <w:sz w:val="20"/>
                <w:szCs w:val="20"/>
                <w:color w:val="auto"/>
              </w:rPr>
            </w:pPr>
            <w:r>
              <w:rPr>
                <w:rFonts w:ascii="Arial" w:cs="Arial" w:eastAsia="Arial" w:hAnsi="Arial"/>
                <w:sz w:val="18"/>
                <w:szCs w:val="18"/>
                <w:b w:val="1"/>
                <w:bCs w:val="1"/>
                <w:color w:val="auto"/>
              </w:rPr>
              <w:t>94</w:t>
            </w:r>
          </w:p>
        </w:tc>
        <w:tc>
          <w:tcPr>
            <w:tcW w:w="1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Foreign and other income taxed at higher rates</w:t>
            </w:r>
          </w:p>
        </w:tc>
        <w:tc>
          <w:tcPr>
            <w:tcW w:w="2400" w:type="dxa"/>
            <w:vAlign w:val="bottom"/>
          </w:tcPr>
          <w:p>
            <w:pPr>
              <w:jc w:val="right"/>
              <w:ind w:right="330"/>
              <w:spacing w:after="0"/>
              <w:rPr>
                <w:sz w:val="20"/>
                <w:szCs w:val="20"/>
                <w:color w:val="auto"/>
              </w:rPr>
            </w:pPr>
            <w:r>
              <w:rPr>
                <w:rFonts w:ascii="Arial" w:cs="Arial" w:eastAsia="Arial" w:hAnsi="Arial"/>
                <w:sz w:val="18"/>
                <w:szCs w:val="18"/>
                <w:b w:val="1"/>
                <w:bCs w:val="1"/>
                <w:color w:val="auto"/>
              </w:rPr>
              <w:t>526</w:t>
            </w:r>
          </w:p>
        </w:tc>
        <w:tc>
          <w:tcPr>
            <w:tcW w:w="194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Group relief (claimed) / surrendered</w:t>
            </w:r>
          </w:p>
        </w:tc>
        <w:tc>
          <w:tcPr>
            <w:tcW w:w="2400" w:type="dxa"/>
            <w:vAlign w:val="bottom"/>
          </w:tcPr>
          <w:p>
            <w:pPr>
              <w:jc w:val="right"/>
              <w:ind w:right="270"/>
              <w:spacing w:after="0"/>
              <w:rPr>
                <w:sz w:val="20"/>
                <w:szCs w:val="20"/>
                <w:color w:val="auto"/>
              </w:rPr>
            </w:pPr>
            <w:r>
              <w:rPr>
                <w:rFonts w:ascii="Arial" w:cs="Arial" w:eastAsia="Arial" w:hAnsi="Arial"/>
                <w:sz w:val="18"/>
                <w:szCs w:val="18"/>
                <w:b w:val="1"/>
                <w:bCs w:val="1"/>
                <w:color w:val="auto"/>
              </w:rPr>
              <w:t>(829)</w:t>
            </w:r>
          </w:p>
        </w:tc>
        <w:tc>
          <w:tcPr>
            <w:tcW w:w="19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7"/>
        </w:trPr>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2400" w:type="dxa"/>
            <w:vAlign w:val="bottom"/>
          </w:tcPr>
          <w:p>
            <w:pPr>
              <w:jc w:val="right"/>
              <w:ind w:right="270"/>
              <w:spacing w:after="0"/>
              <w:rPr>
                <w:sz w:val="20"/>
                <w:szCs w:val="20"/>
                <w:color w:val="auto"/>
              </w:rPr>
            </w:pPr>
            <w:r>
              <w:rPr>
                <w:rFonts w:ascii="Arial" w:cs="Arial" w:eastAsia="Arial" w:hAnsi="Arial"/>
                <w:sz w:val="18"/>
                <w:szCs w:val="18"/>
                <w:b w:val="1"/>
                <w:bCs w:val="1"/>
                <w:color w:val="auto"/>
              </w:rPr>
              <w:t>(10)</w:t>
            </w:r>
          </w:p>
        </w:tc>
        <w:tc>
          <w:tcPr>
            <w:tcW w:w="1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4"/>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Tax expense on profit / (loss) for the period / year</w:t>
            </w:r>
          </w:p>
        </w:tc>
        <w:tc>
          <w:tcPr>
            <w:tcW w:w="2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2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11,320</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w:t>
      </w:r>
    </w:p>
    <w:p>
      <w:pPr>
        <w:spacing w:after="0" w:line="252"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asset at 5 March 2025 and 31 December 2023 was as follows:</w:t>
      </w:r>
    </w:p>
    <w:p>
      <w:pPr>
        <w:spacing w:after="0" w:line="293" w:lineRule="exact"/>
        <w:rPr>
          <w:sz w:val="20"/>
          <w:szCs w:val="20"/>
          <w:color w:val="auto"/>
        </w:rPr>
      </w:pPr>
    </w:p>
    <w:tbl>
      <w:tblPr>
        <w:tblLayout w:type="fixed"/>
        <w:tblInd w:w="440" w:type="dxa"/>
        <w:tblCellMar>
          <w:top w:w="0" w:type="dxa"/>
          <w:left w:w="0" w:type="dxa"/>
          <w:bottom w:w="0" w:type="dxa"/>
          <w:right w:w="0" w:type="dxa"/>
        </w:tblCellMar>
      </w:tblPr>
      <w:tr>
        <w:trPr>
          <w:trHeight w:val="247"/>
        </w:trPr>
        <w:tc>
          <w:tcPr>
            <w:tcW w:w="4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As at</w:t>
            </w:r>
          </w:p>
        </w:tc>
        <w:tc>
          <w:tcPr>
            <w:tcW w:w="170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53"/>
        </w:trPr>
        <w:tc>
          <w:tcPr>
            <w:tcW w:w="4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5 March</w:t>
            </w:r>
          </w:p>
        </w:tc>
        <w:tc>
          <w:tcPr>
            <w:tcW w:w="170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47"/>
        </w:trPr>
        <w:tc>
          <w:tcPr>
            <w:tcW w:w="4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700" w:type="dxa"/>
            <w:vAlign w:val="bottom"/>
          </w:tcPr>
          <w:p>
            <w:pPr>
              <w:spacing w:after="0"/>
              <w:rPr>
                <w:sz w:val="21"/>
                <w:szCs w:val="21"/>
                <w:color w:val="auto"/>
              </w:rPr>
            </w:pPr>
          </w:p>
        </w:tc>
      </w:tr>
      <w:tr>
        <w:trPr>
          <w:trHeight w:val="270"/>
        </w:trPr>
        <w:tc>
          <w:tcPr>
            <w:tcW w:w="4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7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28"/>
        </w:trPr>
        <w:tc>
          <w:tcPr>
            <w:tcW w:w="4940" w:type="dxa"/>
            <w:vAlign w:val="bottom"/>
          </w:tcPr>
          <w:p>
            <w:pPr>
              <w:spacing w:after="0"/>
              <w:rPr>
                <w:sz w:val="20"/>
                <w:szCs w:val="20"/>
                <w:color w:val="auto"/>
              </w:rPr>
            </w:pPr>
            <w:r>
              <w:rPr>
                <w:rFonts w:ascii="Arial" w:cs="Arial" w:eastAsia="Arial" w:hAnsi="Arial"/>
                <w:sz w:val="18"/>
                <w:szCs w:val="18"/>
                <w:b w:val="1"/>
                <w:bCs w:val="1"/>
                <w:color w:val="auto"/>
              </w:rPr>
              <w:t>Deferred taxation assets</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374</w:t>
            </w:r>
          </w:p>
        </w:tc>
        <w:tc>
          <w:tcPr>
            <w:tcW w:w="17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5"/>
        </w:trPr>
        <w:tc>
          <w:tcPr>
            <w:tcW w:w="49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3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388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1"/>
        </w:trPr>
        <w:tc>
          <w:tcPr>
            <w:tcW w:w="4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533"/>
        </w:trPr>
        <w:tc>
          <w:tcPr>
            <w:tcW w:w="4940" w:type="dxa"/>
            <w:vAlign w:val="bottom"/>
          </w:tcPr>
          <w:p>
            <w:pPr>
              <w:spacing w:after="0"/>
              <w:rPr>
                <w:sz w:val="20"/>
                <w:szCs w:val="20"/>
                <w:color w:val="auto"/>
              </w:rPr>
            </w:pPr>
            <w:r>
              <w:rPr>
                <w:rFonts w:ascii="Arial" w:cs="Arial" w:eastAsia="Arial" w:hAnsi="Arial"/>
                <w:sz w:val="18"/>
                <w:szCs w:val="18"/>
                <w:b w:val="1"/>
                <w:bCs w:val="1"/>
                <w:color w:val="auto"/>
              </w:rPr>
              <w:t>Deferred taxation assets</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 January 2024</w:t>
            </w:r>
          </w:p>
        </w:tc>
        <w:tc>
          <w:tcPr>
            <w:tcW w:w="1840" w:type="dxa"/>
            <w:vAlign w:val="bottom"/>
          </w:tcPr>
          <w:p>
            <w:pPr>
              <w:jc w:val="right"/>
              <w:ind w:right="70"/>
              <w:spacing w:after="0"/>
              <w:rPr>
                <w:sz w:val="20"/>
                <w:szCs w:val="20"/>
                <w:color w:val="auto"/>
              </w:rPr>
            </w:pPr>
            <w:r>
              <w:rPr>
                <w:rFonts w:ascii="Arial" w:cs="Arial" w:eastAsia="Arial" w:hAnsi="Arial"/>
                <w:sz w:val="18"/>
                <w:szCs w:val="18"/>
                <w:b w:val="1"/>
                <w:bCs w:val="1"/>
                <w:color w:val="auto"/>
              </w:rPr>
              <w:t>Movement in</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5 March</w:t>
            </w:r>
          </w:p>
        </w:tc>
      </w:tr>
      <w:tr>
        <w:trPr>
          <w:trHeight w:val="282"/>
        </w:trPr>
        <w:tc>
          <w:tcPr>
            <w:tcW w:w="4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b w:val="1"/>
                <w:bCs w:val="1"/>
                <w:color w:val="auto"/>
              </w:rPr>
              <w:t>period</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r>
      <w:tr>
        <w:trPr>
          <w:trHeight w:val="257"/>
        </w:trPr>
        <w:tc>
          <w:tcPr>
            <w:tcW w:w="4940" w:type="dxa"/>
            <w:vAlign w:val="bottom"/>
          </w:tcPr>
          <w:p>
            <w:pPr>
              <w:spacing w:after="0"/>
              <w:rPr>
                <w:sz w:val="22"/>
                <w:szCs w:val="22"/>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184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428"/>
        </w:trPr>
        <w:tc>
          <w:tcPr>
            <w:tcW w:w="494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387</w:t>
            </w:r>
          </w:p>
        </w:tc>
        <w:tc>
          <w:tcPr>
            <w:tcW w:w="18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374</w:t>
            </w:r>
          </w:p>
        </w:tc>
      </w:tr>
      <w:tr>
        <w:trPr>
          <w:trHeight w:val="235"/>
        </w:trPr>
        <w:tc>
          <w:tcPr>
            <w:tcW w:w="49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r>
      <w:tr>
        <w:trPr>
          <w:trHeight w:val="223"/>
        </w:trPr>
        <w:tc>
          <w:tcPr>
            <w:tcW w:w="4940" w:type="dxa"/>
            <w:vAlign w:val="bottom"/>
          </w:tcPr>
          <w:p>
            <w:pPr>
              <w:spacing w:after="0"/>
              <w:rPr>
                <w:sz w:val="19"/>
                <w:szCs w:val="19"/>
                <w:color w:val="auto"/>
              </w:rPr>
            </w:pPr>
          </w:p>
        </w:tc>
        <w:tc>
          <w:tcPr>
            <w:tcW w:w="1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399</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r>
      <w:tr>
        <w:trPr>
          <w:trHeight w:val="20"/>
        </w:trPr>
        <w:tc>
          <w:tcPr>
            <w:tcW w:w="494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582"/>
        </w:trPr>
        <w:tc>
          <w:tcPr>
            <w:tcW w:w="4940" w:type="dxa"/>
            <w:vAlign w:val="bottom"/>
          </w:tcPr>
          <w:p>
            <w:pPr>
              <w:spacing w:after="0"/>
              <w:rPr>
                <w:sz w:val="20"/>
                <w:szCs w:val="20"/>
                <w:color w:val="auto"/>
              </w:rPr>
            </w:pPr>
            <w:r>
              <w:rPr>
                <w:rFonts w:ascii="Arial" w:cs="Arial" w:eastAsia="Arial" w:hAnsi="Arial"/>
                <w:sz w:val="18"/>
                <w:szCs w:val="18"/>
                <w:color w:val="auto"/>
              </w:rPr>
              <w:t>Deferred taxation assets</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 January 2023</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Movement in period</w:t>
            </w:r>
          </w:p>
        </w:tc>
        <w:tc>
          <w:tcPr>
            <w:tcW w:w="170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39"/>
        </w:trPr>
        <w:tc>
          <w:tcPr>
            <w:tcW w:w="494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17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36"/>
        </w:trPr>
        <w:tc>
          <w:tcPr>
            <w:tcW w:w="494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17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5"/>
        </w:trPr>
        <w:tc>
          <w:tcPr>
            <w:tcW w:w="49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940" w:type="dxa"/>
            <w:vAlign w:val="bottom"/>
          </w:tcPr>
          <w:p>
            <w:pPr>
              <w:spacing w:after="0"/>
              <w:rPr>
                <w:sz w:val="19"/>
                <w:szCs w:val="19"/>
                <w:color w:val="auto"/>
              </w:rPr>
            </w:pPr>
          </w:p>
        </w:tc>
        <w:tc>
          <w:tcPr>
            <w:tcW w:w="1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329</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4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At 5 March 2025 and 31 December 2023 the Company had no operating loss carry forwards for income tax purposes. At 5 March 2025 the Company had an unrecognised deferred tax asset in respect of unutilised foreign tax credits carried forward of $7.9 million (2023: $8.8 million).</w:t>
      </w:r>
    </w:p>
    <w:p>
      <w:pPr>
        <w:spacing w:after="0" w:line="19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52"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 xml:space="preserve">The Company operates a number of share-based payment plans in which employees of the ICON Group participate, including a number of share options plans and a restricted share unit plan, further details of which are set out in note 12 of the Group’s Annual Report for the year ended 31 December 2023, which is available publically and can be obtained at </w:t>
      </w:r>
      <w:r>
        <w:rPr>
          <w:rFonts w:ascii="Arial" w:cs="Arial" w:eastAsia="Arial" w:hAnsi="Arial"/>
          <w:sz w:val="18"/>
          <w:szCs w:val="18"/>
          <w:u w:val="single" w:color="auto"/>
          <w:color w:val="0000FF"/>
        </w:rPr>
        <w:t>https://investor.iconplc.com/financials-filings/annual-reports</w:t>
      </w:r>
      <w:r>
        <w:rPr>
          <w:rFonts w:ascii="Arial" w:cs="Arial" w:eastAsia="Arial" w:hAnsi="Arial"/>
          <w:sz w:val="18"/>
          <w:szCs w:val="18"/>
          <w:color w:val="000000"/>
        </w:rPr>
        <w:t>.</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6320" w:type="dxa"/>
            <w:vAlign w:val="bottom"/>
          </w:tcPr>
          <w:p>
            <w:pPr>
              <w:ind w:left="40"/>
              <w:spacing w:after="0"/>
              <w:rPr>
                <w:sz w:val="20"/>
                <w:szCs w:val="20"/>
                <w:color w:val="auto"/>
              </w:rPr>
            </w:pPr>
            <w:r>
              <w:rPr>
                <w:rFonts w:ascii="Arial" w:cs="Arial" w:eastAsia="Arial" w:hAnsi="Arial"/>
                <w:sz w:val="18"/>
                <w:szCs w:val="18"/>
                <w:color w:val="auto"/>
              </w:rPr>
              <w:t>Share options outstanding and exercisable at 5 March 2025 were as follows:</w:t>
            </w:r>
          </w:p>
        </w:tc>
        <w:tc>
          <w:tcPr>
            <w:tcW w:w="20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61"/>
        </w:trPr>
        <w:tc>
          <w:tcPr>
            <w:tcW w:w="6320" w:type="dxa"/>
            <w:vAlign w:val="bottom"/>
          </w:tcPr>
          <w:p>
            <w:pPr>
              <w:spacing w:after="0"/>
              <w:rPr>
                <w:sz w:val="22"/>
                <w:szCs w:val="22"/>
                <w:color w:val="auto"/>
              </w:rPr>
            </w:pPr>
          </w:p>
        </w:tc>
        <w:tc>
          <w:tcPr>
            <w:tcW w:w="2040" w:type="dxa"/>
            <w:vAlign w:val="bottom"/>
          </w:tcPr>
          <w:p>
            <w:pPr>
              <w:jc w:val="right"/>
              <w:ind w:right="310"/>
              <w:spacing w:after="0"/>
              <w:rPr>
                <w:sz w:val="20"/>
                <w:szCs w:val="20"/>
                <w:color w:val="auto"/>
              </w:rPr>
            </w:pPr>
            <w:r>
              <w:rPr>
                <w:rFonts w:ascii="Arial" w:cs="Arial" w:eastAsia="Arial" w:hAnsi="Arial"/>
                <w:sz w:val="18"/>
                <w:szCs w:val="18"/>
                <w:b w:val="1"/>
                <w:bCs w:val="1"/>
                <w:color w:val="auto"/>
              </w:rPr>
              <w:t>Options Granted</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r>
      <w:tr>
        <w:trPr>
          <w:trHeight w:val="255"/>
        </w:trPr>
        <w:tc>
          <w:tcPr>
            <w:tcW w:w="63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Under Plans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Exercise Price</w:t>
            </w:r>
          </w:p>
        </w:tc>
      </w:tr>
      <w:tr>
        <w:trPr>
          <w:trHeight w:val="247"/>
        </w:trPr>
        <w:tc>
          <w:tcPr>
            <w:tcW w:w="6320" w:type="dxa"/>
            <w:vAlign w:val="bottom"/>
          </w:tcPr>
          <w:p>
            <w:pPr>
              <w:ind w:left="60"/>
              <w:spacing w:after="0"/>
              <w:rPr>
                <w:sz w:val="20"/>
                <w:szCs w:val="20"/>
                <w:color w:val="auto"/>
              </w:rPr>
            </w:pPr>
            <w:r>
              <w:rPr>
                <w:rFonts w:ascii="Arial" w:cs="Arial" w:eastAsia="Arial" w:hAnsi="Arial"/>
                <w:sz w:val="18"/>
                <w:szCs w:val="18"/>
                <w:color w:val="auto"/>
              </w:rPr>
              <w:t>Outstanding at 31 December 2023</w:t>
            </w:r>
          </w:p>
        </w:tc>
        <w:tc>
          <w:tcPr>
            <w:tcW w:w="2040" w:type="dxa"/>
            <w:vAlign w:val="bottom"/>
          </w:tcPr>
          <w:p>
            <w:pPr>
              <w:jc w:val="right"/>
              <w:ind w:right="310"/>
              <w:spacing w:after="0"/>
              <w:rPr>
                <w:sz w:val="20"/>
                <w:szCs w:val="20"/>
                <w:color w:val="auto"/>
              </w:rPr>
            </w:pPr>
            <w:r>
              <w:rPr>
                <w:rFonts w:ascii="Arial" w:cs="Arial" w:eastAsia="Arial" w:hAnsi="Arial"/>
                <w:sz w:val="18"/>
                <w:szCs w:val="18"/>
                <w:color w:val="auto"/>
              </w:rPr>
              <w:t>902,806</w:t>
            </w:r>
          </w:p>
        </w:tc>
        <w:tc>
          <w:tcPr>
            <w:tcW w:w="2040" w:type="dxa"/>
            <w:vAlign w:val="bottom"/>
          </w:tcPr>
          <w:p>
            <w:pPr>
              <w:jc w:val="right"/>
              <w:spacing w:after="0"/>
              <w:rPr>
                <w:sz w:val="20"/>
                <w:szCs w:val="20"/>
                <w:color w:val="auto"/>
              </w:rPr>
            </w:pPr>
            <w:r>
              <w:rPr>
                <w:rFonts w:ascii="Arial" w:cs="Arial" w:eastAsia="Arial" w:hAnsi="Arial"/>
                <w:sz w:val="18"/>
                <w:szCs w:val="18"/>
                <w:color w:val="auto"/>
              </w:rPr>
              <w:t>$142.96</w:t>
            </w:r>
          </w:p>
        </w:tc>
      </w:tr>
      <w:tr>
        <w:trPr>
          <w:trHeight w:val="37"/>
        </w:trPr>
        <w:tc>
          <w:tcPr>
            <w:tcW w:w="63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40"/>
        </w:trPr>
        <w:tc>
          <w:tcPr>
            <w:tcW w:w="6320" w:type="dxa"/>
            <w:vAlign w:val="bottom"/>
          </w:tcPr>
          <w:p>
            <w:pPr>
              <w:ind w:left="6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310"/>
              <w:spacing w:after="0"/>
              <w:rPr>
                <w:sz w:val="20"/>
                <w:szCs w:val="20"/>
                <w:color w:val="auto"/>
              </w:rPr>
            </w:pPr>
            <w:r>
              <w:rPr>
                <w:rFonts w:ascii="Arial" w:cs="Arial" w:eastAsia="Arial" w:hAnsi="Arial"/>
                <w:sz w:val="18"/>
                <w:szCs w:val="18"/>
                <w:color w:val="auto"/>
              </w:rPr>
              <w:t>68,380</w:t>
            </w:r>
          </w:p>
        </w:tc>
        <w:tc>
          <w:tcPr>
            <w:tcW w:w="2040" w:type="dxa"/>
            <w:vAlign w:val="bottom"/>
          </w:tcPr>
          <w:p>
            <w:pPr>
              <w:jc w:val="right"/>
              <w:spacing w:after="0"/>
              <w:rPr>
                <w:sz w:val="20"/>
                <w:szCs w:val="20"/>
                <w:color w:val="auto"/>
              </w:rPr>
            </w:pPr>
            <w:r>
              <w:rPr>
                <w:rFonts w:ascii="Arial" w:cs="Arial" w:eastAsia="Arial" w:hAnsi="Arial"/>
                <w:sz w:val="18"/>
                <w:szCs w:val="18"/>
                <w:color w:val="auto"/>
              </w:rPr>
              <w:t>$325.51</w:t>
            </w:r>
          </w:p>
        </w:tc>
      </w:tr>
      <w:tr>
        <w:trPr>
          <w:trHeight w:val="284"/>
        </w:trPr>
        <w:tc>
          <w:tcPr>
            <w:tcW w:w="6320" w:type="dxa"/>
            <w:vAlign w:val="bottom"/>
          </w:tcPr>
          <w:p>
            <w:pPr>
              <w:ind w:left="60"/>
              <w:spacing w:after="0"/>
              <w:rPr>
                <w:sz w:val="20"/>
                <w:szCs w:val="20"/>
                <w:color w:val="auto"/>
              </w:rPr>
            </w:pPr>
            <w:r>
              <w:rPr>
                <w:rFonts w:ascii="Arial" w:cs="Arial" w:eastAsia="Arial" w:hAnsi="Arial"/>
                <w:sz w:val="18"/>
                <w:szCs w:val="18"/>
                <w:color w:val="auto"/>
              </w:rPr>
              <w:t>Exercised</w:t>
            </w:r>
          </w:p>
        </w:tc>
        <w:tc>
          <w:tcPr>
            <w:tcW w:w="2040" w:type="dxa"/>
            <w:vAlign w:val="bottom"/>
          </w:tcPr>
          <w:p>
            <w:pPr>
              <w:jc w:val="right"/>
              <w:ind w:right="310"/>
              <w:spacing w:after="0"/>
              <w:rPr>
                <w:sz w:val="20"/>
                <w:szCs w:val="20"/>
                <w:color w:val="auto"/>
              </w:rPr>
            </w:pPr>
            <w:r>
              <w:rPr>
                <w:rFonts w:ascii="Arial" w:cs="Arial" w:eastAsia="Arial" w:hAnsi="Arial"/>
                <w:sz w:val="18"/>
                <w:szCs w:val="18"/>
                <w:color w:val="auto"/>
              </w:rPr>
              <w:t>(347,891)</w:t>
            </w:r>
          </w:p>
        </w:tc>
        <w:tc>
          <w:tcPr>
            <w:tcW w:w="2040" w:type="dxa"/>
            <w:vAlign w:val="bottom"/>
          </w:tcPr>
          <w:p>
            <w:pPr>
              <w:jc w:val="right"/>
              <w:spacing w:after="0"/>
              <w:rPr>
                <w:sz w:val="20"/>
                <w:szCs w:val="20"/>
                <w:color w:val="auto"/>
              </w:rPr>
            </w:pPr>
            <w:r>
              <w:rPr>
                <w:rFonts w:ascii="Arial" w:cs="Arial" w:eastAsia="Arial" w:hAnsi="Arial"/>
                <w:sz w:val="18"/>
                <w:szCs w:val="18"/>
                <w:color w:val="auto"/>
              </w:rPr>
              <w:t>$116.41</w:t>
            </w:r>
          </w:p>
        </w:tc>
      </w:tr>
      <w:tr>
        <w:trPr>
          <w:trHeight w:val="283"/>
        </w:trPr>
        <w:tc>
          <w:tcPr>
            <w:tcW w:w="6320" w:type="dxa"/>
            <w:vAlign w:val="bottom"/>
          </w:tcPr>
          <w:p>
            <w:pPr>
              <w:ind w:left="60"/>
              <w:spacing w:after="0"/>
              <w:rPr>
                <w:sz w:val="20"/>
                <w:szCs w:val="20"/>
                <w:color w:val="auto"/>
              </w:rPr>
            </w:pPr>
            <w:r>
              <w:rPr>
                <w:rFonts w:ascii="Arial" w:cs="Arial" w:eastAsia="Arial" w:hAnsi="Arial"/>
                <w:sz w:val="18"/>
                <w:szCs w:val="18"/>
                <w:color w:val="auto"/>
              </w:rPr>
              <w:t>Forfeited / expired</w:t>
            </w:r>
          </w:p>
        </w:tc>
        <w:tc>
          <w:tcPr>
            <w:tcW w:w="2040" w:type="dxa"/>
            <w:vAlign w:val="bottom"/>
          </w:tcPr>
          <w:p>
            <w:pPr>
              <w:jc w:val="right"/>
              <w:ind w:right="310"/>
              <w:spacing w:after="0"/>
              <w:rPr>
                <w:sz w:val="20"/>
                <w:szCs w:val="20"/>
                <w:color w:val="auto"/>
              </w:rPr>
            </w:pPr>
            <w:r>
              <w:rPr>
                <w:rFonts w:ascii="Arial" w:cs="Arial" w:eastAsia="Arial" w:hAnsi="Arial"/>
                <w:sz w:val="18"/>
                <w:szCs w:val="18"/>
                <w:color w:val="auto"/>
              </w:rPr>
              <w:t>(38,616)</w:t>
            </w:r>
          </w:p>
        </w:tc>
        <w:tc>
          <w:tcPr>
            <w:tcW w:w="2040" w:type="dxa"/>
            <w:vAlign w:val="bottom"/>
          </w:tcPr>
          <w:p>
            <w:pPr>
              <w:jc w:val="right"/>
              <w:spacing w:after="0"/>
              <w:rPr>
                <w:sz w:val="20"/>
                <w:szCs w:val="20"/>
                <w:color w:val="auto"/>
              </w:rPr>
            </w:pPr>
            <w:r>
              <w:rPr>
                <w:rFonts w:ascii="Arial" w:cs="Arial" w:eastAsia="Arial" w:hAnsi="Arial"/>
                <w:sz w:val="18"/>
                <w:szCs w:val="18"/>
                <w:color w:val="auto"/>
              </w:rPr>
              <w:t>$238.07</w:t>
            </w:r>
          </w:p>
        </w:tc>
      </w:tr>
      <w:tr>
        <w:trPr>
          <w:trHeight w:val="37"/>
        </w:trPr>
        <w:tc>
          <w:tcPr>
            <w:tcW w:w="63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40"/>
        </w:trPr>
        <w:tc>
          <w:tcPr>
            <w:tcW w:w="6320" w:type="dxa"/>
            <w:vAlign w:val="bottom"/>
          </w:tcPr>
          <w:p>
            <w:pPr>
              <w:ind w:left="60"/>
              <w:spacing w:after="0"/>
              <w:rPr>
                <w:sz w:val="20"/>
                <w:szCs w:val="20"/>
                <w:color w:val="auto"/>
              </w:rPr>
            </w:pPr>
            <w:r>
              <w:rPr>
                <w:rFonts w:ascii="Arial" w:cs="Arial" w:eastAsia="Arial" w:hAnsi="Arial"/>
                <w:sz w:val="18"/>
                <w:szCs w:val="18"/>
                <w:color w:val="auto"/>
              </w:rPr>
              <w:t>Outstanding at 5 March 2025</w:t>
            </w:r>
          </w:p>
        </w:tc>
        <w:tc>
          <w:tcPr>
            <w:tcW w:w="2040" w:type="dxa"/>
            <w:vAlign w:val="bottom"/>
          </w:tcPr>
          <w:p>
            <w:pPr>
              <w:jc w:val="right"/>
              <w:ind w:right="310"/>
              <w:spacing w:after="0"/>
              <w:rPr>
                <w:sz w:val="20"/>
                <w:szCs w:val="20"/>
                <w:color w:val="auto"/>
              </w:rPr>
            </w:pPr>
            <w:r>
              <w:rPr>
                <w:rFonts w:ascii="Arial" w:cs="Arial" w:eastAsia="Arial" w:hAnsi="Arial"/>
                <w:sz w:val="18"/>
                <w:szCs w:val="18"/>
                <w:color w:val="auto"/>
              </w:rPr>
              <w:t>584,679</w:t>
            </w:r>
          </w:p>
        </w:tc>
        <w:tc>
          <w:tcPr>
            <w:tcW w:w="2040" w:type="dxa"/>
            <w:vAlign w:val="bottom"/>
          </w:tcPr>
          <w:p>
            <w:pPr>
              <w:jc w:val="right"/>
              <w:spacing w:after="0"/>
              <w:rPr>
                <w:sz w:val="20"/>
                <w:szCs w:val="20"/>
                <w:color w:val="auto"/>
              </w:rPr>
            </w:pPr>
            <w:r>
              <w:rPr>
                <w:rFonts w:ascii="Arial" w:cs="Arial" w:eastAsia="Arial" w:hAnsi="Arial"/>
                <w:sz w:val="18"/>
                <w:szCs w:val="18"/>
                <w:color w:val="auto"/>
              </w:rPr>
              <w:t>$173.83</w:t>
            </w:r>
          </w:p>
        </w:tc>
      </w:tr>
      <w:tr>
        <w:trPr>
          <w:trHeight w:val="36"/>
        </w:trPr>
        <w:tc>
          <w:tcPr>
            <w:tcW w:w="63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9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11" w:right="339" w:bottom="986" w:gutter="0" w:footer="0" w:header="0"/>
          <w:type w:val="continuous"/>
        </w:sectPr>
      </w:pPr>
    </w:p>
    <w:bookmarkStart w:id="24" w:name="page25"/>
    <w:bookmarkEnd w:id="24"/>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i w:val="1"/>
          <w:iCs w:val="1"/>
          <w:color w:val="auto"/>
        </w:rPr>
        <w:t>(continued)</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Restricted Share Units (“RSU’s”) and Performance Share Units (“PSU’s”) outstanding at 5 March 2025 were as follows:</w:t>
      </w:r>
    </w:p>
    <w:p>
      <w:pPr>
        <w:spacing w:after="0" w:line="320"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340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b w:val="1"/>
                <w:bCs w:val="1"/>
                <w:color w:val="auto"/>
              </w:rPr>
              <w:t>PSU Outstanding</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PSU</w:t>
            </w:r>
          </w:p>
        </w:tc>
        <w:tc>
          <w:tcPr>
            <w:tcW w:w="1960" w:type="dxa"/>
            <w:vAlign w:val="bottom"/>
          </w:tcPr>
          <w:p>
            <w:pPr>
              <w:jc w:val="right"/>
              <w:ind w:right="230"/>
              <w:spacing w:after="0"/>
              <w:rPr>
                <w:sz w:val="20"/>
                <w:szCs w:val="20"/>
                <w:color w:val="auto"/>
              </w:rPr>
            </w:pPr>
            <w:r>
              <w:rPr>
                <w:rFonts w:ascii="Arial" w:cs="Arial" w:eastAsia="Arial" w:hAnsi="Arial"/>
                <w:sz w:val="18"/>
                <w:szCs w:val="18"/>
                <w:b w:val="1"/>
                <w:bCs w:val="1"/>
                <w:color w:val="auto"/>
              </w:rPr>
              <w:t>RSU Outstanding</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RSU</w:t>
            </w:r>
          </w:p>
        </w:tc>
      </w:tr>
      <w:tr>
        <w:trPr>
          <w:trHeight w:val="229"/>
        </w:trPr>
        <w:tc>
          <w:tcPr>
            <w:tcW w:w="3400" w:type="dxa"/>
            <w:vAlign w:val="bottom"/>
          </w:tcPr>
          <w:p>
            <w:pPr>
              <w:spacing w:after="0"/>
              <w:rPr>
                <w:sz w:val="19"/>
                <w:szCs w:val="19"/>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196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 Shares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43"/>
        </w:trPr>
        <w:tc>
          <w:tcPr>
            <w:tcW w:w="3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Grant Date</w:t>
            </w:r>
          </w:p>
        </w:tc>
        <w:tc>
          <w:tcPr>
            <w:tcW w:w="19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43"/>
        </w:trPr>
        <w:tc>
          <w:tcPr>
            <w:tcW w:w="3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19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Grant Date</w:t>
            </w:r>
          </w:p>
        </w:tc>
      </w:tr>
      <w:tr>
        <w:trPr>
          <w:trHeight w:val="247"/>
        </w:trPr>
        <w:tc>
          <w:tcPr>
            <w:tcW w:w="3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8"/>
        </w:trPr>
        <w:tc>
          <w:tcPr>
            <w:tcW w:w="3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4"/>
        </w:trPr>
        <w:tc>
          <w:tcPr>
            <w:tcW w:w="3400" w:type="dxa"/>
            <w:vAlign w:val="bottom"/>
          </w:tcPr>
          <w:p>
            <w:pPr>
              <w:ind w:left="100"/>
              <w:spacing w:after="0"/>
              <w:rPr>
                <w:sz w:val="20"/>
                <w:szCs w:val="20"/>
                <w:color w:val="auto"/>
              </w:rPr>
            </w:pPr>
            <w:r>
              <w:rPr>
                <w:rFonts w:ascii="Arial" w:cs="Arial" w:eastAsia="Arial" w:hAnsi="Arial"/>
                <w:sz w:val="18"/>
                <w:szCs w:val="18"/>
                <w:color w:val="auto"/>
              </w:rPr>
              <w:t>Outstanding at 31 December 2023</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105,256</w:t>
            </w:r>
          </w:p>
        </w:tc>
        <w:tc>
          <w:tcPr>
            <w:tcW w:w="1740" w:type="dxa"/>
            <w:vAlign w:val="bottom"/>
          </w:tcPr>
          <w:p>
            <w:pPr>
              <w:jc w:val="right"/>
              <w:spacing w:after="0"/>
              <w:rPr>
                <w:sz w:val="20"/>
                <w:szCs w:val="20"/>
                <w:color w:val="auto"/>
              </w:rPr>
            </w:pPr>
            <w:r>
              <w:rPr>
                <w:rFonts w:ascii="Arial" w:cs="Arial" w:eastAsia="Arial" w:hAnsi="Arial"/>
                <w:sz w:val="18"/>
                <w:szCs w:val="18"/>
                <w:color w:val="auto"/>
              </w:rPr>
              <w:t>$226.29</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621,011</w:t>
            </w:r>
          </w:p>
        </w:tc>
        <w:tc>
          <w:tcPr>
            <w:tcW w:w="1300" w:type="dxa"/>
            <w:vAlign w:val="bottom"/>
          </w:tcPr>
          <w:p>
            <w:pPr>
              <w:jc w:val="right"/>
              <w:spacing w:after="0"/>
              <w:rPr>
                <w:sz w:val="20"/>
                <w:szCs w:val="20"/>
                <w:color w:val="auto"/>
              </w:rPr>
            </w:pPr>
            <w:r>
              <w:rPr>
                <w:rFonts w:ascii="Arial" w:cs="Arial" w:eastAsia="Arial" w:hAnsi="Arial"/>
                <w:sz w:val="18"/>
                <w:szCs w:val="18"/>
                <w:color w:val="auto"/>
              </w:rPr>
              <w:t>$218.27</w:t>
            </w:r>
          </w:p>
        </w:tc>
      </w:tr>
      <w:tr>
        <w:trPr>
          <w:trHeight w:val="37"/>
        </w:trPr>
        <w:tc>
          <w:tcPr>
            <w:tcW w:w="34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497"/>
        </w:trPr>
        <w:tc>
          <w:tcPr>
            <w:tcW w:w="3400" w:type="dxa"/>
            <w:vAlign w:val="bottom"/>
          </w:tcPr>
          <w:p>
            <w:pPr>
              <w:ind w:left="100"/>
              <w:spacing w:after="0"/>
              <w:rPr>
                <w:sz w:val="20"/>
                <w:szCs w:val="20"/>
                <w:color w:val="auto"/>
              </w:rPr>
            </w:pPr>
            <w:r>
              <w:rPr>
                <w:rFonts w:ascii="Arial" w:cs="Arial" w:eastAsia="Arial" w:hAnsi="Arial"/>
                <w:sz w:val="18"/>
                <w:szCs w:val="18"/>
                <w:color w:val="auto"/>
              </w:rPr>
              <w:t>Granted</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48,626</w:t>
            </w:r>
          </w:p>
        </w:tc>
        <w:tc>
          <w:tcPr>
            <w:tcW w:w="1740" w:type="dxa"/>
            <w:vAlign w:val="bottom"/>
          </w:tcPr>
          <w:p>
            <w:pPr>
              <w:jc w:val="right"/>
              <w:spacing w:after="0"/>
              <w:rPr>
                <w:sz w:val="20"/>
                <w:szCs w:val="20"/>
                <w:color w:val="auto"/>
              </w:rPr>
            </w:pPr>
            <w:r>
              <w:rPr>
                <w:rFonts w:ascii="Arial" w:cs="Arial" w:eastAsia="Arial" w:hAnsi="Arial"/>
                <w:sz w:val="18"/>
                <w:szCs w:val="18"/>
                <w:color w:val="auto"/>
              </w:rPr>
              <w:t>$325.51</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258,345</w:t>
            </w:r>
          </w:p>
        </w:tc>
        <w:tc>
          <w:tcPr>
            <w:tcW w:w="1300" w:type="dxa"/>
            <w:vAlign w:val="bottom"/>
          </w:tcPr>
          <w:p>
            <w:pPr>
              <w:jc w:val="right"/>
              <w:spacing w:after="0"/>
              <w:rPr>
                <w:sz w:val="20"/>
                <w:szCs w:val="20"/>
                <w:color w:val="auto"/>
              </w:rPr>
            </w:pPr>
            <w:r>
              <w:rPr>
                <w:rFonts w:ascii="Arial" w:cs="Arial" w:eastAsia="Arial" w:hAnsi="Arial"/>
                <w:sz w:val="18"/>
                <w:szCs w:val="18"/>
                <w:color w:val="auto"/>
              </w:rPr>
              <w:t>$313.41</w:t>
            </w:r>
          </w:p>
        </w:tc>
      </w:tr>
      <w:tr>
        <w:trPr>
          <w:trHeight w:val="297"/>
        </w:trPr>
        <w:tc>
          <w:tcPr>
            <w:tcW w:w="3400" w:type="dxa"/>
            <w:vAlign w:val="bottom"/>
          </w:tcPr>
          <w:p>
            <w:pPr>
              <w:ind w:left="100"/>
              <w:spacing w:after="0"/>
              <w:rPr>
                <w:sz w:val="20"/>
                <w:szCs w:val="20"/>
                <w:color w:val="auto"/>
              </w:rPr>
            </w:pPr>
            <w:r>
              <w:rPr>
                <w:rFonts w:ascii="Arial" w:cs="Arial" w:eastAsia="Arial" w:hAnsi="Arial"/>
                <w:sz w:val="18"/>
                <w:szCs w:val="18"/>
                <w:color w:val="auto"/>
              </w:rPr>
              <w:t>Shares vested</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(18,166)</w:t>
            </w:r>
          </w:p>
        </w:tc>
        <w:tc>
          <w:tcPr>
            <w:tcW w:w="1740" w:type="dxa"/>
            <w:vAlign w:val="bottom"/>
          </w:tcPr>
          <w:p>
            <w:pPr>
              <w:jc w:val="right"/>
              <w:spacing w:after="0"/>
              <w:rPr>
                <w:sz w:val="20"/>
                <w:szCs w:val="20"/>
                <w:color w:val="auto"/>
              </w:rPr>
            </w:pPr>
            <w:r>
              <w:rPr>
                <w:rFonts w:ascii="Arial" w:cs="Arial" w:eastAsia="Arial" w:hAnsi="Arial"/>
                <w:sz w:val="18"/>
                <w:szCs w:val="18"/>
                <w:color w:val="auto"/>
              </w:rPr>
              <w:t>$201.87</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(139,313)</w:t>
            </w:r>
          </w:p>
        </w:tc>
        <w:tc>
          <w:tcPr>
            <w:tcW w:w="1300" w:type="dxa"/>
            <w:vAlign w:val="bottom"/>
          </w:tcPr>
          <w:p>
            <w:pPr>
              <w:jc w:val="right"/>
              <w:spacing w:after="0"/>
              <w:rPr>
                <w:sz w:val="20"/>
                <w:szCs w:val="20"/>
                <w:color w:val="auto"/>
              </w:rPr>
            </w:pPr>
            <w:r>
              <w:rPr>
                <w:rFonts w:ascii="Arial" w:cs="Arial" w:eastAsia="Arial" w:hAnsi="Arial"/>
                <w:sz w:val="18"/>
                <w:szCs w:val="18"/>
                <w:color w:val="auto"/>
              </w:rPr>
              <w:t>$228.71</w:t>
            </w:r>
          </w:p>
        </w:tc>
      </w:tr>
      <w:tr>
        <w:trPr>
          <w:trHeight w:val="297"/>
        </w:trPr>
        <w:tc>
          <w:tcPr>
            <w:tcW w:w="3400" w:type="dxa"/>
            <w:vAlign w:val="bottom"/>
          </w:tcPr>
          <w:p>
            <w:pPr>
              <w:ind w:left="100"/>
              <w:spacing w:after="0"/>
              <w:rPr>
                <w:sz w:val="20"/>
                <w:szCs w:val="20"/>
                <w:color w:val="auto"/>
              </w:rPr>
            </w:pPr>
            <w:r>
              <w:rPr>
                <w:rFonts w:ascii="Arial" w:cs="Arial" w:eastAsia="Arial" w:hAnsi="Arial"/>
                <w:sz w:val="18"/>
                <w:szCs w:val="18"/>
                <w:color w:val="auto"/>
              </w:rPr>
              <w:t>Forfeit</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(124,186)</w:t>
            </w:r>
          </w:p>
        </w:tc>
        <w:tc>
          <w:tcPr>
            <w:tcW w:w="1740" w:type="dxa"/>
            <w:vAlign w:val="bottom"/>
          </w:tcPr>
          <w:p>
            <w:pPr>
              <w:jc w:val="right"/>
              <w:spacing w:after="0"/>
              <w:rPr>
                <w:sz w:val="20"/>
                <w:szCs w:val="20"/>
                <w:color w:val="auto"/>
              </w:rPr>
            </w:pPr>
            <w:r>
              <w:rPr>
                <w:rFonts w:ascii="Arial" w:cs="Arial" w:eastAsia="Arial" w:hAnsi="Arial"/>
                <w:sz w:val="18"/>
                <w:szCs w:val="18"/>
                <w:color w:val="auto"/>
              </w:rPr>
              <w:t>$260.42</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(117,940)</w:t>
            </w:r>
          </w:p>
        </w:tc>
        <w:tc>
          <w:tcPr>
            <w:tcW w:w="1300" w:type="dxa"/>
            <w:vAlign w:val="bottom"/>
          </w:tcPr>
          <w:p>
            <w:pPr>
              <w:jc w:val="right"/>
              <w:spacing w:after="0"/>
              <w:rPr>
                <w:sz w:val="20"/>
                <w:szCs w:val="20"/>
                <w:color w:val="auto"/>
              </w:rPr>
            </w:pPr>
            <w:r>
              <w:rPr>
                <w:rFonts w:ascii="Arial" w:cs="Arial" w:eastAsia="Arial" w:hAnsi="Arial"/>
                <w:sz w:val="18"/>
                <w:szCs w:val="18"/>
                <w:color w:val="auto"/>
              </w:rPr>
              <w:t>$241.67</w:t>
            </w:r>
          </w:p>
        </w:tc>
      </w:tr>
      <w:tr>
        <w:trPr>
          <w:trHeight w:val="37"/>
        </w:trPr>
        <w:tc>
          <w:tcPr>
            <w:tcW w:w="34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497"/>
        </w:trPr>
        <w:tc>
          <w:tcPr>
            <w:tcW w:w="3400" w:type="dxa"/>
            <w:vAlign w:val="bottom"/>
          </w:tcPr>
          <w:p>
            <w:pPr>
              <w:ind w:left="100"/>
              <w:spacing w:after="0"/>
              <w:rPr>
                <w:sz w:val="20"/>
                <w:szCs w:val="20"/>
                <w:color w:val="auto"/>
              </w:rPr>
            </w:pPr>
            <w:r>
              <w:rPr>
                <w:rFonts w:ascii="Arial" w:cs="Arial" w:eastAsia="Arial" w:hAnsi="Arial"/>
                <w:sz w:val="18"/>
                <w:szCs w:val="18"/>
                <w:color w:val="auto"/>
              </w:rPr>
              <w:t>Outstanding at 5 March 2025</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11,530</w:t>
            </w:r>
          </w:p>
        </w:tc>
        <w:tc>
          <w:tcPr>
            <w:tcW w:w="1740" w:type="dxa"/>
            <w:vAlign w:val="bottom"/>
          </w:tcPr>
          <w:p>
            <w:pPr>
              <w:jc w:val="right"/>
              <w:spacing w:after="0"/>
              <w:rPr>
                <w:sz w:val="20"/>
                <w:szCs w:val="20"/>
                <w:color w:val="auto"/>
              </w:rPr>
            </w:pPr>
            <w:r>
              <w:rPr>
                <w:rFonts w:ascii="Arial" w:cs="Arial" w:eastAsia="Arial" w:hAnsi="Arial"/>
                <w:sz w:val="18"/>
                <w:szCs w:val="18"/>
                <w:color w:val="auto"/>
              </w:rPr>
              <w:t>$315.71</w:t>
            </w:r>
          </w:p>
        </w:tc>
        <w:tc>
          <w:tcPr>
            <w:tcW w:w="1960" w:type="dxa"/>
            <w:vAlign w:val="bottom"/>
          </w:tcPr>
          <w:p>
            <w:pPr>
              <w:jc w:val="right"/>
              <w:ind w:right="230"/>
              <w:spacing w:after="0"/>
              <w:rPr>
                <w:sz w:val="20"/>
                <w:szCs w:val="20"/>
                <w:color w:val="auto"/>
              </w:rPr>
            </w:pPr>
            <w:r>
              <w:rPr>
                <w:rFonts w:ascii="Arial" w:cs="Arial" w:eastAsia="Arial" w:hAnsi="Arial"/>
                <w:sz w:val="18"/>
                <w:szCs w:val="18"/>
                <w:color w:val="auto"/>
              </w:rPr>
              <w:t>622,103</w:t>
            </w:r>
          </w:p>
        </w:tc>
        <w:tc>
          <w:tcPr>
            <w:tcW w:w="1300" w:type="dxa"/>
            <w:vAlign w:val="bottom"/>
          </w:tcPr>
          <w:p>
            <w:pPr>
              <w:jc w:val="right"/>
              <w:spacing w:after="0"/>
              <w:rPr>
                <w:sz w:val="20"/>
                <w:szCs w:val="20"/>
                <w:color w:val="auto"/>
              </w:rPr>
            </w:pPr>
            <w:r>
              <w:rPr>
                <w:rFonts w:ascii="Arial" w:cs="Arial" w:eastAsia="Arial" w:hAnsi="Arial"/>
                <w:sz w:val="18"/>
                <w:szCs w:val="18"/>
                <w:color w:val="auto"/>
              </w:rPr>
              <w:t>$251.01</w:t>
            </w:r>
          </w:p>
        </w:tc>
      </w:tr>
      <w:tr>
        <w:trPr>
          <w:trHeight w:val="37"/>
        </w:trPr>
        <w:tc>
          <w:tcPr>
            <w:tcW w:w="34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319"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Company accounts for share-based awards in accordance with IFRS 2 Share -based Payments. The grant date fair value of these awards is calculated using the Black Scholes option pricing model and expensed to the income statement over the period the related service is received. Operating loss for the period ended 5 March 2025 is stated after charging $6.6 million in respect of share-based payments expense, representing the portion of the overall Group charge which relates to share-based awards granted to employees of the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306"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2800" w:type="dxa"/>
            <w:vAlign w:val="bottom"/>
          </w:tcPr>
          <w:p>
            <w:pPr>
              <w:jc w:val="right"/>
              <w:ind w:right="270"/>
              <w:spacing w:after="0"/>
              <w:rPr>
                <w:sz w:val="20"/>
                <w:szCs w:val="20"/>
                <w:color w:val="auto"/>
              </w:rPr>
            </w:pPr>
            <w:r>
              <w:rPr>
                <w:rFonts w:ascii="Arial" w:cs="Arial" w:eastAsia="Arial" w:hAnsi="Arial"/>
                <w:sz w:val="18"/>
                <w:szCs w:val="18"/>
                <w:b w:val="1"/>
                <w:bCs w:val="1"/>
                <w:color w:val="auto"/>
              </w:rPr>
              <w:t>Leasehold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rPr>
              <w:t>Computer</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Office</w:t>
            </w:r>
          </w:p>
        </w:tc>
        <w:tc>
          <w:tcPr>
            <w:tcW w:w="100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w:t>
            </w:r>
          </w:p>
        </w:tc>
      </w:tr>
      <w:tr>
        <w:trPr>
          <w:trHeight w:val="216"/>
        </w:trPr>
        <w:tc>
          <w:tcPr>
            <w:tcW w:w="3520" w:type="dxa"/>
            <w:vAlign w:val="bottom"/>
          </w:tcPr>
          <w:p>
            <w:pPr>
              <w:spacing w:after="0"/>
              <w:rPr>
                <w:sz w:val="18"/>
                <w:szCs w:val="18"/>
                <w:color w:val="auto"/>
              </w:rPr>
            </w:pPr>
          </w:p>
        </w:tc>
        <w:tc>
          <w:tcPr>
            <w:tcW w:w="2800" w:type="dxa"/>
            <w:vAlign w:val="bottom"/>
          </w:tcPr>
          <w:p>
            <w:pPr>
              <w:jc w:val="right"/>
              <w:ind w:right="270"/>
              <w:spacing w:after="0"/>
              <w:rPr>
                <w:sz w:val="20"/>
                <w:szCs w:val="20"/>
                <w:color w:val="auto"/>
              </w:rPr>
            </w:pPr>
            <w:r>
              <w:rPr>
                <w:rFonts w:ascii="Arial" w:cs="Arial" w:eastAsia="Arial" w:hAnsi="Arial"/>
                <w:sz w:val="18"/>
                <w:szCs w:val="18"/>
                <w:b w:val="1"/>
                <w:bCs w:val="1"/>
                <w:color w:val="auto"/>
              </w:rPr>
              <w:t>improvements</w:t>
            </w: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equipment</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furniture &amp;</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7"/>
        </w:trPr>
        <w:tc>
          <w:tcPr>
            <w:tcW w:w="35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fixtures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4"/>
        </w:trPr>
        <w:tc>
          <w:tcPr>
            <w:tcW w:w="3520" w:type="dxa"/>
            <w:vAlign w:val="bottom"/>
          </w:tcPr>
          <w:p>
            <w:pPr>
              <w:spacing w:after="0"/>
              <w:rPr>
                <w:sz w:val="24"/>
                <w:szCs w:val="24"/>
                <w:color w:val="auto"/>
              </w:rPr>
            </w:pPr>
          </w:p>
        </w:tc>
        <w:tc>
          <w:tcPr>
            <w:tcW w:w="280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$’000</w:t>
            </w: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3520" w:type="dxa"/>
            <w:vAlign w:val="bottom"/>
          </w:tcPr>
          <w:p>
            <w:pPr>
              <w:ind w:left="60"/>
              <w:spacing w:after="0"/>
              <w:rPr>
                <w:sz w:val="20"/>
                <w:szCs w:val="20"/>
                <w:color w:val="auto"/>
              </w:rPr>
            </w:pPr>
            <w:r>
              <w:rPr>
                <w:rFonts w:ascii="Arial" w:cs="Arial" w:eastAsia="Arial" w:hAnsi="Arial"/>
                <w:sz w:val="18"/>
                <w:szCs w:val="18"/>
                <w:color w:val="auto"/>
              </w:rPr>
              <w:t>At 1 January 2024</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390</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680</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730</w:t>
            </w:r>
          </w:p>
        </w:tc>
        <w:tc>
          <w:tcPr>
            <w:tcW w:w="980" w:type="dxa"/>
            <w:vAlign w:val="bottom"/>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23"/>
                <w:szCs w:val="23"/>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Additions</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283</w:t>
            </w:r>
          </w:p>
        </w:tc>
        <w:tc>
          <w:tcPr>
            <w:tcW w:w="98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4"/>
                <w:szCs w:val="24"/>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Disposals</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(531)</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24"/>
                <w:szCs w:val="24"/>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Foreign currency movement</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(19)</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r>
      <w:tr>
        <w:trPr>
          <w:trHeight w:val="37"/>
        </w:trPr>
        <w:tc>
          <w:tcPr>
            <w:tcW w:w="35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8"/>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At 5 March 2025</w:t>
            </w:r>
          </w:p>
        </w:tc>
        <w:tc>
          <w:tcPr>
            <w:tcW w:w="2800" w:type="dxa"/>
            <w:vAlign w:val="bottom"/>
          </w:tcPr>
          <w:p>
            <w:pPr>
              <w:jc w:val="right"/>
              <w:ind w:right="270"/>
              <w:spacing w:after="0"/>
              <w:rPr>
                <w:sz w:val="20"/>
                <w:szCs w:val="20"/>
                <w:color w:val="auto"/>
              </w:rPr>
            </w:pPr>
            <w:r>
              <w:rPr>
                <w:rFonts w:ascii="Arial" w:cs="Arial" w:eastAsia="Arial" w:hAnsi="Arial"/>
                <w:sz w:val="18"/>
                <w:szCs w:val="18"/>
                <w:b w:val="1"/>
                <w:bCs w:val="1"/>
                <w:color w:val="auto"/>
              </w:rPr>
              <w:t>371</w:t>
            </w: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169</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983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1,523</w:t>
            </w:r>
          </w:p>
        </w:tc>
        <w:tc>
          <w:tcPr>
            <w:tcW w:w="20" w:type="dxa"/>
            <w:vAlign w:val="bottom"/>
          </w:tcPr>
          <w:p>
            <w:pPr>
              <w:spacing w:after="0"/>
              <w:rPr>
                <w:sz w:val="21"/>
                <w:szCs w:val="21"/>
                <w:color w:val="auto"/>
              </w:rPr>
            </w:pPr>
          </w:p>
        </w:tc>
      </w:tr>
      <w:tr>
        <w:trPr>
          <w:trHeight w:val="28"/>
        </w:trPr>
        <w:tc>
          <w:tcPr>
            <w:tcW w:w="3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05"/>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Depreciation</w:t>
            </w: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3520" w:type="dxa"/>
            <w:vAlign w:val="bottom"/>
          </w:tcPr>
          <w:p>
            <w:pPr>
              <w:ind w:left="60"/>
              <w:spacing w:after="0"/>
              <w:rPr>
                <w:sz w:val="20"/>
                <w:szCs w:val="20"/>
                <w:color w:val="auto"/>
              </w:rPr>
            </w:pPr>
            <w:r>
              <w:rPr>
                <w:rFonts w:ascii="Arial" w:cs="Arial" w:eastAsia="Arial" w:hAnsi="Arial"/>
                <w:sz w:val="18"/>
                <w:szCs w:val="18"/>
                <w:color w:val="auto"/>
              </w:rPr>
              <w:t>At 1 January 2024</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384</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652</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453</w:t>
            </w:r>
          </w:p>
        </w:tc>
        <w:tc>
          <w:tcPr>
            <w:tcW w:w="980" w:type="dxa"/>
            <w:vAlign w:val="bottom"/>
          </w:tcPr>
          <w:p>
            <w:pPr>
              <w:jc w:val="right"/>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23"/>
                <w:szCs w:val="23"/>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Charge for the period</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123</w:t>
            </w: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4"/>
                <w:szCs w:val="24"/>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Disposals</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(531)</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24"/>
                <w:szCs w:val="24"/>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Foreign currency movement</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(50)</w:t>
            </w: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4"/>
                <w:szCs w:val="24"/>
                <w:color w:val="auto"/>
              </w:rPr>
            </w:pPr>
          </w:p>
        </w:tc>
      </w:tr>
      <w:tr>
        <w:trPr>
          <w:trHeight w:val="37"/>
        </w:trPr>
        <w:tc>
          <w:tcPr>
            <w:tcW w:w="35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0"/>
        </w:trPr>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At 5 March 2025</w:t>
            </w:r>
          </w:p>
        </w:tc>
        <w:tc>
          <w:tcPr>
            <w:tcW w:w="2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363</w:t>
            </w: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125</w:t>
            </w: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526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1,014</w:t>
            </w:r>
          </w:p>
        </w:tc>
        <w:tc>
          <w:tcPr>
            <w:tcW w:w="20" w:type="dxa"/>
            <w:vAlign w:val="bottom"/>
          </w:tcPr>
          <w:p>
            <w:pPr>
              <w:spacing w:after="0"/>
              <w:rPr>
                <w:sz w:val="23"/>
                <w:szCs w:val="23"/>
                <w:color w:val="auto"/>
              </w:rPr>
            </w:pPr>
          </w:p>
        </w:tc>
      </w:tr>
      <w:tr>
        <w:trPr>
          <w:trHeight w:val="511"/>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Net book value</w:t>
            </w: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At 5 March 2025</w:t>
            </w:r>
          </w:p>
        </w:tc>
        <w:tc>
          <w:tcPr>
            <w:tcW w:w="2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w:t>
            </w: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44</w:t>
            </w: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457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20" w:type="dxa"/>
            <w:vAlign w:val="bottom"/>
          </w:tcPr>
          <w:p>
            <w:pPr>
              <w:spacing w:after="0"/>
              <w:rPr>
                <w:sz w:val="24"/>
                <w:szCs w:val="24"/>
                <w:color w:val="auto"/>
              </w:rPr>
            </w:pPr>
          </w:p>
        </w:tc>
      </w:tr>
      <w:tr>
        <w:trPr>
          <w:trHeight w:val="247"/>
        </w:trPr>
        <w:tc>
          <w:tcPr>
            <w:tcW w:w="3520" w:type="dxa"/>
            <w:vAlign w:val="bottom"/>
          </w:tcPr>
          <w:p>
            <w:pPr>
              <w:ind w:left="60"/>
              <w:spacing w:after="0"/>
              <w:rPr>
                <w:sz w:val="20"/>
                <w:szCs w:val="20"/>
                <w:color w:val="auto"/>
              </w:rPr>
            </w:pPr>
            <w:r>
              <w:rPr>
                <w:rFonts w:ascii="Arial" w:cs="Arial" w:eastAsia="Arial" w:hAnsi="Arial"/>
                <w:sz w:val="18"/>
                <w:szCs w:val="18"/>
                <w:color w:val="auto"/>
              </w:rPr>
              <w:t>At 31 December 2023</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28</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277</w:t>
            </w:r>
          </w:p>
        </w:tc>
        <w:tc>
          <w:tcPr>
            <w:tcW w:w="98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1"/>
                <w:szCs w:val="21"/>
                <w:color w:val="auto"/>
              </w:rPr>
            </w:pPr>
          </w:p>
        </w:tc>
      </w:tr>
      <w:tr>
        <w:trPr>
          <w:trHeight w:val="37"/>
        </w:trPr>
        <w:tc>
          <w:tcPr>
            <w:tcW w:w="35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582"/>
        </w:trPr>
        <w:tc>
          <w:tcPr>
            <w:tcW w:w="3520" w:type="dxa"/>
            <w:vAlign w:val="bottom"/>
          </w:tcPr>
          <w:p>
            <w:pPr>
              <w:spacing w:after="0"/>
              <w:rPr>
                <w:sz w:val="24"/>
                <w:szCs w:val="24"/>
                <w:color w:val="auto"/>
              </w:rPr>
            </w:pPr>
          </w:p>
        </w:tc>
        <w:tc>
          <w:tcPr>
            <w:tcW w:w="2800" w:type="dxa"/>
            <w:vAlign w:val="bottom"/>
          </w:tcPr>
          <w:p>
            <w:pPr>
              <w:jc w:val="right"/>
              <w:ind w:right="270"/>
              <w:spacing w:after="0"/>
              <w:rPr>
                <w:sz w:val="20"/>
                <w:szCs w:val="20"/>
                <w:color w:val="auto"/>
              </w:rPr>
            </w:pPr>
            <w:r>
              <w:rPr>
                <w:rFonts w:ascii="Arial" w:cs="Arial" w:eastAsia="Arial" w:hAnsi="Arial"/>
                <w:sz w:val="18"/>
                <w:szCs w:val="18"/>
                <w:b w:val="1"/>
                <w:bCs w:val="1"/>
                <w:color w:val="auto"/>
              </w:rPr>
              <w:t>Leasehold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rPr>
              <w:t>Computer</w:t>
            </w: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Office</w:t>
            </w:r>
          </w:p>
        </w:tc>
        <w:tc>
          <w:tcPr>
            <w:tcW w:w="100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w:t>
            </w:r>
          </w:p>
        </w:tc>
      </w:tr>
      <w:tr>
        <w:trPr>
          <w:trHeight w:val="229"/>
        </w:trPr>
        <w:tc>
          <w:tcPr>
            <w:tcW w:w="3520" w:type="dxa"/>
            <w:vAlign w:val="bottom"/>
          </w:tcPr>
          <w:p>
            <w:pPr>
              <w:spacing w:after="0"/>
              <w:rPr>
                <w:sz w:val="19"/>
                <w:szCs w:val="19"/>
                <w:color w:val="auto"/>
              </w:rPr>
            </w:pPr>
          </w:p>
        </w:tc>
        <w:tc>
          <w:tcPr>
            <w:tcW w:w="2800" w:type="dxa"/>
            <w:vAlign w:val="bottom"/>
          </w:tcPr>
          <w:p>
            <w:pPr>
              <w:jc w:val="right"/>
              <w:ind w:right="270"/>
              <w:spacing w:after="0"/>
              <w:rPr>
                <w:sz w:val="20"/>
                <w:szCs w:val="20"/>
                <w:color w:val="auto"/>
              </w:rPr>
            </w:pPr>
            <w:r>
              <w:rPr>
                <w:rFonts w:ascii="Arial" w:cs="Arial" w:eastAsia="Arial" w:hAnsi="Arial"/>
                <w:sz w:val="18"/>
                <w:szCs w:val="18"/>
                <w:b w:val="1"/>
                <w:bCs w:val="1"/>
                <w:color w:val="auto"/>
              </w:rPr>
              <w:t>improvements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rPr>
              <w:t>equipment</w:t>
            </w: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furniture &amp;</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35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fixtures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3520" w:type="dxa"/>
            <w:vAlign w:val="bottom"/>
          </w:tcPr>
          <w:p>
            <w:pPr>
              <w:spacing w:after="0"/>
              <w:rPr>
                <w:sz w:val="24"/>
                <w:szCs w:val="24"/>
                <w:color w:val="auto"/>
              </w:rPr>
            </w:pPr>
          </w:p>
        </w:tc>
        <w:tc>
          <w:tcPr>
            <w:tcW w:w="280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$’000</w:t>
            </w:r>
          </w:p>
        </w:tc>
      </w:tr>
      <w:tr>
        <w:trPr>
          <w:trHeight w:val="284"/>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3520" w:type="dxa"/>
            <w:vAlign w:val="bottom"/>
          </w:tcPr>
          <w:p>
            <w:pPr>
              <w:ind w:left="60"/>
              <w:spacing w:after="0"/>
              <w:rPr>
                <w:sz w:val="20"/>
                <w:szCs w:val="20"/>
                <w:color w:val="auto"/>
              </w:rPr>
            </w:pPr>
            <w:r>
              <w:rPr>
                <w:rFonts w:ascii="Arial" w:cs="Arial" w:eastAsia="Arial" w:hAnsi="Arial"/>
                <w:sz w:val="18"/>
                <w:szCs w:val="18"/>
                <w:color w:val="auto"/>
              </w:rPr>
              <w:t>At 1 January 2023</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353</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630</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903</w:t>
            </w:r>
          </w:p>
        </w:tc>
        <w:tc>
          <w:tcPr>
            <w:tcW w:w="980" w:type="dxa"/>
            <w:vAlign w:val="bottom"/>
          </w:tcPr>
          <w:p>
            <w:pPr>
              <w:jc w:val="right"/>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23"/>
                <w:szCs w:val="23"/>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Additions</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217</w:t>
            </w: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4"/>
                <w:szCs w:val="24"/>
                <w:color w:val="auto"/>
              </w:rPr>
            </w:pPr>
          </w:p>
        </w:tc>
      </w:tr>
      <w:tr>
        <w:trPr>
          <w:trHeight w:val="284"/>
        </w:trPr>
        <w:tc>
          <w:tcPr>
            <w:tcW w:w="3520" w:type="dxa"/>
            <w:vAlign w:val="bottom"/>
          </w:tcPr>
          <w:p>
            <w:pPr>
              <w:ind w:left="60"/>
              <w:spacing w:after="0"/>
              <w:rPr>
                <w:sz w:val="20"/>
                <w:szCs w:val="20"/>
                <w:color w:val="auto"/>
              </w:rPr>
            </w:pPr>
            <w:r>
              <w:rPr>
                <w:rFonts w:ascii="Arial" w:cs="Arial" w:eastAsia="Arial" w:hAnsi="Arial"/>
                <w:sz w:val="18"/>
                <w:szCs w:val="18"/>
                <w:color w:val="auto"/>
              </w:rPr>
              <w:t>Disposals</w:t>
            </w:r>
          </w:p>
        </w:tc>
        <w:tc>
          <w:tcPr>
            <w:tcW w:w="28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(460)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Foreign currency movement</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70</w:t>
            </w: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4"/>
                <w:szCs w:val="24"/>
                <w:color w:val="auto"/>
              </w:rPr>
            </w:pPr>
          </w:p>
        </w:tc>
      </w:tr>
      <w:tr>
        <w:trPr>
          <w:trHeight w:val="37"/>
        </w:trPr>
        <w:tc>
          <w:tcPr>
            <w:tcW w:w="35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48"/>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At 31 December 2023</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390</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680</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730</w:t>
            </w:r>
          </w:p>
        </w:tc>
        <w:tc>
          <w:tcPr>
            <w:tcW w:w="980" w:type="dxa"/>
            <w:vAlign w:val="bottom"/>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21"/>
                <w:szCs w:val="21"/>
                <w:color w:val="auto"/>
              </w:rPr>
            </w:pPr>
          </w:p>
        </w:tc>
      </w:tr>
      <w:tr>
        <w:trPr>
          <w:trHeight w:val="29"/>
        </w:trPr>
        <w:tc>
          <w:tcPr>
            <w:tcW w:w="3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05"/>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Depreciation</w:t>
            </w: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3520" w:type="dxa"/>
            <w:vAlign w:val="bottom"/>
          </w:tcPr>
          <w:p>
            <w:pPr>
              <w:ind w:left="60"/>
              <w:spacing w:after="0"/>
              <w:rPr>
                <w:sz w:val="20"/>
                <w:szCs w:val="20"/>
                <w:color w:val="auto"/>
              </w:rPr>
            </w:pPr>
            <w:r>
              <w:rPr>
                <w:rFonts w:ascii="Arial" w:cs="Arial" w:eastAsia="Arial" w:hAnsi="Arial"/>
                <w:sz w:val="18"/>
                <w:szCs w:val="18"/>
                <w:color w:val="auto"/>
              </w:rPr>
              <w:t>At 1 January 2023</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348</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621</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641</w:t>
            </w:r>
          </w:p>
        </w:tc>
        <w:tc>
          <w:tcPr>
            <w:tcW w:w="980" w:type="dxa"/>
            <w:vAlign w:val="bottom"/>
          </w:tcPr>
          <w:p>
            <w:pPr>
              <w:jc w:val="right"/>
              <w:spacing w:after="0"/>
              <w:rPr>
                <w:sz w:val="20"/>
                <w:szCs w:val="20"/>
                <w:color w:val="auto"/>
              </w:rPr>
            </w:pPr>
            <w:r>
              <w:rPr>
                <w:rFonts w:ascii="Arial" w:cs="Arial" w:eastAsia="Arial" w:hAnsi="Arial"/>
                <w:sz w:val="18"/>
                <w:szCs w:val="18"/>
                <w:color w:val="auto"/>
              </w:rPr>
              <w:t>1,610</w:t>
            </w:r>
          </w:p>
        </w:tc>
        <w:tc>
          <w:tcPr>
            <w:tcW w:w="20" w:type="dxa"/>
            <w:vAlign w:val="bottom"/>
          </w:tcPr>
          <w:p>
            <w:pPr>
              <w:spacing w:after="0"/>
              <w:rPr>
                <w:sz w:val="23"/>
                <w:szCs w:val="23"/>
                <w:color w:val="auto"/>
              </w:rPr>
            </w:pPr>
          </w:p>
        </w:tc>
      </w:tr>
      <w:tr>
        <w:trPr>
          <w:trHeight w:val="284"/>
        </w:trPr>
        <w:tc>
          <w:tcPr>
            <w:tcW w:w="3520" w:type="dxa"/>
            <w:vAlign w:val="bottom"/>
          </w:tcPr>
          <w:p>
            <w:pPr>
              <w:ind w:left="60"/>
              <w:spacing w:after="0"/>
              <w:rPr>
                <w:sz w:val="20"/>
                <w:szCs w:val="20"/>
                <w:color w:val="auto"/>
              </w:rPr>
            </w:pPr>
            <w:r>
              <w:rPr>
                <w:rFonts w:ascii="Arial" w:cs="Arial" w:eastAsia="Arial" w:hAnsi="Arial"/>
                <w:sz w:val="18"/>
                <w:szCs w:val="18"/>
                <w:color w:val="auto"/>
              </w:rPr>
              <w:t>Charge for the year</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65</w:t>
            </w: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4"/>
                <w:szCs w:val="24"/>
                <w:color w:val="auto"/>
              </w:rPr>
            </w:pPr>
          </w:p>
        </w:tc>
      </w:t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rPr>
              <w:t>Disposals</w:t>
            </w:r>
          </w:p>
        </w:tc>
        <w:tc>
          <w:tcPr>
            <w:tcW w:w="28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(303)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r>
      <w:tr>
        <w:trPr>
          <w:trHeight w:val="284"/>
        </w:trPr>
        <w:tc>
          <w:tcPr>
            <w:tcW w:w="3520" w:type="dxa"/>
            <w:vAlign w:val="bottom"/>
          </w:tcPr>
          <w:p>
            <w:pPr>
              <w:ind w:left="60"/>
              <w:spacing w:after="0"/>
              <w:rPr>
                <w:sz w:val="20"/>
                <w:szCs w:val="20"/>
                <w:color w:val="auto"/>
              </w:rPr>
            </w:pPr>
            <w:r>
              <w:rPr>
                <w:rFonts w:ascii="Arial" w:cs="Arial" w:eastAsia="Arial" w:hAnsi="Arial"/>
                <w:sz w:val="18"/>
                <w:szCs w:val="18"/>
                <w:color w:val="auto"/>
              </w:rPr>
              <w:t>Foreign currency movement</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50</w:t>
            </w: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4"/>
                <w:szCs w:val="24"/>
                <w:color w:val="auto"/>
              </w:rPr>
            </w:pPr>
          </w:p>
        </w:tc>
      </w:tr>
      <w:tr>
        <w:trPr>
          <w:trHeight w:val="37"/>
        </w:trPr>
        <w:tc>
          <w:tcPr>
            <w:tcW w:w="35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49"/>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At 31 December 2023</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384</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652</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453</w:t>
            </w:r>
          </w:p>
        </w:tc>
        <w:tc>
          <w:tcPr>
            <w:tcW w:w="980" w:type="dxa"/>
            <w:vAlign w:val="bottom"/>
          </w:tcPr>
          <w:p>
            <w:pPr>
              <w:jc w:val="right"/>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21"/>
                <w:szCs w:val="21"/>
                <w:color w:val="auto"/>
              </w:rPr>
            </w:pPr>
          </w:p>
        </w:tc>
      </w:tr>
      <w:tr>
        <w:trPr>
          <w:trHeight w:val="28"/>
        </w:trPr>
        <w:tc>
          <w:tcPr>
            <w:tcW w:w="3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05"/>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Net book value</w:t>
            </w: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At 31 December 2023</w:t>
            </w:r>
          </w:p>
        </w:tc>
        <w:tc>
          <w:tcPr>
            <w:tcW w:w="2800" w:type="dxa"/>
            <w:vAlign w:val="bottom"/>
          </w:tcPr>
          <w:p>
            <w:pPr>
              <w:jc w:val="right"/>
              <w:ind w:right="270"/>
              <w:spacing w:after="0"/>
              <w:rPr>
                <w:sz w:val="20"/>
                <w:szCs w:val="20"/>
                <w:color w:val="auto"/>
              </w:rPr>
            </w:pPr>
            <w:r>
              <w:rPr>
                <w:rFonts w:ascii="Arial" w:cs="Arial" w:eastAsia="Arial" w:hAnsi="Arial"/>
                <w:sz w:val="18"/>
                <w:szCs w:val="18"/>
                <w:b w:val="1"/>
                <w:bCs w:val="1"/>
                <w:color w:val="auto"/>
              </w:rPr>
              <w:t>6</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28</w:t>
            </w: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277</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20" w:type="dxa"/>
            <w:vAlign w:val="bottom"/>
          </w:tcPr>
          <w:p>
            <w:pPr>
              <w:spacing w:after="0"/>
              <w:rPr>
                <w:sz w:val="24"/>
                <w:szCs w:val="24"/>
                <w:color w:val="auto"/>
              </w:rPr>
            </w:pPr>
          </w:p>
        </w:tc>
      </w:tr>
      <w:tr>
        <w:trPr>
          <w:trHeight w:val="28"/>
        </w:trPr>
        <w:tc>
          <w:tcPr>
            <w:tcW w:w="3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1"/>
        </w:trPr>
        <w:tc>
          <w:tcPr>
            <w:tcW w:w="3520" w:type="dxa"/>
            <w:vAlign w:val="bottom"/>
          </w:tcPr>
          <w:p>
            <w:pPr>
              <w:ind w:left="60"/>
              <w:spacing w:after="0"/>
              <w:rPr>
                <w:sz w:val="20"/>
                <w:szCs w:val="20"/>
                <w:color w:val="auto"/>
              </w:rPr>
            </w:pPr>
            <w:r>
              <w:rPr>
                <w:rFonts w:ascii="Arial" w:cs="Arial" w:eastAsia="Arial" w:hAnsi="Arial"/>
                <w:sz w:val="18"/>
                <w:szCs w:val="18"/>
                <w:color w:val="auto"/>
              </w:rPr>
              <w:t>At 31 December 2022</w:t>
            </w:r>
          </w:p>
        </w:tc>
        <w:tc>
          <w:tcPr>
            <w:tcW w:w="280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262</w:t>
            </w: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20"/>
                <w:szCs w:val="20"/>
                <w:color w:val="auto"/>
              </w:rPr>
            </w:pPr>
          </w:p>
        </w:tc>
      </w:tr>
      <w:tr>
        <w:trPr>
          <w:trHeight w:val="36"/>
        </w:trPr>
        <w:tc>
          <w:tcPr>
            <w:tcW w:w="35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0860"/>
          </w:cols>
          <w:pgMar w:left="320" w:top="111" w:right="719"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860"/>
          </w:cols>
          <w:pgMar w:left="320" w:top="111" w:right="719" w:bottom="405" w:gutter="0" w:footer="0" w:header="0"/>
          <w:type w:val="continuous"/>
        </w:sectPr>
      </w:pPr>
    </w:p>
    <w:bookmarkStart w:id="26" w:name="page27"/>
    <w:bookmarkEnd w:id="26"/>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11.  Right-of-use assets</w:t>
            </w:r>
          </w:p>
        </w:tc>
        <w:tc>
          <w:tcPr>
            <w:tcW w:w="3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51"/>
        </w:trPr>
        <w:tc>
          <w:tcPr>
            <w:tcW w:w="30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The Company has the following right-of-use assets:</w:t>
            </w:r>
          </w:p>
        </w:tc>
        <w:tc>
          <w:tcPr>
            <w:tcW w:w="3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21"/>
        </w:trPr>
        <w:tc>
          <w:tcPr>
            <w:tcW w:w="3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300" w:type="dxa"/>
            <w:vAlign w:val="bottom"/>
          </w:tcPr>
          <w:p>
            <w:pPr>
              <w:jc w:val="right"/>
              <w:ind w:right="470"/>
              <w:spacing w:after="0"/>
              <w:rPr>
                <w:sz w:val="20"/>
                <w:szCs w:val="20"/>
                <w:color w:val="auto"/>
              </w:rPr>
            </w:pPr>
            <w:r>
              <w:rPr>
                <w:rFonts w:ascii="Arial" w:cs="Arial" w:eastAsia="Arial" w:hAnsi="Arial"/>
                <w:sz w:val="18"/>
                <w:szCs w:val="18"/>
                <w:b w:val="1"/>
                <w:bCs w:val="1"/>
                <w:color w:val="auto"/>
              </w:rPr>
              <w:t>Premises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57"/>
        </w:trPr>
        <w:tc>
          <w:tcPr>
            <w:tcW w:w="300" w:type="dxa"/>
            <w:vAlign w:val="bottom"/>
          </w:tcPr>
          <w:p>
            <w:pPr>
              <w:spacing w:after="0"/>
              <w:rPr>
                <w:sz w:val="22"/>
                <w:szCs w:val="22"/>
                <w:color w:val="auto"/>
              </w:rPr>
            </w:pPr>
          </w:p>
        </w:tc>
        <w:tc>
          <w:tcPr>
            <w:tcW w:w="616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$’000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241"/>
        </w:trPr>
        <w:tc>
          <w:tcPr>
            <w:tcW w:w="300" w:type="dxa"/>
            <w:vAlign w:val="bottom"/>
          </w:tcPr>
          <w:p>
            <w:pPr>
              <w:spacing w:after="0"/>
              <w:rPr>
                <w:sz w:val="20"/>
                <w:szCs w:val="20"/>
                <w:color w:val="auto"/>
              </w:rPr>
            </w:pPr>
          </w:p>
        </w:tc>
        <w:tc>
          <w:tcPr>
            <w:tcW w:w="6160" w:type="dxa"/>
            <w:vAlign w:val="bottom"/>
          </w:tcPr>
          <w:p>
            <w:pPr>
              <w:ind w:left="40"/>
              <w:spacing w:after="0"/>
              <w:rPr>
                <w:sz w:val="20"/>
                <w:szCs w:val="20"/>
                <w:color w:val="auto"/>
              </w:rPr>
            </w:pPr>
            <w:r>
              <w:rPr>
                <w:rFonts w:ascii="Arial" w:cs="Arial" w:eastAsia="Arial" w:hAnsi="Arial"/>
                <w:sz w:val="18"/>
                <w:szCs w:val="18"/>
                <w:color w:val="auto"/>
              </w:rPr>
              <w:t>Depreciation charge for the period</w:t>
            </w:r>
          </w:p>
        </w:tc>
        <w:tc>
          <w:tcPr>
            <w:tcW w:w="3300" w:type="dxa"/>
            <w:vAlign w:val="bottom"/>
          </w:tcPr>
          <w:p>
            <w:pPr>
              <w:jc w:val="right"/>
              <w:ind w:right="570"/>
              <w:spacing w:after="0"/>
              <w:rPr>
                <w:sz w:val="20"/>
                <w:szCs w:val="20"/>
                <w:color w:val="auto"/>
              </w:rPr>
            </w:pPr>
            <w:r>
              <w:rPr>
                <w:rFonts w:ascii="Arial" w:cs="Arial" w:eastAsia="Arial" w:hAnsi="Arial"/>
                <w:sz w:val="18"/>
                <w:szCs w:val="18"/>
                <w:color w:val="auto"/>
              </w:rPr>
              <w:t>615</w:t>
            </w:r>
          </w:p>
        </w:tc>
        <w:tc>
          <w:tcPr>
            <w:tcW w:w="11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57"/>
        </w:trPr>
        <w:tc>
          <w:tcPr>
            <w:tcW w:w="300" w:type="dxa"/>
            <w:vAlign w:val="bottom"/>
          </w:tcPr>
          <w:p>
            <w:pPr>
              <w:spacing w:after="0"/>
              <w:rPr>
                <w:sz w:val="22"/>
                <w:szCs w:val="22"/>
                <w:color w:val="auto"/>
              </w:rPr>
            </w:pPr>
          </w:p>
        </w:tc>
        <w:tc>
          <w:tcPr>
            <w:tcW w:w="6160" w:type="dxa"/>
            <w:vAlign w:val="bottom"/>
          </w:tcPr>
          <w:p>
            <w:pPr>
              <w:ind w:left="40"/>
              <w:spacing w:after="0"/>
              <w:rPr>
                <w:sz w:val="20"/>
                <w:szCs w:val="20"/>
                <w:color w:val="auto"/>
              </w:rPr>
            </w:pPr>
            <w:r>
              <w:rPr>
                <w:rFonts w:ascii="Arial" w:cs="Arial" w:eastAsia="Arial" w:hAnsi="Arial"/>
                <w:sz w:val="18"/>
                <w:szCs w:val="18"/>
                <w:color w:val="auto"/>
              </w:rPr>
              <w:t>Right-of-use assets at 5 March 2025</w:t>
            </w:r>
          </w:p>
        </w:tc>
        <w:tc>
          <w:tcPr>
            <w:tcW w:w="3300" w:type="dxa"/>
            <w:vAlign w:val="bottom"/>
          </w:tcPr>
          <w:p>
            <w:pPr>
              <w:jc w:val="right"/>
              <w:ind w:right="570"/>
              <w:spacing w:after="0"/>
              <w:rPr>
                <w:sz w:val="20"/>
                <w:szCs w:val="20"/>
                <w:color w:val="auto"/>
              </w:rPr>
            </w:pPr>
            <w:r>
              <w:rPr>
                <w:rFonts w:ascii="Arial" w:cs="Arial" w:eastAsia="Arial" w:hAnsi="Arial"/>
                <w:sz w:val="18"/>
                <w:szCs w:val="18"/>
                <w:color w:val="auto"/>
              </w:rPr>
              <w:t>5,628</w:t>
            </w:r>
          </w:p>
        </w:tc>
        <w:tc>
          <w:tcPr>
            <w:tcW w:w="1100" w:type="dxa"/>
            <w:vAlign w:val="bottom"/>
          </w:tcPr>
          <w:p>
            <w:pPr>
              <w:jc w:val="right"/>
              <w:spacing w:after="0"/>
              <w:rPr>
                <w:sz w:val="20"/>
                <w:szCs w:val="20"/>
                <w:color w:val="auto"/>
              </w:rPr>
            </w:pPr>
            <w:r>
              <w:rPr>
                <w:rFonts w:ascii="Arial" w:cs="Arial" w:eastAsia="Arial" w:hAnsi="Arial"/>
                <w:sz w:val="18"/>
                <w:szCs w:val="18"/>
                <w:color w:val="auto"/>
              </w:rPr>
              <w:t>5,628</w:t>
            </w:r>
          </w:p>
        </w:tc>
      </w:tr>
      <w:tr>
        <w:trPr>
          <w:trHeight w:val="257"/>
        </w:trPr>
        <w:tc>
          <w:tcPr>
            <w:tcW w:w="300" w:type="dxa"/>
            <w:vAlign w:val="bottom"/>
          </w:tcPr>
          <w:p>
            <w:pPr>
              <w:spacing w:after="0"/>
              <w:rPr>
                <w:sz w:val="22"/>
                <w:szCs w:val="22"/>
                <w:color w:val="auto"/>
              </w:rPr>
            </w:pPr>
          </w:p>
        </w:tc>
        <w:tc>
          <w:tcPr>
            <w:tcW w:w="6160" w:type="dxa"/>
            <w:vAlign w:val="bottom"/>
          </w:tcPr>
          <w:p>
            <w:pPr>
              <w:ind w:left="40"/>
              <w:spacing w:after="0"/>
              <w:rPr>
                <w:sz w:val="20"/>
                <w:szCs w:val="20"/>
                <w:color w:val="auto"/>
              </w:rPr>
            </w:pPr>
            <w:r>
              <w:rPr>
                <w:rFonts w:ascii="Arial" w:cs="Arial" w:eastAsia="Arial" w:hAnsi="Arial"/>
                <w:sz w:val="18"/>
                <w:szCs w:val="18"/>
                <w:color w:val="auto"/>
              </w:rPr>
              <w:t>Depreciation charge for 2023</w:t>
            </w:r>
          </w:p>
        </w:tc>
        <w:tc>
          <w:tcPr>
            <w:tcW w:w="3300" w:type="dxa"/>
            <w:vAlign w:val="bottom"/>
          </w:tcPr>
          <w:p>
            <w:pPr>
              <w:jc w:val="right"/>
              <w:ind w:right="570"/>
              <w:spacing w:after="0"/>
              <w:rPr>
                <w:sz w:val="20"/>
                <w:szCs w:val="20"/>
                <w:color w:val="auto"/>
              </w:rPr>
            </w:pPr>
            <w:r>
              <w:rPr>
                <w:rFonts w:ascii="Arial" w:cs="Arial" w:eastAsia="Arial" w:hAnsi="Arial"/>
                <w:sz w:val="18"/>
                <w:szCs w:val="18"/>
                <w:color w:val="auto"/>
              </w:rPr>
              <w:t>453</w:t>
            </w:r>
          </w:p>
        </w:tc>
        <w:tc>
          <w:tcPr>
            <w:tcW w:w="11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61"/>
        </w:trPr>
        <w:tc>
          <w:tcPr>
            <w:tcW w:w="300" w:type="dxa"/>
            <w:vAlign w:val="bottom"/>
          </w:tcPr>
          <w:p>
            <w:pPr>
              <w:spacing w:after="0"/>
              <w:rPr>
                <w:sz w:val="22"/>
                <w:szCs w:val="22"/>
                <w:color w:val="auto"/>
              </w:rPr>
            </w:pP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Right-of-use assets at 31 December 2023</w:t>
            </w:r>
          </w:p>
        </w:tc>
        <w:tc>
          <w:tcPr>
            <w:tcW w:w="3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bl>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Additions to right-of-use assets during the period ended 5 March 2025 were $6.4 million (2023: $0.04 million).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12.  Investment in subsidiaries</w:t>
            </w:r>
          </w:p>
        </w:tc>
        <w:tc>
          <w:tcPr>
            <w:tcW w:w="4120" w:type="dxa"/>
            <w:vAlign w:val="bottom"/>
          </w:tcPr>
          <w:p>
            <w:pPr>
              <w:spacing w:after="0"/>
              <w:rPr>
                <w:sz w:val="21"/>
                <w:szCs w:val="21"/>
                <w:color w:val="auto"/>
              </w:rPr>
            </w:pPr>
          </w:p>
        </w:tc>
      </w:tr>
      <w:tr>
        <w:trPr>
          <w:trHeight w:val="496"/>
        </w:trPr>
        <w:tc>
          <w:tcPr>
            <w:tcW w:w="3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Investment in Subsidiary</w:t>
            </w:r>
          </w:p>
        </w:tc>
      </w:tr>
      <w:tr>
        <w:trPr>
          <w:trHeight w:val="247"/>
        </w:trPr>
        <w:tc>
          <w:tcPr>
            <w:tcW w:w="3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Undertakings</w:t>
            </w:r>
          </w:p>
        </w:tc>
      </w:tr>
      <w:tr>
        <w:trPr>
          <w:trHeight w:val="270"/>
        </w:trPr>
        <w:tc>
          <w:tcPr>
            <w:tcW w:w="30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84"/>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4120" w:type="dxa"/>
            <w:vAlign w:val="bottom"/>
          </w:tcPr>
          <w:p>
            <w:pPr>
              <w:spacing w:after="0"/>
              <w:rPr>
                <w:sz w:val="24"/>
                <w:szCs w:val="24"/>
                <w:color w:val="auto"/>
              </w:rPr>
            </w:pPr>
          </w:p>
        </w:tc>
      </w:tr>
      <w:tr>
        <w:trPr>
          <w:trHeight w:val="275"/>
        </w:trPr>
        <w:tc>
          <w:tcPr>
            <w:tcW w:w="300" w:type="dxa"/>
            <w:vAlign w:val="bottom"/>
          </w:tcPr>
          <w:p>
            <w:pPr>
              <w:spacing w:after="0"/>
              <w:rPr>
                <w:sz w:val="23"/>
                <w:szCs w:val="23"/>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At 1 January 2023</w:t>
            </w:r>
          </w:p>
        </w:tc>
        <w:tc>
          <w:tcPr>
            <w:tcW w:w="4120" w:type="dxa"/>
            <w:vAlign w:val="bottom"/>
          </w:tcPr>
          <w:p>
            <w:pPr>
              <w:jc w:val="right"/>
              <w:spacing w:after="0"/>
              <w:rPr>
                <w:sz w:val="20"/>
                <w:szCs w:val="20"/>
                <w:color w:val="auto"/>
              </w:rPr>
            </w:pPr>
            <w:r>
              <w:rPr>
                <w:rFonts w:ascii="Arial" w:cs="Arial" w:eastAsia="Arial" w:hAnsi="Arial"/>
                <w:sz w:val="18"/>
                <w:szCs w:val="18"/>
                <w:color w:val="auto"/>
              </w:rPr>
              <w:t>7,086,423</w:t>
            </w:r>
          </w:p>
        </w:tc>
      </w:tr>
      <w:tr>
        <w:trPr>
          <w:trHeight w:val="284"/>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Additions</w:t>
            </w:r>
          </w:p>
        </w:tc>
        <w:tc>
          <w:tcPr>
            <w:tcW w:w="4120" w:type="dxa"/>
            <w:vAlign w:val="bottom"/>
          </w:tcPr>
          <w:p>
            <w:pPr>
              <w:jc w:val="right"/>
              <w:spacing w:after="0"/>
              <w:rPr>
                <w:sz w:val="20"/>
                <w:szCs w:val="20"/>
                <w:color w:val="auto"/>
              </w:rPr>
            </w:pPr>
            <w:r>
              <w:rPr>
                <w:rFonts w:ascii="Arial" w:cs="Arial" w:eastAsia="Arial" w:hAnsi="Arial"/>
                <w:sz w:val="18"/>
                <w:szCs w:val="18"/>
                <w:color w:val="auto"/>
              </w:rPr>
              <w:t>265,086</w:t>
            </w:r>
          </w:p>
        </w:tc>
      </w:tr>
      <w:tr>
        <w:trPr>
          <w:trHeight w:val="283"/>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Redemptions</w:t>
            </w:r>
          </w:p>
        </w:tc>
        <w:tc>
          <w:tcPr>
            <w:tcW w:w="4120" w:type="dxa"/>
            <w:vAlign w:val="bottom"/>
          </w:tcPr>
          <w:p>
            <w:pPr>
              <w:jc w:val="right"/>
              <w:spacing w:after="0"/>
              <w:rPr>
                <w:sz w:val="20"/>
                <w:szCs w:val="20"/>
                <w:color w:val="auto"/>
              </w:rPr>
            </w:pPr>
            <w:r>
              <w:rPr>
                <w:rFonts w:ascii="Arial" w:cs="Arial" w:eastAsia="Arial" w:hAnsi="Arial"/>
                <w:sz w:val="18"/>
                <w:szCs w:val="18"/>
                <w:color w:val="auto"/>
              </w:rPr>
              <w:t>(105,936)</w:t>
            </w:r>
          </w:p>
        </w:tc>
      </w:tr>
      <w:tr>
        <w:trPr>
          <w:trHeight w:val="283"/>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Share-based payment</w:t>
            </w:r>
          </w:p>
        </w:tc>
        <w:tc>
          <w:tcPr>
            <w:tcW w:w="4120" w:type="dxa"/>
            <w:vAlign w:val="bottom"/>
          </w:tcPr>
          <w:p>
            <w:pPr>
              <w:jc w:val="right"/>
              <w:spacing w:after="0"/>
              <w:rPr>
                <w:sz w:val="20"/>
                <w:szCs w:val="20"/>
                <w:color w:val="auto"/>
              </w:rPr>
            </w:pPr>
            <w:r>
              <w:rPr>
                <w:rFonts w:ascii="Arial" w:cs="Arial" w:eastAsia="Arial" w:hAnsi="Arial"/>
                <w:sz w:val="18"/>
                <w:szCs w:val="18"/>
                <w:color w:val="auto"/>
              </w:rPr>
              <w:t>41,832</w:t>
            </w:r>
          </w:p>
        </w:tc>
      </w:tr>
      <w:tr>
        <w:trPr>
          <w:trHeight w:val="284"/>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Share subscription payment from subsidiary companies</w:t>
            </w:r>
          </w:p>
        </w:tc>
        <w:tc>
          <w:tcPr>
            <w:tcW w:w="4120" w:type="dxa"/>
            <w:vAlign w:val="bottom"/>
          </w:tcPr>
          <w:p>
            <w:pPr>
              <w:jc w:val="right"/>
              <w:spacing w:after="0"/>
              <w:rPr>
                <w:sz w:val="20"/>
                <w:szCs w:val="20"/>
                <w:color w:val="auto"/>
              </w:rPr>
            </w:pPr>
            <w:r>
              <w:rPr>
                <w:rFonts w:ascii="Arial" w:cs="Arial" w:eastAsia="Arial" w:hAnsi="Arial"/>
                <w:sz w:val="18"/>
                <w:szCs w:val="18"/>
                <w:color w:val="auto"/>
              </w:rPr>
              <w:t>(137,960)</w:t>
            </w:r>
          </w:p>
        </w:tc>
      </w:tr>
      <w:tr>
        <w:trPr>
          <w:trHeight w:val="37"/>
        </w:trPr>
        <w:tc>
          <w:tcPr>
            <w:tcW w:w="300" w:type="dxa"/>
            <w:vAlign w:val="bottom"/>
          </w:tcPr>
          <w:p>
            <w:pPr>
              <w:spacing w:after="0"/>
              <w:rPr>
                <w:sz w:val="3"/>
                <w:szCs w:val="3"/>
                <w:color w:val="auto"/>
              </w:rPr>
            </w:pPr>
          </w:p>
        </w:tc>
        <w:tc>
          <w:tcPr>
            <w:tcW w:w="642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248"/>
        </w:trPr>
        <w:tc>
          <w:tcPr>
            <w:tcW w:w="300" w:type="dxa"/>
            <w:vAlign w:val="bottom"/>
          </w:tcPr>
          <w:p>
            <w:pPr>
              <w:spacing w:after="0"/>
              <w:rPr>
                <w:sz w:val="21"/>
                <w:szCs w:val="21"/>
                <w:color w:val="auto"/>
              </w:rPr>
            </w:pPr>
          </w:p>
        </w:tc>
        <w:tc>
          <w:tcPr>
            <w:tcW w:w="6420" w:type="dxa"/>
            <w:vAlign w:val="bottom"/>
          </w:tcPr>
          <w:p>
            <w:pPr>
              <w:ind w:left="60"/>
              <w:spacing w:after="0"/>
              <w:rPr>
                <w:sz w:val="20"/>
                <w:szCs w:val="20"/>
                <w:color w:val="auto"/>
              </w:rPr>
            </w:pPr>
            <w:r>
              <w:rPr>
                <w:rFonts w:ascii="Arial" w:cs="Arial" w:eastAsia="Arial" w:hAnsi="Arial"/>
                <w:sz w:val="18"/>
                <w:szCs w:val="18"/>
                <w:b w:val="1"/>
                <w:bCs w:val="1"/>
                <w:color w:val="auto"/>
              </w:rPr>
              <w:t>At 31 December 2023</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7,149,445</w:t>
            </w:r>
          </w:p>
        </w:tc>
      </w:tr>
      <w:tr>
        <w:trPr>
          <w:trHeight w:val="527"/>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Additions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78,199</w:t>
            </w:r>
          </w:p>
        </w:tc>
      </w:tr>
      <w:tr>
        <w:trPr>
          <w:trHeight w:val="283"/>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Redemptions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(127,375)</w:t>
            </w:r>
          </w:p>
        </w:tc>
      </w:tr>
      <w:tr>
        <w:trPr>
          <w:trHeight w:val="284"/>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Share-based payments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44,295</w:t>
            </w:r>
          </w:p>
        </w:tc>
      </w:tr>
      <w:tr>
        <w:trPr>
          <w:trHeight w:val="283"/>
        </w:trPr>
        <w:tc>
          <w:tcPr>
            <w:tcW w:w="300" w:type="dxa"/>
            <w:vAlign w:val="bottom"/>
          </w:tcPr>
          <w:p>
            <w:pPr>
              <w:spacing w:after="0"/>
              <w:rPr>
                <w:sz w:val="24"/>
                <w:szCs w:val="24"/>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Share subscription payment from subsidiary companies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(19,563)</w:t>
            </w:r>
          </w:p>
        </w:tc>
      </w:tr>
      <w:tr>
        <w:trPr>
          <w:trHeight w:val="29"/>
        </w:trPr>
        <w:tc>
          <w:tcPr>
            <w:tcW w:w="30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48"/>
        </w:trPr>
        <w:tc>
          <w:tcPr>
            <w:tcW w:w="300" w:type="dxa"/>
            <w:vAlign w:val="bottom"/>
          </w:tcPr>
          <w:p>
            <w:pPr>
              <w:spacing w:after="0"/>
              <w:rPr>
                <w:sz w:val="21"/>
                <w:szCs w:val="21"/>
                <w:color w:val="auto"/>
              </w:rPr>
            </w:pPr>
          </w:p>
        </w:tc>
        <w:tc>
          <w:tcPr>
            <w:tcW w:w="6420" w:type="dxa"/>
            <w:vAlign w:val="bottom"/>
          </w:tcPr>
          <w:p>
            <w:pPr>
              <w:ind w:left="60"/>
              <w:spacing w:after="0"/>
              <w:rPr>
                <w:sz w:val="20"/>
                <w:szCs w:val="20"/>
                <w:color w:val="auto"/>
              </w:rPr>
            </w:pPr>
            <w:r>
              <w:rPr>
                <w:rFonts w:ascii="Arial" w:cs="Arial" w:eastAsia="Arial" w:hAnsi="Arial"/>
                <w:sz w:val="18"/>
                <w:szCs w:val="18"/>
                <w:b w:val="1"/>
                <w:bCs w:val="1"/>
                <w:color w:val="auto"/>
              </w:rPr>
              <w:t>At 5 March 2025</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7,125,001</w:t>
            </w:r>
          </w:p>
        </w:tc>
      </w:tr>
      <w:tr>
        <w:trPr>
          <w:trHeight w:val="29"/>
        </w:trPr>
        <w:tc>
          <w:tcPr>
            <w:tcW w:w="30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0"/>
        </w:trPr>
        <w:tc>
          <w:tcPr>
            <w:tcW w:w="300" w:type="dxa"/>
            <w:vAlign w:val="bottom"/>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On 27 August 2024, ICON plc transferred its interest in ICON Clinical International Limited, with a carrying value of $ 127.4 million, to ICON Holdings Unlimited Company in exchange for a loan note amounting to $127.4 million. The transaction resulted in the Company recording no gain or loss on disposal of the investment.</w:t>
      </w:r>
    </w:p>
    <w:p>
      <w:pPr>
        <w:spacing w:after="0" w:line="198"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On 1 July 2023, ICON plc transferred the trade of its Italian branch to ICON Holdings Clinical Research International Limited in exchange for the allotment and issuance of 9,214 ordinary shares of €1.00 each in the share capital of ICON Holdings Clinical Research International Limited, issued at a premium of €2,086.85 per share. The disposal of the trade has resulted in a gain of $13.5 million being recorded in Other Reserve in the Company Statement of Changes in Equity.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1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 subsidiaries </w:t>
      </w:r>
      <w:r>
        <w:rPr>
          <w:rFonts w:ascii="Arial" w:cs="Arial" w:eastAsia="Arial" w:hAnsi="Arial"/>
          <w:sz w:val="18"/>
          <w:szCs w:val="18"/>
          <w:i w:val="1"/>
          <w:iCs w:val="1"/>
          <w:color w:val="auto"/>
        </w:rPr>
        <w:t>(continued)</w:t>
      </w:r>
    </w:p>
    <w:p>
      <w:pPr>
        <w:spacing w:after="0" w:line="252"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On 26 July 2023, ICON plc subsequently contributed its interest in ICON Holdings Clinical Research International Limited to ICON Holdings Unlimited Company. The transaction resulted in ICON Holdings Clinical Research International Limited moving from a direct to indirect subsidiary and had no impact on the Company’s financial assets.</w:t>
      </w:r>
    </w:p>
    <w:p>
      <w:pPr>
        <w:spacing w:after="0" w:line="198"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On 1 October 2023, ICON plc transferred its interest in ICON Japan, with a carrying value of $3.1 million, to PRA Health Sciences KK in exchange for a loan note amounting to $10.9 million. The transaction resulted in the Company recording a gain on disposal of $7.8 million in Other Reserve in the Company Statement of Changes in Equity.</w:t>
      </w:r>
    </w:p>
    <w:p>
      <w:pPr>
        <w:spacing w:after="0" w:line="19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306" w:lineRule="exact"/>
        <w:rPr>
          <w:sz w:val="20"/>
          <w:szCs w:val="20"/>
          <w:color w:val="auto"/>
        </w:rPr>
      </w:pPr>
    </w:p>
    <w:tbl>
      <w:tblPr>
        <w:tblLayout w:type="fixed"/>
        <w:tblInd w:w="360" w:type="dxa"/>
        <w:tblCellMar>
          <w:top w:w="0" w:type="dxa"/>
          <w:left w:w="0" w:type="dxa"/>
          <w:bottom w:w="0" w:type="dxa"/>
          <w:right w:w="0" w:type="dxa"/>
        </w:tblCellMar>
      </w:tblPr>
      <w:tr>
        <w:trPr>
          <w:trHeight w:val="247"/>
        </w:trPr>
        <w:tc>
          <w:tcPr>
            <w:tcW w:w="5640" w:type="dxa"/>
            <w:vAlign w:val="bottom"/>
          </w:tcPr>
          <w:p>
            <w:pPr>
              <w:spacing w:after="0"/>
              <w:rPr>
                <w:sz w:val="21"/>
                <w:szCs w:val="21"/>
                <w:color w:val="auto"/>
              </w:rPr>
            </w:pPr>
          </w:p>
        </w:tc>
        <w:tc>
          <w:tcPr>
            <w:tcW w:w="2800" w:type="dxa"/>
            <w:vAlign w:val="bottom"/>
          </w:tcPr>
          <w:p>
            <w:pPr>
              <w:jc w:val="right"/>
              <w:ind w:right="430"/>
              <w:spacing w:after="0"/>
              <w:rPr>
                <w:sz w:val="20"/>
                <w:szCs w:val="20"/>
                <w:color w:val="auto"/>
              </w:rPr>
            </w:pPr>
            <w:r>
              <w:rPr>
                <w:rFonts w:ascii="Arial" w:cs="Arial" w:eastAsia="Arial" w:hAnsi="Arial"/>
                <w:sz w:val="18"/>
                <w:szCs w:val="18"/>
                <w:b w:val="1"/>
                <w:bCs w:val="1"/>
                <w:color w:val="auto"/>
              </w:rPr>
              <w:t>As at</w:t>
            </w:r>
          </w:p>
        </w:tc>
        <w:tc>
          <w:tcPr>
            <w:tcW w:w="2060" w:type="dxa"/>
            <w:vAlign w:val="bottom"/>
          </w:tcPr>
          <w:p>
            <w:pPr>
              <w:jc w:val="right"/>
              <w:spacing w:after="0"/>
              <w:rPr>
                <w:sz w:val="20"/>
                <w:szCs w:val="20"/>
                <w:color w:val="auto"/>
              </w:rPr>
            </w:pPr>
            <w:r>
              <w:rPr>
                <w:rFonts w:ascii="Arial" w:cs="Arial" w:eastAsia="Arial" w:hAnsi="Arial"/>
                <w:sz w:val="18"/>
                <w:szCs w:val="18"/>
                <w:color w:val="auto"/>
              </w:rPr>
              <w:t>As at</w:t>
            </w:r>
          </w:p>
        </w:tc>
      </w:tr>
      <w:tr>
        <w:trPr>
          <w:trHeight w:val="283"/>
        </w:trPr>
        <w:tc>
          <w:tcPr>
            <w:tcW w:w="5640" w:type="dxa"/>
            <w:vAlign w:val="bottom"/>
          </w:tcPr>
          <w:p>
            <w:pPr>
              <w:spacing w:after="0"/>
              <w:rPr>
                <w:sz w:val="24"/>
                <w:szCs w:val="24"/>
                <w:color w:val="auto"/>
              </w:rPr>
            </w:pPr>
          </w:p>
        </w:tc>
        <w:tc>
          <w:tcPr>
            <w:tcW w:w="2800" w:type="dxa"/>
            <w:vAlign w:val="bottom"/>
          </w:tcPr>
          <w:p>
            <w:pPr>
              <w:jc w:val="right"/>
              <w:ind w:right="430"/>
              <w:spacing w:after="0"/>
              <w:rPr>
                <w:sz w:val="20"/>
                <w:szCs w:val="20"/>
                <w:color w:val="auto"/>
              </w:rPr>
            </w:pPr>
            <w:r>
              <w:rPr>
                <w:rFonts w:ascii="Arial" w:cs="Arial" w:eastAsia="Arial" w:hAnsi="Arial"/>
                <w:sz w:val="18"/>
                <w:szCs w:val="18"/>
                <w:b w:val="1"/>
                <w:bCs w:val="1"/>
                <w:color w:val="auto"/>
              </w:rPr>
              <w:t>5 March 2025</w:t>
            </w:r>
          </w:p>
        </w:tc>
        <w:tc>
          <w:tcPr>
            <w:tcW w:w="206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83"/>
        </w:trPr>
        <w:tc>
          <w:tcPr>
            <w:tcW w:w="5640" w:type="dxa"/>
            <w:vAlign w:val="bottom"/>
          </w:tcPr>
          <w:p>
            <w:pPr>
              <w:spacing w:after="0"/>
              <w:rPr>
                <w:sz w:val="24"/>
                <w:szCs w:val="24"/>
                <w:color w:val="auto"/>
              </w:rPr>
            </w:pPr>
          </w:p>
        </w:tc>
        <w:tc>
          <w:tcPr>
            <w:tcW w:w="280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20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53"/>
        </w:trPr>
        <w:tc>
          <w:tcPr>
            <w:tcW w:w="5640" w:type="dxa"/>
            <w:vAlign w:val="bottom"/>
          </w:tcPr>
          <w:p>
            <w:pPr>
              <w:spacing w:after="0"/>
              <w:rPr>
                <w:sz w:val="20"/>
                <w:szCs w:val="20"/>
                <w:color w:val="auto"/>
              </w:rPr>
            </w:pPr>
            <w:r>
              <w:rPr>
                <w:rFonts w:ascii="Arial" w:cs="Arial" w:eastAsia="Arial" w:hAnsi="Arial"/>
                <w:sz w:val="18"/>
                <w:szCs w:val="18"/>
                <w:color w:val="auto"/>
              </w:rPr>
              <w:t>Prepayments</w:t>
            </w:r>
          </w:p>
        </w:tc>
        <w:tc>
          <w:tcPr>
            <w:tcW w:w="2800" w:type="dxa"/>
            <w:vAlign w:val="bottom"/>
          </w:tcPr>
          <w:p>
            <w:pPr>
              <w:jc w:val="right"/>
              <w:ind w:right="430"/>
              <w:spacing w:after="0"/>
              <w:rPr>
                <w:sz w:val="20"/>
                <w:szCs w:val="20"/>
                <w:color w:val="auto"/>
              </w:rPr>
            </w:pPr>
            <w:r>
              <w:rPr>
                <w:rFonts w:ascii="Arial" w:cs="Arial" w:eastAsia="Arial" w:hAnsi="Arial"/>
                <w:sz w:val="18"/>
                <w:szCs w:val="18"/>
                <w:b w:val="1"/>
                <w:bCs w:val="1"/>
                <w:color w:val="auto"/>
              </w:rPr>
              <w:t>16</w:t>
            </w:r>
          </w:p>
        </w:tc>
        <w:tc>
          <w:tcPr>
            <w:tcW w:w="206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84"/>
        </w:trPr>
        <w:tc>
          <w:tcPr>
            <w:tcW w:w="5640" w:type="dxa"/>
            <w:vAlign w:val="bottom"/>
          </w:tcPr>
          <w:p>
            <w:pPr>
              <w:spacing w:after="0"/>
              <w:rPr>
                <w:sz w:val="20"/>
                <w:szCs w:val="20"/>
                <w:color w:val="auto"/>
              </w:rPr>
            </w:pPr>
            <w:r>
              <w:rPr>
                <w:rFonts w:ascii="Arial" w:cs="Arial" w:eastAsia="Arial" w:hAnsi="Arial"/>
                <w:sz w:val="18"/>
                <w:szCs w:val="18"/>
                <w:color w:val="auto"/>
              </w:rPr>
              <w:t>Other receivables</w:t>
            </w:r>
          </w:p>
        </w:tc>
        <w:tc>
          <w:tcPr>
            <w:tcW w:w="2800" w:type="dxa"/>
            <w:vAlign w:val="bottom"/>
          </w:tcPr>
          <w:p>
            <w:pPr>
              <w:jc w:val="right"/>
              <w:ind w:right="430"/>
              <w:spacing w:after="0"/>
              <w:rPr>
                <w:sz w:val="20"/>
                <w:szCs w:val="20"/>
                <w:color w:val="auto"/>
              </w:rPr>
            </w:pPr>
            <w:r>
              <w:rPr>
                <w:rFonts w:ascii="Arial" w:cs="Arial" w:eastAsia="Arial" w:hAnsi="Arial"/>
                <w:sz w:val="18"/>
                <w:szCs w:val="18"/>
                <w:b w:val="1"/>
                <w:bCs w:val="1"/>
                <w:color w:val="auto"/>
              </w:rPr>
              <w:t>641</w:t>
            </w:r>
          </w:p>
        </w:tc>
        <w:tc>
          <w:tcPr>
            <w:tcW w:w="206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98"/>
        </w:trPr>
        <w:tc>
          <w:tcPr>
            <w:tcW w:w="564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48"/>
        </w:trPr>
        <w:tc>
          <w:tcPr>
            <w:tcW w:w="5640" w:type="dxa"/>
            <w:vAlign w:val="bottom"/>
          </w:tcPr>
          <w:p>
            <w:pPr>
              <w:spacing w:after="0"/>
              <w:rPr>
                <w:sz w:val="21"/>
                <w:szCs w:val="21"/>
                <w:color w:val="auto"/>
              </w:rPr>
            </w:pPr>
          </w:p>
        </w:tc>
        <w:tc>
          <w:tcPr>
            <w:tcW w:w="2800" w:type="dxa"/>
            <w:vAlign w:val="bottom"/>
          </w:tcPr>
          <w:p>
            <w:pPr>
              <w:jc w:val="right"/>
              <w:ind w:right="430"/>
              <w:spacing w:after="0"/>
              <w:rPr>
                <w:sz w:val="20"/>
                <w:szCs w:val="20"/>
                <w:color w:val="auto"/>
              </w:rPr>
            </w:pPr>
            <w:r>
              <w:rPr>
                <w:rFonts w:ascii="Arial" w:cs="Arial" w:eastAsia="Arial" w:hAnsi="Arial"/>
                <w:sz w:val="18"/>
                <w:szCs w:val="18"/>
                <w:b w:val="1"/>
                <w:bCs w:val="1"/>
                <w:color w:val="auto"/>
              </w:rPr>
              <w:t>657</w:t>
            </w:r>
          </w:p>
        </w:tc>
        <w:tc>
          <w:tcPr>
            <w:tcW w:w="206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9"/>
        </w:trPr>
        <w:tc>
          <w:tcPr>
            <w:tcW w:w="564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Amounts due from / to subsidiary undertakings</w:t>
      </w:r>
    </w:p>
    <w:p>
      <w:pPr>
        <w:spacing w:after="0" w:line="306" w:lineRule="exact"/>
        <w:rPr>
          <w:sz w:val="20"/>
          <w:szCs w:val="20"/>
          <w:color w:val="auto"/>
        </w:rPr>
      </w:pPr>
    </w:p>
    <w:tbl>
      <w:tblPr>
        <w:tblLayout w:type="fixed"/>
        <w:tblInd w:w="280" w:type="dxa"/>
        <w:tblCellMar>
          <w:top w:w="0" w:type="dxa"/>
          <w:left w:w="0" w:type="dxa"/>
          <w:bottom w:w="0" w:type="dxa"/>
          <w:right w:w="0" w:type="dxa"/>
        </w:tblCellMar>
      </w:tblPr>
      <w:tr>
        <w:trPr>
          <w:trHeight w:val="247"/>
        </w:trPr>
        <w:tc>
          <w:tcPr>
            <w:tcW w:w="5180" w:type="dxa"/>
            <w:vAlign w:val="bottom"/>
          </w:tcPr>
          <w:p>
            <w:pPr>
              <w:spacing w:after="0"/>
              <w:rPr>
                <w:sz w:val="21"/>
                <w:szCs w:val="21"/>
                <w:color w:val="auto"/>
              </w:rPr>
            </w:pPr>
          </w:p>
        </w:tc>
        <w:tc>
          <w:tcPr>
            <w:tcW w:w="3400" w:type="dxa"/>
            <w:vAlign w:val="bottom"/>
          </w:tcPr>
          <w:p>
            <w:pPr>
              <w:jc w:val="right"/>
              <w:ind w:right="450"/>
              <w:spacing w:after="0"/>
              <w:rPr>
                <w:sz w:val="20"/>
                <w:szCs w:val="20"/>
                <w:color w:val="auto"/>
              </w:rPr>
            </w:pPr>
            <w:r>
              <w:rPr>
                <w:rFonts w:ascii="Arial" w:cs="Arial" w:eastAsia="Arial" w:hAnsi="Arial"/>
                <w:sz w:val="18"/>
                <w:szCs w:val="18"/>
                <w:b w:val="1"/>
                <w:bCs w:val="1"/>
                <w:color w:val="auto"/>
              </w:rPr>
              <w:t>As at</w:t>
            </w:r>
          </w:p>
        </w:tc>
        <w:tc>
          <w:tcPr>
            <w:tcW w:w="2020" w:type="dxa"/>
            <w:vAlign w:val="bottom"/>
          </w:tcPr>
          <w:p>
            <w:pPr>
              <w:jc w:val="right"/>
              <w:spacing w:after="0"/>
              <w:rPr>
                <w:sz w:val="20"/>
                <w:szCs w:val="20"/>
                <w:color w:val="auto"/>
              </w:rPr>
            </w:pPr>
            <w:r>
              <w:rPr>
                <w:rFonts w:ascii="Arial" w:cs="Arial" w:eastAsia="Arial" w:hAnsi="Arial"/>
                <w:sz w:val="18"/>
                <w:szCs w:val="18"/>
                <w:color w:val="auto"/>
              </w:rPr>
              <w:t>As at</w:t>
            </w:r>
          </w:p>
        </w:tc>
      </w:tr>
      <w:tr>
        <w:trPr>
          <w:trHeight w:val="284"/>
        </w:trPr>
        <w:tc>
          <w:tcPr>
            <w:tcW w:w="5180" w:type="dxa"/>
            <w:vAlign w:val="bottom"/>
          </w:tcPr>
          <w:p>
            <w:pPr>
              <w:spacing w:after="0"/>
              <w:rPr>
                <w:sz w:val="24"/>
                <w:szCs w:val="24"/>
                <w:color w:val="auto"/>
              </w:rPr>
            </w:pPr>
          </w:p>
        </w:tc>
        <w:tc>
          <w:tcPr>
            <w:tcW w:w="3400" w:type="dxa"/>
            <w:vAlign w:val="bottom"/>
          </w:tcPr>
          <w:p>
            <w:pPr>
              <w:jc w:val="right"/>
              <w:ind w:right="450"/>
              <w:spacing w:after="0"/>
              <w:rPr>
                <w:sz w:val="20"/>
                <w:szCs w:val="20"/>
                <w:color w:val="auto"/>
              </w:rPr>
            </w:pPr>
            <w:r>
              <w:rPr>
                <w:rFonts w:ascii="Arial" w:cs="Arial" w:eastAsia="Arial" w:hAnsi="Arial"/>
                <w:sz w:val="18"/>
                <w:szCs w:val="18"/>
                <w:b w:val="1"/>
                <w:bCs w:val="1"/>
                <w:color w:val="auto"/>
              </w:rPr>
              <w:t>5 March 2025</w:t>
            </w:r>
          </w:p>
        </w:tc>
        <w:tc>
          <w:tcPr>
            <w:tcW w:w="202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83"/>
        </w:trPr>
        <w:tc>
          <w:tcPr>
            <w:tcW w:w="5180" w:type="dxa"/>
            <w:vAlign w:val="bottom"/>
          </w:tcPr>
          <w:p>
            <w:pPr>
              <w:spacing w:after="0"/>
              <w:rPr>
                <w:sz w:val="24"/>
                <w:szCs w:val="24"/>
                <w:color w:val="auto"/>
              </w:rPr>
            </w:pPr>
          </w:p>
        </w:tc>
        <w:tc>
          <w:tcPr>
            <w:tcW w:w="3400" w:type="dxa"/>
            <w:vAlign w:val="bottom"/>
          </w:tcPr>
          <w:p>
            <w:pPr>
              <w:jc w:val="right"/>
              <w:ind w:right="450"/>
              <w:spacing w:after="0"/>
              <w:rPr>
                <w:sz w:val="20"/>
                <w:szCs w:val="20"/>
                <w:color w:val="auto"/>
              </w:rPr>
            </w:pPr>
            <w:r>
              <w:rPr>
                <w:rFonts w:ascii="Arial" w:cs="Arial" w:eastAsia="Arial" w:hAnsi="Arial"/>
                <w:sz w:val="18"/>
                <w:szCs w:val="18"/>
                <w:b w:val="1"/>
                <w:bCs w:val="1"/>
                <w:color w:val="auto"/>
              </w:rPr>
              <w:t>$’000</w:t>
            </w:r>
          </w:p>
        </w:tc>
        <w:tc>
          <w:tcPr>
            <w:tcW w:w="20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53"/>
        </w:trPr>
        <w:tc>
          <w:tcPr>
            <w:tcW w:w="5180" w:type="dxa"/>
            <w:vAlign w:val="bottom"/>
          </w:tcPr>
          <w:p>
            <w:pPr>
              <w:ind w:left="60"/>
              <w:spacing w:after="0"/>
              <w:rPr>
                <w:sz w:val="20"/>
                <w:szCs w:val="20"/>
                <w:color w:val="auto"/>
              </w:rPr>
            </w:pPr>
            <w:r>
              <w:rPr>
                <w:rFonts w:ascii="Arial" w:cs="Arial" w:eastAsia="Arial" w:hAnsi="Arial"/>
                <w:sz w:val="18"/>
                <w:szCs w:val="18"/>
                <w:color w:val="auto"/>
              </w:rPr>
              <w:t>Amounts due from subsidiary undertakings</w:t>
            </w:r>
          </w:p>
        </w:tc>
        <w:tc>
          <w:tcPr>
            <w:tcW w:w="3400" w:type="dxa"/>
            <w:vAlign w:val="bottom"/>
          </w:tcPr>
          <w:p>
            <w:pPr>
              <w:jc w:val="right"/>
              <w:ind w:right="450"/>
              <w:spacing w:after="0"/>
              <w:rPr>
                <w:sz w:val="20"/>
                <w:szCs w:val="20"/>
                <w:color w:val="auto"/>
              </w:rPr>
            </w:pPr>
            <w:r>
              <w:rPr>
                <w:rFonts w:ascii="Arial" w:cs="Arial" w:eastAsia="Arial" w:hAnsi="Arial"/>
                <w:sz w:val="18"/>
                <w:szCs w:val="18"/>
                <w:b w:val="1"/>
                <w:bCs w:val="1"/>
                <w:color w:val="auto"/>
              </w:rPr>
              <w:t>231,912</w:t>
            </w:r>
          </w:p>
        </w:tc>
        <w:tc>
          <w:tcPr>
            <w:tcW w:w="2020" w:type="dxa"/>
            <w:vAlign w:val="bottom"/>
          </w:tcPr>
          <w:p>
            <w:pPr>
              <w:jc w:val="right"/>
              <w:spacing w:after="0"/>
              <w:rPr>
                <w:sz w:val="20"/>
                <w:szCs w:val="20"/>
                <w:color w:val="auto"/>
              </w:rPr>
            </w:pPr>
            <w:r>
              <w:rPr>
                <w:rFonts w:ascii="Arial" w:cs="Arial" w:eastAsia="Arial" w:hAnsi="Arial"/>
                <w:sz w:val="18"/>
                <w:szCs w:val="18"/>
                <w:color w:val="auto"/>
              </w:rPr>
              <w:t>191,711</w:t>
            </w:r>
          </w:p>
        </w:tc>
      </w:tr>
      <w:tr>
        <w:trPr>
          <w:trHeight w:val="29"/>
        </w:trPr>
        <w:tc>
          <w:tcPr>
            <w:tcW w:w="5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r>
      <w:tr>
        <w:trPr>
          <w:trHeight w:val="248"/>
        </w:trPr>
        <w:tc>
          <w:tcPr>
            <w:tcW w:w="5180" w:type="dxa"/>
            <w:vAlign w:val="bottom"/>
          </w:tcPr>
          <w:p>
            <w:pPr>
              <w:ind w:left="60"/>
              <w:spacing w:after="0"/>
              <w:rPr>
                <w:sz w:val="20"/>
                <w:szCs w:val="20"/>
                <w:color w:val="auto"/>
              </w:rPr>
            </w:pPr>
            <w:r>
              <w:rPr>
                <w:rFonts w:ascii="Arial" w:cs="Arial" w:eastAsia="Arial" w:hAnsi="Arial"/>
                <w:sz w:val="18"/>
                <w:szCs w:val="18"/>
                <w:color w:val="auto"/>
              </w:rPr>
              <w:t>Amounts due to subsidiary undertakings</w:t>
            </w:r>
          </w:p>
        </w:tc>
        <w:tc>
          <w:tcPr>
            <w:tcW w:w="3400" w:type="dxa"/>
            <w:vAlign w:val="bottom"/>
          </w:tcPr>
          <w:p>
            <w:pPr>
              <w:jc w:val="right"/>
              <w:ind w:right="410"/>
              <w:spacing w:after="0"/>
              <w:rPr>
                <w:sz w:val="20"/>
                <w:szCs w:val="20"/>
                <w:color w:val="auto"/>
              </w:rPr>
            </w:pPr>
            <w:r>
              <w:rPr>
                <w:rFonts w:ascii="Arial" w:cs="Arial" w:eastAsia="Arial" w:hAnsi="Arial"/>
                <w:sz w:val="18"/>
                <w:szCs w:val="18"/>
                <w:b w:val="1"/>
                <w:bCs w:val="1"/>
                <w:color w:val="auto"/>
              </w:rPr>
              <w:t>(3,744)</w:t>
            </w:r>
          </w:p>
        </w:tc>
        <w:tc>
          <w:tcPr>
            <w:tcW w:w="202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9"/>
        </w:trPr>
        <w:tc>
          <w:tcPr>
            <w:tcW w:w="5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Amounts owed by subsidiary undertakings are non-interest bearing and repayable on demand. All amounts fall due within one year. No allowance for expected credit losses has been recorded as amounts are expected to be fully recovered.</w:t>
      </w:r>
    </w:p>
    <w:p>
      <w:pPr>
        <w:spacing w:after="0" w:line="180"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liabilities</w:t>
      </w: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5680" w:type="dxa"/>
            <w:vAlign w:val="bottom"/>
          </w:tcPr>
          <w:p>
            <w:pPr>
              <w:spacing w:after="0"/>
              <w:rPr>
                <w:sz w:val="21"/>
                <w:szCs w:val="21"/>
                <w:color w:val="auto"/>
              </w:rPr>
            </w:pP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As at</w:t>
            </w:r>
          </w:p>
        </w:tc>
        <w:tc>
          <w:tcPr>
            <w:tcW w:w="2040" w:type="dxa"/>
            <w:vAlign w:val="bottom"/>
          </w:tcPr>
          <w:p>
            <w:pPr>
              <w:jc w:val="right"/>
              <w:spacing w:after="0"/>
              <w:rPr>
                <w:sz w:val="20"/>
                <w:szCs w:val="20"/>
                <w:color w:val="auto"/>
              </w:rPr>
            </w:pPr>
            <w:r>
              <w:rPr>
                <w:rFonts w:ascii="Arial" w:cs="Arial" w:eastAsia="Arial" w:hAnsi="Arial"/>
                <w:sz w:val="18"/>
                <w:szCs w:val="18"/>
                <w:color w:val="auto"/>
              </w:rPr>
              <w:t>As at</w:t>
            </w:r>
          </w:p>
        </w:tc>
      </w:tr>
      <w:tr>
        <w:trPr>
          <w:trHeight w:val="284"/>
        </w:trPr>
        <w:tc>
          <w:tcPr>
            <w:tcW w:w="5680" w:type="dxa"/>
            <w:vAlign w:val="bottom"/>
          </w:tcPr>
          <w:p>
            <w:pPr>
              <w:spacing w:after="0"/>
              <w:rPr>
                <w:sz w:val="24"/>
                <w:szCs w:val="24"/>
                <w:color w:val="auto"/>
              </w:rPr>
            </w:pP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5 March 2025</w:t>
            </w:r>
          </w:p>
        </w:tc>
        <w:tc>
          <w:tcPr>
            <w:tcW w:w="204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83"/>
        </w:trPr>
        <w:tc>
          <w:tcPr>
            <w:tcW w:w="5680" w:type="dxa"/>
            <w:vAlign w:val="bottom"/>
          </w:tcPr>
          <w:p>
            <w:pPr>
              <w:spacing w:after="0"/>
              <w:rPr>
                <w:sz w:val="24"/>
                <w:szCs w:val="24"/>
                <w:color w:val="auto"/>
              </w:rPr>
            </w:pP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20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26"/>
        </w:trPr>
        <w:tc>
          <w:tcPr>
            <w:tcW w:w="5680" w:type="dxa"/>
            <w:vAlign w:val="bottom"/>
          </w:tcPr>
          <w:p>
            <w:pPr>
              <w:spacing w:after="0"/>
              <w:rPr>
                <w:sz w:val="20"/>
                <w:szCs w:val="20"/>
                <w:color w:val="auto"/>
              </w:rPr>
            </w:pPr>
            <w:r>
              <w:rPr>
                <w:rFonts w:ascii="Arial" w:cs="Arial" w:eastAsia="Arial" w:hAnsi="Arial"/>
                <w:sz w:val="18"/>
                <w:szCs w:val="18"/>
                <w:color w:val="auto"/>
              </w:rPr>
              <w:t>Current lease liabilities</w:t>
            </w: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574</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84"/>
        </w:trPr>
        <w:tc>
          <w:tcPr>
            <w:tcW w:w="5680" w:type="dxa"/>
            <w:vAlign w:val="bottom"/>
          </w:tcPr>
          <w:p>
            <w:pPr>
              <w:spacing w:after="0"/>
              <w:rPr>
                <w:sz w:val="20"/>
                <w:szCs w:val="20"/>
                <w:color w:val="auto"/>
              </w:rPr>
            </w:pPr>
            <w:r>
              <w:rPr>
                <w:rFonts w:ascii="Arial" w:cs="Arial" w:eastAsia="Arial" w:hAnsi="Arial"/>
                <w:sz w:val="18"/>
                <w:szCs w:val="18"/>
                <w:color w:val="auto"/>
              </w:rPr>
              <w:t>Accruals and other liabilities</w:t>
            </w: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7,296</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16,501</w:t>
            </w:r>
          </w:p>
        </w:tc>
      </w:tr>
      <w:tr>
        <w:trPr>
          <w:trHeight w:val="271"/>
        </w:trPr>
        <w:tc>
          <w:tcPr>
            <w:tcW w:w="5680" w:type="dxa"/>
            <w:vAlign w:val="bottom"/>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r>
      <w:tr>
        <w:trPr>
          <w:trHeight w:val="249"/>
        </w:trPr>
        <w:tc>
          <w:tcPr>
            <w:tcW w:w="5680" w:type="dxa"/>
            <w:vAlign w:val="bottom"/>
          </w:tcPr>
          <w:p>
            <w:pPr>
              <w:spacing w:after="0"/>
              <w:rPr>
                <w:sz w:val="21"/>
                <w:szCs w:val="21"/>
                <w:color w:val="auto"/>
              </w:rPr>
            </w:pP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rPr>
              <w:t>7,870</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16,517</w:t>
            </w:r>
          </w:p>
        </w:tc>
      </w:tr>
      <w:tr>
        <w:trPr>
          <w:trHeight w:val="28"/>
        </w:trPr>
        <w:tc>
          <w:tcPr>
            <w:tcW w:w="568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
        </w:trPr>
        <w:tc>
          <w:tcPr>
            <w:tcW w:w="568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1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16.   Share capital</w:t>
            </w:r>
          </w:p>
        </w:tc>
        <w:tc>
          <w:tcPr>
            <w:tcW w:w="17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783"/>
        </w:trPr>
        <w:tc>
          <w:tcPr>
            <w:tcW w:w="320" w:type="dxa"/>
            <w:vAlign w:val="bottom"/>
          </w:tcPr>
          <w:p>
            <w:pPr>
              <w:spacing w:after="0"/>
              <w:rPr>
                <w:sz w:val="24"/>
                <w:szCs w:val="24"/>
                <w:color w:val="auto"/>
              </w:rPr>
            </w:pPr>
          </w:p>
        </w:tc>
        <w:tc>
          <w:tcPr>
            <w:tcW w:w="7020" w:type="dxa"/>
            <w:vAlign w:val="bottom"/>
          </w:tcPr>
          <w:p>
            <w:pPr>
              <w:ind w:left="80"/>
              <w:spacing w:after="0"/>
              <w:rPr>
                <w:sz w:val="20"/>
                <w:szCs w:val="20"/>
                <w:color w:val="auto"/>
              </w:rPr>
            </w:pPr>
            <w:r>
              <w:rPr>
                <w:rFonts w:ascii="Arial" w:cs="Arial" w:eastAsia="Arial" w:hAnsi="Arial"/>
                <w:sz w:val="18"/>
                <w:szCs w:val="18"/>
                <w:b w:val="1"/>
                <w:bCs w:val="1"/>
                <w:color w:val="auto"/>
              </w:rPr>
              <w:t>Authorised share capital:</w:t>
            </w:r>
          </w:p>
        </w:tc>
        <w:tc>
          <w:tcPr>
            <w:tcW w:w="34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 of Ordinary Shares</w:t>
            </w:r>
          </w:p>
        </w:tc>
      </w:tr>
      <w:tr>
        <w:trPr>
          <w:trHeight w:val="546"/>
        </w:trPr>
        <w:tc>
          <w:tcPr>
            <w:tcW w:w="320" w:type="dxa"/>
            <w:vAlign w:val="bottom"/>
          </w:tcPr>
          <w:p>
            <w:pPr>
              <w:spacing w:after="0"/>
              <w:rPr>
                <w:sz w:val="24"/>
                <w:szCs w:val="24"/>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Ordinary shares of par value €0.06</w:t>
            </w:r>
          </w:p>
        </w:tc>
        <w:tc>
          <w:tcPr>
            <w:tcW w:w="17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100,000,000</w:t>
            </w:r>
          </w:p>
        </w:tc>
      </w:tr>
      <w:tr>
        <w:trPr>
          <w:trHeight w:val="36"/>
        </w:trPr>
        <w:tc>
          <w:tcPr>
            <w:tcW w:w="320" w:type="dxa"/>
            <w:vAlign w:val="bottom"/>
          </w:tcPr>
          <w:p>
            <w:pPr>
              <w:spacing w:after="0"/>
              <w:rPr>
                <w:sz w:val="3"/>
                <w:szCs w:val="3"/>
                <w:color w:val="auto"/>
              </w:rPr>
            </w:pPr>
          </w:p>
        </w:tc>
        <w:tc>
          <w:tcPr>
            <w:tcW w:w="70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505"/>
        </w:trPr>
        <w:tc>
          <w:tcPr>
            <w:tcW w:w="3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As at</w:t>
            </w:r>
          </w:p>
        </w:tc>
        <w:tc>
          <w:tcPr>
            <w:tcW w:w="1720" w:type="dxa"/>
            <w:vAlign w:val="bottom"/>
          </w:tcPr>
          <w:p>
            <w:pPr>
              <w:jc w:val="right"/>
              <w:spacing w:after="0"/>
              <w:rPr>
                <w:sz w:val="20"/>
                <w:szCs w:val="20"/>
                <w:color w:val="auto"/>
              </w:rPr>
            </w:pPr>
            <w:r>
              <w:rPr>
                <w:rFonts w:ascii="Arial" w:cs="Arial" w:eastAsia="Arial" w:hAnsi="Arial"/>
                <w:sz w:val="18"/>
                <w:szCs w:val="18"/>
                <w:color w:val="auto"/>
              </w:rPr>
              <w:t>As at</w:t>
            </w:r>
          </w:p>
        </w:tc>
      </w:tr>
      <w:tr>
        <w:trPr>
          <w:trHeight w:val="253"/>
        </w:trPr>
        <w:tc>
          <w:tcPr>
            <w:tcW w:w="3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5 March</w:t>
            </w:r>
          </w:p>
        </w:tc>
        <w:tc>
          <w:tcPr>
            <w:tcW w:w="172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47"/>
        </w:trPr>
        <w:tc>
          <w:tcPr>
            <w:tcW w:w="3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172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283"/>
        </w:trPr>
        <w:tc>
          <w:tcPr>
            <w:tcW w:w="3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7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53"/>
        </w:trPr>
        <w:tc>
          <w:tcPr>
            <w:tcW w:w="320" w:type="dxa"/>
            <w:vAlign w:val="bottom"/>
          </w:tcPr>
          <w:p>
            <w:pPr>
              <w:spacing w:after="0"/>
              <w:rPr>
                <w:sz w:val="24"/>
                <w:szCs w:val="24"/>
                <w:color w:val="auto"/>
              </w:rPr>
            </w:pP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Allotted, called up and fully paid</w:t>
            </w: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3"/>
        </w:trPr>
        <w:tc>
          <w:tcPr>
            <w:tcW w:w="320" w:type="dxa"/>
            <w:vAlign w:val="bottom"/>
          </w:tcPr>
          <w:p>
            <w:pPr>
              <w:spacing w:after="0"/>
              <w:rPr>
                <w:sz w:val="24"/>
                <w:szCs w:val="24"/>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80,820,757 (31 December 2023: 82,495,086) ordinary shares of €0.06 each</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6,589</w:t>
            </w:r>
          </w:p>
        </w:tc>
        <w:tc>
          <w:tcPr>
            <w:tcW w:w="1720" w:type="dxa"/>
            <w:vAlign w:val="bottom"/>
          </w:tcPr>
          <w:p>
            <w:pPr>
              <w:jc w:val="right"/>
              <w:spacing w:after="0"/>
              <w:rPr>
                <w:sz w:val="20"/>
                <w:szCs w:val="20"/>
                <w:color w:val="auto"/>
              </w:rPr>
            </w:pPr>
            <w:r>
              <w:rPr>
                <w:rFonts w:ascii="Arial" w:cs="Arial" w:eastAsia="Arial" w:hAnsi="Arial"/>
                <w:sz w:val="18"/>
                <w:szCs w:val="18"/>
                <w:color w:val="auto"/>
              </w:rPr>
              <w:t>6,699</w:t>
            </w:r>
          </w:p>
        </w:tc>
      </w:tr>
      <w:tr>
        <w:trPr>
          <w:trHeight w:val="28"/>
        </w:trPr>
        <w:tc>
          <w:tcPr>
            <w:tcW w:w="320" w:type="dxa"/>
            <w:vAlign w:val="bottom"/>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717"/>
        </w:trPr>
        <w:tc>
          <w:tcPr>
            <w:tcW w:w="3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5 March</w:t>
            </w:r>
          </w:p>
        </w:tc>
        <w:tc>
          <w:tcPr>
            <w:tcW w:w="1720" w:type="dxa"/>
            <w:vAlign w:val="bottom"/>
          </w:tcPr>
          <w:p>
            <w:pPr>
              <w:jc w:val="right"/>
              <w:spacing w:after="0"/>
              <w:rPr>
                <w:sz w:val="20"/>
                <w:szCs w:val="20"/>
                <w:color w:val="auto"/>
              </w:rPr>
            </w:pPr>
            <w:r>
              <w:rPr>
                <w:rFonts w:ascii="Arial" w:cs="Arial" w:eastAsia="Arial" w:hAnsi="Arial"/>
                <w:sz w:val="18"/>
                <w:szCs w:val="18"/>
                <w:color w:val="auto"/>
              </w:rPr>
              <w:t>31 December 2023</w:t>
            </w:r>
          </w:p>
        </w:tc>
      </w:tr>
      <w:tr>
        <w:trPr>
          <w:trHeight w:val="247"/>
        </w:trPr>
        <w:tc>
          <w:tcPr>
            <w:tcW w:w="3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1720" w:type="dxa"/>
            <w:vAlign w:val="bottom"/>
          </w:tcPr>
          <w:p>
            <w:pPr>
              <w:spacing w:after="0"/>
              <w:rPr>
                <w:sz w:val="21"/>
                <w:szCs w:val="21"/>
                <w:color w:val="auto"/>
              </w:rPr>
            </w:pPr>
          </w:p>
        </w:tc>
      </w:tr>
      <w:tr>
        <w:trPr>
          <w:trHeight w:val="283"/>
        </w:trPr>
        <w:tc>
          <w:tcPr>
            <w:tcW w:w="3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7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527"/>
        </w:trPr>
        <w:tc>
          <w:tcPr>
            <w:tcW w:w="320" w:type="dxa"/>
            <w:vAlign w:val="bottom"/>
          </w:tcPr>
          <w:p>
            <w:pPr>
              <w:spacing w:after="0"/>
              <w:rPr>
                <w:sz w:val="24"/>
                <w:szCs w:val="24"/>
                <w:color w:val="auto"/>
              </w:rPr>
            </w:pP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Issued, fully paid share capital</w:t>
            </w: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3"/>
        </w:trPr>
        <w:tc>
          <w:tcPr>
            <w:tcW w:w="320" w:type="dxa"/>
            <w:vAlign w:val="bottom"/>
          </w:tcPr>
          <w:p>
            <w:pPr>
              <w:spacing w:after="0"/>
              <w:rPr>
                <w:sz w:val="24"/>
                <w:szCs w:val="24"/>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At beginning of period / year</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6,699</w:t>
            </w:r>
          </w:p>
        </w:tc>
        <w:tc>
          <w:tcPr>
            <w:tcW w:w="1720" w:type="dxa"/>
            <w:vAlign w:val="bottom"/>
          </w:tcPr>
          <w:p>
            <w:pPr>
              <w:jc w:val="right"/>
              <w:spacing w:after="0"/>
              <w:rPr>
                <w:sz w:val="20"/>
                <w:szCs w:val="20"/>
                <w:color w:val="auto"/>
              </w:rPr>
            </w:pPr>
            <w:r>
              <w:rPr>
                <w:rFonts w:ascii="Arial" w:cs="Arial" w:eastAsia="Arial" w:hAnsi="Arial"/>
                <w:sz w:val="18"/>
                <w:szCs w:val="18"/>
                <w:color w:val="auto"/>
              </w:rPr>
              <w:t>6,649</w:t>
            </w:r>
          </w:p>
        </w:tc>
      </w:tr>
      <w:tr>
        <w:trPr>
          <w:trHeight w:val="283"/>
        </w:trPr>
        <w:tc>
          <w:tcPr>
            <w:tcW w:w="320" w:type="dxa"/>
            <w:vAlign w:val="bottom"/>
          </w:tcPr>
          <w:p>
            <w:pPr>
              <w:spacing w:after="0"/>
              <w:rPr>
                <w:sz w:val="24"/>
                <w:szCs w:val="24"/>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Employee share options exercised</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23</w:t>
            </w: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4"/>
        </w:trPr>
        <w:tc>
          <w:tcPr>
            <w:tcW w:w="320" w:type="dxa"/>
            <w:vAlign w:val="bottom"/>
          </w:tcPr>
          <w:p>
            <w:pPr>
              <w:spacing w:after="0"/>
              <w:rPr>
                <w:sz w:val="24"/>
                <w:szCs w:val="24"/>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Restricted share units / performance share units</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9</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3"/>
        </w:trPr>
        <w:tc>
          <w:tcPr>
            <w:tcW w:w="320" w:type="dxa"/>
            <w:vAlign w:val="bottom"/>
          </w:tcPr>
          <w:p>
            <w:pPr>
              <w:spacing w:after="0"/>
              <w:rPr>
                <w:sz w:val="24"/>
                <w:szCs w:val="24"/>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Repurchase of ordinary shares</w:t>
            </w: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rPr>
              <w:t>(142)</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9"/>
        </w:trPr>
        <w:tc>
          <w:tcPr>
            <w:tcW w:w="320" w:type="dxa"/>
            <w:vAlign w:val="bottom"/>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05"/>
        </w:trPr>
        <w:tc>
          <w:tcPr>
            <w:tcW w:w="320" w:type="dxa"/>
            <w:vAlign w:val="bottom"/>
          </w:tcPr>
          <w:p>
            <w:pPr>
              <w:spacing w:after="0"/>
              <w:rPr>
                <w:sz w:val="24"/>
                <w:szCs w:val="24"/>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At end of period / year</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6,589</w:t>
            </w:r>
          </w:p>
        </w:tc>
        <w:tc>
          <w:tcPr>
            <w:tcW w:w="1720" w:type="dxa"/>
            <w:vAlign w:val="bottom"/>
          </w:tcPr>
          <w:p>
            <w:pPr>
              <w:jc w:val="right"/>
              <w:spacing w:after="0"/>
              <w:rPr>
                <w:sz w:val="20"/>
                <w:szCs w:val="20"/>
                <w:color w:val="auto"/>
              </w:rPr>
            </w:pPr>
            <w:r>
              <w:rPr>
                <w:rFonts w:ascii="Arial" w:cs="Arial" w:eastAsia="Arial" w:hAnsi="Arial"/>
                <w:sz w:val="18"/>
                <w:szCs w:val="18"/>
                <w:color w:val="auto"/>
              </w:rPr>
              <w:t>6,699</w:t>
            </w:r>
          </w:p>
        </w:tc>
      </w:tr>
      <w:tr>
        <w:trPr>
          <w:trHeight w:val="29"/>
        </w:trPr>
        <w:tc>
          <w:tcPr>
            <w:tcW w:w="320" w:type="dxa"/>
            <w:vAlign w:val="bottom"/>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Rights of Ordinary Shares</w:t>
      </w:r>
    </w:p>
    <w:p>
      <w:pPr>
        <w:spacing w:after="0" w:line="250"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issues</w:t>
      </w:r>
    </w:p>
    <w:p>
      <w:pPr>
        <w:spacing w:after="0" w:line="250"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During the period ended 5 March 2025, 347,891 options were exercised by employees for total proceeds of $38.0 million. During the period ended 5 March 2025, 157,479 ordinary shares were issued in respect of certain PSU/RSU’s previously awarded by the Company.</w:t>
      </w:r>
    </w:p>
    <w:p>
      <w:pPr>
        <w:spacing w:after="0" w:line="198"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During the year ended 31 December 2023, 535,705 options were exercised by employees at an average exercise price of $95.12 per share for total proceeds of $51.0 million. During the year ended 31 December 2023, 188,800 ordinary shares were issued in respect of certain RSUs and 47,026 ordinary shares were issued in respect of PSUs previously awarded by the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1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0" w:right="8420" w:hanging="412"/>
        <w:spacing w:after="0" w:line="563" w:lineRule="auto"/>
        <w:tabs>
          <w:tab w:leader="none" w:pos="51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capital </w:t>
      </w:r>
      <w:r>
        <w:rPr>
          <w:rFonts w:ascii="Arial" w:cs="Arial" w:eastAsia="Arial" w:hAnsi="Arial"/>
          <w:sz w:val="17"/>
          <w:szCs w:val="17"/>
          <w:i w:val="1"/>
          <w:iCs w:val="1"/>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Share repurchase programme</w:t>
      </w:r>
    </w:p>
    <w:p>
      <w:pPr>
        <w:spacing w:after="0" w:line="1"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A resolution was passed at the Company’s Annual General Meeting (“AGM”) on 22 July 2016, which authorised the Directors to purchase (buyback) up to 10% of the outstanding shares in the Company. This resolution has been renewed annually thereafter.</w:t>
      </w:r>
    </w:p>
    <w:p>
      <w:pPr>
        <w:spacing w:after="0" w:line="180"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Under the buyback program, during the period ended 5 March 2025, 2,179,699 ordinary shares were redeemed by the Company for total consideration of $500.0 million.</w:t>
      </w:r>
    </w:p>
    <w:p>
      <w:pPr>
        <w:spacing w:after="0" w:line="180" w:lineRule="exact"/>
        <w:rPr>
          <w:sz w:val="20"/>
          <w:szCs w:val="20"/>
          <w:color w:val="auto"/>
        </w:rPr>
      </w:pPr>
    </w:p>
    <w:p>
      <w:pPr>
        <w:jc w:val="both"/>
        <w:ind w:left="400" w:right="20"/>
        <w:spacing w:after="0" w:line="268" w:lineRule="auto"/>
        <w:rPr>
          <w:sz w:val="20"/>
          <w:szCs w:val="20"/>
          <w:color w:val="auto"/>
        </w:rPr>
      </w:pPr>
      <w:r>
        <w:rPr>
          <w:rFonts w:ascii="Arial" w:cs="Arial" w:eastAsia="Arial" w:hAnsi="Arial"/>
          <w:sz w:val="18"/>
          <w:szCs w:val="18"/>
          <w:color w:val="auto"/>
        </w:rPr>
        <w:t>On 18 February 2025, the Company's Board of Directors authorised an additional buyback program of up to $750.0 million of the outstanding ordinary shares of the Company. Along with unutilised amounts under the previous authorisations, this permits the Company to repurchase up to $1 billion worth of ordinary shares.</w:t>
      </w:r>
    </w:p>
    <w:p>
      <w:pPr>
        <w:spacing w:after="0" w:line="198"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All ordinary shares that were redeemed under the buyback program were cancelled in accordance with the Constitution of the Company and the nominal value of these shares transferred to other undenominated capital as required under Irish Company law.</w:t>
      </w:r>
    </w:p>
    <w:p>
      <w:pPr>
        <w:spacing w:after="0" w:line="180"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w:t>
      </w:r>
    </w:p>
    <w:p>
      <w:pPr>
        <w:spacing w:after="0" w:line="212"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3"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Capital and reserves</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Merger reserve</w:t>
      </w:r>
    </w:p>
    <w:p>
      <w:pPr>
        <w:spacing w:after="0" w:line="250"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On 1 July 2021, the Company completed the acquisition of PRA by means of a merger whereby Indigo Merger Sub, Inc., a Delaware corporation and subsidiary of the Company, merged with and into PRA, the parent of the PRA Health Sciences Group. Upon completion of the Merger, pursuant to the terms of the Merger Agreement, PRA became a wholly owned subsidiary of the Company. The transaction resulted in the issuance of 27,372,427 shares to the former stockholders of PRA. The Company issued these shares at the prevailing market price and recognised the premium of $5,656.2 million on issuance of these shares as a merger reserve as required under Irish Company Law.</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0" w:right="8020" w:hanging="412"/>
        <w:spacing w:after="0" w:line="563" w:lineRule="auto"/>
        <w:tabs>
          <w:tab w:leader="none" w:pos="517"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and reserves </w:t>
      </w:r>
      <w:r>
        <w:rPr>
          <w:rFonts w:ascii="Arial" w:cs="Arial" w:eastAsia="Arial" w:hAnsi="Arial"/>
          <w:sz w:val="17"/>
          <w:szCs w:val="17"/>
          <w:i w:val="1"/>
          <w:iCs w:val="1"/>
          <w:color w:val="auto"/>
        </w:rPr>
        <w:t>(continued)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Other undenominated capital</w:t>
      </w:r>
    </w:p>
    <w:p>
      <w:pPr>
        <w:spacing w:after="0" w:line="1"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Other undenominated capital comprises the nominal value of shares repurchased and cancelled by the Company and transferred from share capital to other undenominated capital as required under Irish Company Law. During the period ended 5 March 2025, 2,179,699 ordinary shares were repurchased and cancelled by the Company (2023: nil).</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Share-based payment reserve</w:t>
      </w:r>
    </w:p>
    <w:p>
      <w:pPr>
        <w:spacing w:after="0" w:line="250"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The share-based payment reserve is used to account for share-based payments. Details of options, RSU's and PSU's granted under their respective plans and the terms attaching thereto are provided in note 9 to the financial statements.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reserve</w:t>
      </w:r>
    </w:p>
    <w:p>
      <w:pPr>
        <w:spacing w:after="0" w:line="250"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In 2005 the Group recognised a capital contribution of $6.1 million being the fair value of outstanding ordinary shares transferred to Mr Peter Gray, formerly Vice Chair of the Board of Directors and formerly Chief Executive Officer, by founding Directors, Dr. John Climax and Dr. Ronan Lambe.</w:t>
      </w:r>
    </w:p>
    <w:p>
      <w:pPr>
        <w:spacing w:after="0" w:line="198"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On 1 July 2023, ICON plc transferred the trade of its Italian branch to ICON Holdings Clinical Research International Limited in exchange for the allotment and issuance of 9,214 ordinary shares of €1.00 each in the share capital of ICON Holdings Clinical Research International Limited, issued at a premium of €2,086.85 per share. The disposal of the trade has resulted in a gain of $13.5 million being recorded in Other Reserve in the Company Statement of Changes in Equity.</w:t>
      </w:r>
    </w:p>
    <w:p>
      <w:pPr>
        <w:spacing w:after="0" w:line="203"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On 1 October 2023, ICON plc transferred its interest in ICON Japan, with a carrying value of $3.1 million, to PRA Health Sciences KK in exchange for a loan note of amounting to $10.9 million. The transaction resulted in the Company recording a gain on disposal of $7.8 million in Other Reserve in the Company Statement of Changes in Equity.</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currency reserve</w:t>
      </w:r>
    </w:p>
    <w:p>
      <w:pPr>
        <w:spacing w:after="0" w:line="250"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The currency reserve comprises all foreign exchange differences arising from the translation of the financial statements of foreign currency denominated operations of the Company.</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Retained earnings</w:t>
      </w:r>
    </w:p>
    <w:p>
      <w:pPr>
        <w:spacing w:after="0" w:line="250"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During the period ended 5 March 2025, the Company redeemed a total of 2,179,699 ordinary shares for total consideration of $500.0 million (2023: nil ordinary shares were repurchased by the Company).</w:t>
      </w:r>
    </w:p>
    <w:p>
      <w:pPr>
        <w:spacing w:after="0" w:line="18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52" w:lineRule="exact"/>
        <w:rPr>
          <w:sz w:val="20"/>
          <w:szCs w:val="20"/>
          <w:color w:val="auto"/>
        </w:rPr>
      </w:pPr>
    </w:p>
    <w:p>
      <w:pPr>
        <w:ind w:left="400"/>
        <w:spacing w:after="0" w:line="287" w:lineRule="auto"/>
        <w:rPr>
          <w:sz w:val="20"/>
          <w:szCs w:val="20"/>
          <w:color w:val="auto"/>
        </w:rPr>
      </w:pPr>
      <w:r>
        <w:rPr>
          <w:rFonts w:ascii="Arial" w:cs="Arial" w:eastAsia="Arial" w:hAnsi="Arial"/>
          <w:sz w:val="18"/>
          <w:szCs w:val="18"/>
          <w:color w:val="auto"/>
        </w:rPr>
        <w:t>The Company has availed of the exemption available in FRS 101 from disclosing details of transactions with the related parties within the ICON Group.</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19.  Non-current lease liabilities</w:t>
            </w:r>
          </w:p>
        </w:tc>
        <w:tc>
          <w:tcPr>
            <w:tcW w:w="2440" w:type="dxa"/>
            <w:vAlign w:val="bottom"/>
          </w:tcPr>
          <w:p>
            <w:pPr>
              <w:spacing w:after="0"/>
              <w:rPr>
                <w:sz w:val="21"/>
                <w:szCs w:val="21"/>
                <w:color w:val="auto"/>
              </w:rPr>
            </w:pPr>
          </w:p>
        </w:tc>
      </w:tr>
      <w:tr>
        <w:trPr>
          <w:trHeight w:val="451"/>
        </w:trPr>
        <w:tc>
          <w:tcPr>
            <w:tcW w:w="300" w:type="dxa"/>
            <w:vAlign w:val="bottom"/>
          </w:tcPr>
          <w:p>
            <w:pPr>
              <w:spacing w:after="0"/>
              <w:rPr>
                <w:sz w:val="24"/>
                <w:szCs w:val="24"/>
                <w:color w:val="auto"/>
              </w:rPr>
            </w:pPr>
          </w:p>
        </w:tc>
        <w:tc>
          <w:tcPr>
            <w:tcW w:w="8140" w:type="dxa"/>
            <w:vAlign w:val="bottom"/>
          </w:tcPr>
          <w:p>
            <w:pPr>
              <w:ind w:left="100"/>
              <w:spacing w:after="0"/>
              <w:rPr>
                <w:sz w:val="20"/>
                <w:szCs w:val="20"/>
                <w:color w:val="auto"/>
              </w:rPr>
            </w:pPr>
            <w:r>
              <w:rPr>
                <w:rFonts w:ascii="Arial" w:cs="Arial" w:eastAsia="Arial" w:hAnsi="Arial"/>
                <w:sz w:val="18"/>
                <w:szCs w:val="18"/>
                <w:color w:val="auto"/>
              </w:rPr>
              <w:t>Future minimum lease payments under non-cancelable leases as of 5 March 2025 were as follows:</w:t>
            </w:r>
          </w:p>
        </w:tc>
        <w:tc>
          <w:tcPr>
            <w:tcW w:w="2440" w:type="dxa"/>
            <w:vAlign w:val="bottom"/>
          </w:tcPr>
          <w:p>
            <w:pPr>
              <w:spacing w:after="0"/>
              <w:rPr>
                <w:sz w:val="24"/>
                <w:szCs w:val="24"/>
                <w:color w:val="auto"/>
              </w:rPr>
            </w:pPr>
          </w:p>
        </w:tc>
      </w:tr>
      <w:tr>
        <w:trPr>
          <w:trHeight w:val="521"/>
        </w:trPr>
        <w:tc>
          <w:tcPr>
            <w:tcW w:w="3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Minimum rental payments</w:t>
            </w:r>
          </w:p>
        </w:tc>
      </w:tr>
      <w:tr>
        <w:trPr>
          <w:trHeight w:val="283"/>
        </w:trPr>
        <w:tc>
          <w:tcPr>
            <w:tcW w:w="3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276"/>
        </w:trPr>
        <w:tc>
          <w:tcPr>
            <w:tcW w:w="300" w:type="dxa"/>
            <w:vAlign w:val="bottom"/>
          </w:tcPr>
          <w:p>
            <w:pPr>
              <w:spacing w:after="0"/>
              <w:rPr>
                <w:sz w:val="23"/>
                <w:szCs w:val="23"/>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Due within 1 year</w:t>
            </w:r>
          </w:p>
        </w:tc>
        <w:tc>
          <w:tcPr>
            <w:tcW w:w="244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83"/>
        </w:trPr>
        <w:tc>
          <w:tcPr>
            <w:tcW w:w="300" w:type="dxa"/>
            <w:vAlign w:val="bottom"/>
          </w:tcPr>
          <w:p>
            <w:pPr>
              <w:spacing w:after="0"/>
              <w:rPr>
                <w:sz w:val="24"/>
                <w:szCs w:val="24"/>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Due between 1 and 2 years</w:t>
            </w:r>
          </w:p>
        </w:tc>
        <w:tc>
          <w:tcPr>
            <w:tcW w:w="244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83"/>
        </w:trPr>
        <w:tc>
          <w:tcPr>
            <w:tcW w:w="300" w:type="dxa"/>
            <w:vAlign w:val="bottom"/>
          </w:tcPr>
          <w:p>
            <w:pPr>
              <w:spacing w:after="0"/>
              <w:rPr>
                <w:sz w:val="24"/>
                <w:szCs w:val="24"/>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Due between 2 and 5 years</w:t>
            </w:r>
          </w:p>
        </w:tc>
        <w:tc>
          <w:tcPr>
            <w:tcW w:w="2440" w:type="dxa"/>
            <w:vAlign w:val="bottom"/>
          </w:tcPr>
          <w:p>
            <w:pPr>
              <w:jc w:val="right"/>
              <w:spacing w:after="0"/>
              <w:rPr>
                <w:sz w:val="20"/>
                <w:szCs w:val="20"/>
                <w:color w:val="auto"/>
              </w:rPr>
            </w:pPr>
            <w:r>
              <w:rPr>
                <w:rFonts w:ascii="Arial" w:cs="Arial" w:eastAsia="Arial" w:hAnsi="Arial"/>
                <w:sz w:val="18"/>
                <w:szCs w:val="18"/>
                <w:color w:val="auto"/>
              </w:rPr>
              <w:t>2,456</w:t>
            </w:r>
          </w:p>
        </w:tc>
      </w:tr>
      <w:tr>
        <w:trPr>
          <w:trHeight w:val="284"/>
        </w:trPr>
        <w:tc>
          <w:tcPr>
            <w:tcW w:w="300" w:type="dxa"/>
            <w:vAlign w:val="bottom"/>
          </w:tcPr>
          <w:p>
            <w:pPr>
              <w:spacing w:after="0"/>
              <w:rPr>
                <w:sz w:val="24"/>
                <w:szCs w:val="24"/>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Due after 5 years</w:t>
            </w:r>
          </w:p>
        </w:tc>
        <w:tc>
          <w:tcPr>
            <w:tcW w:w="2440" w:type="dxa"/>
            <w:vAlign w:val="bottom"/>
          </w:tcPr>
          <w:p>
            <w:pPr>
              <w:jc w:val="right"/>
              <w:spacing w:after="0"/>
              <w:rPr>
                <w:sz w:val="20"/>
                <w:szCs w:val="20"/>
                <w:color w:val="auto"/>
              </w:rPr>
            </w:pPr>
            <w:r>
              <w:rPr>
                <w:rFonts w:ascii="Arial" w:cs="Arial" w:eastAsia="Arial" w:hAnsi="Arial"/>
                <w:sz w:val="18"/>
                <w:szCs w:val="18"/>
                <w:color w:val="auto"/>
              </w:rPr>
              <w:t>3,215</w:t>
            </w:r>
          </w:p>
        </w:tc>
      </w:tr>
      <w:tr>
        <w:trPr>
          <w:trHeight w:val="36"/>
        </w:trPr>
        <w:tc>
          <w:tcPr>
            <w:tcW w:w="300" w:type="dxa"/>
            <w:vAlign w:val="bottom"/>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r>
        <w:trPr>
          <w:trHeight w:val="484"/>
        </w:trPr>
        <w:tc>
          <w:tcPr>
            <w:tcW w:w="300" w:type="dxa"/>
            <w:vAlign w:val="bottom"/>
          </w:tcPr>
          <w:p>
            <w:pPr>
              <w:spacing w:after="0"/>
              <w:rPr>
                <w:sz w:val="24"/>
                <w:szCs w:val="24"/>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Total future minimum lease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7,309</w:t>
            </w:r>
          </w:p>
        </w:tc>
      </w:tr>
      <w:tr>
        <w:trPr>
          <w:trHeight w:val="283"/>
        </w:trPr>
        <w:tc>
          <w:tcPr>
            <w:tcW w:w="300" w:type="dxa"/>
            <w:vAlign w:val="bottom"/>
          </w:tcPr>
          <w:p>
            <w:pPr>
              <w:spacing w:after="0"/>
              <w:rPr>
                <w:sz w:val="24"/>
                <w:szCs w:val="24"/>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Lease imputed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36"/>
        </w:trPr>
        <w:tc>
          <w:tcPr>
            <w:tcW w:w="300" w:type="dxa"/>
            <w:vAlign w:val="bottom"/>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r>
        <w:trPr>
          <w:trHeight w:val="241"/>
        </w:trPr>
        <w:tc>
          <w:tcPr>
            <w:tcW w:w="300" w:type="dxa"/>
            <w:vAlign w:val="bottom"/>
          </w:tcPr>
          <w:p>
            <w:pPr>
              <w:spacing w:after="0"/>
              <w:rPr>
                <w:sz w:val="20"/>
                <w:szCs w:val="20"/>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Total</w:t>
            </w:r>
          </w:p>
        </w:tc>
        <w:tc>
          <w:tcPr>
            <w:tcW w:w="2440" w:type="dxa"/>
            <w:vAlign w:val="bottom"/>
          </w:tcPr>
          <w:p>
            <w:pPr>
              <w:jc w:val="right"/>
              <w:spacing w:after="0"/>
              <w:rPr>
                <w:sz w:val="20"/>
                <w:szCs w:val="20"/>
                <w:color w:val="auto"/>
              </w:rPr>
            </w:pPr>
            <w:r>
              <w:rPr>
                <w:rFonts w:ascii="Arial" w:cs="Arial" w:eastAsia="Arial" w:hAnsi="Arial"/>
                <w:sz w:val="18"/>
                <w:szCs w:val="18"/>
                <w:color w:val="auto"/>
              </w:rPr>
              <w:t>6,153</w:t>
            </w:r>
          </w:p>
        </w:tc>
      </w:tr>
      <w:tr>
        <w:trPr>
          <w:trHeight w:val="37"/>
        </w:trPr>
        <w:tc>
          <w:tcPr>
            <w:tcW w:w="300" w:type="dxa"/>
            <w:vAlign w:val="bottom"/>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bl>
    <w:p>
      <w:pPr>
        <w:spacing w:after="0" w:line="31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52"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position.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auto"/>
        </w:rPr>
        <w:t>On 10 February 2025, a shareholder of the Company filed a purported class action litigation against the Company, its Chief Executive Officer and its former Chief Financial Officer in the United States District Court for the Eastern District of New York. The shareholder purports to bring claims on behalf of all purchasers of ordinary shares of the Company during the period 27 July 2023, through 23 October 2024, pursuant to Sections 10(b) and 20(a) of the Securities Exchange Act of 1934, alleging misleading statements regarding the Company’s financial performance and future business prospects. The Company intends to defend the litigation vigorously.</w:t>
      </w:r>
    </w:p>
    <w:p>
      <w:pPr>
        <w:spacing w:after="0" w:line="210"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foreign exchange risk and interest rate risk.</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risk</w:t>
      </w:r>
    </w:p>
    <w:p>
      <w:pPr>
        <w:spacing w:after="0" w:line="250"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Intercompany loans receivable and payable are initially recognised at fair value. These are subsequently measured at amortised cost, less any loss allowance. An expected credit loss assessment was performed in respect of the receivables at 5 March 2025 and 31 December 2023. The identified impairment loss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0" w:right="7920" w:hanging="412"/>
        <w:spacing w:after="0" w:line="532" w:lineRule="auto"/>
        <w:tabs>
          <w:tab w:leader="none" w:pos="517"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Credit risk (continued)</w:t>
      </w:r>
    </w:p>
    <w:p>
      <w:pPr>
        <w:jc w:val="both"/>
        <w:ind w:left="400"/>
        <w:spacing w:after="0" w:line="262" w:lineRule="auto"/>
        <w:rPr>
          <w:sz w:val="20"/>
          <w:szCs w:val="20"/>
          <w:color w:val="auto"/>
        </w:rPr>
      </w:pPr>
      <w:r>
        <w:rPr>
          <w:rFonts w:ascii="Arial" w:cs="Arial" w:eastAsia="Arial" w:hAnsi="Arial"/>
          <w:sz w:val="18"/>
          <w:szCs w:val="18"/>
          <w:color w:val="auto"/>
        </w:rPr>
        <w:t>Credit risk is the risk of financial loss to the Company if a customer or counterparty to a financial instrument fails to meet its contractual obligations. Credit risk in respect of the Company arises on balances due from group companies. As the ICON Group is financially sound and the subsidiary entities that the Company trades with are in a position to make payments as and when they fall due, the Company has assessed the exposure to credit risk as low.</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Liquidity risk</w:t>
      </w:r>
    </w:p>
    <w:p>
      <w:pPr>
        <w:spacing w:after="0" w:line="250"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Company’s liquidity risk arises from the repayment of short-term debt and other obligations as they fall due. The Company minimises liquidity risk by ensuring that sufficient cash balances and committed bank lines of credit are available to meet its obligations as they fall due.</w:t>
      </w:r>
    </w:p>
    <w:p>
      <w:pPr>
        <w:spacing w:after="0" w:line="1" w:lineRule="exact"/>
        <w:rPr>
          <w:sz w:val="20"/>
          <w:szCs w:val="20"/>
          <w:color w:val="auto"/>
        </w:rPr>
      </w:pPr>
    </w:p>
    <w:p>
      <w:pPr>
        <w:jc w:val="both"/>
        <w:ind w:left="400"/>
        <w:spacing w:after="0" w:line="266" w:lineRule="auto"/>
        <w:rPr>
          <w:sz w:val="20"/>
          <w:szCs w:val="20"/>
          <w:color w:val="auto"/>
        </w:rPr>
      </w:pPr>
      <w:r>
        <w:rPr>
          <w:rFonts w:ascii="Arial" w:cs="Arial" w:eastAsia="Arial" w:hAnsi="Arial"/>
          <w:sz w:val="18"/>
          <w:szCs w:val="18"/>
          <w:color w:val="auto"/>
        </w:rPr>
        <w:t>The following table sets out details of the maturity of the Company’s financial liabilities into the relevant maturity groupings based on the remaining period from the financial period end date to the contractual maturity date: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245"/>
        </w:trPr>
        <w:tc>
          <w:tcPr>
            <w:tcW w:w="2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At 5 March 2025:</w:t>
            </w:r>
          </w:p>
        </w:tc>
        <w:tc>
          <w:tcPr>
            <w:tcW w:w="1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69"/>
        </w:trPr>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Under 1 year</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1 to 2 years</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2 to 5 years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More than 5</w:t>
            </w:r>
          </w:p>
        </w:tc>
      </w:tr>
      <w:tr>
        <w:trPr>
          <w:trHeight w:val="247"/>
        </w:trPr>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Cashflows</w:t>
            </w: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84"/>
        </w:trPr>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545"/>
        </w:trPr>
        <w:tc>
          <w:tcPr>
            <w:tcW w:w="100" w:type="dxa"/>
            <w:vAlign w:val="bottom"/>
          </w:tcPr>
          <w:p>
            <w:pPr>
              <w:spacing w:after="0"/>
              <w:rPr>
                <w:sz w:val="24"/>
                <w:szCs w:val="24"/>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87</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100" w:type="dxa"/>
            <w:vAlign w:val="bottom"/>
          </w:tcPr>
          <w:p>
            <w:pPr>
              <w:spacing w:after="0"/>
              <w:rPr>
                <w:sz w:val="24"/>
                <w:szCs w:val="24"/>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Lease liability</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6,153</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7,309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819</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819</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2,456</w:t>
            </w:r>
          </w:p>
        </w:tc>
        <w:tc>
          <w:tcPr>
            <w:tcW w:w="1280" w:type="dxa"/>
            <w:vAlign w:val="bottom"/>
          </w:tcPr>
          <w:p>
            <w:pPr>
              <w:jc w:val="right"/>
              <w:spacing w:after="0"/>
              <w:rPr>
                <w:sz w:val="20"/>
                <w:szCs w:val="20"/>
                <w:color w:val="auto"/>
              </w:rPr>
            </w:pPr>
            <w:r>
              <w:rPr>
                <w:rFonts w:ascii="Arial" w:cs="Arial" w:eastAsia="Arial" w:hAnsi="Arial"/>
                <w:sz w:val="18"/>
                <w:szCs w:val="18"/>
                <w:color w:val="auto"/>
              </w:rPr>
              <w:t>3,215</w:t>
            </w:r>
          </w:p>
        </w:tc>
      </w:tr>
      <w:tr>
        <w:trPr>
          <w:trHeight w:val="261"/>
        </w:trPr>
        <w:tc>
          <w:tcPr>
            <w:tcW w:w="100" w:type="dxa"/>
            <w:vAlign w:val="bottom"/>
          </w:tcPr>
          <w:p>
            <w:pPr>
              <w:spacing w:after="0"/>
              <w:rPr>
                <w:sz w:val="22"/>
                <w:szCs w:val="22"/>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Accruals and other</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7,296</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7,296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7,296</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100" w:type="dxa"/>
            <w:vAlign w:val="bottom"/>
          </w:tcPr>
          <w:p>
            <w:pPr>
              <w:spacing w:after="0"/>
              <w:rPr>
                <w:sz w:val="20"/>
                <w:szCs w:val="20"/>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liabilities</w:t>
            </w:r>
          </w:p>
        </w:tc>
        <w:tc>
          <w:tcPr>
            <w:tcW w:w="1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
        </w:trPr>
        <w:tc>
          <w:tcPr>
            <w:tcW w:w="100" w:type="dxa"/>
            <w:vAlign w:val="bottom"/>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8"/>
        </w:trPr>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13,536</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14,692</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8,202</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819</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2,456</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3,215</w:t>
            </w:r>
          </w:p>
        </w:tc>
      </w:tr>
      <w:tr>
        <w:trPr>
          <w:trHeight w:val="28"/>
        </w:trPr>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545"/>
        </w:trPr>
        <w:tc>
          <w:tcPr>
            <w:tcW w:w="10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At 31 December 2023</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3"/>
        </w:trPr>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Under 1 year</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1 to 2 years</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2 to 5 years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More than 5</w:t>
            </w:r>
          </w:p>
        </w:tc>
      </w:tr>
      <w:tr>
        <w:trPr>
          <w:trHeight w:val="247"/>
        </w:trPr>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Cashflows</w:t>
            </w: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83"/>
        </w:trPr>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545"/>
        </w:trPr>
        <w:tc>
          <w:tcPr>
            <w:tcW w:w="100" w:type="dxa"/>
            <w:vAlign w:val="bottom"/>
          </w:tcPr>
          <w:p>
            <w:pPr>
              <w:spacing w:after="0"/>
              <w:rPr>
                <w:sz w:val="24"/>
                <w:szCs w:val="24"/>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269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269</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00" w:type="dxa"/>
            <w:vAlign w:val="bottom"/>
          </w:tcPr>
          <w:p>
            <w:pPr>
              <w:spacing w:after="0"/>
              <w:rPr>
                <w:sz w:val="24"/>
                <w:szCs w:val="24"/>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Lease liability</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100" w:type="dxa"/>
            <w:vAlign w:val="bottom"/>
          </w:tcPr>
          <w:p>
            <w:pPr>
              <w:spacing w:after="0"/>
              <w:rPr>
                <w:sz w:val="22"/>
                <w:szCs w:val="22"/>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Accruals and other</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16,501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16,501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16,501</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100" w:type="dxa"/>
            <w:vAlign w:val="bottom"/>
          </w:tcPr>
          <w:p>
            <w:pPr>
              <w:spacing w:after="0"/>
              <w:rPr>
                <w:sz w:val="20"/>
                <w:szCs w:val="20"/>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liabilities</w:t>
            </w:r>
          </w:p>
        </w:tc>
        <w:tc>
          <w:tcPr>
            <w:tcW w:w="1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
        </w:trPr>
        <w:tc>
          <w:tcPr>
            <w:tcW w:w="100" w:type="dxa"/>
            <w:vAlign w:val="bottom"/>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9"/>
        </w:trPr>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16,786</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16,786</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16,786</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
        </w:trPr>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1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32"/>
          <w:szCs w:val="32"/>
          <w:color w:val="auto"/>
        </w:rPr>
        <w:t xml:space="preserve">ICON plc </w:t>
      </w:r>
      <w:r>
        <w:rPr>
          <w:rFonts w:ascii="Arial" w:cs="Arial" w:eastAsia="Arial" w:hAnsi="Arial"/>
          <w:sz w:val="17"/>
          <w:szCs w:val="17"/>
          <w:color w:val="auto"/>
        </w:rPr>
        <w:t>(unaudited non-consolidated non-statutory interim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Notes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Forming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i w:val="1"/>
          <w:iCs w:val="1"/>
          <w:color w:val="auto"/>
        </w:rPr>
        <w:t>(continued)</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currency risk</w:t>
      </w:r>
    </w:p>
    <w:p>
      <w:pPr>
        <w:spacing w:after="0" w:line="223"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While the functional currency of the Company is USD, the functional currency of the branches is Euro. As a consequence, the results, when translated into U.S. dollars, could be affected by fluctuations in exchange rates against the U.S. dollar. At 5 March 2025 the Company had $Nil US dollar denominated bank loans (2023: $Nil).</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risk</w:t>
      </w:r>
    </w:p>
    <w:p>
      <w:pPr>
        <w:spacing w:after="0" w:line="223"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Values</w:t>
      </w:r>
    </w:p>
    <w:p>
      <w:pPr>
        <w:spacing w:after="0" w:line="223"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Financial instruments are measured in the Unaudited Interim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w:t>
      </w:r>
    </w:p>
    <w:p>
      <w:pPr>
        <w:spacing w:after="0" w:line="203"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short-term nature of these balances.</w:t>
      </w:r>
    </w:p>
    <w:p>
      <w:pPr>
        <w:spacing w:after="0" w:line="198"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Amounts owed by subsidiary undertakings are non-interest bearing and repayable on demand. All amounts are therefore recorded as due within one year. Fair value is deemed to equal carrying value on this basis.</w:t>
      </w:r>
    </w:p>
    <w:p>
      <w:pPr>
        <w:spacing w:after="0" w:line="180"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8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Group relationships and controlling parties</w:t>
      </w:r>
    </w:p>
    <w:p>
      <w:pPr>
        <w:spacing w:after="0" w:line="266"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 xml:space="preserve">The Company is a public limited company incorporated in the Republic of Ireland. The Company’s ordinary shares are traded on the NASDAQ market. The Company prepares annual consolidated financial statements for itself and its subsidiary undertakings. These consolidated financial statements may be obtained from the Company’s website </w:t>
      </w:r>
      <w:r>
        <w:rPr>
          <w:rFonts w:ascii="Arial" w:cs="Arial" w:eastAsia="Arial" w:hAnsi="Arial"/>
          <w:sz w:val="18"/>
          <w:szCs w:val="18"/>
          <w:u w:val="single" w:color="auto"/>
          <w:color w:val="0000FF"/>
        </w:rPr>
        <w:t>www.iconplc.com</w:t>
      </w:r>
      <w:r>
        <w:rPr>
          <w:rFonts w:ascii="Arial" w:cs="Arial" w:eastAsia="Arial" w:hAnsi="Arial"/>
          <w:sz w:val="18"/>
          <w:szCs w:val="18"/>
          <w:color w:val="auto"/>
        </w:rPr>
        <w:t>.</w:t>
      </w:r>
    </w:p>
    <w:p>
      <w:pPr>
        <w:spacing w:after="0" w:line="19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have been no material events since the balance sheet date requiring disclosure in these financial statements.</w:t>
      </w:r>
    </w:p>
    <w:p>
      <w:pPr>
        <w:spacing w:after="0" w:line="252"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unaudited interim financial statements were approved on 10 March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3"/>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decimal"/>
      <w:start w:val="9"/>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0"/>
    </w:lvl>
  </w:abstractNum>
  <w:abstractNum w:abstractNumId="18">
    <w:nsid w:val="B03E0C6"/>
    <w:multiLevelType w:val="hybridMultilevel"/>
    <w:lvl w:ilvl="0">
      <w:lvlJc w:val="left"/>
      <w:lvlText w:val="%1."/>
      <w:numFmt w:val="decimal"/>
      <w:start w:val="12"/>
    </w:lvl>
  </w:abstractNum>
  <w:abstractNum w:abstractNumId="19">
    <w:nsid w:val="189A769B"/>
    <w:multiLevelType w:val="hybridMultilevel"/>
    <w:lvl w:ilvl="0">
      <w:lvlJc w:val="left"/>
      <w:lvlText w:val="%1."/>
      <w:numFmt w:val="decimal"/>
      <w:start w:val="13"/>
    </w:lvl>
  </w:abstractNum>
  <w:abstractNum w:abstractNumId="20">
    <w:nsid w:val="54E49EB4"/>
    <w:multiLevelType w:val="hybridMultilevel"/>
    <w:lvl w:ilvl="0">
      <w:lvlJc w:val="left"/>
      <w:lvlText w:val="%1."/>
      <w:numFmt w:val="decimal"/>
      <w:start w:val="14"/>
    </w:lvl>
  </w:abstractNum>
  <w:abstractNum w:abstractNumId="21">
    <w:nsid w:val="71F32454"/>
    <w:multiLevelType w:val="hybridMultilevel"/>
    <w:lvl w:ilvl="0">
      <w:lvlJc w:val="left"/>
      <w:lvlText w:val="%1."/>
      <w:numFmt w:val="decimal"/>
      <w:start w:val="15"/>
    </w:lvl>
  </w:abstractNum>
  <w:abstractNum w:abstractNumId="22">
    <w:nsid w:val="2CA88611"/>
    <w:multiLevelType w:val="hybridMultilevel"/>
    <w:lvl w:ilvl="0">
      <w:lvlJc w:val="left"/>
      <w:lvlText w:val="%1."/>
      <w:numFmt w:val="decimal"/>
      <w:start w:val="16"/>
    </w:lvl>
  </w:abstractNum>
  <w:abstractNum w:abstractNumId="23">
    <w:nsid w:val="836C40E"/>
    <w:multiLevelType w:val="hybridMultilevel"/>
    <w:lvl w:ilvl="0">
      <w:lvlJc w:val="left"/>
      <w:lvlText w:val="%1."/>
      <w:numFmt w:val="decimal"/>
      <w:start w:val="17"/>
    </w:lvl>
  </w:abstractNum>
  <w:abstractNum w:abstractNumId="24">
    <w:nsid w:val="2901D82"/>
    <w:multiLevelType w:val="hybridMultilevel"/>
    <w:lvl w:ilvl="0">
      <w:lvlJc w:val="left"/>
      <w:lvlText w:val="%1."/>
      <w:numFmt w:val="decimal"/>
      <w:start w:val="17"/>
    </w:lvl>
  </w:abstractNum>
  <w:abstractNum w:abstractNumId="25">
    <w:nsid w:val="3A95F874"/>
    <w:multiLevelType w:val="hybridMultilevel"/>
    <w:lvl w:ilvl="0">
      <w:lvlJc w:val="left"/>
      <w:lvlText w:val="%1."/>
      <w:numFmt w:val="decimal"/>
      <w:start w:val="18"/>
    </w:lvl>
  </w:abstractNum>
  <w:abstractNum w:abstractNumId="26">
    <w:nsid w:val="8138641"/>
    <w:multiLevelType w:val="hybridMultilevel"/>
    <w:lvl w:ilvl="0">
      <w:lvlJc w:val="left"/>
      <w:lvlText w:val="%1."/>
      <w:numFmt w:val="decimal"/>
      <w:start w:val="20"/>
    </w:lvl>
  </w:abstractNum>
  <w:abstractNum w:abstractNumId="27">
    <w:nsid w:val="1E7FF521"/>
    <w:multiLevelType w:val="hybridMultilevel"/>
    <w:lvl w:ilvl="0">
      <w:lvlJc w:val="left"/>
      <w:lvlText w:val="%1."/>
      <w:numFmt w:val="decimal"/>
      <w:start w:val="21"/>
    </w:lvl>
  </w:abstractNum>
  <w:abstractNum w:abstractNumId="28">
    <w:nsid w:val="7C3DBD3D"/>
    <w:multiLevelType w:val="hybridMultilevel"/>
    <w:lvl w:ilvl="0">
      <w:lvlJc w:val="left"/>
      <w:lvlText w:val="%1."/>
      <w:numFmt w:val="decimal"/>
      <w:start w:val="21"/>
    </w:lvl>
  </w:abstractNum>
  <w:abstractNum w:abstractNumId="29">
    <w:nsid w:val="737B8DDC"/>
    <w:multiLevelType w:val="hybridMultilevel"/>
    <w:lvl w:ilvl="0">
      <w:lvlJc w:val="left"/>
      <w:lvlText w:val="%1."/>
      <w:numFmt w:val="decimal"/>
      <w:start w:val="21"/>
    </w:lvl>
  </w:abstractNum>
  <w:abstractNum w:abstractNumId="30">
    <w:nsid w:val="6CEAF087"/>
    <w:multiLevelType w:val="hybridMultilevel"/>
    <w:lvl w:ilvl="0">
      <w:lvlJc w:val="left"/>
      <w:lvlText w:val="%1."/>
      <w:numFmt w:val="decimal"/>
      <w:start w:val="22"/>
    </w:lvl>
  </w:abstractNum>
  <w:abstractNum w:abstractNumId="31">
    <w:nsid w:val="22221A70"/>
    <w:multiLevelType w:val="hybridMultilevel"/>
    <w:lvl w:ilvl="0">
      <w:lvlJc w:val="left"/>
      <w:lvlText w:val="%1."/>
      <w:numFmt w:val="decimal"/>
      <w:start w:val="23"/>
    </w:lvl>
  </w:abstractNum>
  <w:abstractNum w:abstractNumId="32">
    <w:nsid w:val="4516DDE9"/>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2025-03-12T08:20:10Z</dcterms:created>
  <dcterms:modified xsi:type="dcterms:W3CDTF">2025-03-12T08:20:10Z</dcterms:modified>
</cp:coreProperties>
</file>