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D.C.20549</w:t>
      </w:r>
    </w:p>
    <w:p>
      <w:pPr>
        <w:spacing w:after="0" w:line="9" w:lineRule="exact"/>
        <w:rPr>
          <w:sz w:val="24"/>
          <w:szCs w:val="24"/>
          <w:color w:val="auto"/>
        </w:rPr>
      </w:pPr>
    </w:p>
    <w:p>
      <w:pPr>
        <w:ind w:left="5180"/>
        <w:spacing w:after="0"/>
        <w:rPr>
          <w:sz w:val="20"/>
          <w:szCs w:val="20"/>
          <w:color w:val="auto"/>
        </w:rPr>
      </w:pPr>
      <w:r>
        <w:rPr>
          <w:rFonts w:ascii="Arial" w:cs="Arial" w:eastAsia="Arial" w:hAnsi="Arial"/>
          <w:sz w:val="18"/>
          <w:szCs w:val="18"/>
          <w:b w:val="1"/>
          <w:bCs w:val="1"/>
          <w:u w:val="single" w:color="auto"/>
          <w:color w:val="auto"/>
        </w:rPr>
        <w:t>____________</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FORM 20-F/A</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(Amendment No. 1)</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(Mark One)</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___</w:t>
      </w:r>
      <w:r>
        <w:rPr>
          <w:rFonts w:ascii="Arial" w:cs="Arial" w:eastAsia="Arial" w:hAnsi="Arial"/>
          <w:sz w:val="18"/>
          <w:szCs w:val="18"/>
          <w:b w:val="1"/>
          <w:bCs w:val="1"/>
          <w:color w:val="auto"/>
        </w:rPr>
        <w:t xml:space="preserve"> Registration statement pursuant to Section 12(b) or (g) of the Securities Exchange Act of 1934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_X_</w:t>
      </w:r>
      <w:r>
        <w:rPr>
          <w:rFonts w:ascii="Arial" w:cs="Arial" w:eastAsia="Arial" w:hAnsi="Arial"/>
          <w:sz w:val="18"/>
          <w:szCs w:val="18"/>
          <w:b w:val="1"/>
          <w:bCs w:val="1"/>
          <w:color w:val="auto"/>
        </w:rPr>
        <w:t xml:space="preserve"> Annual report pursuant to Section 13 or 15 (d) of the Securities Exchange Act of 1934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fiscal year ended: December 31, 2015</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___</w:t>
      </w:r>
      <w:r>
        <w:rPr>
          <w:rFonts w:ascii="Arial" w:cs="Arial" w:eastAsia="Arial" w:hAnsi="Arial"/>
          <w:sz w:val="18"/>
          <w:szCs w:val="18"/>
          <w:b w:val="1"/>
          <w:bCs w:val="1"/>
          <w:color w:val="auto"/>
        </w:rPr>
        <w:t xml:space="preserve"> Transition report pursuant to Section 13 or 15(d) of the Securities Exchange Act of 1934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___</w:t>
      </w:r>
      <w:r>
        <w:rPr>
          <w:rFonts w:ascii="Arial" w:cs="Arial" w:eastAsia="Arial" w:hAnsi="Arial"/>
          <w:sz w:val="18"/>
          <w:szCs w:val="18"/>
          <w:b w:val="1"/>
          <w:bCs w:val="1"/>
          <w:color w:val="auto"/>
        </w:rPr>
        <w:t xml:space="preserve"> Shell company report pursuant to section 13 or 15(d) of the Securities Exchange Act of 1934.</w:t>
      </w:r>
    </w:p>
    <w:p>
      <w:pPr>
        <w:spacing w:after="0" w:line="9" w:lineRule="exact"/>
        <w:rPr>
          <w:sz w:val="24"/>
          <w:szCs w:val="24"/>
          <w:color w:val="auto"/>
        </w:rPr>
      </w:pPr>
    </w:p>
    <w:p>
      <w:pPr>
        <w:ind w:left="4540"/>
        <w:spacing w:after="0"/>
        <w:rPr>
          <w:sz w:val="20"/>
          <w:szCs w:val="20"/>
          <w:color w:val="auto"/>
        </w:rPr>
      </w:pPr>
      <w:r>
        <w:rPr>
          <w:rFonts w:ascii="Arial" w:cs="Arial" w:eastAsia="Arial" w:hAnsi="Arial"/>
          <w:sz w:val="18"/>
          <w:szCs w:val="18"/>
          <w:b w:val="1"/>
          <w:bCs w:val="1"/>
          <w:u w:val="single" w:color="auto"/>
          <w:color w:val="auto"/>
        </w:rPr>
        <w:t>__________________________</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333-08704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ICON PUBLIC LIMITED COMPANY</w:t>
      </w:r>
    </w:p>
    <w:p>
      <w:pPr>
        <w:spacing w:after="0" w:line="9" w:lineRule="exact"/>
        <w:rPr>
          <w:sz w:val="24"/>
          <w:szCs w:val="24"/>
          <w:color w:val="auto"/>
        </w:rPr>
      </w:pPr>
    </w:p>
    <w:p>
      <w:pPr>
        <w:ind w:left="4540"/>
        <w:spacing w:after="0"/>
        <w:rPr>
          <w:sz w:val="20"/>
          <w:szCs w:val="20"/>
          <w:color w:val="auto"/>
        </w:rPr>
      </w:pPr>
      <w:r>
        <w:rPr>
          <w:rFonts w:ascii="Arial" w:cs="Arial" w:eastAsia="Arial" w:hAnsi="Arial"/>
          <w:sz w:val="18"/>
          <w:szCs w:val="18"/>
          <w:b w:val="1"/>
          <w:bCs w:val="1"/>
          <w:u w:val="single" w:color="auto"/>
          <w:color w:val="auto"/>
        </w:rPr>
        <w:t>__________________________</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(Exact name of Registrant as Specified in its Charter)</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29"/>
          <w:szCs w:val="29"/>
          <w:b w:val="1"/>
          <w:bCs w:val="1"/>
          <w:color w:val="auto"/>
        </w:rPr>
        <w:t>ICON PUBLIC LIMITED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1781810</wp:posOffset>
            </wp:positionH>
            <wp:positionV relativeFrom="paragraph">
              <wp:posOffset>-31115</wp:posOffset>
            </wp:positionV>
            <wp:extent cx="369379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93795" cy="17145"/>
                    </a:xfrm>
                    <a:prstGeom prst="rect">
                      <a:avLst/>
                    </a:prstGeom>
                    <a:noFill/>
                  </pic:spPr>
                </pic:pic>
              </a:graphicData>
            </a:graphic>
          </wp:anchor>
        </w:drawing>
      </w:r>
    </w:p>
    <w:p>
      <w:pPr>
        <w:ind w:left="4020"/>
        <w:spacing w:after="0"/>
        <w:rPr>
          <w:sz w:val="20"/>
          <w:szCs w:val="20"/>
          <w:color w:val="auto"/>
        </w:rPr>
      </w:pPr>
      <w:r>
        <w:rPr>
          <w:rFonts w:ascii="Arial" w:cs="Arial" w:eastAsia="Arial" w:hAnsi="Arial"/>
          <w:sz w:val="18"/>
          <w:szCs w:val="18"/>
          <w:color w:val="auto"/>
        </w:rPr>
        <w:t>(Translation of Registrant’s name into English)</w:t>
      </w:r>
    </w:p>
    <w:p>
      <w:pPr>
        <w:spacing w:after="0" w:line="7" w:lineRule="exact"/>
        <w:rPr>
          <w:sz w:val="24"/>
          <w:szCs w:val="24"/>
          <w:color w:val="auto"/>
        </w:rPr>
      </w:pPr>
    </w:p>
    <w:p>
      <w:pPr>
        <w:ind w:left="5220"/>
        <w:spacing w:after="0"/>
        <w:rPr>
          <w:sz w:val="20"/>
          <w:szCs w:val="20"/>
          <w:color w:val="auto"/>
        </w:rPr>
      </w:pPr>
      <w:r>
        <w:rPr>
          <w:rFonts w:ascii="Arial" w:cs="Arial" w:eastAsia="Arial" w:hAnsi="Arial"/>
          <w:sz w:val="18"/>
          <w:szCs w:val="18"/>
          <w:b w:val="1"/>
          <w:bCs w:val="1"/>
          <w:color w:val="auto"/>
        </w:rPr>
        <w:t>Ireland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2176780</wp:posOffset>
            </wp:positionH>
            <wp:positionV relativeFrom="paragraph">
              <wp:posOffset>-19050</wp:posOffset>
            </wp:positionV>
            <wp:extent cx="29032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903220" cy="8890"/>
                    </a:xfrm>
                    <a:prstGeom prst="rect">
                      <a:avLst/>
                    </a:prstGeom>
                    <a:noFill/>
                  </pic:spPr>
                </pic:pic>
              </a:graphicData>
            </a:graphic>
          </wp:anchor>
        </w:drawing>
      </w:r>
    </w:p>
    <w:p>
      <w:pPr>
        <w:ind w:left="4040"/>
        <w:spacing w:after="0"/>
        <w:rPr>
          <w:sz w:val="20"/>
          <w:szCs w:val="20"/>
          <w:color w:val="auto"/>
        </w:rPr>
      </w:pPr>
      <w:r>
        <w:rPr>
          <w:rFonts w:ascii="Arial" w:cs="Arial" w:eastAsia="Arial" w:hAnsi="Arial"/>
          <w:sz w:val="18"/>
          <w:szCs w:val="18"/>
          <w:color w:val="auto"/>
        </w:rPr>
        <w:t>(Jurisdiction of Incorporation or Organization)</w:t>
      </w:r>
    </w:p>
    <w:p>
      <w:pPr>
        <w:spacing w:after="0" w:line="23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SOUTH COUNTY BUSINESS PARK,</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LEOPARDSTOWN,</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DUBLIN 18, IRELAND</w:t>
      </w:r>
    </w:p>
    <w:p>
      <w:pPr>
        <w:spacing w:after="0" w:line="9" w:lineRule="exact"/>
        <w:rPr>
          <w:sz w:val="24"/>
          <w:szCs w:val="24"/>
          <w:color w:val="auto"/>
        </w:rPr>
      </w:pPr>
    </w:p>
    <w:p>
      <w:pPr>
        <w:ind w:left="3940"/>
        <w:spacing w:after="0"/>
        <w:rPr>
          <w:sz w:val="20"/>
          <w:szCs w:val="20"/>
          <w:color w:val="auto"/>
        </w:rPr>
      </w:pPr>
      <w:r>
        <w:rPr>
          <w:rFonts w:ascii="Arial" w:cs="Arial" w:eastAsia="Arial" w:hAnsi="Arial"/>
          <w:sz w:val="18"/>
          <w:szCs w:val="18"/>
          <w:u w:val="single" w:color="auto"/>
          <w:color w:val="auto"/>
        </w:rPr>
        <w:t>_____________________ __________________</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(Address of principal executive offices)</w:t>
      </w:r>
    </w:p>
    <w:p>
      <w:pPr>
        <w:spacing w:after="0" w:line="23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Brendan Brennan, Chief Financial Officer</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South County Business Park Leopardstown, Dublin 18, Ireland.</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Brendan.Brennan@iconplc.com</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011-353-1-291-2000</w:t>
      </w:r>
    </w:p>
    <w:p>
      <w:pPr>
        <w:spacing w:after="0" w:line="9" w:lineRule="exact"/>
        <w:rPr>
          <w:sz w:val="24"/>
          <w:szCs w:val="24"/>
          <w:color w:val="auto"/>
        </w:rPr>
      </w:pPr>
    </w:p>
    <w:p>
      <w:pPr>
        <w:ind w:left="4140"/>
        <w:spacing w:after="0"/>
        <w:rPr>
          <w:sz w:val="20"/>
          <w:szCs w:val="20"/>
          <w:color w:val="auto"/>
        </w:rPr>
      </w:pPr>
      <w:r>
        <w:rPr>
          <w:rFonts w:ascii="Arial" w:cs="Arial" w:eastAsia="Arial" w:hAnsi="Arial"/>
          <w:sz w:val="18"/>
          <w:szCs w:val="18"/>
          <w:u w:val="single" w:color="auto"/>
          <w:color w:val="auto"/>
        </w:rPr>
        <w:t>___________________________________</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(Name, telephone number, email and/or facsimile number and address of Company contact person)</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Securities registered or to be registered pursuant to Section 12(b) of the Act:</w:t>
      </w:r>
    </w:p>
    <w:p>
      <w:pPr>
        <w:spacing w:after="0" w:line="238" w:lineRule="exact"/>
        <w:rPr>
          <w:sz w:val="24"/>
          <w:szCs w:val="24"/>
          <w:color w:val="auto"/>
        </w:rPr>
      </w:pPr>
    </w:p>
    <w:p>
      <w:pPr>
        <w:ind w:left="1440"/>
        <w:spacing w:after="0"/>
        <w:tabs>
          <w:tab w:leader="none" w:pos="9200" w:val="left"/>
        </w:tabs>
        <w:rPr>
          <w:sz w:val="20"/>
          <w:szCs w:val="20"/>
          <w:color w:val="auto"/>
        </w:rPr>
      </w:pPr>
      <w:r>
        <w:rPr>
          <w:rFonts w:ascii="Arial" w:cs="Arial" w:eastAsia="Arial" w:hAnsi="Arial"/>
          <w:sz w:val="18"/>
          <w:szCs w:val="18"/>
          <w:i w:val="1"/>
          <w:iCs w:val="1"/>
          <w:color w:val="auto"/>
        </w:rPr>
        <w:t>Title of each class</w:t>
      </w:r>
      <w:r>
        <w:rPr>
          <w:sz w:val="20"/>
          <w:szCs w:val="20"/>
          <w:color w:val="auto"/>
        </w:rPr>
        <w:tab/>
      </w:r>
      <w:r>
        <w:rPr>
          <w:rFonts w:ascii="Arial" w:cs="Arial" w:eastAsia="Arial" w:hAnsi="Arial"/>
          <w:sz w:val="16"/>
          <w:szCs w:val="16"/>
          <w:i w:val="1"/>
          <w:iCs w:val="1"/>
          <w:color w:val="auto"/>
        </w:rPr>
        <w:t>Name of exchange on which</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i w:val="1"/>
          <w:iCs w:val="1"/>
          <w:color w:val="auto"/>
        </w:rPr>
        <w:t>registered</w:t>
      </w:r>
    </w:p>
    <w:p>
      <w:pPr>
        <w:spacing w:after="0" w:line="9" w:lineRule="exact"/>
        <w:rPr>
          <w:sz w:val="24"/>
          <w:szCs w:val="24"/>
          <w:color w:val="auto"/>
        </w:rPr>
      </w:pPr>
    </w:p>
    <w:p>
      <w:pPr>
        <w:ind w:right="700"/>
        <w:spacing w:after="0" w:line="250" w:lineRule="auto"/>
        <w:rPr>
          <w:sz w:val="20"/>
          <w:szCs w:val="20"/>
          <w:color w:val="auto"/>
        </w:rPr>
      </w:pPr>
      <w:r>
        <w:rPr>
          <w:rFonts w:ascii="Arial" w:cs="Arial" w:eastAsia="Arial" w:hAnsi="Arial"/>
          <w:sz w:val="18"/>
          <w:szCs w:val="18"/>
          <w:b w:val="1"/>
          <w:bCs w:val="1"/>
          <w:color w:val="auto"/>
        </w:rPr>
        <w:t>ORDINARY SHARES, PAR VALUE €0.06 EACH NASDAQ GLOBAL SELECT MARKET</w:t>
      </w:r>
    </w:p>
    <w:p>
      <w:pPr>
        <w:spacing w:after="0" w:line="217" w:lineRule="exact"/>
        <w:rPr>
          <w:sz w:val="24"/>
          <w:szCs w:val="24"/>
          <w:color w:val="auto"/>
        </w:rPr>
      </w:pPr>
    </w:p>
    <w:p>
      <w:pPr>
        <w:ind w:left="2980"/>
        <w:spacing w:after="0"/>
        <w:rPr>
          <w:sz w:val="20"/>
          <w:szCs w:val="20"/>
          <w:color w:val="auto"/>
        </w:rPr>
      </w:pPr>
      <w:r>
        <w:rPr>
          <w:rFonts w:ascii="Arial" w:cs="Arial" w:eastAsia="Arial" w:hAnsi="Arial"/>
          <w:sz w:val="18"/>
          <w:szCs w:val="18"/>
          <w:color w:val="auto"/>
        </w:rPr>
        <w:t>Securities registered or to be registered pursuant to section 12(g) of the Act:</w:t>
      </w:r>
    </w:p>
    <w:p>
      <w:pPr>
        <w:spacing w:after="0" w:line="9" w:lineRule="exact"/>
        <w:rPr>
          <w:sz w:val="24"/>
          <w:szCs w:val="24"/>
          <w:color w:val="auto"/>
        </w:rPr>
      </w:pPr>
    </w:p>
    <w:p>
      <w:pPr>
        <w:ind w:left="5180"/>
        <w:spacing w:after="0"/>
        <w:rPr>
          <w:sz w:val="20"/>
          <w:szCs w:val="20"/>
          <w:color w:val="auto"/>
        </w:rPr>
      </w:pPr>
      <w:r>
        <w:rPr>
          <w:rFonts w:ascii="Arial" w:cs="Arial" w:eastAsia="Arial" w:hAnsi="Arial"/>
          <w:sz w:val="18"/>
          <w:szCs w:val="18"/>
          <w:i w:val="1"/>
          <w:iCs w:val="1"/>
          <w:color w:val="auto"/>
        </w:rPr>
        <w:t>Title of each class</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NONE</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Securities for which there is a reporting obligation pursuant to Section 15(d) of the Act:</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NONE</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i w:val="1"/>
          <w:iCs w:val="1"/>
          <w:color w:val="auto"/>
        </w:rPr>
        <w:t>(Title of class)</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color w:val="auto"/>
        </w:rPr>
        <w:t>Indicate the number of outstanding shares of each of the issuer’s classes of capital or common stock as of the close of the period covered by the annual report:</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54,958,912 Ordinary Shares.</w:t>
      </w:r>
    </w:p>
    <w:p>
      <w:pPr>
        <w:spacing w:after="0" w:line="9" w:lineRule="exact"/>
        <w:rPr>
          <w:sz w:val="24"/>
          <w:szCs w:val="24"/>
          <w:color w:val="auto"/>
        </w:rPr>
      </w:pPr>
    </w:p>
    <w:p>
      <w:pPr>
        <w:spacing w:after="0"/>
        <w:tabs>
          <w:tab w:leader="none" w:pos="9420" w:val="left"/>
        </w:tabs>
        <w:rPr>
          <w:sz w:val="20"/>
          <w:szCs w:val="20"/>
          <w:color w:val="auto"/>
        </w:rPr>
      </w:pPr>
      <w:r>
        <w:rPr>
          <w:rFonts w:ascii="Arial" w:cs="Arial" w:eastAsia="Arial" w:hAnsi="Arial"/>
          <w:sz w:val="17"/>
          <w:szCs w:val="17"/>
          <w:color w:val="auto"/>
        </w:rPr>
        <w:t xml:space="preserve">Indicate by check mark if the registrant is a well-known seasoned issuer, as determined in Rule 405 of the Securities Act. Yes </w:t>
      </w:r>
      <w:r>
        <w:rPr>
          <w:rFonts w:ascii="Arial" w:cs="Arial" w:eastAsia="Arial" w:hAnsi="Arial"/>
          <w:sz w:val="17"/>
          <w:szCs w:val="17"/>
          <w:u w:val="single" w:color="auto"/>
          <w:color w:val="auto"/>
        </w:rPr>
        <w:t>X</w:t>
      </w:r>
      <w:r>
        <w:rPr>
          <w:sz w:val="20"/>
          <w:szCs w:val="20"/>
          <w:color w:val="auto"/>
        </w:rPr>
        <w:tab/>
      </w:r>
      <w:r>
        <w:rPr>
          <w:rFonts w:ascii="Arial" w:cs="Arial" w:eastAsia="Arial" w:hAnsi="Arial"/>
          <w:sz w:val="16"/>
          <w:szCs w:val="16"/>
          <w:color w:val="auto"/>
        </w:rPr>
        <w:t>No__</w:t>
      </w:r>
    </w:p>
    <w:p>
      <w:pPr>
        <w:spacing w:after="0" w:line="21" w:lineRule="exact"/>
        <w:rPr>
          <w:sz w:val="24"/>
          <w:szCs w:val="24"/>
          <w:color w:val="auto"/>
        </w:rPr>
      </w:pPr>
    </w:p>
    <w:p>
      <w:pPr>
        <w:ind w:right="460"/>
        <w:spacing w:after="0" w:line="250" w:lineRule="auto"/>
        <w:rPr>
          <w:sz w:val="20"/>
          <w:szCs w:val="20"/>
          <w:color w:val="auto"/>
        </w:rPr>
      </w:pPr>
      <w:r>
        <w:rPr>
          <w:rFonts w:ascii="Arial" w:cs="Arial" w:eastAsia="Arial" w:hAnsi="Arial"/>
          <w:sz w:val="18"/>
          <w:szCs w:val="18"/>
          <w:color w:val="auto"/>
        </w:rPr>
        <w:t xml:space="preserve">If this report is an annual or transition report, indicate by check mark if the registrant is not required to file reports pursuant to section 13 or 15(d) of the Securities Exchange Act of 1934. Yes __ No </w:t>
      </w:r>
      <w:r>
        <w:rPr>
          <w:rFonts w:ascii="Arial" w:cs="Arial" w:eastAsia="Arial" w:hAnsi="Arial"/>
          <w:sz w:val="18"/>
          <w:szCs w:val="18"/>
          <w:u w:val="single" w:color="auto"/>
          <w:color w:val="auto"/>
        </w:rPr>
        <w:t>X</w:t>
      </w:r>
    </w:p>
    <w:p>
      <w:pPr>
        <w:spacing w:after="0" w:line="1" w:lineRule="exact"/>
        <w:rPr>
          <w:sz w:val="24"/>
          <w:szCs w:val="24"/>
          <w:color w:val="auto"/>
        </w:rPr>
      </w:pPr>
    </w:p>
    <w:p>
      <w:pPr>
        <w:jc w:val="both"/>
        <w:ind w:right="140"/>
        <w:spacing w:after="0" w:line="250" w:lineRule="auto"/>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1934 during the preceding 12 months (or for such shorter period that the registrant was required to file such reports), and (2) has been subject to such filing requirements for the past 90 days: Yes </w:t>
      </w:r>
      <w:r>
        <w:rPr>
          <w:rFonts w:ascii="Arial" w:cs="Arial" w:eastAsia="Arial" w:hAnsi="Arial"/>
          <w:sz w:val="18"/>
          <w:szCs w:val="18"/>
          <w:u w:val="single" w:color="auto"/>
          <w:color w:val="auto"/>
        </w:rPr>
        <w:t>X</w:t>
      </w:r>
      <w:r>
        <w:rPr>
          <w:rFonts w:ascii="Arial" w:cs="Arial" w:eastAsia="Arial" w:hAnsi="Arial"/>
          <w:sz w:val="18"/>
          <w:szCs w:val="18"/>
          <w:color w:val="auto"/>
        </w:rPr>
        <w:t xml:space="preserve"> No__</w:t>
      </w:r>
    </w:p>
    <w:p>
      <w:pPr>
        <w:spacing w:after="0" w:line="1" w:lineRule="exact"/>
        <w:rPr>
          <w:sz w:val="24"/>
          <w:szCs w:val="24"/>
          <w:color w:val="auto"/>
        </w:rPr>
      </w:pPr>
    </w:p>
    <w:p>
      <w:pPr>
        <w:ind w:right="40"/>
        <w:spacing w:after="0" w:line="250" w:lineRule="auto"/>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Yes </w:t>
      </w:r>
      <w:r>
        <w:rPr>
          <w:rFonts w:ascii="Arial" w:cs="Arial" w:eastAsia="Arial" w:hAnsi="Arial"/>
          <w:sz w:val="18"/>
          <w:szCs w:val="18"/>
          <w:u w:val="single" w:color="auto"/>
          <w:color w:val="auto"/>
        </w:rPr>
        <w:t>X</w:t>
      </w:r>
      <w:r>
        <w:rPr>
          <w:rFonts w:ascii="Arial" w:cs="Arial" w:eastAsia="Arial" w:hAnsi="Arial"/>
          <w:sz w:val="18"/>
          <w:szCs w:val="18"/>
          <w:color w:val="auto"/>
        </w:rPr>
        <w:t xml:space="preserve"> No__ Indicate by check mark whether the registrant is a large accelerated filer, an accelerated filer, or a non- accelerated filer.</w:t>
      </w:r>
    </w:p>
    <w:p>
      <w:pPr>
        <w:spacing w:after="0" w:line="1" w:lineRule="exact"/>
        <w:rPr>
          <w:sz w:val="24"/>
          <w:szCs w:val="24"/>
          <w:color w:val="auto"/>
        </w:rPr>
      </w:pPr>
    </w:p>
    <w:p>
      <w:pPr>
        <w:ind w:right="3580"/>
        <w:spacing w:after="0" w:line="250" w:lineRule="auto"/>
        <w:rPr>
          <w:sz w:val="20"/>
          <w:szCs w:val="20"/>
          <w:color w:val="auto"/>
        </w:rPr>
      </w:pPr>
      <w:r>
        <w:rPr>
          <w:rFonts w:ascii="Arial" w:cs="Arial" w:eastAsia="Arial" w:hAnsi="Arial"/>
          <w:sz w:val="18"/>
          <w:szCs w:val="18"/>
          <w:color w:val="auto"/>
        </w:rPr>
        <w:t xml:space="preserve">Large accelerated filer </w:t>
      </w:r>
      <w:r>
        <w:rPr>
          <w:rFonts w:ascii="Arial" w:cs="Arial" w:eastAsia="Arial" w:hAnsi="Arial"/>
          <w:sz w:val="18"/>
          <w:szCs w:val="18"/>
          <w:u w:val="single" w:color="auto"/>
          <w:color w:val="auto"/>
        </w:rPr>
        <w:t>X</w:t>
      </w:r>
      <w:r>
        <w:rPr>
          <w:rFonts w:ascii="Arial" w:cs="Arial" w:eastAsia="Arial" w:hAnsi="Arial"/>
          <w:sz w:val="18"/>
          <w:szCs w:val="18"/>
          <w:color w:val="auto"/>
        </w:rPr>
        <w:t xml:space="preserve"> Accelerated filer __ Non-accelerated filer __</w:t>
      </w:r>
    </w:p>
    <w:p>
      <w:pPr>
        <w:spacing w:after="0" w:line="217"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which basis of accounting the registrant has used to prepare the financial statements included in this filing:</w:t>
      </w:r>
    </w:p>
    <w:tbl>
      <w:tblPr>
        <w:tblLayout w:type="fixed"/>
        <w:tblInd w:w="0" w:type="dxa"/>
        <w:tblCellMar>
          <w:top w:w="0" w:type="dxa"/>
          <w:left w:w="0" w:type="dxa"/>
          <w:bottom w:w="0" w:type="dxa"/>
          <w:right w:w="0" w:type="dxa"/>
        </w:tblCellMar>
      </w:tblPr>
      <w:tr>
        <w:trPr>
          <w:trHeight w:val="185"/>
        </w:trPr>
        <w:tc>
          <w:tcPr>
            <w:tcW w:w="1080" w:type="dxa"/>
            <w:vAlign w:val="bottom"/>
            <w:gridSpan w:val="2"/>
          </w:tcPr>
          <w:p>
            <w:pPr>
              <w:spacing w:after="0" w:line="185" w:lineRule="exact"/>
              <w:rPr>
                <w:sz w:val="20"/>
                <w:szCs w:val="20"/>
                <w:color w:val="auto"/>
              </w:rPr>
            </w:pPr>
            <w:r>
              <w:rPr>
                <w:rFonts w:ascii="Arial" w:cs="Arial" w:eastAsia="Arial" w:hAnsi="Arial"/>
                <w:sz w:val="18"/>
                <w:szCs w:val="18"/>
                <w:color w:val="auto"/>
                <w:w w:val="98"/>
              </w:rPr>
              <w:t>U.S. GAAP X</w:t>
            </w:r>
          </w:p>
        </w:tc>
        <w:tc>
          <w:tcPr>
            <w:tcW w:w="8160" w:type="dxa"/>
            <w:vAlign w:val="bottom"/>
          </w:tcPr>
          <w:p>
            <w:pPr>
              <w:ind w:left="3240"/>
              <w:spacing w:after="0" w:line="185" w:lineRule="exact"/>
              <w:rPr>
                <w:sz w:val="20"/>
                <w:szCs w:val="20"/>
                <w:color w:val="auto"/>
              </w:rPr>
            </w:pPr>
            <w:r>
              <w:rPr>
                <w:rFonts w:ascii="Arial" w:cs="Arial" w:eastAsia="Arial" w:hAnsi="Arial"/>
                <w:sz w:val="18"/>
                <w:szCs w:val="18"/>
                <w:color w:val="auto"/>
                <w:w w:val="91"/>
              </w:rPr>
              <w:t>International Financial Reporting Standards as issued __   Other __</w:t>
            </w:r>
          </w:p>
        </w:tc>
      </w:tr>
      <w:tr>
        <w:trPr>
          <w:trHeight w:val="237"/>
        </w:trPr>
        <w:tc>
          <w:tcPr>
            <w:tcW w:w="9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8160" w:type="dxa"/>
            <w:vAlign w:val="bottom"/>
          </w:tcPr>
          <w:p>
            <w:pPr>
              <w:ind w:left="3360"/>
              <w:spacing w:after="0"/>
              <w:rPr>
                <w:sz w:val="20"/>
                <w:szCs w:val="20"/>
                <w:color w:val="auto"/>
              </w:rPr>
            </w:pPr>
            <w:r>
              <w:rPr>
                <w:rFonts w:ascii="Arial" w:cs="Arial" w:eastAsia="Arial" w:hAnsi="Arial"/>
                <w:sz w:val="18"/>
                <w:szCs w:val="18"/>
                <w:color w:val="auto"/>
              </w:rPr>
              <w:t>by the International Accounting Standards Board</w:t>
            </w:r>
          </w:p>
        </w:tc>
      </w:tr>
    </w:tbl>
    <w:p>
      <w:pPr>
        <w:ind w:right="140"/>
        <w:spacing w:after="0" w:line="250" w:lineRule="auto"/>
        <w:rPr>
          <w:sz w:val="20"/>
          <w:szCs w:val="20"/>
          <w:color w:val="auto"/>
        </w:rPr>
      </w:pPr>
      <w:r>
        <w:rPr>
          <w:rFonts w:ascii="Arial" w:cs="Arial" w:eastAsia="Arial" w:hAnsi="Arial"/>
          <w:sz w:val="18"/>
          <w:szCs w:val="18"/>
          <w:color w:val="auto"/>
        </w:rPr>
        <w:t>If “Other” has been checked in response to the previous question, indicate by check mark which financial statement item the registrant has elected to follow. Item 17 __ Item 18__</w:t>
      </w:r>
    </w:p>
    <w:p>
      <w:pPr>
        <w:spacing w:after="0" w:line="1" w:lineRule="exact"/>
        <w:rPr>
          <w:sz w:val="24"/>
          <w:szCs w:val="24"/>
          <w:color w:val="auto"/>
        </w:rPr>
      </w:pPr>
    </w:p>
    <w:p>
      <w:pPr>
        <w:spacing w:after="0"/>
        <w:tabs>
          <w:tab w:leader="none" w:pos="10720" w:val="left"/>
        </w:tabs>
        <w:rPr>
          <w:sz w:val="20"/>
          <w:szCs w:val="20"/>
          <w:color w:val="auto"/>
        </w:rPr>
      </w:pPr>
      <w:r>
        <w:rPr>
          <w:rFonts w:ascii="Arial" w:cs="Arial" w:eastAsia="Arial" w:hAnsi="Arial"/>
          <w:sz w:val="17"/>
          <w:szCs w:val="17"/>
          <w:color w:val="auto"/>
        </w:rPr>
        <w:t>If this is an annual report, indicate by check mark whether the registrant is a shell company (as defined in Rule 12b-2 of the Exchange Act) Yes __</w:t>
        <w:tab/>
        <w:t xml:space="preserve">No </w:t>
      </w:r>
      <w:r>
        <w:rPr>
          <w:rFonts w:ascii="Arial" w:cs="Arial" w:eastAsia="Arial" w:hAnsi="Arial"/>
          <w:sz w:val="17"/>
          <w:szCs w:val="17"/>
          <w:u w:val="single" w:color="auto"/>
          <w:color w:val="auto"/>
        </w:rPr>
        <w:t>X</w:t>
      </w:r>
    </w:p>
    <w:p>
      <w:pPr>
        <w:sectPr>
          <w:pgSz w:w="11900" w:h="16838" w:orient="portrait"/>
          <w:cols w:equalWidth="0" w:num="1">
            <w:col w:w="11400"/>
          </w:cols>
          <w:pgMar w:left="240" w:top="229" w:right="259" w:bottom="858" w:gutter="0" w:footer="0" w:header="0"/>
        </w:sectPr>
      </w:pPr>
    </w:p>
    <w:p>
      <w:pPr>
        <w:spacing w:after="0" w:line="177" w:lineRule="exact"/>
        <w:rPr>
          <w:sz w:val="24"/>
          <w:szCs w:val="24"/>
          <w:color w:val="auto"/>
        </w:rPr>
      </w:pPr>
    </w:p>
    <w:p>
      <w:pPr>
        <w:jc w:val="center"/>
        <w:ind w:right="-19"/>
        <w:spacing w:after="0"/>
        <w:rPr>
          <w:sz w:val="20"/>
          <w:szCs w:val="20"/>
          <w:color w:val="auto"/>
        </w:rPr>
      </w:pPr>
      <w:r>
        <w:rPr>
          <w:rFonts w:ascii="Arial" w:cs="Arial" w:eastAsia="Arial" w:hAnsi="Arial"/>
          <w:sz w:val="10"/>
          <w:szCs w:val="10"/>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67310</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229" w:right="259" w:bottom="858"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25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Amendment No. 1 (the “Amendment No. 1”) to the Annual Report on Form 20-F for the fiscal year ended December 31, 2015 originally filed with the Securities and Exchange Commission (the “SEC”) on March 23, 2016 (the “2015 Form 20-F”) is being filed solely to include Exhibit 23.1 Consent of KPMG, Independent Registered Public Accounting Firm, as this consent was inadvertantly omitted in the 2015 Form 20-F. The inclusion of this consent is the only change to the 2015 Form 20-F.</w:t>
      </w:r>
    </w:p>
    <w:p>
      <w:pPr>
        <w:spacing w:after="0" w:line="21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This Amendment No. 1 speaks as of the filing date of the 2015 Form 20-F on March 23, 2016. Other than as expressly set forth above, this Amendment No. 1 does not, and does not purport to, amend, update or restate the information in the 2015 Form 20-F, or reflect any events that have occurred after the 2015 Form 20-F was originally filed.</w:t>
      </w:r>
    </w:p>
    <w:p>
      <w:pPr>
        <w:spacing w:after="0" w:line="181"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As required by Rule 12b-15 of the Securities and Exchange Act of 1934, as amended, we are also filing the certifications required under Section 302 of the Sarbanes Oxley Act of 2002 as exhibits to this Amendment No. 1.</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1420" w:type="dxa"/>
            <w:vAlign w:val="bottom"/>
          </w:tcPr>
          <w:p>
            <w:pPr>
              <w:spacing w:after="0"/>
              <w:rPr>
                <w:sz w:val="20"/>
                <w:szCs w:val="20"/>
                <w:color w:val="auto"/>
              </w:rPr>
            </w:pPr>
          </w:p>
        </w:tc>
        <w:tc>
          <w:tcPr>
            <w:tcW w:w="9780" w:type="dxa"/>
            <w:vAlign w:val="bottom"/>
          </w:tcPr>
          <w:p>
            <w:pPr>
              <w:ind w:left="3400"/>
              <w:spacing w:after="0"/>
              <w:rPr>
                <w:sz w:val="20"/>
                <w:szCs w:val="20"/>
                <w:color w:val="auto"/>
              </w:rPr>
            </w:pPr>
            <w:r>
              <w:rPr>
                <w:rFonts w:ascii="Arial" w:cs="Arial" w:eastAsia="Arial" w:hAnsi="Arial"/>
                <w:sz w:val="18"/>
                <w:szCs w:val="18"/>
                <w:b w:val="1"/>
                <w:bCs w:val="1"/>
                <w:color w:val="auto"/>
              </w:rPr>
              <w:t>INDEX TO EXHIBITS</w:t>
            </w:r>
          </w:p>
        </w:tc>
      </w:tr>
      <w:tr>
        <w:trPr>
          <w:trHeight w:val="634"/>
        </w:trPr>
        <w:tc>
          <w:tcPr>
            <w:tcW w:w="1420" w:type="dxa"/>
            <w:vAlign w:val="bottom"/>
          </w:tcPr>
          <w:p>
            <w:pPr>
              <w:spacing w:after="0"/>
              <w:rPr>
                <w:sz w:val="20"/>
                <w:szCs w:val="20"/>
                <w:color w:val="auto"/>
              </w:rPr>
            </w:pPr>
            <w:r>
              <w:rPr>
                <w:rFonts w:ascii="Arial" w:cs="Arial" w:eastAsia="Arial" w:hAnsi="Arial"/>
                <w:sz w:val="18"/>
                <w:szCs w:val="18"/>
                <w:color w:val="auto"/>
              </w:rPr>
              <w:t>Exhibit</w:t>
            </w:r>
          </w:p>
        </w:tc>
        <w:tc>
          <w:tcPr>
            <w:tcW w:w="9780" w:type="dxa"/>
            <w:vAlign w:val="bottom"/>
          </w:tcPr>
          <w:p>
            <w:pPr>
              <w:spacing w:after="0"/>
              <w:rPr>
                <w:sz w:val="24"/>
                <w:szCs w:val="24"/>
                <w:color w:val="auto"/>
              </w:rPr>
            </w:pPr>
          </w:p>
        </w:tc>
      </w:tr>
      <w:tr>
        <w:trPr>
          <w:trHeight w:val="230"/>
        </w:trPr>
        <w:tc>
          <w:tcPr>
            <w:tcW w:w="1420" w:type="dxa"/>
            <w:vAlign w:val="bottom"/>
          </w:tcPr>
          <w:p>
            <w:pPr>
              <w:spacing w:after="0"/>
              <w:rPr>
                <w:sz w:val="20"/>
                <w:szCs w:val="20"/>
                <w:color w:val="auto"/>
              </w:rPr>
            </w:pPr>
            <w:r>
              <w:rPr>
                <w:rFonts w:ascii="Arial" w:cs="Arial" w:eastAsia="Arial" w:hAnsi="Arial"/>
                <w:sz w:val="18"/>
                <w:szCs w:val="18"/>
                <w:color w:val="auto"/>
              </w:rPr>
              <w:t>Number</w:t>
            </w:r>
          </w:p>
        </w:tc>
        <w:tc>
          <w:tcPr>
            <w:tcW w:w="9780" w:type="dxa"/>
            <w:vAlign w:val="bottom"/>
          </w:tcPr>
          <w:p>
            <w:pPr>
              <w:ind w:left="800"/>
              <w:spacing w:after="0"/>
              <w:rPr>
                <w:sz w:val="20"/>
                <w:szCs w:val="20"/>
                <w:color w:val="auto"/>
              </w:rPr>
            </w:pPr>
            <w:r>
              <w:rPr>
                <w:rFonts w:ascii="Arial" w:cs="Arial" w:eastAsia="Arial" w:hAnsi="Arial"/>
                <w:sz w:val="18"/>
                <w:szCs w:val="18"/>
                <w:color w:val="auto"/>
              </w:rPr>
              <w:t>Title</w:t>
            </w:r>
          </w:p>
        </w:tc>
      </w:tr>
      <w:tr>
        <w:trPr>
          <w:trHeight w:val="418"/>
        </w:trPr>
        <w:tc>
          <w:tcPr>
            <w:tcW w:w="1420" w:type="dxa"/>
            <w:vAlign w:val="bottom"/>
          </w:tcPr>
          <w:p>
            <w:pPr>
              <w:spacing w:after="0"/>
              <w:rPr>
                <w:sz w:val="20"/>
                <w:szCs w:val="20"/>
                <w:color w:val="auto"/>
              </w:rPr>
            </w:pPr>
            <w:r>
              <w:rPr>
                <w:rFonts w:ascii="Arial" w:cs="Arial" w:eastAsia="Arial" w:hAnsi="Arial"/>
                <w:sz w:val="18"/>
                <w:szCs w:val="18"/>
                <w:color w:val="auto"/>
              </w:rPr>
              <w:t>3.1</w:t>
            </w:r>
          </w:p>
        </w:tc>
        <w:tc>
          <w:tcPr>
            <w:tcW w:w="9780" w:type="dxa"/>
            <w:vAlign w:val="bottom"/>
          </w:tcPr>
          <w:p>
            <w:pPr>
              <w:ind w:left="800"/>
              <w:spacing w:after="0"/>
              <w:rPr>
                <w:sz w:val="20"/>
                <w:szCs w:val="20"/>
                <w:color w:val="auto"/>
              </w:rPr>
            </w:pPr>
            <w:r>
              <w:rPr>
                <w:rFonts w:ascii="Arial" w:cs="Arial" w:eastAsia="Arial" w:hAnsi="Arial"/>
                <w:sz w:val="18"/>
                <w:szCs w:val="18"/>
                <w:color w:val="auto"/>
                <w:w w:val="91"/>
              </w:rPr>
              <w:t>Description of the Memorandum and Articles of Association of the Company (incorporated by reference to exhibit 3.1 to the</w:t>
            </w:r>
          </w:p>
        </w:tc>
      </w:tr>
      <w:tr>
        <w:trPr>
          <w:trHeight w:val="230"/>
        </w:trPr>
        <w:tc>
          <w:tcPr>
            <w:tcW w:w="1420" w:type="dxa"/>
            <w:vAlign w:val="bottom"/>
          </w:tcPr>
          <w:p>
            <w:pPr>
              <w:spacing w:after="0"/>
              <w:rPr>
                <w:sz w:val="20"/>
                <w:szCs w:val="20"/>
                <w:color w:val="auto"/>
              </w:rPr>
            </w:pPr>
          </w:p>
        </w:tc>
        <w:tc>
          <w:tcPr>
            <w:tcW w:w="9780" w:type="dxa"/>
            <w:vAlign w:val="bottom"/>
          </w:tcPr>
          <w:p>
            <w:pPr>
              <w:ind w:left="800"/>
              <w:spacing w:after="0"/>
              <w:rPr>
                <w:sz w:val="20"/>
                <w:szCs w:val="20"/>
                <w:color w:val="auto"/>
              </w:rPr>
            </w:pPr>
            <w:r>
              <w:rPr>
                <w:rFonts w:ascii="Arial" w:cs="Arial" w:eastAsia="Arial" w:hAnsi="Arial"/>
                <w:sz w:val="18"/>
                <w:szCs w:val="18"/>
                <w:color w:val="auto"/>
              </w:rPr>
              <w:t>Form 20F (File No. 333-08704) filed on March 6, 2013).</w:t>
            </w:r>
          </w:p>
        </w:tc>
      </w:tr>
      <w:tr>
        <w:trPr>
          <w:trHeight w:val="432"/>
        </w:trPr>
        <w:tc>
          <w:tcPr>
            <w:tcW w:w="1420" w:type="dxa"/>
            <w:vAlign w:val="bottom"/>
          </w:tcPr>
          <w:p>
            <w:pPr>
              <w:spacing w:after="0"/>
              <w:rPr>
                <w:sz w:val="20"/>
                <w:szCs w:val="20"/>
                <w:color w:val="auto"/>
              </w:rPr>
            </w:pPr>
            <w:r>
              <w:rPr>
                <w:rFonts w:ascii="Arial" w:cs="Arial" w:eastAsia="Arial" w:hAnsi="Arial"/>
                <w:sz w:val="18"/>
                <w:szCs w:val="18"/>
                <w:color w:val="auto"/>
              </w:rPr>
              <w:t>12.1*</w:t>
            </w:r>
          </w:p>
        </w:tc>
        <w:tc>
          <w:tcPr>
            <w:tcW w:w="9780" w:type="dxa"/>
            <w:vAlign w:val="bottom"/>
          </w:tcPr>
          <w:p>
            <w:pPr>
              <w:ind w:left="800"/>
              <w:spacing w:after="0"/>
              <w:rPr>
                <w:sz w:val="20"/>
                <w:szCs w:val="20"/>
                <w:color w:val="auto"/>
              </w:rPr>
            </w:pPr>
            <w:r>
              <w:rPr>
                <w:rFonts w:ascii="Arial" w:cs="Arial" w:eastAsia="Arial" w:hAnsi="Arial"/>
                <w:sz w:val="18"/>
                <w:szCs w:val="18"/>
                <w:color w:val="auto"/>
              </w:rPr>
              <w:t>Section 302 certifications.</w:t>
            </w:r>
          </w:p>
        </w:tc>
      </w:tr>
      <w:tr>
        <w:trPr>
          <w:trHeight w:val="432"/>
        </w:trPr>
        <w:tc>
          <w:tcPr>
            <w:tcW w:w="1420" w:type="dxa"/>
            <w:vAlign w:val="bottom"/>
          </w:tcPr>
          <w:p>
            <w:pPr>
              <w:spacing w:after="0"/>
              <w:rPr>
                <w:sz w:val="20"/>
                <w:szCs w:val="20"/>
                <w:color w:val="auto"/>
              </w:rPr>
            </w:pPr>
            <w:r>
              <w:rPr>
                <w:rFonts w:ascii="Arial" w:cs="Arial" w:eastAsia="Arial" w:hAnsi="Arial"/>
                <w:sz w:val="18"/>
                <w:szCs w:val="18"/>
                <w:color w:val="auto"/>
              </w:rPr>
              <w:t>12.2**</w:t>
            </w:r>
          </w:p>
        </w:tc>
        <w:tc>
          <w:tcPr>
            <w:tcW w:w="9780" w:type="dxa"/>
            <w:vAlign w:val="bottom"/>
          </w:tcPr>
          <w:p>
            <w:pPr>
              <w:ind w:left="800"/>
              <w:spacing w:after="0"/>
              <w:rPr>
                <w:sz w:val="20"/>
                <w:szCs w:val="20"/>
                <w:color w:val="auto"/>
              </w:rPr>
            </w:pPr>
            <w:r>
              <w:rPr>
                <w:rFonts w:ascii="Arial" w:cs="Arial" w:eastAsia="Arial" w:hAnsi="Arial"/>
                <w:sz w:val="18"/>
                <w:szCs w:val="18"/>
                <w:color w:val="auto"/>
              </w:rPr>
              <w:t>Section 906 certifications.</w:t>
            </w:r>
          </w:p>
        </w:tc>
      </w:tr>
      <w:tr>
        <w:trPr>
          <w:trHeight w:val="432"/>
        </w:trPr>
        <w:tc>
          <w:tcPr>
            <w:tcW w:w="1420" w:type="dxa"/>
            <w:vAlign w:val="bottom"/>
          </w:tcPr>
          <w:p>
            <w:pPr>
              <w:spacing w:after="0"/>
              <w:rPr>
                <w:sz w:val="20"/>
                <w:szCs w:val="20"/>
                <w:color w:val="auto"/>
              </w:rPr>
            </w:pPr>
            <w:r>
              <w:rPr>
                <w:rFonts w:ascii="Arial" w:cs="Arial" w:eastAsia="Arial" w:hAnsi="Arial"/>
                <w:sz w:val="18"/>
                <w:szCs w:val="18"/>
                <w:color w:val="auto"/>
              </w:rPr>
              <w:t>21.1</w:t>
            </w:r>
          </w:p>
        </w:tc>
        <w:tc>
          <w:tcPr>
            <w:tcW w:w="9780" w:type="dxa"/>
            <w:vAlign w:val="bottom"/>
          </w:tcPr>
          <w:p>
            <w:pPr>
              <w:ind w:left="800"/>
              <w:spacing w:after="0"/>
              <w:rPr>
                <w:sz w:val="20"/>
                <w:szCs w:val="20"/>
                <w:color w:val="auto"/>
              </w:rPr>
            </w:pPr>
            <w:r>
              <w:rPr>
                <w:rFonts w:ascii="Arial" w:cs="Arial" w:eastAsia="Arial" w:hAnsi="Arial"/>
                <w:sz w:val="18"/>
                <w:szCs w:val="18"/>
                <w:color w:val="auto"/>
                <w:w w:val="96"/>
              </w:rPr>
              <w:t>List of Subsidiaries (incorporated by reference to Item 4 of Form 20-F) (File No. 333-08704) filed on March 23, 2016).</w:t>
            </w:r>
          </w:p>
        </w:tc>
      </w:tr>
      <w:tr>
        <w:trPr>
          <w:trHeight w:val="432"/>
        </w:trPr>
        <w:tc>
          <w:tcPr>
            <w:tcW w:w="1420" w:type="dxa"/>
            <w:vAlign w:val="bottom"/>
          </w:tcPr>
          <w:p>
            <w:pPr>
              <w:spacing w:after="0"/>
              <w:rPr>
                <w:sz w:val="20"/>
                <w:szCs w:val="20"/>
                <w:color w:val="auto"/>
              </w:rPr>
            </w:pPr>
            <w:r>
              <w:rPr>
                <w:rFonts w:ascii="Arial" w:cs="Arial" w:eastAsia="Arial" w:hAnsi="Arial"/>
                <w:sz w:val="18"/>
                <w:szCs w:val="18"/>
                <w:color w:val="auto"/>
              </w:rPr>
              <w:t>23.1*</w:t>
            </w:r>
          </w:p>
        </w:tc>
        <w:tc>
          <w:tcPr>
            <w:tcW w:w="9780" w:type="dxa"/>
            <w:vAlign w:val="bottom"/>
          </w:tcPr>
          <w:p>
            <w:pPr>
              <w:ind w:left="800"/>
              <w:spacing w:after="0"/>
              <w:rPr>
                <w:sz w:val="20"/>
                <w:szCs w:val="20"/>
                <w:color w:val="auto"/>
              </w:rPr>
            </w:pPr>
            <w:r>
              <w:rPr>
                <w:rFonts w:ascii="Arial" w:cs="Arial" w:eastAsia="Arial" w:hAnsi="Arial"/>
                <w:sz w:val="18"/>
                <w:szCs w:val="18"/>
                <w:color w:val="auto"/>
              </w:rPr>
              <w:t>Consent of KPMG, Independent Registered Public Accounting Firm</w:t>
            </w:r>
          </w:p>
        </w:tc>
      </w:tr>
      <w:tr>
        <w:trPr>
          <w:trHeight w:val="432"/>
        </w:trPr>
        <w:tc>
          <w:tcPr>
            <w:tcW w:w="1420" w:type="dxa"/>
            <w:vAlign w:val="bottom"/>
          </w:tcPr>
          <w:p>
            <w:pPr>
              <w:spacing w:after="0"/>
              <w:rPr>
                <w:sz w:val="20"/>
                <w:szCs w:val="20"/>
                <w:color w:val="auto"/>
              </w:rPr>
            </w:pPr>
            <w:r>
              <w:rPr>
                <w:rFonts w:ascii="Arial" w:cs="Arial" w:eastAsia="Arial" w:hAnsi="Arial"/>
                <w:sz w:val="18"/>
                <w:szCs w:val="18"/>
                <w:color w:val="auto"/>
              </w:rPr>
              <w:t>101.1**</w:t>
            </w:r>
          </w:p>
        </w:tc>
        <w:tc>
          <w:tcPr>
            <w:tcW w:w="9780" w:type="dxa"/>
            <w:vAlign w:val="bottom"/>
          </w:tcPr>
          <w:p>
            <w:pPr>
              <w:ind w:left="800"/>
              <w:spacing w:after="0"/>
              <w:rPr>
                <w:sz w:val="20"/>
                <w:szCs w:val="20"/>
                <w:color w:val="auto"/>
              </w:rPr>
            </w:pPr>
            <w:r>
              <w:rPr>
                <w:rFonts w:ascii="Arial" w:cs="Arial" w:eastAsia="Arial" w:hAnsi="Arial"/>
                <w:sz w:val="18"/>
                <w:szCs w:val="18"/>
                <w:color w:val="auto"/>
              </w:rPr>
              <w:t>Interactive Data Files (XBRL – Related Documents)</w:t>
            </w:r>
          </w:p>
        </w:tc>
      </w:tr>
    </w:tbl>
    <w:p>
      <w:pPr>
        <w:spacing w:after="0" w:line="229" w:lineRule="exact"/>
        <w:rPr>
          <w:sz w:val="20"/>
          <w:szCs w:val="20"/>
          <w:color w:val="auto"/>
        </w:rPr>
      </w:pPr>
    </w:p>
    <w:p>
      <w:pPr>
        <w:ind w:left="660" w:hanging="652"/>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ind w:left="660" w:hanging="652"/>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auto"/>
        </w:rPr>
        <w:t>Previously filed with the Company’s Annual Report on Form 20-F, filed with the Securities and Exchange Commission on March 23, 2016.</w:t>
      </w:r>
    </w:p>
    <w:p>
      <w:pPr>
        <w:spacing w:after="0" w:line="200" w:lineRule="exact"/>
        <w:rPr>
          <w:sz w:val="20"/>
          <w:szCs w:val="20"/>
          <w:color w:val="auto"/>
        </w:rPr>
      </w:pPr>
    </w:p>
    <w:p>
      <w:pPr>
        <w:spacing w:after="0" w:line="221" w:lineRule="exact"/>
        <w:rPr>
          <w:sz w:val="20"/>
          <w:szCs w:val="20"/>
          <w:color w:val="auto"/>
        </w:rPr>
      </w:pPr>
    </w:p>
    <w:p>
      <w:pPr>
        <w:jc w:val="center"/>
        <w:ind w:right="-219"/>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00"/>
          </w:cols>
          <w:pgMar w:left="240" w:top="121" w:right="4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Registrant hereby certifies that it meets all of the requirements for filing on Form 20-F and that it has duly caused and authorized the undersigned to sign this Amendment No. 1 to its annual report on its behalf.</w:t>
      </w:r>
    </w:p>
    <w:p>
      <w:pPr>
        <w:spacing w:after="0" w:line="193" w:lineRule="exact"/>
        <w:rPr>
          <w:sz w:val="20"/>
          <w:szCs w:val="20"/>
          <w:color w:val="auto"/>
        </w:rPr>
      </w:pPr>
    </w:p>
    <w:p>
      <w:pPr>
        <w:ind w:left="770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4885055</wp:posOffset>
            </wp:positionH>
            <wp:positionV relativeFrom="paragraph">
              <wp:posOffset>14605</wp:posOffset>
            </wp:positionV>
            <wp:extent cx="236664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366645" cy="1714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Dated: June 16, 2016</w:t>
      </w:r>
    </w:p>
    <w:p>
      <w:pPr>
        <w:spacing w:after="0" w:line="23"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Brendan Brennan</w:t>
      </w:r>
    </w:p>
    <w:p>
      <w:pPr>
        <w:spacing w:after="0" w:line="9"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Chief Financial Officer</w:t>
      </w:r>
    </w:p>
    <w:p>
      <w:pPr>
        <w:spacing w:after="0" w:line="200" w:lineRule="exact"/>
        <w:rPr>
          <w:sz w:val="20"/>
          <w:szCs w:val="20"/>
          <w:color w:val="auto"/>
        </w:rPr>
      </w:pPr>
    </w:p>
    <w:p>
      <w:pPr>
        <w:spacing w:after="0" w:line="277"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4</w:t>
      </w:r>
    </w:p>
    <w:p>
      <w:pPr>
        <w:sectPr>
          <w:pgSz w:w="11900" w:h="16838" w:orient="portrait"/>
          <w:cols w:equalWidth="0" w:num="1">
            <w:col w:w="11400"/>
          </w:cols>
          <w:pgMar w:left="240" w:top="364" w:right="25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12.1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I, Brendan Brennan, certify that:</w:t>
      </w:r>
    </w:p>
    <w:p>
      <w:pPr>
        <w:spacing w:after="0" w:line="252" w:lineRule="exact"/>
        <w:rPr>
          <w:sz w:val="20"/>
          <w:szCs w:val="20"/>
          <w:color w:val="auto"/>
        </w:rPr>
      </w:pPr>
    </w:p>
    <w:p>
      <w:pPr>
        <w:ind w:left="180" w:hanging="172"/>
        <w:spacing w:after="0"/>
        <w:tabs>
          <w:tab w:leader="none" w:pos="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 have reviewed this Amendment No. 1 to annual report on Form 20-F of ICON plc (“the registrant”).</w:t>
      </w:r>
    </w:p>
    <w:p>
      <w:pPr>
        <w:spacing w:after="0" w:line="252" w:lineRule="exact"/>
        <w:rPr>
          <w:rFonts w:ascii="Arial" w:cs="Arial" w:eastAsia="Arial" w:hAnsi="Arial"/>
          <w:sz w:val="18"/>
          <w:szCs w:val="18"/>
          <w:color w:val="auto"/>
        </w:rPr>
      </w:pPr>
    </w:p>
    <w:p>
      <w:pPr>
        <w:ind w:right="440" w:firstLine="8"/>
        <w:spacing w:after="0" w:line="342" w:lineRule="auto"/>
        <w:tabs>
          <w:tab w:leader="none" w:pos="180" w:val="left"/>
        </w:tabs>
        <w:numPr>
          <w:ilvl w:val="0"/>
          <w:numId w:val="3"/>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0" w:lineRule="exact"/>
        <w:rPr>
          <w:rFonts w:ascii="Arial" w:cs="Arial" w:eastAsia="Arial" w:hAnsi="Arial"/>
          <w:sz w:val="16"/>
          <w:szCs w:val="16"/>
          <w:color w:val="auto"/>
        </w:rPr>
      </w:pPr>
    </w:p>
    <w:p>
      <w:pPr>
        <w:ind w:right="60" w:firstLine="8"/>
        <w:spacing w:after="0" w:line="277" w:lineRule="auto"/>
        <w:tabs>
          <w:tab w:leader="none" w:pos="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97" w:lineRule="exact"/>
        <w:rPr>
          <w:rFonts w:ascii="Arial" w:cs="Arial" w:eastAsia="Arial" w:hAnsi="Arial"/>
          <w:sz w:val="18"/>
          <w:szCs w:val="18"/>
          <w:color w:val="auto"/>
        </w:rPr>
      </w:pPr>
    </w:p>
    <w:p>
      <w:pPr>
        <w:ind w:right="20" w:firstLine="8"/>
        <w:spacing w:after="0" w:line="264" w:lineRule="auto"/>
        <w:tabs>
          <w:tab w:leader="none" w:pos="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8" w:lineRule="exact"/>
        <w:rPr>
          <w:rFonts w:ascii="Arial" w:cs="Arial" w:eastAsia="Arial" w:hAnsi="Arial"/>
          <w:sz w:val="18"/>
          <w:szCs w:val="18"/>
          <w:color w:val="auto"/>
        </w:rPr>
      </w:pPr>
    </w:p>
    <w:p>
      <w:pPr>
        <w:ind w:left="660" w:right="20" w:hanging="4"/>
        <w:spacing w:after="0" w:line="264" w:lineRule="auto"/>
        <w:tabs>
          <w:tab w:leader="none" w:pos="845" w:val="left"/>
        </w:tabs>
        <w:numPr>
          <w:ilvl w:val="1"/>
          <w:numId w:val="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8" w:lineRule="exact"/>
        <w:rPr>
          <w:rFonts w:ascii="Arial" w:cs="Arial" w:eastAsia="Arial" w:hAnsi="Arial"/>
          <w:sz w:val="18"/>
          <w:szCs w:val="18"/>
          <w:color w:val="auto"/>
        </w:rPr>
      </w:pPr>
    </w:p>
    <w:p>
      <w:pPr>
        <w:ind w:left="660" w:right="240" w:hanging="4"/>
        <w:spacing w:after="0" w:line="264" w:lineRule="auto"/>
        <w:tabs>
          <w:tab w:leader="none" w:pos="855" w:val="left"/>
        </w:tabs>
        <w:numPr>
          <w:ilvl w:val="1"/>
          <w:numId w:val="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8" w:lineRule="exact"/>
        <w:rPr>
          <w:rFonts w:ascii="Arial" w:cs="Arial" w:eastAsia="Arial" w:hAnsi="Arial"/>
          <w:sz w:val="18"/>
          <w:szCs w:val="18"/>
          <w:color w:val="auto"/>
        </w:rPr>
      </w:pPr>
    </w:p>
    <w:p>
      <w:pPr>
        <w:ind w:left="660" w:right="900" w:hanging="4"/>
        <w:spacing w:after="0" w:line="342" w:lineRule="auto"/>
        <w:tabs>
          <w:tab w:leader="none" w:pos="845" w:val="left"/>
        </w:tabs>
        <w:numPr>
          <w:ilvl w:val="1"/>
          <w:numId w:val="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0" w:lineRule="exact"/>
        <w:rPr>
          <w:rFonts w:ascii="Arial" w:cs="Arial" w:eastAsia="Arial" w:hAnsi="Arial"/>
          <w:sz w:val="16"/>
          <w:szCs w:val="16"/>
          <w:color w:val="auto"/>
        </w:rPr>
      </w:pPr>
    </w:p>
    <w:p>
      <w:pPr>
        <w:ind w:left="660" w:right="480" w:hanging="4"/>
        <w:spacing w:after="0" w:line="342" w:lineRule="auto"/>
        <w:tabs>
          <w:tab w:leader="none" w:pos="855" w:val="left"/>
        </w:tabs>
        <w:numPr>
          <w:ilvl w:val="1"/>
          <w:numId w:val="3"/>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period covered by the annual report that has materially affected, or is reasonably likely to materially affect, the company’s internal control over financial reporting.</w:t>
      </w:r>
    </w:p>
    <w:p>
      <w:pPr>
        <w:spacing w:after="0" w:line="150" w:lineRule="exact"/>
        <w:rPr>
          <w:rFonts w:ascii="Arial" w:cs="Arial" w:eastAsia="Arial" w:hAnsi="Arial"/>
          <w:sz w:val="16"/>
          <w:szCs w:val="16"/>
          <w:color w:val="auto"/>
        </w:rPr>
      </w:pPr>
    </w:p>
    <w:p>
      <w:pPr>
        <w:ind w:right="660" w:firstLine="8"/>
        <w:spacing w:after="0" w:line="308" w:lineRule="auto"/>
        <w:tabs>
          <w:tab w:leader="none" w:pos="18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4" w:lineRule="exact"/>
        <w:rPr>
          <w:sz w:val="20"/>
          <w:szCs w:val="20"/>
          <w:color w:val="auto"/>
        </w:rPr>
      </w:pPr>
    </w:p>
    <w:p>
      <w:pPr>
        <w:ind w:right="280" w:firstLine="8"/>
        <w:spacing w:after="0" w:line="277" w:lineRule="auto"/>
        <w:tabs>
          <w:tab w:leader="none" w:pos="185" w:val="left"/>
        </w:tabs>
        <w:numPr>
          <w:ilvl w:val="0"/>
          <w:numId w:val="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97" w:lineRule="exact"/>
        <w:rPr>
          <w:rFonts w:ascii="Arial" w:cs="Arial" w:eastAsia="Arial" w:hAnsi="Arial"/>
          <w:sz w:val="18"/>
          <w:szCs w:val="18"/>
          <w:color w:val="auto"/>
        </w:rPr>
      </w:pPr>
    </w:p>
    <w:p>
      <w:pPr>
        <w:ind w:right="520" w:firstLine="8"/>
        <w:spacing w:after="0" w:line="277" w:lineRule="auto"/>
        <w:tabs>
          <w:tab w:leader="none" w:pos="195"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Dated: June 16, 2016</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144907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1714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Brendan Brennan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jc w:val="center"/>
        <w:ind w:right="-39"/>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Pursuant to Section 302 of</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Ciaran Murray, certify that:</w:t>
      </w:r>
    </w:p>
    <w:p>
      <w:pPr>
        <w:spacing w:after="0" w:line="252" w:lineRule="exact"/>
        <w:rPr>
          <w:sz w:val="20"/>
          <w:szCs w:val="20"/>
          <w:color w:val="auto"/>
        </w:rPr>
      </w:pPr>
    </w:p>
    <w:p>
      <w:pPr>
        <w:ind w:left="180" w:hanging="172"/>
        <w:spacing w:after="0"/>
        <w:tabs>
          <w:tab w:leader="none" w:pos="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I have reviewed this Amendment No. 1 to annual report on Form 20-F of ICON plc (“the registrant”).</w:t>
      </w:r>
    </w:p>
    <w:p>
      <w:pPr>
        <w:spacing w:after="0" w:line="252" w:lineRule="exact"/>
        <w:rPr>
          <w:rFonts w:ascii="Arial" w:cs="Arial" w:eastAsia="Arial" w:hAnsi="Arial"/>
          <w:sz w:val="18"/>
          <w:szCs w:val="18"/>
          <w:color w:val="auto"/>
        </w:rPr>
      </w:pPr>
    </w:p>
    <w:p>
      <w:pPr>
        <w:ind w:right="420" w:firstLine="8"/>
        <w:spacing w:after="0" w:line="342" w:lineRule="auto"/>
        <w:tabs>
          <w:tab w:leader="none" w:pos="180" w:val="left"/>
        </w:tabs>
        <w:numPr>
          <w:ilvl w:val="0"/>
          <w:numId w:val="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0" w:lineRule="exact"/>
        <w:rPr>
          <w:rFonts w:ascii="Arial" w:cs="Arial" w:eastAsia="Arial" w:hAnsi="Arial"/>
          <w:sz w:val="16"/>
          <w:szCs w:val="16"/>
          <w:color w:val="auto"/>
        </w:rPr>
      </w:pPr>
    </w:p>
    <w:p>
      <w:pPr>
        <w:ind w:right="40" w:firstLine="8"/>
        <w:spacing w:after="0" w:line="277" w:lineRule="auto"/>
        <w:tabs>
          <w:tab w:leader="none" w:pos="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97" w:lineRule="exact"/>
        <w:rPr>
          <w:rFonts w:ascii="Arial" w:cs="Arial" w:eastAsia="Arial" w:hAnsi="Arial"/>
          <w:sz w:val="18"/>
          <w:szCs w:val="18"/>
          <w:color w:val="auto"/>
        </w:rPr>
      </w:pPr>
    </w:p>
    <w:p>
      <w:pPr>
        <w:ind w:firstLine="8"/>
        <w:spacing w:after="0" w:line="264" w:lineRule="auto"/>
        <w:tabs>
          <w:tab w:leader="none" w:pos="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8" w:lineRule="exact"/>
        <w:rPr>
          <w:rFonts w:ascii="Arial" w:cs="Arial" w:eastAsia="Arial" w:hAnsi="Arial"/>
          <w:sz w:val="18"/>
          <w:szCs w:val="18"/>
          <w:color w:val="auto"/>
        </w:rPr>
      </w:pPr>
    </w:p>
    <w:p>
      <w:pPr>
        <w:ind w:left="660" w:hanging="4"/>
        <w:spacing w:after="0" w:line="264" w:lineRule="auto"/>
        <w:tabs>
          <w:tab w:leader="none" w:pos="845" w:val="left"/>
        </w:tabs>
        <w:numPr>
          <w:ilvl w:val="1"/>
          <w:numId w:val="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8" w:lineRule="exact"/>
        <w:rPr>
          <w:rFonts w:ascii="Arial" w:cs="Arial" w:eastAsia="Arial" w:hAnsi="Arial"/>
          <w:sz w:val="18"/>
          <w:szCs w:val="18"/>
          <w:color w:val="auto"/>
        </w:rPr>
      </w:pPr>
    </w:p>
    <w:p>
      <w:pPr>
        <w:ind w:left="660" w:right="220" w:hanging="4"/>
        <w:spacing w:after="0" w:line="264" w:lineRule="auto"/>
        <w:tabs>
          <w:tab w:leader="none" w:pos="855" w:val="left"/>
        </w:tabs>
        <w:numPr>
          <w:ilvl w:val="1"/>
          <w:numId w:val="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8" w:lineRule="exact"/>
        <w:rPr>
          <w:rFonts w:ascii="Arial" w:cs="Arial" w:eastAsia="Arial" w:hAnsi="Arial"/>
          <w:sz w:val="18"/>
          <w:szCs w:val="18"/>
          <w:color w:val="auto"/>
        </w:rPr>
      </w:pPr>
    </w:p>
    <w:p>
      <w:pPr>
        <w:ind w:left="660" w:right="880" w:hanging="4"/>
        <w:spacing w:after="0" w:line="342" w:lineRule="auto"/>
        <w:tabs>
          <w:tab w:leader="none" w:pos="845" w:val="left"/>
        </w:tabs>
        <w:numPr>
          <w:ilvl w:val="1"/>
          <w:numId w:val="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0" w:lineRule="exact"/>
        <w:rPr>
          <w:rFonts w:ascii="Arial" w:cs="Arial" w:eastAsia="Arial" w:hAnsi="Arial"/>
          <w:sz w:val="16"/>
          <w:szCs w:val="16"/>
          <w:color w:val="auto"/>
        </w:rPr>
      </w:pPr>
    </w:p>
    <w:p>
      <w:pPr>
        <w:ind w:left="660" w:right="460" w:hanging="4"/>
        <w:spacing w:after="0" w:line="342" w:lineRule="auto"/>
        <w:tabs>
          <w:tab w:leader="none" w:pos="855" w:val="left"/>
        </w:tabs>
        <w:numPr>
          <w:ilvl w:val="1"/>
          <w:numId w:val="5"/>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period covered by the annual report that has materially affected, or is reasonably likely to materially affect, the company’s internal control over financial reporting.</w:t>
      </w:r>
    </w:p>
    <w:p>
      <w:pPr>
        <w:spacing w:after="0" w:line="150" w:lineRule="exact"/>
        <w:rPr>
          <w:rFonts w:ascii="Arial" w:cs="Arial" w:eastAsia="Arial" w:hAnsi="Arial"/>
          <w:sz w:val="16"/>
          <w:szCs w:val="16"/>
          <w:color w:val="auto"/>
        </w:rPr>
      </w:pPr>
    </w:p>
    <w:p>
      <w:pPr>
        <w:ind w:right="640" w:firstLine="8"/>
        <w:spacing w:after="0" w:line="308" w:lineRule="auto"/>
        <w:tabs>
          <w:tab w:leader="none" w:pos="18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4" w:lineRule="exact"/>
        <w:rPr>
          <w:sz w:val="20"/>
          <w:szCs w:val="20"/>
          <w:color w:val="auto"/>
        </w:rPr>
      </w:pPr>
    </w:p>
    <w:p>
      <w:pPr>
        <w:ind w:right="260" w:firstLine="8"/>
        <w:spacing w:after="0" w:line="277" w:lineRule="auto"/>
        <w:tabs>
          <w:tab w:leader="none" w:pos="185"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97" w:lineRule="exact"/>
        <w:rPr>
          <w:rFonts w:ascii="Arial" w:cs="Arial" w:eastAsia="Arial" w:hAnsi="Arial"/>
          <w:sz w:val="18"/>
          <w:szCs w:val="18"/>
          <w:color w:val="auto"/>
        </w:rPr>
      </w:pPr>
    </w:p>
    <w:p>
      <w:pPr>
        <w:ind w:right="500" w:firstLine="8"/>
        <w:spacing w:after="0" w:line="277" w:lineRule="auto"/>
        <w:tabs>
          <w:tab w:leader="none" w:pos="195"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Dated: June 16, 2016</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Ciaran Murray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144907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49070" cy="1714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Ciaran Murray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50"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6</w:t>
      </w:r>
    </w:p>
    <w:p>
      <w:pPr>
        <w:sectPr>
          <w:pgSz w:w="11900" w:h="16838" w:orient="portrait"/>
          <w:cols w:equalWidth="0" w:num="1">
            <w:col w:w="11400"/>
          </w:cols>
          <w:pgMar w:left="240" w:top="121" w:right="259"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ICON plc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consent to the incorporation by reference in the registration statements (Nos. 333-204153 and 333-190068) each on Form S-8 of ICON plc of our reports dated March 23, 2016, with respect to the consolidated balance sheets of ICON plc as of December 31, 2015 and 2014 and the related consolidated statements of operations, comprehensive income, shareholders’ equity and comprehensive income, and cash flows for each of the years in the three-year period ended December 31, 2015, and the effectiveness of internal control over financial reporting as of December 31, 2015, which reports appear in the December 31, 2015 Annual Report on Form 20-F of ICON plc.</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/s/ KPMG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KPMG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Dublin, Ireland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March 23, 2016</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7</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1."/>
      <w:numFmt w:val="decimal"/>
      <w:start w:val="1"/>
    </w:lvl>
    <w:lvl w:ilvl="1">
      <w:lvlJc w:val="left"/>
      <w:lvlText w:val="%2)"/>
      <w:numFmt w:val="lowerLetter"/>
      <w:start w:val="1"/>
    </w:lvl>
  </w:abstractNum>
  <w:abstractNum w:abstractNumId="3">
    <w:nsid w:val="46E87CCD"/>
    <w:multiLevelType w:val="hybridMultilevel"/>
    <w:lvl w:ilvl="0">
      <w:lvlJc w:val="left"/>
      <w:lvlText w:val="%1)"/>
      <w:numFmt w:val="lowerLetter"/>
      <w:start w:val="1"/>
    </w:lvl>
  </w:abstractNum>
  <w:abstractNum w:abstractNumId="4">
    <w:nsid w:val="3D1B58BA"/>
    <w:multiLevelType w:val="hybridMultilevel"/>
    <w:lvl w:ilvl="0">
      <w:lvlJc w:val="left"/>
      <w:lvlText w:val="%1."/>
      <w:numFmt w:val="decimal"/>
      <w:start w:val="1"/>
    </w:lvl>
    <w:lvl w:ilvl="1">
      <w:lvlJc w:val="left"/>
      <w:lvlText w:val="%2)"/>
      <w:numFmt w:val="lowerLetter"/>
      <w:start w:val="1"/>
    </w:lvl>
  </w:abstractNum>
  <w:abstractNum w:abstractNumId="5">
    <w:nsid w:val="507ED7A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2019-12-06T21:31:26Z</dcterms:created>
  <dcterms:modified xsi:type="dcterms:W3CDTF">2019-12-06T21:31:26Z</dcterms:modified>
</cp:coreProperties>
</file>