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SECURITIES AND EXCHANGE COMMISSION</w:t>
      </w:r>
    </w:p>
    <w:p>
      <w:pPr>
        <w:spacing w:after="0" w:line="282" w:lineRule="exact"/>
        <w:rPr>
          <w:sz w:val="24"/>
          <w:szCs w:val="24"/>
          <w:color w:val="auto"/>
        </w:rPr>
      </w:pPr>
    </w:p>
    <w:p>
      <w:pPr>
        <w:ind w:left="4720"/>
        <w:spacing w:after="0"/>
        <w:rPr>
          <w:sz w:val="20"/>
          <w:szCs w:val="20"/>
          <w:color w:val="auto"/>
        </w:rPr>
      </w:pPr>
      <w:r>
        <w:rPr>
          <w:rFonts w:ascii="Arial" w:cs="Arial" w:eastAsia="Arial" w:hAnsi="Arial"/>
          <w:sz w:val="16"/>
          <w:szCs w:val="16"/>
          <w:color w:val="auto"/>
        </w:rPr>
        <w:t>Washington, D.C. 20549</w:t>
      </w:r>
    </w:p>
    <w:p>
      <w:pPr>
        <w:spacing w:after="0" w:line="289" w:lineRule="exact"/>
        <w:rPr>
          <w:sz w:val="24"/>
          <w:szCs w:val="24"/>
          <w:color w:val="auto"/>
        </w:rPr>
      </w:pPr>
    </w:p>
    <w:p>
      <w:pPr>
        <w:ind w:left="5220"/>
        <w:spacing w:after="0"/>
        <w:rPr>
          <w:sz w:val="20"/>
          <w:szCs w:val="20"/>
          <w:color w:val="auto"/>
        </w:rPr>
      </w:pPr>
      <w:r>
        <w:rPr>
          <w:rFonts w:ascii="Arial" w:cs="Arial" w:eastAsia="Arial" w:hAnsi="Arial"/>
          <w:sz w:val="16"/>
          <w:szCs w:val="16"/>
          <w:b w:val="1"/>
          <w:bCs w:val="1"/>
          <w:color w:val="auto"/>
        </w:rPr>
        <w:t>FORM 6-K</w:t>
      </w:r>
    </w:p>
    <w:p>
      <w:pPr>
        <w:spacing w:after="0" w:line="275"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Report of Foreign Private Issuer</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318"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For the month of</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May 2025</w:t>
      </w:r>
    </w:p>
    <w:p>
      <w:pPr>
        <w:spacing w:after="0" w:line="200" w:lineRule="exact"/>
        <w:rPr>
          <w:sz w:val="24"/>
          <w:szCs w:val="24"/>
          <w:color w:val="auto"/>
        </w:rPr>
      </w:pPr>
    </w:p>
    <w:p>
      <w:pPr>
        <w:spacing w:after="0" w:line="332"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333-08704</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332"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ICON plc</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318"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46"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31" w:lineRule="exact"/>
        <w:rPr>
          <w:sz w:val="24"/>
          <w:szCs w:val="24"/>
          <w:color w:val="auto"/>
        </w:rPr>
      </w:pPr>
    </w:p>
    <w:p>
      <w:pPr>
        <w:ind w:left="4380"/>
        <w:spacing w:after="0"/>
        <w:tabs>
          <w:tab w:leader="none" w:pos="652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24"/>
          <w:szCs w:val="24"/>
          <w:color w:val="auto"/>
          <w:vertAlign w:val="subscript"/>
        </w:rPr>
        <w:t>Form 40-F______</w:t>
      </w:r>
    </w:p>
    <w:p>
      <w:pPr>
        <w:sectPr>
          <w:pgSz w:w="11900" w:h="16838" w:orient="portrait"/>
          <w:cols w:equalWidth="0" w:num="1">
            <w:col w:w="10119"/>
          </w:cols>
          <w:pgMar w:left="340" w:top="1259" w:right="1440" w:bottom="1440" w:gutter="0" w:footer="0" w:header="0"/>
        </w:sectPr>
      </w:pPr>
    </w:p>
    <w:bookmarkStart w:id="1" w:name="page2"/>
    <w:bookmarkEnd w:id="1"/>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652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57" w:lineRule="exact"/>
        <w:rPr>
          <w:sz w:val="20"/>
          <w:szCs w:val="20"/>
          <w:color w:val="auto"/>
        </w:rPr>
      </w:pPr>
    </w:p>
    <w:p>
      <w:pPr>
        <w:ind w:left="5080"/>
        <w:spacing w:after="0"/>
        <w:rPr>
          <w:sz w:val="20"/>
          <w:szCs w:val="20"/>
          <w:color w:val="auto"/>
        </w:rPr>
      </w:pPr>
      <w:r>
        <w:rPr>
          <w:rFonts w:ascii="Arial" w:cs="Arial" w:eastAsia="Arial" w:hAnsi="Arial"/>
          <w:sz w:val="16"/>
          <w:szCs w:val="16"/>
          <w:b w:val="1"/>
          <w:bCs w:val="1"/>
          <w:u w:val="single" w:color="auto"/>
          <w:color w:val="auto"/>
        </w:rPr>
        <w:t>EXHIBIT LIST</w:t>
      </w:r>
    </w:p>
    <w:p>
      <w:pPr>
        <w:spacing w:after="0" w:line="200" w:lineRule="exact"/>
        <w:rPr>
          <w:sz w:val="20"/>
          <w:szCs w:val="20"/>
          <w:color w:val="auto"/>
        </w:rPr>
      </w:pPr>
    </w:p>
    <w:p>
      <w:pPr>
        <w:spacing w:after="0" w:line="291"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275"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u w:val="single" w:color="auto"/>
          <w:color w:val="0000FF"/>
        </w:rPr>
        <w:t>99.1</w:t>
      </w:r>
      <w:r>
        <w:rPr>
          <w:sz w:val="20"/>
          <w:szCs w:val="20"/>
          <w:color w:val="auto"/>
        </w:rPr>
        <w:tab/>
      </w:r>
      <w:r>
        <w:rPr>
          <w:rFonts w:ascii="Arial" w:cs="Arial" w:eastAsia="Arial" w:hAnsi="Arial"/>
          <w:sz w:val="16"/>
          <w:szCs w:val="16"/>
          <w:u w:val="single" w:color="auto"/>
          <w:color w:val="0000FF"/>
        </w:rPr>
        <w:t>ICON plc Press Release issued May 19, 2025 - ICON releases its ICON Cares 2024 Report</w:t>
      </w:r>
    </w:p>
    <w:p>
      <w:pPr>
        <w:sectPr>
          <w:pgSz w:w="11900" w:h="16838" w:orient="portrait"/>
          <w:cols w:equalWidth="0" w:num="1">
            <w:col w:w="10119"/>
          </w:cols>
          <w:pgMar w:left="340" w:top="144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ICON plc</w:t>
            </w:r>
          </w:p>
        </w:tc>
      </w:tr>
      <w:tr>
        <w:trPr>
          <w:trHeight w:val="717"/>
        </w:trPr>
        <w:tc>
          <w:tcPr>
            <w:tcW w:w="74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Nigel Clerkin</w:t>
            </w:r>
          </w:p>
        </w:tc>
      </w:tr>
      <w:tr>
        <w:trPr>
          <w:trHeight w:val="445"/>
        </w:trPr>
        <w:tc>
          <w:tcPr>
            <w:tcW w:w="7480" w:type="dxa"/>
            <w:vAlign w:val="bottom"/>
          </w:tcPr>
          <w:p>
            <w:pPr>
              <w:spacing w:after="0"/>
              <w:rPr>
                <w:sz w:val="20"/>
                <w:szCs w:val="20"/>
                <w:color w:val="auto"/>
              </w:rPr>
            </w:pPr>
            <w:r>
              <w:rPr>
                <w:rFonts w:ascii="Arial" w:cs="Arial" w:eastAsia="Arial" w:hAnsi="Arial"/>
                <w:sz w:val="16"/>
                <w:szCs w:val="16"/>
                <w:color w:val="auto"/>
              </w:rPr>
              <w:t>Date: May 19, 2025</w:t>
            </w:r>
          </w:p>
        </w:tc>
        <w:tc>
          <w:tcPr>
            <w:tcW w:w="3740" w:type="dxa"/>
            <w:vAlign w:val="bottom"/>
          </w:tcPr>
          <w:p>
            <w:pPr>
              <w:ind w:left="20"/>
              <w:spacing w:after="0"/>
              <w:rPr>
                <w:sz w:val="20"/>
                <w:szCs w:val="20"/>
                <w:color w:val="auto"/>
              </w:rPr>
            </w:pPr>
            <w:r>
              <w:rPr>
                <w:rFonts w:ascii="Arial" w:cs="Arial" w:eastAsia="Arial" w:hAnsi="Arial"/>
                <w:sz w:val="16"/>
                <w:szCs w:val="16"/>
                <w:color w:val="auto"/>
              </w:rPr>
              <w:t>Nigel Clerkin</w:t>
            </w:r>
          </w:p>
        </w:tc>
      </w:tr>
      <w:tr>
        <w:trPr>
          <w:trHeight w:val="215"/>
        </w:trPr>
        <w:tc>
          <w:tcPr>
            <w:tcW w:w="74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13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777875</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ICON releases its ICON Cares 2024 Report</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20"/>
          <w:szCs w:val="20"/>
          <w:b w:val="1"/>
          <w:bCs w:val="1"/>
          <w:color w:val="auto"/>
        </w:rPr>
        <w:t xml:space="preserve">Dublin, Ireland – 19 May 2025 – </w:t>
      </w:r>
      <w:r>
        <w:rPr>
          <w:rFonts w:ascii="Arial" w:cs="Arial" w:eastAsia="Arial" w:hAnsi="Arial"/>
          <w:sz w:val="20"/>
          <w:szCs w:val="20"/>
          <w:color w:val="auto"/>
        </w:rPr>
        <w:t>ICON plc, (NASDAQ: ICLR) a world-leading clinical research organisation powered by</w:t>
      </w:r>
      <w:r>
        <w:rPr>
          <w:rFonts w:ascii="Arial" w:cs="Arial" w:eastAsia="Arial" w:hAnsi="Arial"/>
          <w:sz w:val="20"/>
          <w:szCs w:val="20"/>
          <w:b w:val="1"/>
          <w:bCs w:val="1"/>
          <w:color w:val="auto"/>
        </w:rPr>
        <w:t xml:space="preserve"> </w:t>
      </w:r>
      <w:r>
        <w:rPr>
          <w:rFonts w:ascii="Arial" w:cs="Arial" w:eastAsia="Arial" w:hAnsi="Arial"/>
          <w:sz w:val="20"/>
          <w:szCs w:val="20"/>
          <w:color w:val="auto"/>
        </w:rPr>
        <w:t>healthcare intelligence, today releases its ICON Cares 2024 Report. The report outlines how the company is delivering on its environmental, social and governance (ESG) goals, as delivered through its ICON Cares program.</w:t>
      </w:r>
    </w:p>
    <w:p>
      <w:pPr>
        <w:spacing w:after="0" w:line="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recognition of its efforts in 2024, ICON received a score of 72/100 from EcoVadis, a leading provider of business sustainability ratings, an increase of two points on the previous score, earning ICON a silver medal. ICON also achieved a B- score on its CDP Climate Change response. Most recently, ICON has been named by TIME magazine as one the World’s Best Companies in Sustainable Growth 2025 and the highest ranked CRO.</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On the publication of the report, ICON’s CEO, Dr. Steve Cutler commented: “</w:t>
      </w:r>
      <w:r>
        <w:rPr>
          <w:rFonts w:ascii="Arial" w:cs="Arial" w:eastAsia="Arial" w:hAnsi="Arial"/>
          <w:sz w:val="20"/>
          <w:szCs w:val="20"/>
          <w:i w:val="1"/>
          <w:iCs w:val="1"/>
          <w:color w:val="auto"/>
        </w:rPr>
        <w:t>Our industry continues to rapidly evolve – sitting at</w:t>
      </w:r>
      <w:r>
        <w:rPr>
          <w:rFonts w:ascii="Arial" w:cs="Arial" w:eastAsia="Arial" w:hAnsi="Arial"/>
          <w:sz w:val="20"/>
          <w:szCs w:val="20"/>
          <w:color w:val="auto"/>
        </w:rPr>
        <w:t xml:space="preserve"> </w:t>
      </w:r>
      <w:r>
        <w:rPr>
          <w:rFonts w:ascii="Arial" w:cs="Arial" w:eastAsia="Arial" w:hAnsi="Arial"/>
          <w:sz w:val="20"/>
          <w:szCs w:val="20"/>
          <w:i w:val="1"/>
          <w:iCs w:val="1"/>
          <w:color w:val="auto"/>
        </w:rPr>
        <w:t>the confluence of the AI revolution and a parallel revolution in biomedical science. This represents an unprecedented opportunity to address unmet clinical need and to impact the lives of countless patients. As we embrace these changes, we remain focused on delivering on our ICON Cares commitments to our patients, customers, people and planet.”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ICON Cares 2024 Report is available here. Highlights in the report include: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Continued focus on improving public health and increasing access to clinical trials</w:t>
      </w:r>
    </w:p>
    <w:p>
      <w:pPr>
        <w:spacing w:after="0" w:line="3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ICON recognises access to healthcare as a fundamental human right. In 2024, we continued strides towards improving patients’ lives and concentrated on expanding trial access and improving representation for all participants, trial investigators and community and patient advocacy groups. In 2024, ICON supported over 1,270 clinical studies involving over 416,000 patients. Our efforts contributed to 19 medicines receiving original or supplemental approval.</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Innovation and artificial intelligence (AI)</w:t>
      </w:r>
    </w:p>
    <w:p>
      <w:pPr>
        <w:spacing w:after="0" w:line="33"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ICON, powered by healthcare intelligence, is devising innovative solutions, leveraging technology, data and partnerships to enhance patient access to clinical trials and to reduce the time from clinical trial to drug approval. ICON expanded its capabilities in AI and robotic process automation in 2024, enhancing efficiency, execution and delivery for its customers. Governance around this evolving technology was also strengthened while ensuring that our automated solutions always factor in human oversight and comply with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Minimising environmental footprint in our operations</w:t>
      </w:r>
    </w:p>
    <w:p>
      <w:pPr>
        <w:spacing w:after="0" w:line="20"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In October 2024, ICON’s near-term, long-term and net-zero science-based targets were validated by the Science Based Targets initiative (SBTi). We have exceeded our near-term SBTi target of 61.2% by 2028 as we have achieved a 70.06% reduction in Scope 1 &amp; 2 Green House Gas (GHG) emissions. We continue to work towards achieving our Scope 3 emissions reduction and long-term targets. Also, we have reduced kit wastage by 15-20% in our laboratories business on certain studies by analysing historical sponsor data and site behaviours using active kit management.</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ICON also continued to make improvements against our other environmental targets in 2024 including:</w:t>
      </w:r>
    </w:p>
    <w:p>
      <w:pPr>
        <w:spacing w:after="0" w:line="211"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84.67% of electricity consumed in 2024 came from renewable sources</w:t>
      </w:r>
    </w:p>
    <w:p>
      <w:pPr>
        <w:sectPr>
          <w:pgSz w:w="11900" w:h="16838" w:orient="portrait"/>
          <w:cols w:equalWidth="0" w:num="1">
            <w:col w:w="11240"/>
          </w:cols>
          <w:pgMar w:left="320" w:top="129"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18.8% reduction in kilowatt hours of electricity compared to 2018</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about ICON Cares, please visit www.iconplc.com/esg/.</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Ends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ICON plc</w:t>
      </w:r>
    </w:p>
    <w:p>
      <w:pPr>
        <w:spacing w:after="0" w:line="43"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41,250 employees in 97 locations in 55 countries as at March 31, 2025. For further information about ICON, visit: www.iconplc.com.</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Lisa Henry, Weber Shandwick (PR adviser)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+44 7785 458203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lhenry@webershandwick.com</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Kate Haven, Vice President Investor Relations, ICON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+1-888-381-7923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IR@iconplc.com</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ICON/ICLR-G</w:t>
      </w:r>
    </w:p>
    <w:sectPr>
      <w:pgSz w:w="11900" w:h="16838" w:orient="portrait"/>
      <w:cols w:equalWidth="0" w:num="1">
        <w:col w:w="11240"/>
      </w:cols>
      <w:pgMar w:left="320" w:top="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2025-05-19T15:25:13Z</dcterms:created>
  <dcterms:modified xsi:type="dcterms:W3CDTF">2025-05-19T15:25:13Z</dcterms:modified>
</cp:coreProperties>
</file>