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340"/>
        <w:spacing w:after="0"/>
        <w:rPr>
          <w:sz w:val="20"/>
          <w:szCs w:val="20"/>
          <w:color w:val="auto"/>
        </w:rPr>
      </w:pPr>
      <w:r>
        <w:rPr>
          <w:rFonts w:ascii="Arial" w:cs="Arial" w:eastAsia="Arial" w:hAnsi="Arial"/>
          <w:sz w:val="22"/>
          <w:szCs w:val="22"/>
          <w:color w:val="auto"/>
        </w:rPr>
        <w:t>For the month ended July, 2019</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ind w:left="498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LIST</w:t>
      </w:r>
    </w:p>
    <w:p>
      <w:pPr>
        <w:spacing w:after="0" w:line="24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July 24, 2019 - ICON Reports Second Quarter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440" w:right="2120" w:hanging="7427"/>
        <w:spacing w:after="0" w:line="290" w:lineRule="auto"/>
        <w:tabs>
          <w:tab w:leader="none" w:pos="7420" w:val="left"/>
        </w:tabs>
        <w:rPr>
          <w:sz w:val="20"/>
          <w:szCs w:val="20"/>
          <w:color w:val="auto"/>
        </w:rPr>
      </w:pPr>
      <w:r>
        <w:rPr>
          <w:rFonts w:ascii="Arial" w:cs="Arial" w:eastAsia="Arial" w:hAnsi="Arial"/>
          <w:sz w:val="18"/>
          <w:szCs w:val="18"/>
          <w:color w:val="auto"/>
        </w:rPr>
        <w:t>Date: July 24, 2019</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40"/>
          </w:cols>
          <w:pgMar w:left="240" w:top="11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Second Quarter 2019 Results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business wins (including pass-through) in the quarter of $901 million; a book to bill of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80"/>
        <w:spacing w:after="0" w:line="256" w:lineRule="auto"/>
        <w:rPr>
          <w:sz w:val="20"/>
          <w:szCs w:val="20"/>
          <w:color w:val="auto"/>
        </w:rPr>
      </w:pPr>
      <w:r>
        <w:rPr>
          <w:rFonts w:ascii="Arial" w:cs="Arial" w:eastAsia="Arial" w:hAnsi="Arial"/>
          <w:sz w:val="22"/>
          <w:szCs w:val="22"/>
          <w:b w:val="1"/>
          <w:bCs w:val="1"/>
          <w:color w:val="auto"/>
        </w:rPr>
        <w:t>Quarter 2 reported revenue of $695.1 million. This represents a year on year increase of 8.3% or 10.5%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left="540" w:right="440"/>
        <w:spacing w:after="0" w:line="280" w:lineRule="auto"/>
        <w:rPr>
          <w:sz w:val="20"/>
          <w:szCs w:val="20"/>
          <w:color w:val="auto"/>
        </w:rPr>
      </w:pPr>
      <w:r>
        <w:rPr>
          <w:rFonts w:ascii="Arial" w:cs="Arial" w:eastAsia="Arial" w:hAnsi="Arial"/>
          <w:sz w:val="21"/>
          <w:szCs w:val="21"/>
          <w:b w:val="1"/>
          <w:bCs w:val="1"/>
          <w:color w:val="auto"/>
        </w:rPr>
        <w:t>Reported earnings per share attributable to the Group of $1.69, an increase of 11.6% over Q2 2018*. Year to date earnings per share attributable to the Group of $3.31, a 13.0% increase over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-292100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right="560"/>
        <w:spacing w:after="0" w:line="256" w:lineRule="auto"/>
        <w:rPr>
          <w:sz w:val="20"/>
          <w:szCs w:val="20"/>
          <w:color w:val="auto"/>
        </w:rPr>
      </w:pPr>
      <w:r>
        <w:rPr>
          <w:rFonts w:ascii="Arial" w:cs="Arial" w:eastAsia="Arial" w:hAnsi="Arial"/>
          <w:sz w:val="22"/>
          <w:szCs w:val="22"/>
          <w:b w:val="1"/>
          <w:bCs w:val="1"/>
          <w:color w:val="auto"/>
        </w:rPr>
        <w:t>Reaffirming revenue guidance range of $2,760 - $2,840 million and earnings per share guidance range of $6.75 – $6.95.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*before non-recurring charges.</w:t>
      </w:r>
    </w:p>
    <w:p>
      <w:pPr>
        <w:spacing w:after="0" w:line="206"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color w:val="auto"/>
        </w:rPr>
        <w:t>DUBLIN--(BUSINESS WIRE)--July 24, 2019--</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second quarter ended June 30, 2019.</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CEO Dr. Steve Cutler commented, “</w:t>
      </w:r>
      <w:r>
        <w:rPr>
          <w:rFonts w:ascii="Arial" w:cs="Arial" w:eastAsia="Arial" w:hAnsi="Arial"/>
          <w:sz w:val="19"/>
          <w:szCs w:val="19"/>
          <w:i w:val="1"/>
          <w:iCs w:val="1"/>
          <w:color w:val="auto"/>
        </w:rPr>
        <w:t>Quarter two represented another strong quarter for ICON. We continue to execute well on our</w:t>
      </w:r>
      <w:r>
        <w:rPr>
          <w:rFonts w:ascii="Arial" w:cs="Arial" w:eastAsia="Arial" w:hAnsi="Arial"/>
          <w:sz w:val="19"/>
          <w:szCs w:val="19"/>
          <w:color w:val="auto"/>
        </w:rPr>
        <w:t xml:space="preserve"> </w:t>
      </w:r>
      <w:r>
        <w:rPr>
          <w:rFonts w:ascii="Arial" w:cs="Arial" w:eastAsia="Arial" w:hAnsi="Arial"/>
          <w:sz w:val="19"/>
          <w:szCs w:val="19"/>
          <w:i w:val="1"/>
          <w:iCs w:val="1"/>
          <w:color w:val="auto"/>
        </w:rPr>
        <w:t>Patient, Site and Data delivery strategy which was enhanced further by the acquisition of a majority shareholding in MeDiNova Research in May. During the quarter we recorded $901 million of net business wins, representing a quarterly book to bill of 1.30x and our backlog grew by 11.1% over last year to $8.2 billion. As a result revenue grew by 10.5% on a constant currency basis to $695 million compared to the same quarter last year and earnings per share increased by 12% to $1.69. Market demand fundamentals continue to remain healthy and consequently we are reaffirming our 2019 revenue guidance to be in the range of $2,760 – 2,840 million and our earnings guidance to be in the range of $6.75 - $6.95.”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2019 Results</w:t>
      </w:r>
    </w:p>
    <w:p>
      <w:pPr>
        <w:spacing w:after="0" w:line="212"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Gross business wins (including pass-through) in the second quarter were $1.04 billion and cancellations were $135 million. This resulted in net business wins of $901 million and a book to bill of 1.30.</w:t>
      </w:r>
    </w:p>
    <w:p>
      <w:pPr>
        <w:spacing w:after="0" w:line="173"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Reported revenue for quarter 2 was $695.1 million. This represents a year on year increase of 8.3% or 10.5% on a constant currency basis.</w:t>
      </w:r>
    </w:p>
    <w:p>
      <w:pPr>
        <w:spacing w:after="0" w:line="173"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Reported income from operations in the quarter was $106.1 million or 15.3% of revenue compared to $94.4 million or 14.7% of revenue for Q2 2018*.</w:t>
      </w:r>
    </w:p>
    <w:p>
      <w:pPr>
        <w:spacing w:after="0" w:line="17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Reported net income attributable to the Group for the quarter was $91.9 million or 13.2% of revenue compared with $82.9 million or 12.9% of revenue in Q2 2018*.</w:t>
      </w:r>
    </w:p>
    <w:p>
      <w:pPr>
        <w:spacing w:after="0" w:line="17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Reported earnings per share attributable to the Group on a diluted basis was $1.69, an increase of 11.6%, compared to $1.51 per share for Q2 2018*.</w:t>
      </w:r>
    </w:p>
    <w:p>
      <w:pPr>
        <w:spacing w:after="0" w:line="173"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On a comparative basis, non-GAAP days sales outstanding were 61 days at June 30, 2019, compared with 59 days at the end of March 2019.</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Cash generated from operating activities for the quarter was $22.7 million. During the quarter, the Group completed the purchase of a majority shareholding in MeDiNova for an initial payment of $39.3 million, capital expenditure was $11.2 million and $40.1 million worth of stock was repurchased at an average price of $135.48. As a result, at June 30, 2019, the company had net cash of $81.8 million, compared to net cash of $128.6 million at March 31, 2019 and net cash of $23.9 million at the end of June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Year to date 2019 Results</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Gross business wins (including pass-through) year to date were $2.08 billion and cancellations were $291 million. This resulted in net business wins of $1,786 million and a book to bill of 1.30.</w:t>
      </w:r>
    </w:p>
    <w:p>
      <w:pPr>
        <w:spacing w:after="0" w:line="17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Year to date reported revenue was $1,370 million. This represents a year on year increase of 8.6% or 10.8% on a constant currency basis.</w:t>
      </w:r>
    </w:p>
    <w:p>
      <w:pPr>
        <w:spacing w:after="0" w:line="173" w:lineRule="exact"/>
        <w:rPr>
          <w:sz w:val="20"/>
          <w:szCs w:val="20"/>
          <w:color w:val="auto"/>
        </w:rPr>
      </w:pPr>
    </w:p>
    <w:p>
      <w:pPr>
        <w:jc w:val="both"/>
        <w:ind w:right="360"/>
        <w:spacing w:after="0" w:line="251" w:lineRule="auto"/>
        <w:rPr>
          <w:sz w:val="20"/>
          <w:szCs w:val="20"/>
          <w:color w:val="auto"/>
        </w:rPr>
      </w:pPr>
      <w:r>
        <w:rPr>
          <w:rFonts w:ascii="Arial" w:cs="Arial" w:eastAsia="Arial" w:hAnsi="Arial"/>
          <w:sz w:val="22"/>
          <w:szCs w:val="22"/>
          <w:color w:val="auto"/>
        </w:rPr>
        <w:t>Reported income from operations year to date was $208.0 million or 15.2% of revenue compared to $186.1 million or 14.8% of revenue for the equivalent prior year period*.</w:t>
      </w:r>
    </w:p>
    <w:p>
      <w:pPr>
        <w:spacing w:after="0" w:line="173"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Reported net income attributable to the Group year to date was $180.2 million or 13.2% of revenue compared with $161.0 million or 12.8% of revenue for the equivalent prior year period*.</w:t>
      </w:r>
    </w:p>
    <w:p>
      <w:pPr>
        <w:spacing w:after="0" w:line="173" w:lineRule="exact"/>
        <w:rPr>
          <w:sz w:val="20"/>
          <w:szCs w:val="20"/>
          <w:color w:val="auto"/>
        </w:rPr>
      </w:pPr>
    </w:p>
    <w:p>
      <w:pPr>
        <w:jc w:val="both"/>
        <w:ind w:right="340"/>
        <w:spacing w:after="0" w:line="251" w:lineRule="auto"/>
        <w:rPr>
          <w:sz w:val="20"/>
          <w:szCs w:val="20"/>
          <w:color w:val="auto"/>
        </w:rPr>
      </w:pPr>
      <w:r>
        <w:rPr>
          <w:rFonts w:ascii="Arial" w:cs="Arial" w:eastAsia="Arial" w:hAnsi="Arial"/>
          <w:sz w:val="22"/>
          <w:szCs w:val="22"/>
          <w:color w:val="auto"/>
        </w:rPr>
        <w:t>Reported earnings per share on a diluted basis attributable to the Group was $3.31, an increase of 13.0%, compared to $2.93 per share for the equivalent prior year period*.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*before non-recurring charges.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37" w:lineRule="exact"/>
        <w:rPr>
          <w:sz w:val="20"/>
          <w:szCs w:val="20"/>
          <w:color w:val="auto"/>
        </w:rPr>
      </w:pPr>
    </w:p>
    <w:p>
      <w:pPr>
        <w:spacing w:after="0" w:line="215" w:lineRule="auto"/>
        <w:rPr>
          <w:sz w:val="20"/>
          <w:szCs w:val="20"/>
          <w:color w:val="auto"/>
        </w:rPr>
      </w:pPr>
      <w:r>
        <w:rPr>
          <w:rFonts w:ascii="Arial" w:cs="Arial" w:eastAsia="Arial" w:hAnsi="Arial"/>
          <w:sz w:val="21"/>
          <w:szCs w:val="21"/>
          <w:color w:val="auto"/>
        </w:rPr>
        <w:t>ICON will hold its second quarter conference call tomorrow, July 25</w:t>
      </w:r>
      <w:r>
        <w:rPr>
          <w:rFonts w:ascii="Arial" w:cs="Arial" w:eastAsia="Arial" w:hAnsi="Arial"/>
          <w:sz w:val="35"/>
          <w:szCs w:val="35"/>
          <w:color w:val="auto"/>
          <w:vertAlign w:val="superscript"/>
        </w:rPr>
        <w:t>th</w:t>
      </w:r>
      <w:r>
        <w:rPr>
          <w:rFonts w:ascii="Arial" w:cs="Arial" w:eastAsia="Arial" w:hAnsi="Arial"/>
          <w:sz w:val="21"/>
          <w:szCs w:val="21"/>
          <w:color w:val="auto"/>
        </w:rPr>
        <w:t>, 2019 at 10:00 EDT [15:00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employed approximately 14,400 employees in 98 locations in 40 countries as at June 30, 2019. Further information is available at www.iconplc.com.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Contact: Investor Relations +1888 381 7923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 +353 1 291 2000</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Jonathan Curtain Vice President Corporate Finance and Investor Relations +353 1 291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4320" w:type="dxa"/>
            <w:vAlign w:val="bottom"/>
          </w:tcPr>
          <w:p>
            <w:pPr>
              <w:jc w:val="center"/>
              <w:ind w:left="3410"/>
              <w:spacing w:after="0"/>
              <w:rPr>
                <w:sz w:val="20"/>
                <w:szCs w:val="20"/>
                <w:color w:val="auto"/>
              </w:rPr>
            </w:pPr>
            <w:r>
              <w:rPr>
                <w:rFonts w:ascii="Arial" w:cs="Arial" w:eastAsia="Arial" w:hAnsi="Arial"/>
                <w:sz w:val="18"/>
                <w:szCs w:val="18"/>
                <w:b w:val="1"/>
                <w:bCs w:val="1"/>
                <w:color w:val="auto"/>
                <w:w w:val="97"/>
              </w:rPr>
              <w:t>ICON plc</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6080" w:type="dxa"/>
            <w:vAlign w:val="bottom"/>
            <w:gridSpan w:val="3"/>
          </w:tcPr>
          <w:p>
            <w:pPr>
              <w:jc w:val="center"/>
              <w:ind w:left="165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6080" w:type="dxa"/>
            <w:vAlign w:val="bottom"/>
            <w:gridSpan w:val="3"/>
          </w:tcPr>
          <w:p>
            <w:pPr>
              <w:jc w:val="center"/>
              <w:ind w:left="1650"/>
              <w:spacing w:after="0"/>
              <w:rPr>
                <w:sz w:val="20"/>
                <w:szCs w:val="20"/>
                <w:color w:val="auto"/>
              </w:rPr>
            </w:pPr>
            <w:r>
              <w:rPr>
                <w:rFonts w:ascii="Arial" w:cs="Arial" w:eastAsia="Arial" w:hAnsi="Arial"/>
                <w:sz w:val="18"/>
                <w:szCs w:val="18"/>
                <w:b w:val="1"/>
                <w:bCs w:val="1"/>
                <w:color w:val="auto"/>
                <w:w w:val="90"/>
              </w:rPr>
              <w:t>(Before restructuring and other items)</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69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90"/>
              </w:rPr>
              <w:t>Three and Six Months ended June 30, 2019 and June 30, 2018</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6080" w:type="dxa"/>
            <w:vAlign w:val="bottom"/>
            <w:gridSpan w:val="3"/>
          </w:tcPr>
          <w:p>
            <w:pPr>
              <w:jc w:val="center"/>
              <w:ind w:left="1650"/>
              <w:spacing w:after="0"/>
              <w:rPr>
                <w:sz w:val="20"/>
                <w:szCs w:val="20"/>
                <w:color w:val="auto"/>
              </w:rPr>
            </w:pPr>
            <w:r>
              <w:rPr>
                <w:rFonts w:ascii="Arial" w:cs="Arial" w:eastAsia="Arial" w:hAnsi="Arial"/>
                <w:sz w:val="18"/>
                <w:szCs w:val="18"/>
                <w:b w:val="1"/>
                <w:bCs w:val="1"/>
                <w:color w:val="auto"/>
                <w:w w:val="88"/>
              </w:rPr>
              <w:t>(Dollars, in thousands, except share and per share data)</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520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93"/>
              </w:rPr>
              <w:t>(Unaudited)</w:t>
            </w: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3"/>
        </w:trPr>
        <w:tc>
          <w:tcPr>
            <w:tcW w:w="18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Three Months Ended</w:t>
            </w:r>
          </w:p>
        </w:tc>
        <w:tc>
          <w:tcPr>
            <w:tcW w:w="17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Six Months Ended</w:t>
            </w:r>
          </w:p>
        </w:tc>
        <w:tc>
          <w:tcPr>
            <w:tcW w:w="176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80" w:type="dxa"/>
            <w:vAlign w:val="bottom"/>
          </w:tcPr>
          <w:p>
            <w:pPr>
              <w:ind w:left="240"/>
              <w:spacing w:after="0"/>
              <w:rPr>
                <w:sz w:val="20"/>
                <w:szCs w:val="20"/>
                <w:color w:val="auto"/>
              </w:rPr>
            </w:pPr>
            <w:r>
              <w:rPr>
                <w:rFonts w:ascii="Arial" w:cs="Arial" w:eastAsia="Arial" w:hAnsi="Arial"/>
                <w:sz w:val="18"/>
                <w:szCs w:val="18"/>
                <w:b w:val="1"/>
                <w:bCs w:val="1"/>
                <w:color w:val="auto"/>
              </w:rPr>
              <w:t>June</w:t>
            </w:r>
          </w:p>
        </w:tc>
        <w:tc>
          <w:tcPr>
            <w:tcW w:w="880" w:type="dxa"/>
            <w:vAlign w:val="bottom"/>
          </w:tcPr>
          <w:p>
            <w:pPr>
              <w:ind w:left="260"/>
              <w:spacing w:after="0"/>
              <w:rPr>
                <w:sz w:val="20"/>
                <w:szCs w:val="20"/>
                <w:color w:val="auto"/>
              </w:rPr>
            </w:pPr>
            <w:r>
              <w:rPr>
                <w:rFonts w:ascii="Arial" w:cs="Arial" w:eastAsia="Arial" w:hAnsi="Arial"/>
                <w:sz w:val="18"/>
                <w:szCs w:val="18"/>
                <w:b w:val="1"/>
                <w:bCs w:val="1"/>
                <w:color w:val="auto"/>
              </w:rPr>
              <w:t>June</w:t>
            </w: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June</w:t>
            </w: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w:t>
            </w:r>
          </w:p>
        </w:tc>
        <w:tc>
          <w:tcPr>
            <w:tcW w:w="176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30, 2019</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30, 2018</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30, 2019</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30, 2018</w:t>
            </w:r>
          </w:p>
        </w:tc>
        <w:tc>
          <w:tcPr>
            <w:tcW w:w="1760" w:type="dxa"/>
            <w:vAlign w:val="bottom"/>
          </w:tcPr>
          <w:p>
            <w:pPr>
              <w:spacing w:after="0"/>
              <w:rPr>
                <w:sz w:val="21"/>
                <w:szCs w:val="21"/>
                <w:color w:val="auto"/>
              </w:rPr>
            </w:pPr>
          </w:p>
        </w:tc>
      </w:tr>
      <w:tr>
        <w:trPr>
          <w:trHeight w:val="486"/>
        </w:trPr>
        <w:tc>
          <w:tcPr>
            <w:tcW w:w="1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695,137</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641,610</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1,369,989</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1,261,735</w:t>
            </w:r>
          </w:p>
        </w:tc>
        <w:tc>
          <w:tcPr>
            <w:tcW w:w="1760" w:type="dxa"/>
            <w:vAlign w:val="bottom"/>
          </w:tcPr>
          <w:p>
            <w:pPr>
              <w:spacing w:after="0"/>
              <w:rPr>
                <w:sz w:val="24"/>
                <w:szCs w:val="24"/>
                <w:color w:val="auto"/>
              </w:rPr>
            </w:pPr>
          </w:p>
        </w:tc>
      </w:tr>
      <w:tr>
        <w:trPr>
          <w:trHeight w:val="486"/>
        </w:trPr>
        <w:tc>
          <w:tcPr>
            <w:tcW w:w="1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43"/>
        </w:trPr>
        <w:tc>
          <w:tcPr>
            <w:tcW w:w="180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Direct costs</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(490,656)</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(449,226)</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(966,153)</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(879,818)</w:t>
            </w:r>
          </w:p>
        </w:tc>
        <w:tc>
          <w:tcPr>
            <w:tcW w:w="176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(83,203)</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(80,936)</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(165,115)</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(161,851)</w:t>
            </w:r>
          </w:p>
        </w:tc>
        <w:tc>
          <w:tcPr>
            <w:tcW w:w="1760" w:type="dxa"/>
            <w:vAlign w:val="bottom"/>
          </w:tcPr>
          <w:p>
            <w:pPr>
              <w:spacing w:after="0"/>
              <w:rPr>
                <w:sz w:val="21"/>
                <w:szCs w:val="21"/>
                <w:color w:val="auto"/>
              </w:rPr>
            </w:pPr>
          </w:p>
        </w:tc>
      </w:tr>
      <w:tr>
        <w:trPr>
          <w:trHeight w:val="250"/>
        </w:trPr>
        <w:tc>
          <w:tcPr>
            <w:tcW w:w="1800" w:type="dxa"/>
            <w:vAlign w:val="bottom"/>
          </w:tcPr>
          <w:p>
            <w:pPr>
              <w:spacing w:after="0"/>
              <w:rPr>
                <w:sz w:val="21"/>
                <w:szCs w:val="21"/>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(15,188)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(17,046)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(30,685)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(33,944)</w:t>
            </w:r>
          </w:p>
        </w:tc>
        <w:tc>
          <w:tcPr>
            <w:tcW w:w="1760" w:type="dxa"/>
            <w:vAlign w:val="bottom"/>
          </w:tcPr>
          <w:p>
            <w:pPr>
              <w:spacing w:after="0"/>
              <w:rPr>
                <w:sz w:val="21"/>
                <w:szCs w:val="21"/>
                <w:color w:val="auto"/>
              </w:rPr>
            </w:pPr>
          </w:p>
        </w:tc>
      </w:tr>
      <w:tr>
        <w:trPr>
          <w:trHeight w:val="480"/>
        </w:trPr>
        <w:tc>
          <w:tcPr>
            <w:tcW w:w="180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(589,047)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(547,208)</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(1,161,953) (1,075,613)</w:t>
            </w:r>
          </w:p>
        </w:tc>
        <w:tc>
          <w:tcPr>
            <w:tcW w:w="1760" w:type="dxa"/>
            <w:vAlign w:val="bottom"/>
          </w:tcPr>
          <w:p>
            <w:pPr>
              <w:spacing w:after="0"/>
              <w:rPr>
                <w:sz w:val="24"/>
                <w:szCs w:val="24"/>
                <w:color w:val="auto"/>
              </w:rPr>
            </w:pPr>
          </w:p>
        </w:tc>
      </w:tr>
      <w:tr>
        <w:trPr>
          <w:trHeight w:val="473"/>
        </w:trPr>
        <w:tc>
          <w:tcPr>
            <w:tcW w:w="1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106,090</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94,402</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208,036</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186,122</w:t>
            </w:r>
          </w:p>
        </w:tc>
        <w:tc>
          <w:tcPr>
            <w:tcW w:w="1760" w:type="dxa"/>
            <w:vAlign w:val="bottom"/>
          </w:tcPr>
          <w:p>
            <w:pPr>
              <w:spacing w:after="0"/>
              <w:rPr>
                <w:sz w:val="24"/>
                <w:szCs w:val="24"/>
                <w:color w:val="auto"/>
              </w:rPr>
            </w:pPr>
          </w:p>
        </w:tc>
      </w:tr>
      <w:tr>
        <w:trPr>
          <w:trHeight w:val="493"/>
        </w:trPr>
        <w:tc>
          <w:tcPr>
            <w:tcW w:w="180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(1,419)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(2,285)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(3,028)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(5,257)</w:t>
            </w:r>
          </w:p>
        </w:tc>
        <w:tc>
          <w:tcPr>
            <w:tcW w:w="1760" w:type="dxa"/>
            <w:vAlign w:val="bottom"/>
          </w:tcPr>
          <w:p>
            <w:pPr>
              <w:spacing w:after="0"/>
              <w:rPr>
                <w:sz w:val="24"/>
                <w:szCs w:val="24"/>
                <w:color w:val="auto"/>
              </w:rPr>
            </w:pPr>
          </w:p>
        </w:tc>
      </w:tr>
      <w:tr>
        <w:trPr>
          <w:trHeight w:val="473"/>
        </w:trPr>
        <w:tc>
          <w:tcPr>
            <w:tcW w:w="1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104,671</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92,117</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205,008</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180,865</w:t>
            </w:r>
          </w:p>
        </w:tc>
        <w:tc>
          <w:tcPr>
            <w:tcW w:w="1760" w:type="dxa"/>
            <w:vAlign w:val="bottom"/>
          </w:tcPr>
          <w:p>
            <w:pPr>
              <w:spacing w:after="0"/>
              <w:rPr>
                <w:sz w:val="24"/>
                <w:szCs w:val="24"/>
                <w:color w:val="auto"/>
              </w:rPr>
            </w:pPr>
          </w:p>
        </w:tc>
      </w:tr>
      <w:tr>
        <w:trPr>
          <w:trHeight w:val="493"/>
        </w:trPr>
        <w:tc>
          <w:tcPr>
            <w:tcW w:w="180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(12,456)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(9,212)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(24,496)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(19,862)</w:t>
            </w:r>
          </w:p>
        </w:tc>
        <w:tc>
          <w:tcPr>
            <w:tcW w:w="1760" w:type="dxa"/>
            <w:vAlign w:val="bottom"/>
          </w:tcPr>
          <w:p>
            <w:pPr>
              <w:spacing w:after="0"/>
              <w:rPr>
                <w:sz w:val="24"/>
                <w:szCs w:val="24"/>
                <w:color w:val="auto"/>
              </w:rPr>
            </w:pPr>
          </w:p>
        </w:tc>
      </w:tr>
      <w:tr>
        <w:trPr>
          <w:trHeight w:val="473"/>
        </w:trPr>
        <w:tc>
          <w:tcPr>
            <w:tcW w:w="1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92,215</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82,905</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180,512</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161,003</w:t>
            </w:r>
          </w:p>
        </w:tc>
        <w:tc>
          <w:tcPr>
            <w:tcW w:w="1760" w:type="dxa"/>
            <w:vAlign w:val="bottom"/>
          </w:tcPr>
          <w:p>
            <w:pPr>
              <w:spacing w:after="0"/>
              <w:rPr>
                <w:sz w:val="24"/>
                <w:szCs w:val="24"/>
                <w:color w:val="auto"/>
              </w:rPr>
            </w:pPr>
          </w:p>
        </w:tc>
      </w:tr>
      <w:tr>
        <w:trPr>
          <w:trHeight w:val="493"/>
        </w:trPr>
        <w:tc>
          <w:tcPr>
            <w:tcW w:w="180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(358)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(358)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spacing w:after="0"/>
              <w:rPr>
                <w:sz w:val="24"/>
                <w:szCs w:val="24"/>
                <w:color w:val="auto"/>
              </w:rPr>
            </w:pPr>
          </w:p>
        </w:tc>
      </w:tr>
      <w:tr>
        <w:trPr>
          <w:trHeight w:val="480"/>
        </w:trPr>
        <w:tc>
          <w:tcPr>
            <w:tcW w:w="180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91,857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82,905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180,154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161,003</w:t>
            </w:r>
          </w:p>
        </w:tc>
        <w:tc>
          <w:tcPr>
            <w:tcW w:w="1760" w:type="dxa"/>
            <w:vAlign w:val="bottom"/>
          </w:tcPr>
          <w:p>
            <w:pPr>
              <w:spacing w:after="0"/>
              <w:rPr>
                <w:sz w:val="24"/>
                <w:szCs w:val="24"/>
                <w:color w:val="auto"/>
              </w:rPr>
            </w:pPr>
          </w:p>
        </w:tc>
      </w:tr>
      <w:tr>
        <w:trPr>
          <w:trHeight w:val="473"/>
        </w:trPr>
        <w:tc>
          <w:tcPr>
            <w:tcW w:w="1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4"/>
              </w:rPr>
              <w:t>Net income per Ordinary Share attributable to the Group:</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93"/>
        </w:trPr>
        <w:tc>
          <w:tcPr>
            <w:tcW w:w="180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$1.70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$1.53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$3.34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$2.98</w:t>
            </w:r>
          </w:p>
        </w:tc>
        <w:tc>
          <w:tcPr>
            <w:tcW w:w="1760" w:type="dxa"/>
            <w:vAlign w:val="bottom"/>
          </w:tcPr>
          <w:p>
            <w:pPr>
              <w:spacing w:after="0"/>
              <w:rPr>
                <w:sz w:val="24"/>
                <w:szCs w:val="24"/>
                <w:color w:val="auto"/>
              </w:rPr>
            </w:pPr>
          </w:p>
        </w:tc>
      </w:tr>
      <w:tr>
        <w:trPr>
          <w:trHeight w:val="480"/>
        </w:trPr>
        <w:tc>
          <w:tcPr>
            <w:tcW w:w="180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$1.51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$3.31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$2.93</w:t>
            </w:r>
          </w:p>
        </w:tc>
        <w:tc>
          <w:tcPr>
            <w:tcW w:w="1760" w:type="dxa"/>
            <w:vAlign w:val="bottom"/>
          </w:tcPr>
          <w:p>
            <w:pPr>
              <w:spacing w:after="0"/>
              <w:rPr>
                <w:sz w:val="24"/>
                <w:szCs w:val="24"/>
                <w:color w:val="auto"/>
              </w:rPr>
            </w:pPr>
          </w:p>
        </w:tc>
      </w:tr>
      <w:tr>
        <w:trPr>
          <w:trHeight w:val="473"/>
        </w:trPr>
        <w:tc>
          <w:tcPr>
            <w:tcW w:w="1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1"/>
              </w:rPr>
              <w:t>Weighted average number of Ordinary Shares outstanding:</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93"/>
        </w:trPr>
        <w:tc>
          <w:tcPr>
            <w:tcW w:w="180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53,957,446</w:t>
            </w: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54,109,702 53,901,427 54,017,631</w:t>
            </w:r>
          </w:p>
        </w:tc>
        <w:tc>
          <w:tcPr>
            <w:tcW w:w="1760" w:type="dxa"/>
            <w:vAlign w:val="bottom"/>
          </w:tcPr>
          <w:p>
            <w:pPr>
              <w:spacing w:after="0"/>
              <w:rPr>
                <w:sz w:val="24"/>
                <w:szCs w:val="24"/>
                <w:color w:val="auto"/>
              </w:rPr>
            </w:pPr>
          </w:p>
        </w:tc>
      </w:tr>
      <w:tr>
        <w:trPr>
          <w:trHeight w:val="480"/>
        </w:trPr>
        <w:tc>
          <w:tcPr>
            <w:tcW w:w="180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54,449,117</w:t>
            </w: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54,852,453 54,355,705 54,875,451</w:t>
            </w:r>
          </w:p>
        </w:tc>
        <w:tc>
          <w:tcPr>
            <w:tcW w:w="1760" w:type="dxa"/>
            <w:vAlign w:val="bottom"/>
          </w:tcPr>
          <w:p>
            <w:pPr>
              <w:spacing w:after="0"/>
              <w:rPr>
                <w:sz w:val="24"/>
                <w:szCs w:val="24"/>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35"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5240" w:type="dxa"/>
            <w:vAlign w:val="bottom"/>
          </w:tcPr>
          <w:p>
            <w:pPr>
              <w:jc w:val="center"/>
              <w:ind w:left="4090"/>
              <w:spacing w:after="0"/>
              <w:rPr>
                <w:sz w:val="20"/>
                <w:szCs w:val="20"/>
                <w:color w:val="auto"/>
              </w:rPr>
            </w:pPr>
            <w:r>
              <w:rPr>
                <w:rFonts w:ascii="Arial" w:cs="Arial" w:eastAsia="Arial" w:hAnsi="Arial"/>
                <w:sz w:val="18"/>
                <w:szCs w:val="18"/>
                <w:b w:val="1"/>
                <w:bCs w:val="1"/>
                <w:color w:val="auto"/>
                <w:w w:val="97"/>
              </w:rPr>
              <w:t>ICON plc</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7320" w:type="dxa"/>
            <w:vAlign w:val="bottom"/>
            <w:gridSpan w:val="3"/>
          </w:tcPr>
          <w:p>
            <w:pPr>
              <w:jc w:val="center"/>
              <w:ind w:left="201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240" w:type="dxa"/>
            <w:vAlign w:val="bottom"/>
          </w:tcPr>
          <w:p>
            <w:pPr>
              <w:jc w:val="center"/>
              <w:ind w:left="4090"/>
              <w:spacing w:after="0"/>
              <w:rPr>
                <w:sz w:val="20"/>
                <w:szCs w:val="20"/>
                <w:color w:val="auto"/>
              </w:rPr>
            </w:pPr>
            <w:r>
              <w:rPr>
                <w:rFonts w:ascii="Arial" w:cs="Arial" w:eastAsia="Arial" w:hAnsi="Arial"/>
                <w:sz w:val="18"/>
                <w:szCs w:val="18"/>
                <w:b w:val="1"/>
                <w:bCs w:val="1"/>
                <w:color w:val="auto"/>
                <w:w w:val="95"/>
              </w:rPr>
              <w:t>(US GAAP)</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7320" w:type="dxa"/>
            <w:vAlign w:val="bottom"/>
            <w:gridSpan w:val="3"/>
          </w:tcPr>
          <w:p>
            <w:pPr>
              <w:jc w:val="center"/>
              <w:ind w:left="2010"/>
              <w:spacing w:after="0"/>
              <w:rPr>
                <w:sz w:val="20"/>
                <w:szCs w:val="20"/>
                <w:color w:val="auto"/>
              </w:rPr>
            </w:pPr>
            <w:r>
              <w:rPr>
                <w:rFonts w:ascii="Arial" w:cs="Arial" w:eastAsia="Arial" w:hAnsi="Arial"/>
                <w:sz w:val="18"/>
                <w:szCs w:val="18"/>
                <w:b w:val="1"/>
                <w:bCs w:val="1"/>
                <w:color w:val="auto"/>
                <w:w w:val="90"/>
              </w:rPr>
              <w:t>Three and Six Months ended June 30, 2019 and June 30, 2018</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7320" w:type="dxa"/>
            <w:vAlign w:val="bottom"/>
            <w:gridSpan w:val="3"/>
          </w:tcPr>
          <w:p>
            <w:pPr>
              <w:jc w:val="center"/>
              <w:ind w:left="2030"/>
              <w:spacing w:after="0"/>
              <w:rPr>
                <w:sz w:val="20"/>
                <w:szCs w:val="20"/>
                <w:color w:val="auto"/>
              </w:rPr>
            </w:pPr>
            <w:r>
              <w:rPr>
                <w:rFonts w:ascii="Arial" w:cs="Arial" w:eastAsia="Arial" w:hAnsi="Arial"/>
                <w:sz w:val="18"/>
                <w:szCs w:val="18"/>
                <w:b w:val="1"/>
                <w:bCs w:val="1"/>
                <w:color w:val="auto"/>
                <w:w w:val="89"/>
              </w:rPr>
              <w:t>(Dollars, in thousands, except share and per share data)</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5240" w:type="dxa"/>
            <w:vAlign w:val="bottom"/>
          </w:tcPr>
          <w:p>
            <w:pPr>
              <w:jc w:val="center"/>
              <w:ind w:left="4090"/>
              <w:spacing w:after="0"/>
              <w:rPr>
                <w:sz w:val="20"/>
                <w:szCs w:val="20"/>
                <w:color w:val="auto"/>
              </w:rPr>
            </w:pPr>
            <w:r>
              <w:rPr>
                <w:rFonts w:ascii="Arial" w:cs="Arial" w:eastAsia="Arial" w:hAnsi="Arial"/>
                <w:sz w:val="18"/>
                <w:szCs w:val="18"/>
                <w:b w:val="1"/>
                <w:bCs w:val="1"/>
                <w:color w:val="auto"/>
                <w:w w:val="93"/>
              </w:rPr>
              <w:t>(Unaudited)</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100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6"/>
              </w:rPr>
              <w:t>Three Months Ended</w:t>
            </w:r>
          </w:p>
        </w:tc>
        <w:tc>
          <w:tcPr>
            <w:tcW w:w="310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100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w:t>
            </w: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w:t>
            </w:r>
          </w:p>
        </w:tc>
        <w:tc>
          <w:tcPr>
            <w:tcW w:w="198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rPr>
              <w:t>June</w:t>
            </w:r>
          </w:p>
        </w:tc>
      </w:tr>
      <w:tr>
        <w:trPr>
          <w:trHeight w:val="243"/>
        </w:trPr>
        <w:tc>
          <w:tcPr>
            <w:tcW w:w="100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30, 2019</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30, 2018</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30, 2019</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30, 2018</w:t>
            </w:r>
          </w:p>
        </w:tc>
        <w:tc>
          <w:tcPr>
            <w:tcW w:w="1000" w:type="dxa"/>
            <w:vAlign w:val="bottom"/>
          </w:tcPr>
          <w:p>
            <w:pPr>
              <w:spacing w:after="0"/>
              <w:rPr>
                <w:sz w:val="21"/>
                <w:szCs w:val="21"/>
                <w:color w:val="auto"/>
              </w:rPr>
            </w:pPr>
          </w:p>
        </w:tc>
      </w:tr>
      <w:tr>
        <w:trPr>
          <w:trHeight w:val="486"/>
        </w:trPr>
        <w:tc>
          <w:tcPr>
            <w:tcW w:w="10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695,137</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641,610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1,369,989</w:t>
            </w:r>
          </w:p>
        </w:tc>
        <w:tc>
          <w:tcPr>
            <w:tcW w:w="980" w:type="dxa"/>
            <w:vAlign w:val="bottom"/>
          </w:tcPr>
          <w:p>
            <w:pPr>
              <w:jc w:val="right"/>
              <w:spacing w:after="0"/>
              <w:rPr>
                <w:sz w:val="20"/>
                <w:szCs w:val="20"/>
                <w:color w:val="auto"/>
              </w:rPr>
            </w:pPr>
            <w:r>
              <w:rPr>
                <w:rFonts w:ascii="Arial" w:cs="Arial" w:eastAsia="Arial" w:hAnsi="Arial"/>
                <w:sz w:val="18"/>
                <w:szCs w:val="18"/>
                <w:color w:val="auto"/>
              </w:rPr>
              <w:t>1,261,735</w:t>
            </w:r>
          </w:p>
        </w:tc>
        <w:tc>
          <w:tcPr>
            <w:tcW w:w="1000" w:type="dxa"/>
            <w:vAlign w:val="bottom"/>
          </w:tcPr>
          <w:p>
            <w:pPr>
              <w:spacing w:after="0"/>
              <w:rPr>
                <w:sz w:val="24"/>
                <w:szCs w:val="24"/>
                <w:color w:val="auto"/>
              </w:rPr>
            </w:pPr>
          </w:p>
        </w:tc>
      </w:tr>
      <w:tr>
        <w:trPr>
          <w:trHeight w:val="486"/>
        </w:trPr>
        <w:tc>
          <w:tcPr>
            <w:tcW w:w="10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10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 costs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(490,656)</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(449,226)</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(966,153)</w:t>
            </w:r>
          </w:p>
        </w:tc>
        <w:tc>
          <w:tcPr>
            <w:tcW w:w="980" w:type="dxa"/>
            <w:vAlign w:val="bottom"/>
          </w:tcPr>
          <w:p>
            <w:pPr>
              <w:jc w:val="right"/>
              <w:spacing w:after="0"/>
              <w:rPr>
                <w:sz w:val="20"/>
                <w:szCs w:val="20"/>
                <w:color w:val="auto"/>
              </w:rPr>
            </w:pPr>
            <w:r>
              <w:rPr>
                <w:rFonts w:ascii="Arial" w:cs="Arial" w:eastAsia="Arial" w:hAnsi="Arial"/>
                <w:sz w:val="18"/>
                <w:szCs w:val="18"/>
                <w:color w:val="auto"/>
              </w:rPr>
              <w:t>(879,818)</w:t>
            </w:r>
          </w:p>
        </w:tc>
        <w:tc>
          <w:tcPr>
            <w:tcW w:w="100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(83,203)</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(80,936)</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(165,115)</w:t>
            </w:r>
          </w:p>
        </w:tc>
        <w:tc>
          <w:tcPr>
            <w:tcW w:w="980" w:type="dxa"/>
            <w:vAlign w:val="bottom"/>
          </w:tcPr>
          <w:p>
            <w:pPr>
              <w:jc w:val="right"/>
              <w:spacing w:after="0"/>
              <w:rPr>
                <w:sz w:val="20"/>
                <w:szCs w:val="20"/>
                <w:color w:val="auto"/>
              </w:rPr>
            </w:pPr>
            <w:r>
              <w:rPr>
                <w:rFonts w:ascii="Arial" w:cs="Arial" w:eastAsia="Arial" w:hAnsi="Arial"/>
                <w:sz w:val="18"/>
                <w:szCs w:val="18"/>
                <w:color w:val="auto"/>
              </w:rPr>
              <w:t>(161,851)</w:t>
            </w:r>
          </w:p>
        </w:tc>
        <w:tc>
          <w:tcPr>
            <w:tcW w:w="100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(15,188)</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(17,046)</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(30,685)</w:t>
            </w:r>
          </w:p>
        </w:tc>
        <w:tc>
          <w:tcPr>
            <w:tcW w:w="1980" w:type="dxa"/>
            <w:vAlign w:val="bottom"/>
            <w:gridSpan w:val="2"/>
          </w:tcPr>
          <w:p>
            <w:pPr>
              <w:jc w:val="right"/>
              <w:ind w:right="1000"/>
              <w:spacing w:after="0"/>
              <w:rPr>
                <w:sz w:val="20"/>
                <w:szCs w:val="20"/>
                <w:color w:val="auto"/>
              </w:rPr>
            </w:pPr>
            <w:r>
              <w:rPr>
                <w:rFonts w:ascii="Arial" w:cs="Arial" w:eastAsia="Arial" w:hAnsi="Arial"/>
                <w:sz w:val="18"/>
                <w:szCs w:val="18"/>
                <w:color w:val="auto"/>
              </w:rPr>
              <w:t>(33,944)</w:t>
            </w:r>
          </w:p>
        </w:tc>
      </w:tr>
      <w:tr>
        <w:trPr>
          <w:trHeight w:val="250"/>
        </w:trPr>
        <w:tc>
          <w:tcPr>
            <w:tcW w:w="10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(12,490)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0"/>
              <w:spacing w:after="0"/>
              <w:rPr>
                <w:sz w:val="20"/>
                <w:szCs w:val="20"/>
                <w:color w:val="auto"/>
              </w:rPr>
            </w:pPr>
            <w:r>
              <w:rPr>
                <w:rFonts w:ascii="Arial" w:cs="Arial" w:eastAsia="Arial" w:hAnsi="Arial"/>
                <w:sz w:val="18"/>
                <w:szCs w:val="18"/>
                <w:color w:val="auto"/>
              </w:rPr>
              <w:t>(12,490)</w:t>
            </w:r>
          </w:p>
        </w:tc>
      </w:tr>
      <w:tr>
        <w:trPr>
          <w:trHeight w:val="480"/>
        </w:trPr>
        <w:tc>
          <w:tcPr>
            <w:tcW w:w="1000" w:type="dxa"/>
            <w:vAlign w:val="bottom"/>
          </w:tcPr>
          <w:p>
            <w:pPr>
              <w:spacing w:after="0"/>
              <w:rPr>
                <w:sz w:val="24"/>
                <w:szCs w:val="24"/>
                <w:color w:val="auto"/>
              </w:rPr>
            </w:pPr>
          </w:p>
        </w:tc>
        <w:tc>
          <w:tcPr>
            <w:tcW w:w="5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(589,047)</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(559,698)</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(1,161,953)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(1,088,103)</w:t>
            </w:r>
          </w:p>
        </w:tc>
        <w:tc>
          <w:tcPr>
            <w:tcW w:w="1000" w:type="dxa"/>
            <w:vAlign w:val="bottom"/>
          </w:tcPr>
          <w:p>
            <w:pPr>
              <w:spacing w:after="0"/>
              <w:rPr>
                <w:sz w:val="24"/>
                <w:szCs w:val="24"/>
                <w:color w:val="auto"/>
              </w:rPr>
            </w:pPr>
          </w:p>
        </w:tc>
      </w:tr>
      <w:tr>
        <w:trPr>
          <w:trHeight w:val="473"/>
        </w:trPr>
        <w:tc>
          <w:tcPr>
            <w:tcW w:w="10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106,090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81,912</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208,036</w:t>
            </w:r>
          </w:p>
        </w:tc>
        <w:tc>
          <w:tcPr>
            <w:tcW w:w="980" w:type="dxa"/>
            <w:vAlign w:val="bottom"/>
          </w:tcPr>
          <w:p>
            <w:pPr>
              <w:jc w:val="right"/>
              <w:spacing w:after="0"/>
              <w:rPr>
                <w:sz w:val="20"/>
                <w:szCs w:val="20"/>
                <w:color w:val="auto"/>
              </w:rPr>
            </w:pPr>
            <w:r>
              <w:rPr>
                <w:rFonts w:ascii="Arial" w:cs="Arial" w:eastAsia="Arial" w:hAnsi="Arial"/>
                <w:sz w:val="18"/>
                <w:szCs w:val="18"/>
                <w:color w:val="auto"/>
              </w:rPr>
              <w:t>173,632</w:t>
            </w:r>
          </w:p>
        </w:tc>
        <w:tc>
          <w:tcPr>
            <w:tcW w:w="1000" w:type="dxa"/>
            <w:vAlign w:val="bottom"/>
          </w:tcPr>
          <w:p>
            <w:pPr>
              <w:spacing w:after="0"/>
              <w:rPr>
                <w:sz w:val="24"/>
                <w:szCs w:val="24"/>
                <w:color w:val="auto"/>
              </w:rPr>
            </w:pPr>
          </w:p>
        </w:tc>
      </w:tr>
      <w:tr>
        <w:trPr>
          <w:trHeight w:val="493"/>
        </w:trPr>
        <w:tc>
          <w:tcPr>
            <w:tcW w:w="1000" w:type="dxa"/>
            <w:vAlign w:val="bottom"/>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interest expense</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(1,419)</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(2,285)</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(3,028)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w:t>
            </w:r>
          </w:p>
        </w:tc>
        <w:tc>
          <w:tcPr>
            <w:tcW w:w="1000" w:type="dxa"/>
            <w:vAlign w:val="bottom"/>
          </w:tcPr>
          <w:p>
            <w:pPr>
              <w:spacing w:after="0"/>
              <w:rPr>
                <w:sz w:val="24"/>
                <w:szCs w:val="24"/>
                <w:color w:val="auto"/>
              </w:rPr>
            </w:pPr>
          </w:p>
        </w:tc>
      </w:tr>
      <w:tr>
        <w:trPr>
          <w:trHeight w:val="473"/>
        </w:trPr>
        <w:tc>
          <w:tcPr>
            <w:tcW w:w="10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104,671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79,627</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205,008</w:t>
            </w:r>
          </w:p>
        </w:tc>
        <w:tc>
          <w:tcPr>
            <w:tcW w:w="980" w:type="dxa"/>
            <w:vAlign w:val="bottom"/>
          </w:tcPr>
          <w:p>
            <w:pPr>
              <w:jc w:val="right"/>
              <w:spacing w:after="0"/>
              <w:rPr>
                <w:sz w:val="20"/>
                <w:szCs w:val="20"/>
                <w:color w:val="auto"/>
              </w:rPr>
            </w:pPr>
            <w:r>
              <w:rPr>
                <w:rFonts w:ascii="Arial" w:cs="Arial" w:eastAsia="Arial" w:hAnsi="Arial"/>
                <w:sz w:val="18"/>
                <w:szCs w:val="18"/>
                <w:color w:val="auto"/>
              </w:rPr>
              <w:t>168,375</w:t>
            </w:r>
          </w:p>
        </w:tc>
        <w:tc>
          <w:tcPr>
            <w:tcW w:w="1000" w:type="dxa"/>
            <w:vAlign w:val="bottom"/>
          </w:tcPr>
          <w:p>
            <w:pPr>
              <w:spacing w:after="0"/>
              <w:rPr>
                <w:sz w:val="24"/>
                <w:szCs w:val="24"/>
                <w:color w:val="auto"/>
              </w:rPr>
            </w:pPr>
          </w:p>
        </w:tc>
      </w:tr>
      <w:tr>
        <w:trPr>
          <w:trHeight w:val="493"/>
        </w:trPr>
        <w:tc>
          <w:tcPr>
            <w:tcW w:w="10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(12,456)</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(7,759)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(24,496)</w:t>
            </w:r>
          </w:p>
        </w:tc>
        <w:tc>
          <w:tcPr>
            <w:tcW w:w="1980" w:type="dxa"/>
            <w:vAlign w:val="bottom"/>
            <w:gridSpan w:val="2"/>
          </w:tcPr>
          <w:p>
            <w:pPr>
              <w:jc w:val="right"/>
              <w:ind w:right="1000"/>
              <w:spacing w:after="0"/>
              <w:rPr>
                <w:sz w:val="20"/>
                <w:szCs w:val="20"/>
                <w:color w:val="auto"/>
              </w:rPr>
            </w:pPr>
            <w:r>
              <w:rPr>
                <w:rFonts w:ascii="Arial" w:cs="Arial" w:eastAsia="Arial" w:hAnsi="Arial"/>
                <w:sz w:val="18"/>
                <w:szCs w:val="18"/>
                <w:color w:val="auto"/>
              </w:rPr>
              <w:t>(18,409)</w:t>
            </w:r>
          </w:p>
        </w:tc>
      </w:tr>
      <w:tr>
        <w:trPr>
          <w:trHeight w:val="473"/>
        </w:trPr>
        <w:tc>
          <w:tcPr>
            <w:tcW w:w="1000" w:type="dxa"/>
            <w:vAlign w:val="bottom"/>
          </w:tcPr>
          <w:p>
            <w:pPr>
              <w:spacing w:after="0"/>
              <w:rPr>
                <w:sz w:val="24"/>
                <w:szCs w:val="24"/>
                <w:color w:val="auto"/>
              </w:rPr>
            </w:pPr>
          </w:p>
        </w:tc>
        <w:tc>
          <w:tcPr>
            <w:tcW w:w="5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92,215</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71,868</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180,512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149,966</w:t>
            </w:r>
          </w:p>
        </w:tc>
        <w:tc>
          <w:tcPr>
            <w:tcW w:w="1000" w:type="dxa"/>
            <w:vAlign w:val="bottom"/>
          </w:tcPr>
          <w:p>
            <w:pPr>
              <w:spacing w:after="0"/>
              <w:rPr>
                <w:sz w:val="24"/>
                <w:szCs w:val="24"/>
                <w:color w:val="auto"/>
              </w:rPr>
            </w:pPr>
          </w:p>
        </w:tc>
      </w:tr>
      <w:tr>
        <w:trPr>
          <w:trHeight w:val="493"/>
        </w:trPr>
        <w:tc>
          <w:tcPr>
            <w:tcW w:w="1000" w:type="dxa"/>
            <w:vAlign w:val="bottom"/>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r>
      <w:tr>
        <w:trPr>
          <w:trHeight w:val="480"/>
        </w:trPr>
        <w:tc>
          <w:tcPr>
            <w:tcW w:w="1000" w:type="dxa"/>
            <w:vAlign w:val="bottom"/>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the Group</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91,857</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71,868</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180,154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149,966</w:t>
            </w:r>
          </w:p>
        </w:tc>
        <w:tc>
          <w:tcPr>
            <w:tcW w:w="1000" w:type="dxa"/>
            <w:vAlign w:val="bottom"/>
          </w:tcPr>
          <w:p>
            <w:pPr>
              <w:spacing w:after="0"/>
              <w:rPr>
                <w:sz w:val="24"/>
                <w:szCs w:val="24"/>
                <w:color w:val="auto"/>
              </w:rPr>
            </w:pPr>
          </w:p>
        </w:tc>
      </w:tr>
      <w:tr>
        <w:trPr>
          <w:trHeight w:val="473"/>
        </w:trPr>
        <w:tc>
          <w:tcPr>
            <w:tcW w:w="10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Net income per Ordinary Share attributable to the Group:</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3"/>
        </w:trPr>
        <w:tc>
          <w:tcPr>
            <w:tcW w:w="1000" w:type="dxa"/>
            <w:vAlign w:val="bottom"/>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0" w:type="dxa"/>
            <w:vAlign w:val="bottom"/>
          </w:tcPr>
          <w:p>
            <w:pPr>
              <w:spacing w:after="0"/>
              <w:rPr>
                <w:sz w:val="24"/>
                <w:szCs w:val="24"/>
                <w:color w:val="auto"/>
              </w:rPr>
            </w:pPr>
          </w:p>
        </w:tc>
      </w:tr>
      <w:tr>
        <w:trPr>
          <w:trHeight w:val="480"/>
        </w:trPr>
        <w:tc>
          <w:tcPr>
            <w:tcW w:w="1000" w:type="dxa"/>
            <w:vAlign w:val="bottom"/>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0" w:type="dxa"/>
            <w:vAlign w:val="bottom"/>
          </w:tcPr>
          <w:p>
            <w:pPr>
              <w:spacing w:after="0"/>
              <w:rPr>
                <w:sz w:val="24"/>
                <w:szCs w:val="24"/>
                <w:color w:val="auto"/>
              </w:rPr>
            </w:pPr>
          </w:p>
        </w:tc>
      </w:tr>
      <w:tr>
        <w:trPr>
          <w:trHeight w:val="473"/>
        </w:trPr>
        <w:tc>
          <w:tcPr>
            <w:tcW w:w="10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Weighted average number of Ordinary Shares outstanding:</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3"/>
        </w:trPr>
        <w:tc>
          <w:tcPr>
            <w:tcW w:w="1000" w:type="dxa"/>
            <w:vAlign w:val="bottom"/>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53,957,446</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54,109,702</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53,901,427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54,017,631</w:t>
            </w:r>
          </w:p>
        </w:tc>
        <w:tc>
          <w:tcPr>
            <w:tcW w:w="1000" w:type="dxa"/>
            <w:vAlign w:val="bottom"/>
          </w:tcPr>
          <w:p>
            <w:pPr>
              <w:spacing w:after="0"/>
              <w:rPr>
                <w:sz w:val="24"/>
                <w:szCs w:val="24"/>
                <w:color w:val="auto"/>
              </w:rPr>
            </w:pPr>
          </w:p>
        </w:tc>
      </w:tr>
      <w:tr>
        <w:trPr>
          <w:trHeight w:val="480"/>
        </w:trPr>
        <w:tc>
          <w:tcPr>
            <w:tcW w:w="1000" w:type="dxa"/>
            <w:vAlign w:val="bottom"/>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54,449,117</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54,852,453</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54,355,705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54,875,451</w:t>
            </w:r>
          </w:p>
        </w:tc>
        <w:tc>
          <w:tcPr>
            <w:tcW w:w="1000" w:type="dxa"/>
            <w:vAlign w:val="bottom"/>
          </w:tcPr>
          <w:p>
            <w:pPr>
              <w:spacing w:after="0"/>
              <w:rPr>
                <w:sz w:val="24"/>
                <w:szCs w:val="24"/>
                <w:color w:val="auto"/>
              </w:rPr>
            </w:pPr>
          </w:p>
        </w:tc>
      </w:tr>
      <w:tr>
        <w:trPr>
          <w:trHeight w:val="183"/>
        </w:trPr>
        <w:tc>
          <w:tcPr>
            <w:tcW w:w="100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51" w:right="239" w:bottom="1440" w:gutter="0" w:footer="0" w:header="0"/>
        </w:sectPr>
      </w:pPr>
    </w:p>
    <w:bookmarkStart w:id="8" w:name="page9"/>
    <w:bookmarkEnd w:id="8"/>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52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7"/>
              </w:rPr>
              <w:t>ICON plc</w:t>
            </w:r>
          </w:p>
        </w:tc>
        <w:tc>
          <w:tcPr>
            <w:tcW w:w="108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2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Summary Balance Sheet Data</w:t>
            </w:r>
          </w:p>
        </w:tc>
        <w:tc>
          <w:tcPr>
            <w:tcW w:w="108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2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June 30, 2019 and March 31, 2019</w:t>
            </w:r>
          </w:p>
        </w:tc>
        <w:tc>
          <w:tcPr>
            <w:tcW w:w="108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p>
        </w:tc>
        <w:tc>
          <w:tcPr>
            <w:tcW w:w="528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(Dollars, in thousands)</w:t>
            </w:r>
          </w:p>
        </w:tc>
        <w:tc>
          <w:tcPr>
            <w:tcW w:w="1080" w:type="dxa"/>
            <w:vAlign w:val="bottom"/>
          </w:tcPr>
          <w:p>
            <w:pPr>
              <w:spacing w:after="0"/>
              <w:rPr>
                <w:sz w:val="20"/>
                <w:szCs w:val="20"/>
                <w:color w:val="auto"/>
              </w:rPr>
            </w:pPr>
          </w:p>
        </w:tc>
      </w:tr>
      <w:tr>
        <w:trPr>
          <w:trHeight w:val="243"/>
        </w:trPr>
        <w:tc>
          <w:tcPr>
            <w:tcW w:w="2860" w:type="dxa"/>
            <w:vAlign w:val="bottom"/>
          </w:tcPr>
          <w:p>
            <w:pPr>
              <w:spacing w:after="0"/>
              <w:rPr>
                <w:sz w:val="21"/>
                <w:szCs w:val="21"/>
                <w:color w:val="auto"/>
              </w:rPr>
            </w:pPr>
          </w:p>
        </w:tc>
        <w:tc>
          <w:tcPr>
            <w:tcW w:w="5280" w:type="dxa"/>
            <w:vAlign w:val="bottom"/>
          </w:tcPr>
          <w:p>
            <w:pPr>
              <w:jc w:val="center"/>
              <w:ind w:left="395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March 31,</w:t>
            </w:r>
          </w:p>
        </w:tc>
      </w:tr>
      <w:tr>
        <w:trPr>
          <w:trHeight w:val="243"/>
        </w:trPr>
        <w:tc>
          <w:tcPr>
            <w:tcW w:w="2860" w:type="dxa"/>
            <w:vAlign w:val="bottom"/>
          </w:tcPr>
          <w:p>
            <w:pPr>
              <w:spacing w:after="0"/>
              <w:rPr>
                <w:sz w:val="21"/>
                <w:szCs w:val="21"/>
                <w:color w:val="auto"/>
              </w:rPr>
            </w:pPr>
          </w:p>
        </w:tc>
        <w:tc>
          <w:tcPr>
            <w:tcW w:w="5280" w:type="dxa"/>
            <w:vAlign w:val="bottom"/>
          </w:tcPr>
          <w:p>
            <w:pPr>
              <w:jc w:val="center"/>
              <w:ind w:left="3950"/>
              <w:spacing w:after="0"/>
              <w:rPr>
                <w:sz w:val="20"/>
                <w:szCs w:val="20"/>
                <w:color w:val="auto"/>
              </w:rPr>
            </w:pPr>
            <w:r>
              <w:rPr>
                <w:rFonts w:ascii="Arial" w:cs="Arial" w:eastAsia="Arial" w:hAnsi="Arial"/>
                <w:sz w:val="18"/>
                <w:szCs w:val="18"/>
                <w:b w:val="1"/>
                <w:bCs w:val="1"/>
                <w:color w:val="auto"/>
                <w:w w:val="89"/>
              </w:rPr>
              <w:t>2019</w:t>
            </w:r>
          </w:p>
        </w:tc>
        <w:tc>
          <w:tcPr>
            <w:tcW w:w="108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2019</w:t>
            </w:r>
          </w:p>
        </w:tc>
      </w:tr>
      <w:tr>
        <w:trPr>
          <w:trHeight w:val="243"/>
        </w:trPr>
        <w:tc>
          <w:tcPr>
            <w:tcW w:w="2860" w:type="dxa"/>
            <w:vAlign w:val="bottom"/>
          </w:tcPr>
          <w:p>
            <w:pPr>
              <w:spacing w:after="0"/>
              <w:rPr>
                <w:sz w:val="21"/>
                <w:szCs w:val="21"/>
                <w:color w:val="auto"/>
              </w:rPr>
            </w:pPr>
          </w:p>
        </w:tc>
        <w:tc>
          <w:tcPr>
            <w:tcW w:w="5280" w:type="dxa"/>
            <w:vAlign w:val="bottom"/>
          </w:tcPr>
          <w:p>
            <w:pPr>
              <w:jc w:val="center"/>
              <w:ind w:left="3950"/>
              <w:spacing w:after="0"/>
              <w:rPr>
                <w:sz w:val="20"/>
                <w:szCs w:val="20"/>
                <w:color w:val="auto"/>
              </w:rPr>
            </w:pPr>
            <w:r>
              <w:rPr>
                <w:rFonts w:ascii="Arial" w:cs="Arial" w:eastAsia="Arial" w:hAnsi="Arial"/>
                <w:sz w:val="18"/>
                <w:szCs w:val="18"/>
                <w:b w:val="1"/>
                <w:bCs w:val="1"/>
                <w:color w:val="auto"/>
                <w:w w:val="91"/>
              </w:rPr>
              <w:t>(Unaudited)</w:t>
            </w:r>
          </w:p>
        </w:tc>
        <w:tc>
          <w:tcPr>
            <w:tcW w:w="10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(Unaudited)</w:t>
            </w:r>
          </w:p>
        </w:tc>
      </w:tr>
      <w:tr>
        <w:trPr>
          <w:trHeight w:val="729"/>
        </w:trPr>
        <w:tc>
          <w:tcPr>
            <w:tcW w:w="286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5280" w:type="dxa"/>
            <w:vAlign w:val="bottom"/>
          </w:tcPr>
          <w:p>
            <w:pPr>
              <w:jc w:val="center"/>
              <w:ind w:left="3970"/>
              <w:spacing w:after="0"/>
              <w:rPr>
                <w:sz w:val="20"/>
                <w:szCs w:val="20"/>
                <w:color w:val="auto"/>
              </w:rPr>
            </w:pPr>
            <w:r>
              <w:rPr>
                <w:rFonts w:ascii="Arial" w:cs="Arial" w:eastAsia="Arial" w:hAnsi="Arial"/>
                <w:sz w:val="18"/>
                <w:szCs w:val="18"/>
                <w:color w:val="auto"/>
                <w:w w:val="89"/>
              </w:rPr>
              <w:t>431,279</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89"/>
              </w:rPr>
              <w:t>477,937</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Debt</w:t>
            </w:r>
          </w:p>
        </w:tc>
        <w:tc>
          <w:tcPr>
            <w:tcW w:w="5280" w:type="dxa"/>
            <w:vAlign w:val="bottom"/>
          </w:tcPr>
          <w:p>
            <w:pPr>
              <w:jc w:val="center"/>
              <w:ind w:left="3970"/>
              <w:spacing w:after="0"/>
              <w:rPr>
                <w:sz w:val="20"/>
                <w:szCs w:val="20"/>
                <w:color w:val="auto"/>
              </w:rPr>
            </w:pPr>
            <w:r>
              <w:rPr>
                <w:rFonts w:ascii="Arial" w:cs="Arial" w:eastAsia="Arial" w:hAnsi="Arial"/>
                <w:sz w:val="18"/>
                <w:szCs w:val="18"/>
                <w:color w:val="auto"/>
                <w:w w:val="90"/>
              </w:rPr>
              <w:t>(349,451)</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90"/>
              </w:rPr>
              <w:t>(349,357)</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Net cash/(debt)</w:t>
            </w:r>
          </w:p>
        </w:tc>
        <w:tc>
          <w:tcPr>
            <w:tcW w:w="5280" w:type="dxa"/>
            <w:vAlign w:val="bottom"/>
          </w:tcPr>
          <w:p>
            <w:pPr>
              <w:jc w:val="center"/>
              <w:ind w:left="3970"/>
              <w:spacing w:after="0"/>
              <w:rPr>
                <w:sz w:val="20"/>
                <w:szCs w:val="20"/>
                <w:color w:val="auto"/>
              </w:rPr>
            </w:pPr>
            <w:r>
              <w:rPr>
                <w:rFonts w:ascii="Arial" w:cs="Arial" w:eastAsia="Arial" w:hAnsi="Arial"/>
                <w:sz w:val="18"/>
                <w:szCs w:val="18"/>
                <w:color w:val="auto"/>
                <w:w w:val="90"/>
              </w:rPr>
              <w:t>81,828</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89"/>
              </w:rPr>
              <w:t>128,580</w:t>
            </w:r>
          </w:p>
        </w:tc>
      </w:tr>
      <w:tr>
        <w:trPr>
          <w:trHeight w:val="486"/>
        </w:trPr>
        <w:tc>
          <w:tcPr>
            <w:tcW w:w="2860" w:type="dxa"/>
            <w:vAlign w:val="bottom"/>
          </w:tcPr>
          <w:p>
            <w:pPr>
              <w:spacing w:after="0"/>
              <w:rPr>
                <w:sz w:val="20"/>
                <w:szCs w:val="20"/>
                <w:color w:val="auto"/>
              </w:rPr>
            </w:pPr>
            <w:r>
              <w:rPr>
                <w:rFonts w:ascii="Arial" w:cs="Arial" w:eastAsia="Arial" w:hAnsi="Arial"/>
                <w:sz w:val="18"/>
                <w:szCs w:val="18"/>
                <w:color w:val="auto"/>
              </w:rPr>
              <w:t>Net Accounts Receivable</w:t>
            </w:r>
          </w:p>
        </w:tc>
        <w:tc>
          <w:tcPr>
            <w:tcW w:w="5280" w:type="dxa"/>
            <w:vAlign w:val="bottom"/>
          </w:tcPr>
          <w:p>
            <w:pPr>
              <w:jc w:val="center"/>
              <w:ind w:left="3970"/>
              <w:spacing w:after="0"/>
              <w:rPr>
                <w:sz w:val="20"/>
                <w:szCs w:val="20"/>
                <w:color w:val="auto"/>
              </w:rPr>
            </w:pPr>
            <w:r>
              <w:rPr>
                <w:rFonts w:ascii="Arial" w:cs="Arial" w:eastAsia="Arial" w:hAnsi="Arial"/>
                <w:sz w:val="18"/>
                <w:szCs w:val="18"/>
                <w:color w:val="auto"/>
                <w:w w:val="89"/>
              </w:rPr>
              <w:t>602,345</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89"/>
              </w:rPr>
              <w:t>537,626</w:t>
            </w:r>
          </w:p>
        </w:tc>
      </w:tr>
      <w:tr>
        <w:trPr>
          <w:trHeight w:val="486"/>
        </w:trPr>
        <w:tc>
          <w:tcPr>
            <w:tcW w:w="2860" w:type="dxa"/>
            <w:vAlign w:val="bottom"/>
          </w:tcPr>
          <w:p>
            <w:pPr>
              <w:spacing w:after="0"/>
              <w:rPr>
                <w:sz w:val="20"/>
                <w:szCs w:val="20"/>
                <w:color w:val="auto"/>
              </w:rPr>
            </w:pPr>
            <w:r>
              <w:rPr>
                <w:rFonts w:ascii="Arial" w:cs="Arial" w:eastAsia="Arial" w:hAnsi="Arial"/>
                <w:sz w:val="18"/>
                <w:szCs w:val="18"/>
                <w:color w:val="auto"/>
              </w:rPr>
              <w:t>Working Capital</w:t>
            </w:r>
          </w:p>
        </w:tc>
        <w:tc>
          <w:tcPr>
            <w:tcW w:w="5280" w:type="dxa"/>
            <w:vAlign w:val="bottom"/>
          </w:tcPr>
          <w:p>
            <w:pPr>
              <w:jc w:val="center"/>
              <w:ind w:left="3970"/>
              <w:spacing w:after="0"/>
              <w:rPr>
                <w:sz w:val="20"/>
                <w:szCs w:val="20"/>
                <w:color w:val="auto"/>
              </w:rPr>
            </w:pPr>
            <w:r>
              <w:rPr>
                <w:rFonts w:ascii="Arial" w:cs="Arial" w:eastAsia="Arial" w:hAnsi="Arial"/>
                <w:sz w:val="18"/>
                <w:szCs w:val="18"/>
                <w:color w:val="auto"/>
                <w:w w:val="89"/>
              </w:rPr>
              <w:t>762,992</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89"/>
              </w:rPr>
              <w:t>728,251</w:t>
            </w:r>
          </w:p>
        </w:tc>
      </w:tr>
      <w:tr>
        <w:trPr>
          <w:trHeight w:val="486"/>
        </w:trPr>
        <w:tc>
          <w:tcPr>
            <w:tcW w:w="2860" w:type="dxa"/>
            <w:vAlign w:val="bottom"/>
          </w:tcPr>
          <w:p>
            <w:pPr>
              <w:spacing w:after="0"/>
              <w:rPr>
                <w:sz w:val="20"/>
                <w:szCs w:val="20"/>
                <w:color w:val="auto"/>
              </w:rPr>
            </w:pPr>
            <w:r>
              <w:rPr>
                <w:rFonts w:ascii="Arial" w:cs="Arial" w:eastAsia="Arial" w:hAnsi="Arial"/>
                <w:sz w:val="18"/>
                <w:szCs w:val="18"/>
                <w:color w:val="auto"/>
              </w:rPr>
              <w:t>Total Assets</w:t>
            </w:r>
          </w:p>
        </w:tc>
        <w:tc>
          <w:tcPr>
            <w:tcW w:w="5280" w:type="dxa"/>
            <w:vAlign w:val="bottom"/>
          </w:tcPr>
          <w:p>
            <w:pPr>
              <w:jc w:val="center"/>
              <w:ind w:left="3950"/>
              <w:spacing w:after="0"/>
              <w:rPr>
                <w:sz w:val="20"/>
                <w:szCs w:val="20"/>
                <w:color w:val="auto"/>
              </w:rPr>
            </w:pPr>
            <w:r>
              <w:rPr>
                <w:rFonts w:ascii="Arial" w:cs="Arial" w:eastAsia="Arial" w:hAnsi="Arial"/>
                <w:sz w:val="18"/>
                <w:szCs w:val="18"/>
                <w:color w:val="auto"/>
                <w:w w:val="89"/>
              </w:rPr>
              <w:t>2,708,323</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9"/>
              </w:rPr>
              <w:t>2,607,258</w:t>
            </w:r>
          </w:p>
        </w:tc>
      </w:tr>
      <w:tr>
        <w:trPr>
          <w:trHeight w:val="486"/>
        </w:trPr>
        <w:tc>
          <w:tcPr>
            <w:tcW w:w="2860" w:type="dxa"/>
            <w:vAlign w:val="bottom"/>
          </w:tcPr>
          <w:p>
            <w:pPr>
              <w:spacing w:after="0"/>
              <w:rPr>
                <w:sz w:val="20"/>
                <w:szCs w:val="20"/>
                <w:color w:val="auto"/>
              </w:rPr>
            </w:pPr>
            <w:r>
              <w:rPr>
                <w:rFonts w:ascii="Arial" w:cs="Arial" w:eastAsia="Arial" w:hAnsi="Arial"/>
                <w:sz w:val="18"/>
                <w:szCs w:val="18"/>
                <w:color w:val="auto"/>
              </w:rPr>
              <w:t>Shareholder's Equity</w:t>
            </w:r>
          </w:p>
        </w:tc>
        <w:tc>
          <w:tcPr>
            <w:tcW w:w="5280" w:type="dxa"/>
            <w:vAlign w:val="bottom"/>
          </w:tcPr>
          <w:p>
            <w:pPr>
              <w:jc w:val="center"/>
              <w:ind w:left="3950"/>
              <w:spacing w:after="0"/>
              <w:rPr>
                <w:sz w:val="20"/>
                <w:szCs w:val="20"/>
                <w:color w:val="auto"/>
              </w:rPr>
            </w:pPr>
            <w:r>
              <w:rPr>
                <w:rFonts w:ascii="Arial" w:cs="Arial" w:eastAsia="Arial" w:hAnsi="Arial"/>
                <w:sz w:val="18"/>
                <w:szCs w:val="18"/>
                <w:color w:val="auto"/>
                <w:w w:val="89"/>
              </w:rPr>
              <w:t>1,495,923</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9"/>
              </w:rPr>
              <w:t>1,422,185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Contact:</w:t>
      </w:r>
    </w:p>
    <w:p>
      <w:pPr>
        <w:spacing w:after="0" w:line="230" w:lineRule="auto"/>
        <w:rPr>
          <w:sz w:val="20"/>
          <w:szCs w:val="20"/>
          <w:color w:val="auto"/>
        </w:rPr>
      </w:pPr>
      <w:r>
        <w:rPr>
          <w:rFonts w:ascii="Arial" w:cs="Arial" w:eastAsia="Arial" w:hAnsi="Arial"/>
          <w:sz w:val="22"/>
          <w:szCs w:val="22"/>
          <w:color w:val="auto"/>
        </w:rPr>
        <w:t>Investor Relations +1 888 381 7923 or</w:t>
      </w:r>
    </w:p>
    <w:p>
      <w:pPr>
        <w:spacing w:after="0" w:line="231" w:lineRule="auto"/>
        <w:rPr>
          <w:sz w:val="20"/>
          <w:szCs w:val="20"/>
          <w:color w:val="auto"/>
        </w:rPr>
      </w:pPr>
      <w:r>
        <w:rPr>
          <w:rFonts w:ascii="Arial" w:cs="Arial" w:eastAsia="Arial" w:hAnsi="Arial"/>
          <w:sz w:val="22"/>
          <w:szCs w:val="22"/>
          <w:color w:val="auto"/>
        </w:rPr>
        <w:t>Brendan Brennan Chief Financial Officer +353 1 291 2000</w:t>
      </w:r>
    </w:p>
    <w:p>
      <w:pPr>
        <w:spacing w:after="0" w:line="1" w:lineRule="exact"/>
        <w:rPr>
          <w:sz w:val="20"/>
          <w:szCs w:val="20"/>
          <w:color w:val="auto"/>
        </w:rPr>
      </w:pPr>
    </w:p>
    <w:p>
      <w:pPr>
        <w:ind w:right="2440"/>
        <w:spacing w:after="0" w:line="237" w:lineRule="auto"/>
        <w:rPr>
          <w:sz w:val="20"/>
          <w:szCs w:val="20"/>
          <w:color w:val="auto"/>
        </w:rPr>
      </w:pPr>
      <w:r>
        <w:rPr>
          <w:rFonts w:ascii="Arial" w:cs="Arial" w:eastAsia="Arial" w:hAnsi="Arial"/>
          <w:sz w:val="22"/>
          <w:szCs w:val="22"/>
          <w:color w:val="auto"/>
        </w:rPr>
        <w:t>Jonathan Curtain Vice President Corporate Finance &amp; Investor Relations +353 1 291 2000 http://www.iconplc.com</w:t>
      </w:r>
    </w:p>
    <w:sectPr>
      <w:pgSz w:w="11900" w:h="16838" w:orient="portrait"/>
      <w:cols w:equalWidth="0" w:num="1">
        <w:col w:w="10260"/>
      </w:cols>
      <w:pgMar w:left="240" w:top="351"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2019-11-30T20:17:16Z</dcterms:created>
  <dcterms:modified xsi:type="dcterms:W3CDTF">2019-11-30T20:17:16Z</dcterms:modified>
</cp:coreProperties>
</file>