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2,448,232</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4,383,232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4,383,232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7.245%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4,383,232</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4,383,232</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7.245%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4,383,232</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7.245%</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2,448,232</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4,383,232</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No one person's interest in the Common Stock of Icon Plc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09,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1,935,900 shares or 3.200% of the Common Stock outstanding of Icon Plc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1,935,900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888,300 shares or 1.468%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888,300 shares and sole power to vote or to direct the voting of 888,300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1,428,432 shares or 2.361% of the outstanding Common Stock of the Icon Plc as a result of its serving as investment manager of institutional accounts owning such shares.</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1,428,432 shares and sole power to vote or to direct the voting of 1,428,432 shares of Common Stock owned by the institutional accounts managed by PGATC as reported above.</w:t>
      </w:r>
    </w:p>
    <w:p>
      <w:pPr>
        <w:sectPr>
          <w:pgSz w:w="11900" w:h="16838" w:orient="portrait"/>
          <w:cols w:equalWidth="0" w:num="1">
            <w:col w:w="10219"/>
          </w:cols>
          <w:pgMar w:left="240" w:top="136" w:right="1440" w:bottom="0" w:gutter="0" w:footer="0" w:header="0"/>
        </w:sectPr>
      </w:pPr>
    </w:p>
    <w:bookmarkStart w:id="3" w:name="page4"/>
    <w:bookmarkEnd w:id="3"/>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130,600 shares or 0.216% of the Common Stock outstanding of the Company.</w:t>
      </w:r>
    </w:p>
    <w:p>
      <w:pPr>
        <w:spacing w:after="0" w:line="212" w:lineRule="exact"/>
        <w:rPr>
          <w:sz w:val="20"/>
          <w:szCs w:val="20"/>
          <w:color w:val="auto"/>
        </w:rPr>
      </w:pPr>
    </w:p>
    <w:p>
      <w:pPr>
        <w:ind w:right="3779" w:firstLine="843"/>
        <w:spacing w:after="0" w:line="279" w:lineRule="auto"/>
        <w:rPr>
          <w:sz w:val="20"/>
          <w:szCs w:val="20"/>
          <w:color w:val="auto"/>
        </w:rPr>
      </w:pPr>
      <w:r>
        <w:rPr>
          <w:rFonts w:ascii="Courier New" w:cs="Courier New" w:eastAsia="Courier New" w:hAnsi="Courier New"/>
          <w:sz w:val="16"/>
          <w:szCs w:val="16"/>
          <w:color w:val="auto"/>
        </w:rPr>
        <w:t>Some or all of the shares of Common Stock of Icon Plc owned by the investment companies at October 31, 2011 may include shares represented by American Depository Shares.</w:t>
      </w:r>
    </w:p>
    <w:p>
      <w:pPr>
        <w:spacing w:after="0" w:line="17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09, 2011,</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Icon Plc at October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2019-12-10T17:57:27Z</dcterms:created>
  <dcterms:modified xsi:type="dcterms:W3CDTF">2019-12-10T17:57:27Z</dcterms:modified>
</cp:coreProperties>
</file>