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6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he Securities Exchange Act of 1934</w:t>
      </w:r>
    </w:p>
    <w:p>
      <w:pPr>
        <w:spacing w:after="0" w:line="200" w:lineRule="exact"/>
        <w:rPr>
          <w:sz w:val="24"/>
          <w:szCs w:val="24"/>
          <w:color w:val="auto"/>
        </w:rPr>
      </w:pPr>
    </w:p>
    <w:p>
      <w:pPr>
        <w:spacing w:after="0" w:line="25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color w:val="auto"/>
        </w:rPr>
        <w:t>For the month ended May, 2022</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color w:val="auto"/>
        </w:rPr>
        <w:t>(Registrant's name)</w:t>
      </w:r>
    </w:p>
    <w:p>
      <w:pPr>
        <w:spacing w:after="0" w:line="200" w:lineRule="exact"/>
        <w:rPr>
          <w:sz w:val="24"/>
          <w:szCs w:val="24"/>
          <w:color w:val="auto"/>
        </w:rPr>
      </w:pPr>
    </w:p>
    <w:p>
      <w:pPr>
        <w:spacing w:after="0" w:line="24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6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619"/>
        <w:spacing w:after="0" w:line="231" w:lineRule="auto"/>
        <w:rPr>
          <w:sz w:val="20"/>
          <w:szCs w:val="20"/>
          <w:color w:val="auto"/>
        </w:rPr>
      </w:pPr>
      <w:r>
        <w:rPr>
          <w:rFonts w:ascii="Times New Roman" w:cs="Times New Roman" w:eastAsia="Times New Roman" w:hAnsi="Times New Roman"/>
          <w:sz w:val="22"/>
          <w:szCs w:val="22"/>
          <w:color w:val="auto"/>
        </w:rPr>
        <w:t>+353-1-291-2000</w:t>
      </w:r>
    </w:p>
    <w:p>
      <w:pPr>
        <w:jc w:val="center"/>
        <w:ind w:right="-679"/>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Form 20-F_X___</w:t>
      </w:r>
      <w:r>
        <w:rPr>
          <w:sz w:val="20"/>
          <w:szCs w:val="20"/>
          <w:color w:val="auto"/>
        </w:rPr>
        <w:tab/>
      </w:r>
      <w:r>
        <w:rPr>
          <w:rFonts w:ascii="Times New Roman" w:cs="Times New Roman" w:eastAsia="Times New Roman" w:hAnsi="Times New Roman"/>
          <w:sz w:val="17"/>
          <w:szCs w:val="17"/>
          <w:color w:val="auto"/>
        </w:rPr>
        <w:t>Form 40-F_______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7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09" w:right="959"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to present at the H.C. Wainwright Global Investment Conference and the Jefferies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ind w:left="5620" w:right="3940" w:hanging="5615"/>
        <w:spacing w:after="0" w:line="290" w:lineRule="auto"/>
        <w:tabs>
          <w:tab w:leader="none" w:pos="5600" w:val="left"/>
        </w:tabs>
        <w:rPr>
          <w:sz w:val="20"/>
          <w:szCs w:val="20"/>
          <w:color w:val="auto"/>
        </w:rPr>
      </w:pPr>
      <w:r>
        <w:rPr>
          <w:rFonts w:ascii="Times New Roman" w:cs="Times New Roman" w:eastAsia="Times New Roman" w:hAnsi="Times New Roman"/>
          <w:sz w:val="18"/>
          <w:szCs w:val="18"/>
          <w:color w:val="auto"/>
        </w:rPr>
        <w:t>Date: May 23, 2022</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1240"/>
          </w:cols>
          <w:pgMar w:left="320" w:top="1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12"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ICON plc to present at the H.C. Wainwright Global Investment Conference and the Jefferies Healthcare Conference</w:t>
      </w:r>
    </w:p>
    <w:p>
      <w:pPr>
        <w:spacing w:after="0" w:line="12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DUBLIN--(BUSINESS WIRE)--May 23, 2022--ICON plc, (NASDAQ: ICLR) a world-leading healthcare intelligence and clinical research organisation, today announced that Mr. Brendan Brennan, CFO of ICON plc, will present at the H.C. Wainwright Global Investment Conference on Tuesday, May 24, 2022, at 7.00am ET. It was also announced that Dr. Steve Cutler, CEO of ICON plc, will present at the Jefferies Healthcare Conference on Thursday, June 9, 2022. The presentation will be webcast live from 2.00pm ET.</w:t>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Any changes to these events and links to the live webcasts (where available) will be posted on the Investor section of our website under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ICON plc</w:t>
      </w:r>
    </w:p>
    <w:p>
      <w:pPr>
        <w:spacing w:after="0" w:line="21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39,300 employees in 138 locations in 53 countries as at March 31, 2022. For further information about ICON, visit: www.iconplc.com.</w:t>
      </w:r>
    </w:p>
    <w:p>
      <w:pPr>
        <w:spacing w:after="0" w:line="17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ICON plc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Kate Haven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+1888 381 7923</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2022-05-23T15:43:26Z</dcterms:created>
  <dcterms:modified xsi:type="dcterms:W3CDTF">2022-05-23T15:43:26Z</dcterms:modified>
</cp:coreProperties>
</file>