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ended June, 2015</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ICON plc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Brendan Brennan, CFO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Brendan.Brennan@iconplc.com</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00-353-1-291-2000</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4" w:lineRule="exact"/>
        <w:rPr>
          <w:sz w:val="24"/>
          <w:szCs w:val="24"/>
          <w:color w:val="auto"/>
        </w:rPr>
      </w:pPr>
    </w:p>
    <w:p>
      <w:pPr>
        <w:ind w:left="3040"/>
        <w:spacing w:after="0"/>
        <w:tabs>
          <w:tab w:leader="none" w:pos="5980" w:val="left"/>
        </w:tabs>
        <w:rPr>
          <w:sz w:val="20"/>
          <w:szCs w:val="20"/>
          <w:color w:val="auto"/>
        </w:rPr>
      </w:pPr>
      <w:r>
        <w:rPr>
          <w:rFonts w:ascii="Times New Roman" w:cs="Times New Roman" w:eastAsia="Times New Roman" w:hAnsi="Times New Roman"/>
          <w:sz w:val="18"/>
          <w:szCs w:val="18"/>
          <w:color w:val="auto"/>
        </w:rPr>
        <w:t>Yes___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_</w:t>
      </w:r>
      <w:r>
        <w:rPr>
          <w:rFonts w:ascii="Times New Roman" w:cs="Times New Roman" w:eastAsia="Times New Roman" w:hAnsi="Times New Roman"/>
          <w:sz w:val="17"/>
          <w:szCs w:val="17"/>
          <w:color w:val="auto"/>
        </w:rPr>
        <w:t>___</w:t>
      </w:r>
    </w:p>
    <w:p>
      <w:pPr>
        <w:spacing w:after="0" w:line="198" w:lineRule="exact"/>
        <w:rPr>
          <w:sz w:val="24"/>
          <w:szCs w:val="24"/>
          <w:color w:val="auto"/>
        </w:rPr>
      </w:pPr>
    </w:p>
    <w:p>
      <w:pPr>
        <w:ind w:left="60" w:right="479"/>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ind w:left="3040"/>
        <w:spacing w:after="0"/>
        <w:tabs>
          <w:tab w:leader="none" w:pos="59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198" w:lineRule="exact"/>
        <w:rPr>
          <w:sz w:val="24"/>
          <w:szCs w:val="24"/>
          <w:color w:val="auto"/>
        </w:rPr>
      </w:pPr>
    </w:p>
    <w:p>
      <w:pPr>
        <w:ind w:left="60" w:right="479"/>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ind w:left="3040"/>
        <w:spacing w:after="0"/>
        <w:tabs>
          <w:tab w:leader="none" w:pos="59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198" w:lineRule="exact"/>
        <w:rPr>
          <w:sz w:val="24"/>
          <w:szCs w:val="24"/>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ind w:left="3040"/>
        <w:spacing w:after="0"/>
        <w:tabs>
          <w:tab w:leader="none" w:pos="59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19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12g3-2(b):82 </w:t>
      </w: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-759460</wp:posOffset>
            </wp:positionH>
            <wp:positionV relativeFrom="paragraph">
              <wp:posOffset>535940</wp:posOffset>
            </wp:positionV>
            <wp:extent cx="725360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20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154305</wp:posOffset>
            </wp:positionH>
            <wp:positionV relativeFrom="page">
              <wp:posOffset>398145</wp:posOffset>
            </wp:positionV>
            <wp:extent cx="727011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115" cy="20955"/>
                    </a:xfrm>
                    <a:prstGeom prst="rect">
                      <a:avLst/>
                    </a:prstGeom>
                    <a:noFill/>
                  </pic:spPr>
                </pic:pic>
              </a:graphicData>
            </a:graphic>
          </wp:anchor>
        </w:drawing>
        <w:t>EXHIBIT LIST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4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Annual General Meeting</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8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Card</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8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plc Annual Report</w:t>
            </w:r>
          </w:p>
        </w:tc>
      </w:tr>
      <w:tr>
        <w:trPr>
          <w:trHeight w:val="857"/>
        </w:trPr>
        <w:tc>
          <w:tcPr>
            <w:tcW w:w="5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9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398145</wp:posOffset>
            </wp:positionV>
            <wp:extent cx="72701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115" cy="20955"/>
                    </a:xfrm>
                    <a:prstGeom prst="rect">
                      <a:avLst/>
                    </a:prstGeom>
                    <a:noFill/>
                  </pic:spPr>
                </pic:pic>
              </a:graphicData>
            </a:graphic>
          </wp:anchor>
        </w:drawing>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24" w:lineRule="exact"/>
        <w:rPr>
          <w:sz w:val="20"/>
          <w:szCs w:val="20"/>
          <w:color w:val="auto"/>
        </w:rPr>
      </w:pPr>
    </w:p>
    <w:p>
      <w:pPr>
        <w:ind w:left="6860" w:right="2560" w:hanging="6854"/>
        <w:spacing w:after="0" w:line="280" w:lineRule="auto"/>
        <w:tabs>
          <w:tab w:leader="none" w:pos="6840" w:val="left"/>
        </w:tabs>
        <w:rPr>
          <w:sz w:val="20"/>
          <w:szCs w:val="20"/>
          <w:color w:val="auto"/>
        </w:rPr>
      </w:pPr>
      <w:r>
        <w:rPr>
          <w:rFonts w:ascii="Times New Roman" w:cs="Times New Roman" w:eastAsia="Times New Roman" w:hAnsi="Times New Roman"/>
          <w:sz w:val="18"/>
          <w:szCs w:val="18"/>
          <w:color w:val="auto"/>
        </w:rPr>
        <w:t>Date: June 12, 2015</w:t>
      </w:r>
      <w:r>
        <w:rPr>
          <w:sz w:val="20"/>
          <w:szCs w:val="20"/>
          <w:color w:val="auto"/>
        </w:rPr>
        <w:tab/>
      </w:r>
      <w:r>
        <w:rPr>
          <w:rFonts w:ascii="Times New Roman" w:cs="Times New Roman" w:eastAsia="Times New Roman" w:hAnsi="Times New Roman"/>
          <w:sz w:val="17"/>
          <w:szCs w:val="17"/>
          <w:color w:val="auto"/>
        </w:rPr>
        <w:t>Brendan Brennan Chief Financial Officer</w:t>
      </w:r>
    </w:p>
    <w:p>
      <w:pPr>
        <w:sectPr>
          <w:pgSz w:w="11900" w:h="16838" w:orient="portrait"/>
          <w:cols w:equalWidth="0" w:num="1">
            <w:col w:w="11060"/>
          </w:cols>
          <w:pgMar w:left="240" w:top="954"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24 July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608965</wp:posOffset>
            </wp:positionV>
            <wp:extent cx="2407920" cy="842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7920" cy="84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DOCUMENT IS IMPORTANT AND REQUIRES YOUR IMMEDIATE ATTENTION.</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you are in any doubt as to the action to be taken, you should consult with your independent financial adviser who, if you are taking advice in the Republic of Ireland, is authorised or exempted under the European Communities (Markets in Financial Instruments) Regulations (Nos. 1 to 3) 2007 or the Investment Intermediaries Act, 1995</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390525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12 June, 2015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All ICON Shareholders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letter encloses the notice of the Annual General Meeting of ICON plc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to be held at 10.30am (Dublin time) on 24 July 2015.</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ICON had another year of growth and success in 2014. The table below shows that our 2014 key performance indicators exceeded our 2013 key performance indicators and further built on our progress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120015</wp:posOffset>
            </wp:positionV>
            <wp:extent cx="3283585" cy="337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3585" cy="337185"/>
                    </a:xfrm>
                    <a:prstGeom prst="rect">
                      <a:avLst/>
                    </a:prstGeom>
                    <a:noFill/>
                  </pic:spPr>
                </pic:pic>
              </a:graphicData>
            </a:graphic>
          </wp:anchor>
        </w:drawing>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620" w:type="dxa"/>
            <w:vAlign w:val="bottom"/>
            <w:tcBorders>
              <w:top w:val="single" w:sz="8" w:color="auto"/>
              <w:left w:val="single" w:sz="8" w:color="auto"/>
            </w:tcBorders>
          </w:tcPr>
          <w:p>
            <w:pPr>
              <w:spacing w:after="0"/>
              <w:rPr>
                <w:sz w:val="20"/>
                <w:szCs w:val="20"/>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 Price (as at</w:t>
            </w:r>
          </w:p>
        </w:tc>
      </w:tr>
      <w:tr>
        <w:trPr>
          <w:trHeight w:val="239"/>
        </w:trPr>
        <w:tc>
          <w:tcPr>
            <w:tcW w:w="620" w:type="dxa"/>
            <w:vAlign w:val="bottom"/>
            <w:tcBorders>
              <w:left w:val="single" w:sz="8" w:color="auto"/>
              <w:bottom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31 December)</w:t>
            </w:r>
          </w:p>
        </w:tc>
      </w:tr>
      <w:tr>
        <w:trPr>
          <w:trHeight w:val="219"/>
        </w:trPr>
        <w:tc>
          <w:tcPr>
            <w:tcW w:w="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$0.52</w:t>
            </w:r>
          </w:p>
        </w:tc>
        <w:tc>
          <w:tcPr>
            <w:tcW w:w="1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$946 million</w:t>
            </w:r>
          </w:p>
        </w:tc>
        <w:tc>
          <w:tcPr>
            <w:tcW w:w="1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$17.11</w:t>
            </w:r>
          </w:p>
        </w:tc>
      </w:tr>
      <w:tr>
        <w:trPr>
          <w:trHeight w:val="219"/>
        </w:trPr>
        <w:tc>
          <w:tcPr>
            <w:tcW w:w="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$1.12 billion</w:t>
            </w:r>
          </w:p>
        </w:tc>
        <w:tc>
          <w:tcPr>
            <w:tcW w:w="1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$27.76</w:t>
            </w:r>
          </w:p>
        </w:tc>
      </w:tr>
      <w:tr>
        <w:trPr>
          <w:trHeight w:val="219"/>
        </w:trPr>
        <w:tc>
          <w:tcPr>
            <w:tcW w:w="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$1.77</w:t>
            </w:r>
          </w:p>
        </w:tc>
        <w:tc>
          <w:tcPr>
            <w:tcW w:w="1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$1.34 billion</w:t>
            </w:r>
          </w:p>
        </w:tc>
        <w:tc>
          <w:tcPr>
            <w:tcW w:w="1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$40.42</w:t>
            </w:r>
          </w:p>
        </w:tc>
      </w:tr>
      <w:tr>
        <w:trPr>
          <w:trHeight w:val="232"/>
        </w:trPr>
        <w:tc>
          <w:tcPr>
            <w:tcW w:w="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$2.87</w:t>
            </w:r>
          </w:p>
        </w:tc>
        <w:tc>
          <w:tcPr>
            <w:tcW w:w="1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 billion</w:t>
            </w:r>
          </w:p>
        </w:tc>
        <w:tc>
          <w:tcPr>
            <w:tcW w:w="1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$50.99</w:t>
            </w:r>
          </w:p>
        </w:tc>
      </w:tr>
    </w:tbl>
    <w:p>
      <w:pPr>
        <w:spacing w:after="0" w:line="220"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8"/>
          <w:szCs w:val="18"/>
          <w:color w:val="auto"/>
        </w:rPr>
        <w:t>With 2015 marking the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anniversary of ICON’s foundation in 1990, the ICON Board is confident that ICON will continue to build on its remarkable success over the last 25 years. I would like to thank all ICON employees for their hard work during 2014.</w:t>
      </w:r>
    </w:p>
    <w:p>
      <w:pPr>
        <w:spacing w:after="0" w:line="22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Further information on ICON’s 2014 performance is available in our Annual Report and Form 20-F which are on our website at </w:t>
      </w:r>
      <w:r>
        <w:rPr>
          <w:rFonts w:ascii="Times New Roman" w:cs="Times New Roman" w:eastAsia="Times New Roman" w:hAnsi="Times New Roman"/>
          <w:sz w:val="18"/>
          <w:szCs w:val="18"/>
          <w:u w:val="single" w:color="auto"/>
          <w:color w:val="auto"/>
        </w:rPr>
        <w:t>http://investor.iconplc.com/annuals.cfm.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of the AGM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9 resolutions in total which deal with:</w:t>
      </w:r>
    </w:p>
    <w:p>
      <w:pPr>
        <w:spacing w:after="0" w:line="5" w:lineRule="exact"/>
        <w:rPr>
          <w:sz w:val="20"/>
          <w:szCs w:val="20"/>
          <w:color w:val="auto"/>
        </w:rPr>
      </w:pPr>
    </w:p>
    <w:p>
      <w:pPr>
        <w:ind w:left="640" w:hanging="389"/>
        <w:spacing w:after="0" w:line="245"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re-election of Mr. Ciaran Murray, Dr. Ronan Lambe and Mr. Declan McKeon as directors (please see section below “ICON Board Update” for more details);</w:t>
      </w:r>
    </w:p>
    <w:p>
      <w:pPr>
        <w:spacing w:after="0" w:line="1"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2014 accounts;</w:t>
      </w:r>
    </w:p>
    <w:p>
      <w:pPr>
        <w:spacing w:after="0" w:line="5"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of the auditors;</w:t>
      </w:r>
    </w:p>
    <w:p>
      <w:pPr>
        <w:spacing w:after="0" w:line="5"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and buy back of shares (3 resolutions); and</w:t>
      </w:r>
    </w:p>
    <w:p>
      <w:pPr>
        <w:spacing w:after="0" w:line="5"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reissue of treasury shares.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will also be a review of the affairs of the Company at the AGM.</w:t>
      </w:r>
    </w:p>
    <w:p>
      <w:pPr>
        <w:spacing w:after="0" w:line="2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is no resolution dealing with executive compensation as ICON, being a foreign private issuer, is not obliged to provide a “say on pay” shareholder resolution on executive compensation. However, for your reference, the Schedule to this letter sets out details of the 2014 compensation of ICON’s executive officers and long term incentives issued to them in March 2015.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ICON Board Update</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2014, both Ms. Mary Pendergast (February 2014) and Dr. Hugh Brady (April 2014) were appointed as non-executive directors and Ms. Cathrin Petty retired from the Board in January 2014. There were no other Board changes in 2014 or to date in 2015. We have 9 directors – 8 non-executive and 1 executive (Mr. Ciaran Murray, our CEO). Only Mr. Ciaran Murray and Dr. John Climax (our former Chairman and co-founder) are not independent as per the definition of independence in the NASDAQ Rules. The remaining 7 directors are independent as per the NASDAQ Rules. All members of the Audit, Nominating and Governance and Compensation and Organisation Committees of the Board are independent for the purposes of the NASDAQ rules.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ICON plc – Notice of Annual General Meeting 2015</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645"/>
        </w:trPr>
        <w:tc>
          <w:tcPr>
            <w:tcW w:w="754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5" w:name="page6"/>
    <w:bookmarkEnd w:id="5"/>
    <w:p>
      <w:pPr>
        <w:jc w:val="both"/>
        <w:spacing w:after="0" w:line="260" w:lineRule="auto"/>
        <w:rPr>
          <w:sz w:val="20"/>
          <w:szCs w:val="20"/>
          <w:color w:val="auto"/>
        </w:rPr>
      </w:pPr>
      <w:r>
        <w:rPr>
          <w:rFonts w:ascii="Times New Roman" w:cs="Times New Roman" w:eastAsia="Times New Roman" w:hAnsi="Times New Roman"/>
          <w:sz w:val="18"/>
          <w:szCs w:val="18"/>
          <w:color w:val="auto"/>
        </w:rPr>
        <w:t>At the AGM, one third of the Board will stand for re-election in accordance with our Articles of Association (bye-laws). This means that Mr. Ciaran Murray, Dr. Ronan Lambe and Mr. Declan McKeon will offer themselves for re-election. Biographies of the directors standing for re-election are included in the attached summary of the resolutions.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Each of the directors standing for re-election demonstrates the necessary commitment to the role and provides valuable skills, knowledge and experience and makes important contributions to the working of the Board. I can confirm that the ICON Board is satisfied that each director does not have a relationship that, in the opinion of the Board, would interfere with exercising independent judgement in carrying out his responsibilities.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of Proxy and Voting &amp; Details of Resolutions</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Form of Proxy for the AGM is enclosed separately. Please refer to pages 12 and 13 for details as to how to vote your shares and return your form of proxy. Also, the resolutions are summarized on pages 6 to 8 and the full text of the resolutions is on pages 9 and 10.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Recommendation</w:t>
      </w:r>
    </w:p>
    <w:p>
      <w:pPr>
        <w:spacing w:after="0" w:line="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Your Board believes that the resolutions to be proposed at the AGM are in the best interests of the Company and its shareholders. Accordingly, your directors unanimously recommend that you vote in favour of all resolutions as they intend to do in respect of the shares held by them. On 8 June 2015, the directors held 1,226,336 Ordinary Shares representing approximately 2.05% of the issued ordinary share capital of the Company.</w:t>
      </w: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149860</wp:posOffset>
            </wp:positionV>
            <wp:extent cx="984885" cy="690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84885" cy="69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Thomas Lynch</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Chairman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ICON plc – Notice of Annual General Meeting 2015</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645"/>
        </w:trPr>
        <w:tc>
          <w:tcPr>
            <w:tcW w:w="754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 Executive Compensation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ICON’s Executive Officers 2014 Compensation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(excluding long term incentives) for ICON’s 3 executive officers in respect of 2014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141605</wp:posOffset>
            </wp:positionV>
            <wp:extent cx="126301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3015" cy="47180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141605</wp:posOffset>
            </wp:positionV>
            <wp:extent cx="1254760"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4760" cy="471805"/>
                    </a:xfrm>
                    <a:prstGeom prst="rect">
                      <a:avLst/>
                    </a:prstGeom>
                    <a:noFill/>
                  </pic:spPr>
                </pic:pic>
              </a:graphicData>
            </a:graphic>
          </wp:anchor>
        </w:drawing>
        <w:drawing>
          <wp:anchor simplePos="0" relativeHeight="251657728" behindDoc="1" locked="0" layoutInCell="0" allowOverlap="1">
            <wp:simplePos x="0" y="0"/>
            <wp:positionH relativeFrom="column">
              <wp:posOffset>6010910</wp:posOffset>
            </wp:positionH>
            <wp:positionV relativeFrom="paragraph">
              <wp:posOffset>141605</wp:posOffset>
            </wp:positionV>
            <wp:extent cx="1254760"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4760" cy="471805"/>
                    </a:xfrm>
                    <a:prstGeom prst="rect">
                      <a:avLst/>
                    </a:prstGeom>
                    <a:noFill/>
                  </pic:spPr>
                </pic:pic>
              </a:graphicData>
            </a:graphic>
          </wp:anchor>
        </w:drawing>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1880" w:type="dxa"/>
            <w:vAlign w:val="bottom"/>
            <w:tcBorders>
              <w:top w:val="single" w:sz="8" w:color="auto"/>
              <w:lef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2"/>
        </w:trPr>
        <w:tc>
          <w:tcPr>
            <w:tcW w:w="1880" w:type="dxa"/>
            <w:vAlign w:val="bottom"/>
            <w:tcBorders>
              <w:lef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Contribution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900" w:type="dxa"/>
            <w:vAlign w:val="bottom"/>
          </w:tcPr>
          <w:p>
            <w:pPr>
              <w:spacing w:after="0"/>
              <w:rPr>
                <w:sz w:val="18"/>
                <w:szCs w:val="18"/>
                <w:color w:val="auto"/>
              </w:rPr>
            </w:pPr>
          </w:p>
        </w:tc>
      </w:tr>
      <w:tr>
        <w:trPr>
          <w:trHeight w:val="239"/>
        </w:trPr>
        <w:tc>
          <w:tcPr>
            <w:tcW w:w="1880" w:type="dxa"/>
            <w:vAlign w:val="bottom"/>
            <w:tcBorders>
              <w:lef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425"/>
        </w:trPr>
        <w:tc>
          <w:tcPr>
            <w:tcW w:w="18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Mr. Ciaran Murray</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1,183,989</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5,427,120*</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148,455</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46,682</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6,806,246</w:t>
            </w:r>
          </w:p>
        </w:tc>
      </w:tr>
      <w:tr>
        <w:trPr>
          <w:trHeight w:val="218"/>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425"/>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Dr. Steve Cutler</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702,717</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2,290,500*</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175,162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29,699</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3,198,078</w:t>
            </w:r>
          </w:p>
        </w:tc>
      </w:tr>
      <w:tr>
        <w:trPr>
          <w:trHeight w:val="218"/>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404"/>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Mr. Brendan</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477,567</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1,333,292*</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59,696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30,996</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1,901,551</w:t>
            </w:r>
          </w:p>
        </w:tc>
      </w:tr>
      <w:tr>
        <w:trPr>
          <w:trHeight w:val="233"/>
        </w:trPr>
        <w:tc>
          <w:tcPr>
            <w:tcW w:w="1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Brennan</w:t>
            </w:r>
          </w:p>
        </w:tc>
        <w:tc>
          <w:tcPr>
            <w:tcW w:w="192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r>
      <w:tr>
        <w:trPr>
          <w:trHeight w:val="231"/>
        </w:trPr>
        <w:tc>
          <w:tcPr>
            <w:tcW w:w="1880" w:type="dxa"/>
            <w:vAlign w:val="bottom"/>
            <w:tcBorders>
              <w:left w:val="single" w:sz="8" w:color="auto"/>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r>
    </w:tbl>
    <w:p>
      <w:pPr>
        <w:spacing w:after="0" w:line="220" w:lineRule="exact"/>
        <w:rPr>
          <w:sz w:val="20"/>
          <w:szCs w:val="20"/>
          <w:color w:val="auto"/>
        </w:rPr>
      </w:pPr>
    </w:p>
    <w:p>
      <w:pPr>
        <w:jc w:val="both"/>
        <w:ind w:firstLine="6"/>
        <w:spacing w:after="0" w:line="255" w:lineRule="auto"/>
        <w:tabs>
          <w:tab w:leader="none" w:pos="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amounts listed above for each of our executive officers includes both a normal and a special bonus in respect of 2014. The normal bonuses were: Mr. Ciaran Murray $1,875,000, Dr. Steve Cutler $900,000 and Mr. Brendan Brennan $417,960. In addition to the normal bonuses, the executive officers were awarded special bonuses in recognition of their key roles in ICON’s exceptional performance in 2014. These special bonuses were: Mr. Ciaran Murray $3,552,120, Dr. Steve Cutler $1,390,500 and Mr. Brendan Brennan $915,332.</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respect of long term incentives, in March 2015 the Compensation and Organisation Committee approved a Long Term Incentive Plan after being independently advised by Towers Watson in relation to the plan. The plan is designed to incentivise the executive officers in a manner consistent with the Company’s and shareholders’ interests and granted to each executive officer:</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Performance Stock Units (PSUs) (50% of each executive officer’s grant) </w:t>
      </w:r>
      <w:r>
        <w:rPr>
          <w:rFonts w:ascii="Times New Roman" w:cs="Times New Roman" w:eastAsia="Times New Roman" w:hAnsi="Times New Roman"/>
          <w:sz w:val="18"/>
          <w:szCs w:val="18"/>
          <w:color w:val="auto"/>
        </w:rPr>
        <w:t>– restricted stock units which vest subject to the following 2 conditions: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cumulative EPS for 2015 to 2017 (the </w:t>
      </w:r>
      <w:r>
        <w:rPr>
          <w:rFonts w:ascii="Times New Roman" w:cs="Times New Roman" w:eastAsia="Times New Roman" w:hAnsi="Times New Roman"/>
          <w:sz w:val="18"/>
          <w:szCs w:val="18"/>
          <w:b w:val="1"/>
          <w:bCs w:val="1"/>
          <w:color w:val="auto"/>
        </w:rPr>
        <w:t>EPS Period</w:t>
      </w:r>
      <w:r>
        <w:rPr>
          <w:rFonts w:ascii="Times New Roman" w:cs="Times New Roman" w:eastAsia="Times New Roman" w:hAnsi="Times New Roman"/>
          <w:sz w:val="18"/>
          <w:szCs w:val="18"/>
          <w:color w:val="auto"/>
        </w:rPr>
        <w:t>) and (ii) the executive still being employed by ICON in March 2018. Assuming the employment condition is met, if the actual EPS for the EPS Period:</w:t>
      </w:r>
    </w:p>
    <w:p>
      <w:pPr>
        <w:spacing w:after="0" w:line="1" w:lineRule="exact"/>
        <w:rPr>
          <w:sz w:val="20"/>
          <w:szCs w:val="20"/>
          <w:color w:val="auto"/>
        </w:rPr>
      </w:pPr>
    </w:p>
    <w:p>
      <w:pPr>
        <w:ind w:left="640" w:hanging="38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less than the threshold EPS set out in the plan, none of the PSUs vest; or</w:t>
      </w:r>
    </w:p>
    <w:p>
      <w:pPr>
        <w:spacing w:after="0" w:line="5" w:lineRule="exact"/>
        <w:rPr>
          <w:rFonts w:ascii="Times New Roman" w:cs="Times New Roman" w:eastAsia="Times New Roman" w:hAnsi="Times New Roman"/>
          <w:sz w:val="18"/>
          <w:szCs w:val="18"/>
          <w:color w:val="auto"/>
        </w:rPr>
      </w:pPr>
    </w:p>
    <w:p>
      <w:pPr>
        <w:ind w:left="640" w:hanging="389"/>
        <w:spacing w:after="0" w:line="245"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more than the threshold EPS but less than target EPS set out in the plan, some of the target amount of PSUs vest with the shortfall from actual to target EPS determining how many of the target PSUs vest; or</w:t>
      </w:r>
    </w:p>
    <w:p>
      <w:pPr>
        <w:spacing w:after="0" w:line="1"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equals the target EPS, the target number of PSUs set out in the plan vest; or</w:t>
      </w:r>
    </w:p>
    <w:p>
      <w:pPr>
        <w:spacing w:after="0" w:line="5" w:lineRule="exact"/>
        <w:rPr>
          <w:rFonts w:ascii="Times New Roman" w:cs="Times New Roman" w:eastAsia="Times New Roman" w:hAnsi="Times New Roman"/>
          <w:sz w:val="18"/>
          <w:szCs w:val="18"/>
          <w:color w:val="auto"/>
        </w:rPr>
      </w:pPr>
    </w:p>
    <w:p>
      <w:pPr>
        <w:ind w:left="640" w:hanging="389"/>
        <w:spacing w:after="0" w:line="25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 the target EPS, the target number of PSUs set out in the plan vest and additional PSUs shall be issued depending on the level of EPS overachievement (but the amount of additional PSUs is capped at the same amount as the target PSUs).</w:t>
      </w:r>
    </w:p>
    <w:p>
      <w:pPr>
        <w:spacing w:after="0" w:line="20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Share Options (20% of each executive officer’s grant) </w:t>
      </w:r>
      <w:r>
        <w:rPr>
          <w:rFonts w:ascii="Times New Roman" w:cs="Times New Roman" w:eastAsia="Times New Roman" w:hAnsi="Times New Roman"/>
          <w:sz w:val="18"/>
          <w:szCs w:val="18"/>
          <w:color w:val="auto"/>
        </w:rPr>
        <w:t>– the options vest over a 5 year period after they were issued in March 2015 at a rate of 20% per year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remains employed by ICON.</w:t>
      </w:r>
    </w:p>
    <w:p>
      <w:pPr>
        <w:spacing w:after="0" w:line="18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Restricted Stock Units (RSUs) (30% of each executive officer’s grant) </w:t>
      </w:r>
      <w:r>
        <w:rPr>
          <w:rFonts w:ascii="Times New Roman" w:cs="Times New Roman" w:eastAsia="Times New Roman" w:hAnsi="Times New Roman"/>
          <w:sz w:val="18"/>
          <w:szCs w:val="18"/>
          <w:color w:val="auto"/>
        </w:rPr>
        <w:t>– restricted stock units which vest if the executive is still employed on the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RSUs vest 33.33% per year over a 3 year period from their grant in March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ICON plc – Notice of Annual General Meeting 2015</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645"/>
        </w:trPr>
        <w:tc>
          <w:tcPr>
            <w:tcW w:w="754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7" w:name="page8"/>
    <w:bookmarkEnd w:id="7"/>
    <w:p>
      <w:pPr>
        <w:jc w:val="both"/>
        <w:spacing w:after="0" w:line="260" w:lineRule="auto"/>
        <w:rPr>
          <w:sz w:val="20"/>
          <w:szCs w:val="20"/>
          <w:color w:val="auto"/>
        </w:rPr>
      </w:pPr>
      <w:r>
        <w:rPr>
          <w:rFonts w:ascii="Times New Roman" w:cs="Times New Roman" w:eastAsia="Times New Roman" w:hAnsi="Times New Roman"/>
          <w:sz w:val="18"/>
          <w:szCs w:val="18"/>
          <w:color w:val="auto"/>
        </w:rPr>
        <w:t>The total value of awards granted under the plan to the 3 executives (based on all awards being valued at the share price in March 2015 (when the awards were granted), stock options being valued using the Black Scholes method and assuming the actual EPS for the EPS Period equals the target EPS as set out in the plan and the executives all remaining employed by ICON until March 2020 (by when the last 20% tranche of the Share Options will vest)):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Mr. Ciaran Murray </w:t>
      </w:r>
      <w:r>
        <w:rPr>
          <w:rFonts w:ascii="Times New Roman" w:cs="Times New Roman" w:eastAsia="Times New Roman" w:hAnsi="Times New Roman"/>
          <w:sz w:val="18"/>
          <w:szCs w:val="18"/>
          <w:color w:val="auto"/>
        </w:rPr>
        <w:t>– $5,793,750 (consisting of $1,738,125 for his RSUs, $2,896,875 for his PSUs and $1,158,750 for his Share Options).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Dr. Steve Cutler </w:t>
      </w:r>
      <w:r>
        <w:rPr>
          <w:rFonts w:ascii="Times New Roman" w:cs="Times New Roman" w:eastAsia="Times New Roman" w:hAnsi="Times New Roman"/>
          <w:sz w:val="18"/>
          <w:szCs w:val="18"/>
          <w:color w:val="auto"/>
        </w:rPr>
        <w:t>– $3,090,000 (consisting of $927,000 for his RSUs, $1,545,000 for his PSUs and $618,000 for his Share Options).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Mr. Brendan Brennan </w:t>
      </w:r>
      <w:r>
        <w:rPr>
          <w:rFonts w:ascii="Times New Roman" w:cs="Times New Roman" w:eastAsia="Times New Roman" w:hAnsi="Times New Roman"/>
          <w:sz w:val="18"/>
          <w:szCs w:val="18"/>
          <w:color w:val="auto"/>
        </w:rPr>
        <w:t>- $1,017,036 (consisting of $305,111 for his RSUs, $508,518 for his PSUs and $203,407 for his Share Options).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grants are subject to ICON’s equity retention policy for certain senior executives. This means that the 3 executive officers must retain for a period of 5 years from vesting 20% of the equity issued to them as set out above. This obligation is subject to the terms and conditions of the equity retention policy, one of which is the retention obligations are capped at twice the executive officer’s base salary.</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important to note that the executives have significant tax liabilities when the RSUs and PSUs vest (irrespective of whether the RSUs/PSUs are sold on vesting or retained). Accordingly, the 20% retention obligation was set taking into account that, for example, an Irish based executive would under current tax laws have to pay tax on vesting equal to the value of approximately 52% of the vested RSUs and PSUs. Assuming he sold approximately 52% of his vested RSUs and PSUs to fund his tax obligation, he would then be free to sell a further approximately 28% of the vested RSUs and PSUs but would be obliged to retain 20% of the vested RSUs and PSUs for the 5 year retention period subject to the terms and conditions of the equity retention policy.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ICON plc – Notice of Annual General Meeting 2015</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645"/>
        </w:trPr>
        <w:tc>
          <w:tcPr>
            <w:tcW w:w="754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AGM RESOLUTIONS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There are 9 separate resolutions in total - 5 ordinary resolutions (resolutions 1 to 3 - which require approval of a simple majority of the votes cast in person or by proxy) and 4 special resolutions (resolutions 4 to 7 - which require approval of 75% of the votes cast in person or by proxy).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Ordinary Business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Resolution 1 </w:t>
      </w:r>
      <w:r>
        <w:rPr>
          <w:rFonts w:ascii="Times New Roman" w:cs="Times New Roman" w:eastAsia="Times New Roman" w:hAnsi="Times New Roman"/>
          <w:sz w:val="18"/>
          <w:szCs w:val="18"/>
          <w:color w:val="auto"/>
        </w:rPr>
        <w:t>– to re-elect, by separate resolutions, the following non-executive directors:</w:t>
      </w:r>
    </w:p>
    <w:p>
      <w:pPr>
        <w:spacing w:after="0" w:line="222"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Resolution 1.1 </w:t>
      </w:r>
      <w:r>
        <w:rPr>
          <w:rFonts w:ascii="Times New Roman" w:cs="Times New Roman" w:eastAsia="Times New Roman" w:hAnsi="Times New Roman"/>
          <w:sz w:val="18"/>
          <w:szCs w:val="18"/>
          <w:color w:val="auto"/>
        </w:rPr>
        <w:t>– re-election of Mr. Ciaran Murray as a director. Ciaran Murray is the Chief Executive Officer of ICON plc. He joined ICON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in 2005 and served in that capacity until his appointment as Chief Executive Officer in 2011. Mr. Murray is an executive with 30 years of leadership experience forged from a career spent operating in global markets in high-growth entrepreneurial companies and blue-chip multi-nationals including PricewaterhouseCoopers, Kraft Foods, Novell Inc., Northern Foods and Codec DSS. Mr. Murray has also played a leadership role in advocating for safe, ethical high-quality research through his 2014 Chairmanship of the Association of Clinical Research Organisations (ACRO). ACRO represents the CRO industry globally to key stakeholders including pharmaceutical, biotech and medical device companies, regulators, legislators and patient groups. In 2014 Mr. Murray was named as a leader in CRO Innovation by PharmaVOICE100, a listing of the most influential people in the biopharma industry. Mr. Murray graduated with a Bachelor of Commerce degree from University College Dublin and he is a Fellow of the Institute of Chartered Accountants in Ireland. He was awarded an Honorary Degree of Doctor of Laws from University College Dublin in 2013 for his support of third level research and innovation in Ireland.</w:t>
      </w:r>
    </w:p>
    <w:p>
      <w:pPr>
        <w:spacing w:after="0" w:line="213"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Resolution 1.2 </w:t>
      </w:r>
      <w:r>
        <w:rPr>
          <w:rFonts w:ascii="Times New Roman" w:cs="Times New Roman" w:eastAsia="Times New Roman" w:hAnsi="Times New Roman"/>
          <w:sz w:val="18"/>
          <w:szCs w:val="18"/>
          <w:color w:val="auto"/>
        </w:rPr>
        <w:t>– re-election of Dr. Ronan Lambe as a director. Dr. Ronan Lambe, one of the Company’s co-founders, served as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from June 1990 to November 2002. He has served as a non-executive director of the Company since January 2008. Dr. Lambe has over 30 years of experience in the contract research industry. Dr. Lambe attended the National University of Ireland where he received his Bachelor of Science degree in chemistry in 1959, his masters in biochemistry in 1962 and his Ph.D. in pharmacology in 1976. Dr. Lambe is of particular value to the Board as he is a member of the Board Quality Committee which allows the Quality Committee to avail of his deep operational knowledge of and experience in the CRO industry.</w:t>
      </w:r>
    </w:p>
    <w:p>
      <w:pPr>
        <w:spacing w:after="0" w:line="208"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Resolution 1.3 </w:t>
      </w:r>
      <w:r>
        <w:rPr>
          <w:rFonts w:ascii="Times New Roman" w:cs="Times New Roman" w:eastAsia="Times New Roman" w:hAnsi="Times New Roman"/>
          <w:sz w:val="18"/>
          <w:szCs w:val="18"/>
          <w:color w:val="auto"/>
        </w:rPr>
        <w:t>– re-election of Mr. Declan McKeon as a director. Declan McKeon has served as a non-executive director of the Company since April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2010. Mr. McKeon was a partner in PricewaterhouseCoopers from 1986 to 2007. His roles included leadership of the audit and business advisory team for PricewaterhouseCoopers Ireland, membership of the PricewaterhouseCoopers Europe audit and business advisory services executive and market sector leader for consumer and industrial products. Mr. McKeon is a non-executive director of Ryanair plc, remains a consultant to PricewaterhouseCoopers and sits on the audit committee of the Royal College of Surgeons in Ireland. Mr. McKeon holds a Bachelor of Commerce and Masters in Business Studies from University College Dublin and is a Fellow of The Institute of Chartered Accountants in Ireland.</w:t>
      </w:r>
    </w:p>
    <w:p>
      <w:pPr>
        <w:spacing w:after="0" w:line="21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Further information on the experience, qualifications and industry knowledge of the directors is available from the Annual Report and/or Form 20-F at </w:t>
      </w:r>
      <w:r>
        <w:rPr>
          <w:rFonts w:ascii="Times New Roman" w:cs="Times New Roman" w:eastAsia="Times New Roman" w:hAnsi="Times New Roman"/>
          <w:sz w:val="18"/>
          <w:szCs w:val="18"/>
          <w:u w:val="single" w:color="auto"/>
          <w:color w:val="auto"/>
        </w:rPr>
        <w:t>http://investor.iconplc.com/annuals.cfm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Resolution 2 </w:t>
      </w:r>
      <w:r>
        <w:rPr>
          <w:rFonts w:ascii="Times New Roman" w:cs="Times New Roman" w:eastAsia="Times New Roman" w:hAnsi="Times New Roman"/>
          <w:sz w:val="18"/>
          <w:szCs w:val="18"/>
          <w:color w:val="auto"/>
        </w:rPr>
        <w:t>– to receive and consider ICON’s 2014 accounts which have been audited by KPMG, ICON’s independent auditors.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ICON plc – Notice of Annual General Meeting 2015</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645"/>
        </w:trPr>
        <w:tc>
          <w:tcPr>
            <w:tcW w:w="754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 xml:space="preserve">Resolution 3 </w:t>
      </w:r>
      <w:r>
        <w:rPr>
          <w:rFonts w:ascii="Times New Roman" w:cs="Times New Roman" w:eastAsia="Times New Roman" w:hAnsi="Times New Roman"/>
          <w:sz w:val="18"/>
          <w:szCs w:val="18"/>
          <w:color w:val="auto"/>
        </w:rPr>
        <w:t>– authorises the directors to fix the remuneration of the auditors.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Special Business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special business of the meeting authorises the Company to issue and buy back shares and authorises the price range at which the company can reissue shares. Shareholders are likely to be surprised to see share issuance resolutions being proposed for this AGM as, at our 2013 AGM, the Company passed share issuance resolutions with 5 year terms. However, the Irish Companies Act 2014 was implemented in a way that means that the share issuance resolutions passed in 2013 are not effective for the full 5 years that they should have been. This means we now need to pass further share issuance resolutions.</w:t>
      </w:r>
    </w:p>
    <w:p>
      <w:pPr>
        <w:spacing w:after="0" w:line="2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Apart from the share issuance resolutions (resolutions 4 and 5), the other resolutions in this section relate to share buy-back and re-issuance and they are standard resolutions.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Resolution 4 - </w:t>
      </w:r>
      <w:r>
        <w:rPr>
          <w:rFonts w:ascii="Times New Roman" w:cs="Times New Roman" w:eastAsia="Times New Roman" w:hAnsi="Times New Roman"/>
          <w:sz w:val="18"/>
          <w:szCs w:val="18"/>
          <w:color w:val="auto"/>
        </w:rPr>
        <w:t>authorises the directors to issue shares, subject to resolution 5, until the earlier of the next Annual General Meeting of the Company or 23 January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up to an aggregate of 20% of the share capital of the Company without further shareholder approval. This resolution is required under Irish law as the Company is an Irish incorporated company. The 20% cap on this resolution aligns the resolution with the NASDAQ rules which provide that up to 20% of share capital can be issued without shareholder approval. In addition to the 20% cap, this resolution is subject to resolution 5 which puts a 5% cap on the number of shares that can be issued without being offered to existing shareholders on a pro-rata basis.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Resolution 5 - </w:t>
      </w:r>
      <w:r>
        <w:rPr>
          <w:rFonts w:ascii="Times New Roman" w:cs="Times New Roman" w:eastAsia="Times New Roman" w:hAnsi="Times New Roman"/>
          <w:sz w:val="18"/>
          <w:szCs w:val="18"/>
          <w:color w:val="auto"/>
        </w:rPr>
        <w:t>authorises the directors to issue shares, subject to resolution 4, until the earlier of the next Annual General Meeting of the Company or 23 January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up to an aggregate of 5% of the share capital of the Company for cash without having to offer the shares to existing shareholders on a pro rata basis. A resolution authorising the issuance of shares for cash without such offer round is a requirement of Irish law and there is no such requirement under the NASDAQ rules.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caps on resolutions 4 and 5 are different but complementary and they give shareholders significant anti-dilution protection which is far in excess of the protection that shareholders of a non-Irish NASDAQ company would have. Every year since the Company was listed (apart from 2014 as resolutions with 5 year authority were passed in 2013), the directors have put resolutions to authorise the issue of shares and to disapply offer round (like resolutions 4 and 5) to the shareholders and each such resolution has been passed. As above, this year the authorities under these resolutions expire on the earlier of the next Annual General Meeting of the Company or 23 January 2017.</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Resolution 6 - </w:t>
      </w:r>
      <w:r>
        <w:rPr>
          <w:rFonts w:ascii="Times New Roman" w:cs="Times New Roman" w:eastAsia="Times New Roman" w:hAnsi="Times New Roman"/>
          <w:sz w:val="18"/>
          <w:szCs w:val="18"/>
          <w:color w:val="auto"/>
        </w:rPr>
        <w:t>authorises the Company to purchase in the market (buy-back) up to 10% of the outstanding shares in the Company. It is important both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shareholders that the Company has this flexibility to implement a buy back (without having to seek further shareholder approval) if the market conditions favour a buy back. It should also be noted that the NASDAQ rules do not require shareholder approval to do a share buy-back and this resolution is required as the Company is an Irish incorporated company and Irish law requires shareholders to pass such a resolution to give directors the authority to put a buy back in place. The authority under this resolution expires on the earlier of the 2016 Annual General Meeting and 23 January 2017.</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Resolution 7 – </w:t>
      </w:r>
      <w:r>
        <w:rPr>
          <w:rFonts w:ascii="Times New Roman" w:cs="Times New Roman" w:eastAsia="Times New Roman" w:hAnsi="Times New Roman"/>
          <w:sz w:val="18"/>
          <w:szCs w:val="18"/>
          <w:color w:val="auto"/>
        </w:rPr>
        <w:t>authorises the price range at which the Company can reissue shares that it holds as treasury shares. Any share buyback activity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result in ordinary shares either being cancelled or re-issued as treasury shares. We may reissue treasury shares that we acquire through our proposed share buyback activities including in connection with our executive compensation programme, our employee restricted share unit programme and our other compensation programmes. As a result of using this authority in this way, ICON would avoid the need to issue new shares (and the resulting shareholder dilution) when vesting of equity awards triggers the requirement to issue shares to employees.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ICON plc – Notice of Annual General Meeting 2015</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645"/>
        </w:trPr>
        <w:tc>
          <w:tcPr>
            <w:tcW w:w="754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0" w:name="page11"/>
    <w:bookmarkEnd w:id="10"/>
    <w:p>
      <w:pPr>
        <w:jc w:val="both"/>
        <w:spacing w:after="0" w:line="260" w:lineRule="auto"/>
        <w:rPr>
          <w:sz w:val="20"/>
          <w:szCs w:val="20"/>
          <w:color w:val="auto"/>
        </w:rPr>
      </w:pPr>
      <w:r>
        <w:rPr>
          <w:rFonts w:ascii="Times New Roman" w:cs="Times New Roman" w:eastAsia="Times New Roman" w:hAnsi="Times New Roman"/>
          <w:sz w:val="18"/>
          <w:szCs w:val="18"/>
          <w:color w:val="auto"/>
        </w:rPr>
        <w:t>Under Irish company law, our shareholders must authorise the price range at which we may reissue any shares held in treasury. In this proposal, that price range is expressed as a minimum and maximum percentage of the prevailing market price (as defined below). Under Irish law, this authorisation expires after eighteen months unless renewed; accordingly, we expect to propose renewal of this authorisation at subsequent annual general meetings.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authority being sought from shareholders provides that the minimum and maximum prices at which an ordinary share held in treasury may be reissued are 95% and 120%, respectively, of the average closing price per ordinary share of the Company, as reported by NASDAQ, for the thirty (30) trading days immediately preceding the proposed date of re-issuance. Any reissuance of treasury shares will be at price levels that the Board considers in the best interests of our shareholders.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ICON plc – Notice of Annual General Meeting 2015</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645"/>
        </w:trPr>
        <w:tc>
          <w:tcPr>
            <w:tcW w:w="754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24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is hereby given that the Annual General Meeting of the Company will be held at ICON plc Headquarters, South County Business Park, Leopardstown,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Dublin 18, Ireland on 24 July 2015 at 10.30 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BUSINESS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consider and, if thought fit, pass the following ordinary resolutions:</w:t>
      </w:r>
    </w:p>
    <w:p>
      <w:pPr>
        <w:spacing w:after="0" w:line="244" w:lineRule="exact"/>
        <w:rPr>
          <w:sz w:val="20"/>
          <w:szCs w:val="20"/>
          <w:color w:val="auto"/>
        </w:rPr>
      </w:pPr>
    </w:p>
    <w:p>
      <w:pPr>
        <w:ind w:left="640" w:hanging="634"/>
        <w:spacing w:after="0" w:line="274"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by separate resolutions, the following individuals who retire as Directors in accordance with the Articles of Association of the Company and, being eligible, offer themselves for re-election:</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1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Mr. Ciaran Murray;</w:t>
            </w:r>
          </w:p>
        </w:tc>
      </w:tr>
      <w:tr>
        <w:trPr>
          <w:trHeight w:val="212"/>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1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Dr. Ronan Lambe; and</w:t>
            </w:r>
          </w:p>
        </w:tc>
      </w:tr>
      <w:tr>
        <w:trPr>
          <w:trHeight w:val="231"/>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1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Mr. Declan McKeon.</w:t>
            </w:r>
          </w:p>
        </w:tc>
      </w:tr>
    </w:tbl>
    <w:p>
      <w:pPr>
        <w:spacing w:after="0" w:line="219" w:lineRule="exact"/>
        <w:rPr>
          <w:sz w:val="20"/>
          <w:szCs w:val="20"/>
          <w:color w:val="auto"/>
        </w:rPr>
      </w:pPr>
    </w:p>
    <w:p>
      <w:pPr>
        <w:ind w:left="640" w:hanging="63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and consider the accounts for the year ended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December 2014 and the reports of the Directors and auditors thereon.</w:t>
      </w:r>
    </w:p>
    <w:p>
      <w:pPr>
        <w:spacing w:after="0" w:line="174"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authorise the Directors to fix the remuneration of the auditors.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BUSINESS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consider and, if thought fit, pass the following special resolutions:</w:t>
      </w:r>
    </w:p>
    <w:p>
      <w:pPr>
        <w:spacing w:after="0" w:line="244" w:lineRule="exact"/>
        <w:rPr>
          <w:sz w:val="20"/>
          <w:szCs w:val="20"/>
          <w:color w:val="auto"/>
        </w:rPr>
      </w:pPr>
    </w:p>
    <w:p>
      <w:pPr>
        <w:jc w:val="both"/>
        <w:ind w:left="640" w:hanging="634"/>
        <w:spacing w:after="0" w:line="25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Directors be and are hereby generally and unconditionally authorised to exercise all the powers of the Company to allot relevant securities (within the meaning of Section 1021 of the Companies Act 2014) up to a maximum amount equal to an aggregate nominal value of €718,884.52 representing 20% of the issued ordinary share capital of the Company on 8 June 2015; provided that this authority shall expire on the earlier of the date of the next Annual General Meeting of the Company or 23 January 2017, save that the Company may before such expiry make an offer or agreement which would or might require relevant securities to be allotted after such expiry and the Directors may allot relevant securities pursuant to such offer or agreement as if the authority conferred hereby had not expired.”</w:t>
      </w:r>
    </w:p>
    <w:p>
      <w:pPr>
        <w:spacing w:after="0" w:line="212" w:lineRule="exact"/>
        <w:rPr>
          <w:rFonts w:ascii="Times New Roman" w:cs="Times New Roman" w:eastAsia="Times New Roman" w:hAnsi="Times New Roman"/>
          <w:sz w:val="18"/>
          <w:szCs w:val="18"/>
          <w:color w:val="auto"/>
        </w:rPr>
      </w:pPr>
    </w:p>
    <w:p>
      <w:pPr>
        <w:jc w:val="both"/>
        <w:ind w:left="640" w:hanging="634"/>
        <w:spacing w:after="0" w:line="250"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subject to the passing of Resolution 4, the Directors be and are hereby empowered pursuant to Section 1022 and Section 1023(3) of the Companies Act 2014, to allot equity securities (as defined in Section 1023 of that Act) for cash as if the provisions of sub-section (1) of the said Section 1022 did not apply to any such allotment up to a maximum amount equal to an aggregate nominal value of €179,721.13 representing 5% of the issued ordinary share capital of the Company on 8 June 2015; provided that this exclusion of the applicability of Section 1022(1) of the Companies Act 2014 shall expire on the earlier of the date of the next Annual General Meeting of the Company or 23 January 2017, save that if before such expiry the Company has offered or agreed to allot equity securities, those equity securities may be allotted pursuant to such offer or agreement as if the exclusion contained herein had not expired.”</w:t>
      </w:r>
    </w:p>
    <w:p>
      <w:pPr>
        <w:spacing w:after="0" w:line="214" w:lineRule="exact"/>
        <w:rPr>
          <w:rFonts w:ascii="Times New Roman" w:cs="Times New Roman" w:eastAsia="Times New Roman" w:hAnsi="Times New Roman"/>
          <w:sz w:val="18"/>
          <w:szCs w:val="18"/>
          <w:color w:val="auto"/>
        </w:rPr>
      </w:pPr>
    </w:p>
    <w:p>
      <w:pPr>
        <w:jc w:val="both"/>
        <w:ind w:left="640" w:hanging="634"/>
        <w:spacing w:after="0" w:line="255"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and/or any subsidiary (as such expression is defined by Section 7 of the Companies Act 2014) of the Company be and they are hereby generally authorised to make overseas market purchases (as defined by Section 1072(2) of the Companies Act 2014) of shares of any class of the Company on such terms and conditions and in such manner as the Directors or, as the case may be, the Directors of such subsidiary, may from time to time determine in accordance with and subject to the provisions of the Companies Act 2014 and the following restrictions and provisions: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ICON plc – Notice of Annual General Meeting 2015</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645"/>
        </w:trPr>
        <w:tc>
          <w:tcPr>
            <w:tcW w:w="754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2" w:name="page13"/>
    <w:bookmarkEnd w:id="12"/>
    <w:p>
      <w:pPr>
        <w:ind w:left="1280" w:hanging="256"/>
        <w:spacing w:after="0" w:line="274"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number of shares authorised to be acquired pursuant to this resolution shall not exceed 10% of the aggregate number of shares issued by the Company at the close of business on date of passing of this resolution;</w:t>
      </w:r>
    </w:p>
    <w:p>
      <w:pPr>
        <w:spacing w:after="0" w:line="190" w:lineRule="exact"/>
        <w:rPr>
          <w:rFonts w:ascii="Times New Roman" w:cs="Times New Roman" w:eastAsia="Times New Roman" w:hAnsi="Times New Roman"/>
          <w:sz w:val="18"/>
          <w:szCs w:val="18"/>
          <w:color w:val="auto"/>
        </w:rPr>
      </w:pPr>
    </w:p>
    <w:p>
      <w:pPr>
        <w:ind w:left="1280" w:hanging="305"/>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price (exclusive of expenses) which may be paid for any such share shall be an amount equal to the nominal value thereof;</w:t>
      </w:r>
    </w:p>
    <w:p>
      <w:pPr>
        <w:spacing w:after="0" w:line="243" w:lineRule="exact"/>
        <w:rPr>
          <w:rFonts w:ascii="Times New Roman" w:cs="Times New Roman" w:eastAsia="Times New Roman" w:hAnsi="Times New Roman"/>
          <w:sz w:val="18"/>
          <w:szCs w:val="18"/>
          <w:color w:val="auto"/>
        </w:rPr>
      </w:pPr>
    </w:p>
    <w:p>
      <w:pPr>
        <w:jc w:val="both"/>
        <w:ind w:left="1280" w:hanging="354"/>
        <w:spacing w:after="0" w:line="260"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price (exclusive of expenses) to be paid for any ordinary share shall be an amount equal to 115% of the NASDAQ Official Close Price (the “NOCP”) (as reported by NASDAQ) of the Company’s ordinary shares on the trading day preceding the day on which the relevant shares are purchased by the Company.</w:t>
      </w:r>
    </w:p>
    <w:p>
      <w:pPr>
        <w:spacing w:after="0" w:line="202"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The authority hereby conferred shall expire on the earlier of the date of the next Annual General Meeting of the Company or 23 January 2017 or (if earlier) unless previously varied, revoked or renewed in accordance with the provisions of Section 1074 of the Companies Act 2014. The Company or any subsidiary may before such expiry make a contract for the purchase of shares which would or might be wholly or partly executed after such expiry and may make a purchase of shares pursuant to any such contract as if the authority herby conferred had not expired.”</w:t>
      </w:r>
    </w:p>
    <w:p>
      <w:pPr>
        <w:spacing w:after="0" w:line="208"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reissue price range at which any treasury shares held by the Company may be reissued off-market shall be as follows:</w:t>
      </w:r>
    </w:p>
    <w:p>
      <w:pPr>
        <w:spacing w:after="0" w:line="243"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price at which such treasury share may be reissued off-market shall be an amount equal to 120% of the "market price"; and</w:t>
      </w:r>
    </w:p>
    <w:p>
      <w:pPr>
        <w:spacing w:after="0" w:line="243" w:lineRule="exact"/>
        <w:rPr>
          <w:rFonts w:ascii="Times New Roman" w:cs="Times New Roman" w:eastAsia="Times New Roman" w:hAnsi="Times New Roman"/>
          <w:sz w:val="18"/>
          <w:szCs w:val="18"/>
          <w:color w:val="auto"/>
        </w:rPr>
      </w:pPr>
    </w:p>
    <w:p>
      <w:pPr>
        <w:jc w:val="both"/>
        <w:ind w:left="1280" w:hanging="638"/>
        <w:spacing w:after="0" w:line="260" w:lineRule="auto"/>
        <w:tabs>
          <w:tab w:leader="none" w:pos="1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price at which a treasury share may be reissued off-market shall be the nominal value of the share where such a share is required to satisfy an obligation under an employee share plan operated by the Company or, in all other cases, an amount equal to 95% of the "market price"; and</w:t>
      </w:r>
    </w:p>
    <w:p>
      <w:pPr>
        <w:spacing w:after="0" w:line="202" w:lineRule="exact"/>
        <w:rPr>
          <w:rFonts w:ascii="Times New Roman" w:cs="Times New Roman" w:eastAsia="Times New Roman" w:hAnsi="Times New Roman"/>
          <w:sz w:val="18"/>
          <w:szCs w:val="18"/>
          <w:color w:val="auto"/>
        </w:rPr>
      </w:pPr>
    </w:p>
    <w:p>
      <w:pPr>
        <w:ind w:left="1280" w:hanging="638"/>
        <w:spacing w:after="0" w:line="274" w:lineRule="auto"/>
        <w:tabs>
          <w:tab w:leader="none" w:pos="1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resolution, the "market price" shall mean the average closing price per ordinary share of the Company, as reported by NASDAQ, for the thirty (30) trading days immediately preceding the proposed date of re-issuance.</w:t>
      </w:r>
    </w:p>
    <w:p>
      <w:pPr>
        <w:spacing w:after="0" w:line="190"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The authority hereby conferred to reissue treasury shares shall expire eighteen months from the date of the passing of this resolution unless previously varied or renewed in accordance with the provisions of Section 1078 of the Companies Act 2014.”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16710" cy="555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16710" cy="55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5740" w:type="dxa"/>
            <w:vAlign w:val="bottom"/>
          </w:tcPr>
          <w:p>
            <w:pPr>
              <w:spacing w:after="0"/>
              <w:rPr>
                <w:sz w:val="18"/>
                <w:szCs w:val="18"/>
                <w:color w:val="auto"/>
              </w:rPr>
            </w:pPr>
          </w:p>
        </w:tc>
      </w:tr>
      <w:tr>
        <w:trPr>
          <w:trHeight w:val="231"/>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Company Secretary</w:t>
            </w:r>
          </w:p>
        </w:tc>
        <w:tc>
          <w:tcPr>
            <w:tcW w:w="5740" w:type="dxa"/>
            <w:vAlign w:val="bottom"/>
          </w:tcPr>
          <w:p>
            <w:pPr>
              <w:jc w:val="right"/>
              <w:ind w:right="2732"/>
              <w:spacing w:after="0"/>
              <w:rPr>
                <w:sz w:val="20"/>
                <w:szCs w:val="20"/>
                <w:color w:val="auto"/>
              </w:rPr>
            </w:pPr>
            <w:r>
              <w:rPr>
                <w:rFonts w:ascii="Times New Roman" w:cs="Times New Roman" w:eastAsia="Times New Roman" w:hAnsi="Times New Roman"/>
                <w:sz w:val="18"/>
                <w:szCs w:val="18"/>
                <w:color w:val="auto"/>
              </w:rPr>
              <w:t>12 June, 2015</w:t>
            </w:r>
          </w:p>
        </w:tc>
      </w:tr>
      <w:tr>
        <w:trPr>
          <w:trHeight w:val="451"/>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ICON plc – Notice of Annual General Meeting 2015</w:t>
            </w:r>
          </w:p>
        </w:tc>
        <w:tc>
          <w:tcPr>
            <w:tcW w:w="5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645"/>
        </w:trPr>
        <w:tc>
          <w:tcPr>
            <w:tcW w:w="568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Registered Office: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County Business Park,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Leopardstown,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18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ICON plc – Notice of Annual General Meeting 2015</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645"/>
        </w:trPr>
        <w:tc>
          <w:tcPr>
            <w:tcW w:w="750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44" w:lineRule="exact"/>
        <w:rPr>
          <w:sz w:val="20"/>
          <w:szCs w:val="20"/>
          <w:color w:val="auto"/>
        </w:rPr>
      </w:pPr>
    </w:p>
    <w:p>
      <w:pPr>
        <w:ind w:left="620" w:hanging="614"/>
        <w:spacing w:after="0"/>
        <w:tabs>
          <w:tab w:leader="none" w:pos="6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and Documentation</w:t>
      </w:r>
    </w:p>
    <w:p>
      <w:pPr>
        <w:spacing w:after="0" w:line="26" w:lineRule="exact"/>
        <w:rPr>
          <w:rFonts w:ascii="Times New Roman" w:cs="Times New Roman" w:eastAsia="Times New Roman" w:hAnsi="Times New Roman"/>
          <w:sz w:val="18"/>
          <w:szCs w:val="18"/>
          <w:b w:val="1"/>
          <w:bCs w:val="1"/>
          <w:color w:val="auto"/>
        </w:rPr>
      </w:pPr>
    </w:p>
    <w:p>
      <w:pPr>
        <w:ind w:left="6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Information regarding the Annual Meeting is available on the Company’s website </w:t>
      </w:r>
      <w:r>
        <w:rPr>
          <w:rFonts w:ascii="Times New Roman" w:cs="Times New Roman" w:eastAsia="Times New Roman" w:hAnsi="Times New Roman"/>
          <w:sz w:val="18"/>
          <w:szCs w:val="18"/>
          <w:u w:val="single" w:color="auto"/>
          <w:color w:val="auto"/>
        </w:rPr>
        <w:t>www.iconplc.com</w:t>
      </w:r>
      <w:r>
        <w:rPr>
          <w:rFonts w:ascii="Times New Roman" w:cs="Times New Roman" w:eastAsia="Times New Roman" w:hAnsi="Times New Roman"/>
          <w:sz w:val="18"/>
          <w:szCs w:val="18"/>
          <w:color w:val="auto"/>
        </w:rPr>
        <w:t xml:space="preserve"> and from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If you require a paper copy of the Form 20-F or Annual Report please contact Investor Relations at 1-888-381-7923 or IR@iconplc.com.</w:t>
      </w:r>
    </w:p>
    <w:p>
      <w:pPr>
        <w:spacing w:after="0" w:line="208" w:lineRule="exact"/>
        <w:rPr>
          <w:rFonts w:ascii="Times New Roman" w:cs="Times New Roman" w:eastAsia="Times New Roman" w:hAnsi="Times New Roman"/>
          <w:sz w:val="18"/>
          <w:szCs w:val="18"/>
          <w:b w:val="1"/>
          <w:bCs w:val="1"/>
          <w:color w:val="auto"/>
        </w:rPr>
      </w:pPr>
    </w:p>
    <w:p>
      <w:pPr>
        <w:ind w:left="640" w:hanging="634"/>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eligible to vote and how?</w:t>
      </w:r>
    </w:p>
    <w:p>
      <w:pPr>
        <w:spacing w:after="0" w:line="26" w:lineRule="exact"/>
        <w:rPr>
          <w:rFonts w:ascii="Times New Roman" w:cs="Times New Roman" w:eastAsia="Times New Roman" w:hAnsi="Times New Roman"/>
          <w:sz w:val="18"/>
          <w:szCs w:val="18"/>
          <w:b w:val="1"/>
          <w:bCs w:val="1"/>
          <w:color w:val="auto"/>
        </w:rPr>
      </w:pPr>
    </w:p>
    <w:p>
      <w:pPr>
        <w:jc w:val="both"/>
        <w:ind w:left="640"/>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are actually registered in your name, you are a shareholder of record. Shareholders of record who are entered in the register of Members of the Company as at 4.59pm Dublin time on 22 July 2015 or if the Meeting is adjourned, at 4.59pm Dublin time on the day that falls 48 hours before the time appointed for the adjourned meeting shall be entitled to attend, speak, ask questions and vote at the Meeting, or if relevant, any adjournment thereof. Changes in the register after that time will be disregarded in determining the right of any person to attend and/or vote at the meeting. For those shareholders whose shares are not held in their name, but rather in an account at a brokerage firm, bank, dealer or other similar organisation, who in turn hold through The Depository Trust Company (“DTC”), then their entitlement to vote is determined as at 2 June 2015.</w:t>
      </w:r>
    </w:p>
    <w:p>
      <w:pPr>
        <w:spacing w:after="0" w:line="21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Depending on whether your shares are registered in your name or whether your shares are held in a "street name" the arrangements are as follows:</w:t>
      </w:r>
    </w:p>
    <w:p>
      <w:pPr>
        <w:spacing w:after="0" w:line="23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Shareholder of Record: Shares Registered in Your Name</w:t>
      </w:r>
    </w:p>
    <w:p>
      <w:pPr>
        <w:spacing w:after="0" w:line="247" w:lineRule="exact"/>
        <w:rPr>
          <w:rFonts w:ascii="Times New Roman" w:cs="Times New Roman" w:eastAsia="Times New Roman" w:hAnsi="Times New Roman"/>
          <w:sz w:val="18"/>
          <w:szCs w:val="18"/>
          <w:b w:val="1"/>
          <w:bCs w:val="1"/>
          <w:color w:val="auto"/>
        </w:rPr>
      </w:pPr>
    </w:p>
    <w:p>
      <w:pPr>
        <w:jc w:val="both"/>
        <w:ind w:left="6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shareholder of record, you may vote in person at the Annual Meeting or vote by proxy. In the case of joint holders the vote of the senior member who tenders a vote, whether in person or by proxy, shall be accepted to the exclusion of the votes of the other shareholder of record and, for this purpose, seniority shall be determined by the order in which the names stand in the Register of Members in respect of the joint holding. The appointment of a proxy will not preclude a shareholder of record from attending, speaking, asking questions and voting at the meeting should the shareholder subsequently wish to do so. A proxy need not be a Member of the Company. If you wish to appoint more than one proxy or a person not listed on the form of proxy, please contact Investor Relations at 1-888-381-7923 or IR@iconplc.com.</w:t>
      </w:r>
    </w:p>
    <w:p>
      <w:pPr>
        <w:spacing w:after="0" w:line="212" w:lineRule="exact"/>
        <w:rPr>
          <w:rFonts w:ascii="Times New Roman" w:cs="Times New Roman" w:eastAsia="Times New Roman" w:hAnsi="Times New Roman"/>
          <w:sz w:val="18"/>
          <w:szCs w:val="18"/>
          <w:b w:val="1"/>
          <w:bCs w:val="1"/>
          <w:color w:val="auto"/>
        </w:rPr>
      </w:pPr>
    </w:p>
    <w:p>
      <w:pPr>
        <w:jc w:val="both"/>
        <w:ind w:left="6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Form of Proxy is enclosed with this notice of Meeting for shareholders of record. To be effective, the Form of Proxy duly completed and executed, together with any authority under which it is executed, or a copy thereof certified, must be deposited at the registered office of the Company, so as to be received no later than 4.59pm Dublin time on 22 July 2015 or if the Annual Meeting is adjourned, at 4.59pm Dublin time on the day that falls 48 hours before the time appointed for the adjourned Meeting or (in the case of a poll taken otherwise than at or on the same day as the Annual Meeting or adjourned Meeting) at least 48 hours before the taking of the poll at which it is to be used. Any alteration to the Form of Proxy must be initialled by the person who signs it.</w:t>
      </w:r>
    </w:p>
    <w:p>
      <w:pPr>
        <w:spacing w:after="0" w:line="212" w:lineRule="exact"/>
        <w:rPr>
          <w:rFonts w:ascii="Times New Roman" w:cs="Times New Roman" w:eastAsia="Times New Roman" w:hAnsi="Times New Roman"/>
          <w:sz w:val="18"/>
          <w:szCs w:val="18"/>
          <w:b w:val="1"/>
          <w:bCs w:val="1"/>
          <w:color w:val="auto"/>
        </w:rPr>
      </w:pPr>
    </w:p>
    <w:p>
      <w:pPr>
        <w:jc w:val="both"/>
        <w:ind w:left="6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Alternatively, provided it is received no later than 4.59pm Dublin time on 22 July 2015 or if the Annual Meeting is adjourned, at 4.59pm Dublin time on the day that falls 48 hours before the time appointed for the adjourned Annual Meeting or (in the case of a poll taken otherwise than at or on the same day as the Annual Meeting or adjourned Annual Meeting) at least 48 hours before the taking of the poll at which it is to be used, the appointment of a proxy may be submitted electronically, subject to the applicable terms and conditions, via the Internet by accessing Broadridge’s website </w:t>
      </w:r>
      <w:r>
        <w:rPr>
          <w:rFonts w:ascii="Times New Roman" w:cs="Times New Roman" w:eastAsia="Times New Roman" w:hAnsi="Times New Roman"/>
          <w:sz w:val="18"/>
          <w:szCs w:val="18"/>
          <w:b w:val="1"/>
          <w:bCs w:val="1"/>
          <w:color w:val="auto"/>
        </w:rPr>
        <w:t xml:space="preserve">www.proxyvote.com </w:t>
      </w:r>
      <w:r>
        <w:rPr>
          <w:rFonts w:ascii="Times New Roman" w:cs="Times New Roman" w:eastAsia="Times New Roman" w:hAnsi="Times New Roman"/>
          <w:sz w:val="18"/>
          <w:szCs w:val="18"/>
          <w:color w:val="auto"/>
        </w:rPr>
        <w:t>and, when you follow the instructions on the website, the information you need to appoint your proxy electronically is included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top of your Form of Proxy.</w:t>
      </w:r>
    </w:p>
    <w:p>
      <w:pPr>
        <w:spacing w:after="0" w:line="212"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a corporation the Form of Proxy must be either executed under seal or signed on its behalf by a duly authorised officer or attorney.</w:t>
      </w:r>
    </w:p>
    <w:p>
      <w:pPr>
        <w:spacing w:after="0" w:line="23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Other Agent</w:t>
      </w:r>
    </w:p>
    <w:p>
      <w:pPr>
        <w:spacing w:after="0" w:line="247"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as at 2 June 2015 your shares were not held in your name, but rather in an account at a brokerage firm, bank, dealer or other similar organisation, who in turn hold through The Depository Trust Company (“DTC”), then you are the beneficial owner of shares held in “street name” and these proxy materials are being forwarded to you by that organisation, together with instructions as to voting. </w:t>
      </w:r>
      <w:r>
        <w:rPr>
          <w:rFonts w:ascii="Times New Roman" w:cs="Times New Roman" w:eastAsia="Times New Roman" w:hAnsi="Times New Roman"/>
          <w:sz w:val="18"/>
          <w:szCs w:val="18"/>
          <w:b w:val="1"/>
          <w:bCs w:val="1"/>
          <w:color w:val="auto"/>
        </w:rPr>
        <w:t>You will need to carefully follow the instructions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from your broker, bank or other agent or contact your broker, bank or other agent if you have any queries.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ICON plc – Notice of Annual General Meeting 2015</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645"/>
        </w:trPr>
        <w:tc>
          <w:tcPr>
            <w:tcW w:w="750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5" w:name="page16"/>
    <w:bookmarkEnd w:id="15"/>
    <w:p>
      <w:pPr>
        <w:jc w:val="both"/>
        <w:ind w:left="640"/>
        <w:spacing w:after="0" w:line="260" w:lineRule="auto"/>
        <w:rPr>
          <w:sz w:val="20"/>
          <w:szCs w:val="20"/>
          <w:color w:val="auto"/>
        </w:rPr>
      </w:pPr>
      <w:r>
        <w:rPr>
          <w:rFonts w:ascii="Times New Roman" w:cs="Times New Roman" w:eastAsia="Times New Roman" w:hAnsi="Times New Roman"/>
          <w:sz w:val="18"/>
          <w:szCs w:val="18"/>
          <w:color w:val="auto"/>
        </w:rPr>
        <w:t>As a beneficial owner, you have the right to direct your broker or other agent on how to vote the shares in your account as per the instructions enclosed by your broker. You are also invited to attend the Annual Meeting. However, since you are not the shareholder of record, you may not vote your shares in person at the Annual Meeting unless you contact your broker and obtain a valid proxy card from your broker or other agent.</w:t>
      </w:r>
    </w:p>
    <w:p>
      <w:pPr>
        <w:spacing w:after="0" w:line="202"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18"/>
          <w:szCs w:val="18"/>
          <w:color w:val="auto"/>
        </w:rPr>
        <w:t>Therefore as a beneficial owner of shares registered in the name of your broker, bank or other agent, who in turn hold through DTC, you should have received a voting instruction card and voting instructions with these proxy materials from that organisation rather than from us. Simply complete and mail the voting instruction card as per the instructions from your broker, bank or other agent to ensure that your vote is counted.</w:t>
      </w:r>
    </w:p>
    <w:p>
      <w:pPr>
        <w:spacing w:after="0" w:line="200" w:lineRule="exact"/>
        <w:rPr>
          <w:sz w:val="20"/>
          <w:szCs w:val="20"/>
          <w:color w:val="auto"/>
        </w:rPr>
      </w:pPr>
    </w:p>
    <w:p>
      <w:pPr>
        <w:ind w:left="640" w:hanging="634"/>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you have?</w:t>
      </w:r>
    </w:p>
    <w:p>
      <w:pPr>
        <w:spacing w:after="0" w:line="26" w:lineRule="exact"/>
        <w:rPr>
          <w:rFonts w:ascii="Times New Roman" w:cs="Times New Roman" w:eastAsia="Times New Roman" w:hAnsi="Times New Roman"/>
          <w:sz w:val="18"/>
          <w:szCs w:val="18"/>
          <w:b w:val="1"/>
          <w:bCs w:val="1"/>
          <w:color w:val="auto"/>
        </w:rPr>
      </w:pPr>
    </w:p>
    <w:p>
      <w:pPr>
        <w:jc w:val="both"/>
        <w:ind w:left="640"/>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number of issued ordinary shares on 8 June 2015 was 59,907,043. On a vote on a show of hands, every shareholder present in person and every proxy has one vote (but no individual shall have more than one vote). On a poll every shareholder present in person and every proxy shall have one vote for every share carrying rights of which he is the holder or proxy. Ordinary Resolutions are required to be passed by a simple majority of shareholders voting in person or by proxy. Special Resolutions are required to be passed by a majority of 75 per cent of shareholders voting in person or by proxy.</w:t>
      </w:r>
    </w:p>
    <w:p>
      <w:pPr>
        <w:spacing w:after="0" w:line="212" w:lineRule="exact"/>
        <w:rPr>
          <w:rFonts w:ascii="Times New Roman" w:cs="Times New Roman" w:eastAsia="Times New Roman" w:hAnsi="Times New Roman"/>
          <w:sz w:val="18"/>
          <w:szCs w:val="18"/>
          <w:b w:val="1"/>
          <w:bCs w:val="1"/>
          <w:color w:val="auto"/>
        </w:rPr>
      </w:pPr>
    </w:p>
    <w:p>
      <w:pPr>
        <w:ind w:left="620" w:hanging="614"/>
        <w:spacing w:after="0"/>
        <w:tabs>
          <w:tab w:leader="none" w:pos="6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 Voting</w:t>
      </w:r>
    </w:p>
    <w:p>
      <w:pPr>
        <w:spacing w:after="0" w:line="26" w:lineRule="exact"/>
        <w:rPr>
          <w:rFonts w:ascii="Times New Roman" w:cs="Times New Roman" w:eastAsia="Times New Roman" w:hAnsi="Times New Roman"/>
          <w:sz w:val="18"/>
          <w:szCs w:val="18"/>
          <w:b w:val="1"/>
          <w:bCs w:val="1"/>
          <w:color w:val="auto"/>
        </w:rPr>
      </w:pPr>
    </w:p>
    <w:p>
      <w:pPr>
        <w:jc w:val="both"/>
        <w:ind w:left="640"/>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your shares are held by a broker on your behalf (that is, in “street name”), and you do not instruct the broker as to how to vote these shares, the broker may not exercise discretion to vote for or against any of the proposals. This would be a “broker non-vote” and these shares will not be counted as having been voted on the proposals. </w:t>
      </w:r>
      <w:r>
        <w:rPr>
          <w:rFonts w:ascii="Times New Roman" w:cs="Times New Roman" w:eastAsia="Times New Roman" w:hAnsi="Times New Roman"/>
          <w:sz w:val="18"/>
          <w:szCs w:val="18"/>
          <w:b w:val="1"/>
          <w:bCs w:val="1"/>
          <w:color w:val="auto"/>
        </w:rPr>
        <w:t>Please instruct your bank or broker so your vote can be counted</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b w:val="1"/>
          <w:bCs w:val="1"/>
          <w:color w:val="auto"/>
        </w:rPr>
      </w:pPr>
    </w:p>
    <w:p>
      <w:pPr>
        <w:ind w:left="620" w:hanging="614"/>
        <w:spacing w:after="0"/>
        <w:tabs>
          <w:tab w:leader="none" w:pos="6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Shareholder of Record: Shares Registered in Your Name</w:t>
      </w:r>
    </w:p>
    <w:p>
      <w:pPr>
        <w:spacing w:after="0" w:line="36" w:lineRule="exact"/>
        <w:rPr>
          <w:sz w:val="20"/>
          <w:szCs w:val="20"/>
          <w:color w:val="auto"/>
        </w:rPr>
      </w:pPr>
    </w:p>
    <w:p>
      <w:pPr>
        <w:ind w:right="180" w:firstLine="743"/>
        <w:spacing w:after="0" w:line="274"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three ways:</w:t>
      </w:r>
    </w:p>
    <w:p>
      <w:pPr>
        <w:spacing w:after="0" w:line="190" w:lineRule="exact"/>
        <w:rPr>
          <w:sz w:val="20"/>
          <w:szCs w:val="20"/>
          <w:color w:val="auto"/>
        </w:rPr>
      </w:pPr>
    </w:p>
    <w:p>
      <w:pPr>
        <w:ind w:left="1280" w:hanging="196"/>
        <w:spacing w:after="0" w:line="304"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submit another properly completed proxy with a later date. Your revised proxy must be received before the commencement of the meeting at 10.30am Dublin time on 24 July 2015 or if the Annual Meeting is adjourned, before the commencement of the adjourned meeting;</w:t>
      </w:r>
    </w:p>
    <w:p>
      <w:pPr>
        <w:spacing w:after="0" w:line="167" w:lineRule="exact"/>
        <w:rPr>
          <w:rFonts w:ascii="Times New Roman" w:cs="Times New Roman" w:eastAsia="Times New Roman" w:hAnsi="Times New Roman"/>
          <w:sz w:val="17"/>
          <w:szCs w:val="17"/>
          <w:color w:val="auto"/>
        </w:rPr>
      </w:pPr>
    </w:p>
    <w:p>
      <w:pPr>
        <w:jc w:val="both"/>
        <w:ind w:left="1280" w:hanging="196"/>
        <w:spacing w:after="0" w:line="255"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Erina Fox, Assistant Company Secretary, ICON plc at the registered office of the Company (being South County Business Park, Leopardstown, Dublin 18, Ireland) or by email to IR@iconplc.com. Your notice must be received before the commencement of the meeting at 10.30am Dublin time on 24 July 2015 or if the Annual Meeting is adjourned, before the commencement of the adjourned meeting; or</w:t>
      </w:r>
    </w:p>
    <w:p>
      <w:pPr>
        <w:spacing w:after="0" w:line="207" w:lineRule="exact"/>
        <w:rPr>
          <w:rFonts w:ascii="Times New Roman" w:cs="Times New Roman" w:eastAsia="Times New Roman" w:hAnsi="Times New Roman"/>
          <w:sz w:val="18"/>
          <w:szCs w:val="18"/>
          <w:color w:val="auto"/>
        </w:rPr>
      </w:pPr>
    </w:p>
    <w:p>
      <w:pPr>
        <w:ind w:left="1280" w:hanging="19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in person.</w:t>
      </w:r>
    </w:p>
    <w:p>
      <w:pPr>
        <w:spacing w:after="0" w:line="2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Other Agent</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them.</w:t>
      </w:r>
    </w:p>
    <w:p>
      <w:pPr>
        <w:spacing w:after="0" w:line="222" w:lineRule="exact"/>
        <w:rPr>
          <w:sz w:val="20"/>
          <w:szCs w:val="20"/>
          <w:color w:val="auto"/>
        </w:rPr>
      </w:pPr>
    </w:p>
    <w:p>
      <w:pPr>
        <w:ind w:left="620" w:hanging="614"/>
        <w:spacing w:after="0"/>
        <w:tabs>
          <w:tab w:leader="none" w:pos="6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I receive more than one set of materials?</w:t>
      </w:r>
    </w:p>
    <w:p>
      <w:pPr>
        <w:spacing w:after="0" w:line="26"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18"/>
          <w:szCs w:val="18"/>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ICON plc – Notice of Annual General Meeting 2015</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420"/>
          </w:cols>
          <w:pgMar w:left="240" w:top="506" w:right="239" w:bottom="1440" w:gutter="0" w:footer="0" w:header="0"/>
        </w:sectPr>
      </w:pPr>
    </w:p>
    <w:bookmarkStart w:id="16" w:name="page17"/>
    <w:bookmarkEnd w:id="16"/>
    <w:p>
      <w:pPr>
        <w:ind w:left="9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170180</wp:posOffset>
            </wp:positionV>
            <wp:extent cx="7253605" cy="8783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8783320"/>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17" w:name="page18"/>
    <w:bookmarkEnd w:id="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32"/>
          <w:szCs w:val="32"/>
          <w:b w:val="1"/>
          <w:bCs w:val="1"/>
          <w:color w:val="auto"/>
        </w:rPr>
        <w:t>ICON p.l.c. and Subsidiaries</w:t>
      </w:r>
    </w:p>
    <w:p>
      <w:pPr>
        <w:spacing w:after="0" w:line="200" w:lineRule="exact"/>
        <w:rPr>
          <w:sz w:val="20"/>
          <w:szCs w:val="20"/>
          <w:color w:val="auto"/>
        </w:rPr>
      </w:pPr>
    </w:p>
    <w:p>
      <w:pPr>
        <w:spacing w:after="0" w:line="2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b w:val="1"/>
          <w:bCs w:val="1"/>
          <w:color w:val="auto"/>
        </w:rPr>
        <w:t>Consolidated Financial Statements</w:t>
      </w:r>
    </w:p>
    <w:p>
      <w:pPr>
        <w:spacing w:after="0" w:line="200" w:lineRule="exact"/>
        <w:rPr>
          <w:sz w:val="20"/>
          <w:szCs w:val="20"/>
          <w:color w:val="auto"/>
        </w:rPr>
      </w:pP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Year ended 31 December 2014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20"/>
        <w:spacing w:after="0"/>
        <w:tabs>
          <w:tab w:leader="none" w:pos="2240" w:val="left"/>
        </w:tabs>
        <w:rPr>
          <w:sz w:val="20"/>
          <w:szCs w:val="20"/>
          <w:color w:val="auto"/>
        </w:rPr>
      </w:pPr>
      <w:r>
        <w:rPr>
          <w:rFonts w:ascii="Times New Roman" w:cs="Times New Roman" w:eastAsia="Times New Roman" w:hAnsi="Times New Roman"/>
          <w:sz w:val="18"/>
          <w:szCs w:val="18"/>
          <w:i w:val="1"/>
          <w:iCs w:val="1"/>
          <w:color w:val="auto"/>
        </w:rPr>
        <w:t>Registered number</w:t>
        <w:tab/>
        <w:t>145835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418465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1"/>
          <w:szCs w:val="21"/>
          <w:color w:val="auto"/>
        </w:rPr>
        <w:t>Directors’ Report and Consolidated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Contents</w:t>
            </w:r>
          </w:p>
        </w:tc>
        <w:tc>
          <w:tcPr>
            <w:tcW w:w="6440" w:type="dxa"/>
            <w:vAlign w:val="bottom"/>
          </w:tcPr>
          <w:p>
            <w:pPr>
              <w:jc w:val="right"/>
              <w:ind w:right="292"/>
              <w:spacing w:after="0"/>
              <w:rPr>
                <w:sz w:val="20"/>
                <w:szCs w:val="20"/>
                <w:color w:val="auto"/>
              </w:rPr>
            </w:pPr>
            <w:r>
              <w:rPr>
                <w:rFonts w:ascii="Times New Roman" w:cs="Times New Roman" w:eastAsia="Times New Roman" w:hAnsi="Times New Roman"/>
                <w:sz w:val="18"/>
                <w:szCs w:val="18"/>
                <w:i w:val="1"/>
                <w:iCs w:val="1"/>
                <w:color w:val="auto"/>
              </w:rPr>
              <w:t>Page</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Other Information</w:t>
            </w:r>
          </w:p>
        </w:tc>
        <w:tc>
          <w:tcPr>
            <w:tcW w:w="64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2</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Directors’ Report</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rPr>
              <w:t>3</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Statement of Directors’ Responsibilities</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rPr>
              <w:t>9</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Auditor’s Report</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9"/>
              </w:rPr>
              <w:t>10</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Statement of Accounting Policies</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9"/>
              </w:rPr>
              <w:t>12</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Income Statement</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9"/>
              </w:rPr>
              <w:t>26</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Comprehensive Income</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9"/>
              </w:rPr>
              <w:t>27</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Financial Position</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9"/>
              </w:rPr>
              <w:t>28</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Changes in Equity</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9"/>
              </w:rPr>
              <w:t>29</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Cash Flows</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9"/>
              </w:rPr>
              <w:t>31</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9"/>
              </w:rPr>
              <w:t>32</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Company Statement of Financial Position</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6"/>
              </w:rPr>
              <w:t>104</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Company Statement of Changes in Equity</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6"/>
              </w:rPr>
              <w:t>105</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Company Statement of Cash Flows</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6"/>
              </w:rPr>
              <w:t>107</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Notes to Company Financial Statements</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6"/>
              </w:rPr>
              <w:t>108</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between IFRS and US Accounting Principles</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6"/>
              </w:rPr>
              <w:t>117</w:t>
            </w:r>
          </w:p>
        </w:tc>
      </w:tr>
      <w:tr>
        <w:trPr>
          <w:trHeight w:val="4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Appendix A: Risk Factors</w:t>
            </w:r>
          </w:p>
        </w:tc>
        <w:tc>
          <w:tcPr>
            <w:tcW w:w="6440" w:type="dxa"/>
            <w:vAlign w:val="bottom"/>
          </w:tcPr>
          <w:p>
            <w:pPr>
              <w:jc w:val="center"/>
              <w:ind w:left="5212"/>
              <w:spacing w:after="0"/>
              <w:rPr>
                <w:sz w:val="20"/>
                <w:szCs w:val="20"/>
                <w:color w:val="auto"/>
              </w:rPr>
            </w:pPr>
            <w:r>
              <w:rPr>
                <w:rFonts w:ascii="Times New Roman" w:cs="Times New Roman" w:eastAsia="Times New Roman" w:hAnsi="Times New Roman"/>
                <w:sz w:val="18"/>
                <w:szCs w:val="18"/>
                <w:color w:val="auto"/>
                <w:w w:val="96"/>
              </w:rPr>
              <w:t>121</w:t>
            </w:r>
          </w:p>
        </w:tc>
      </w:tr>
      <w:tr>
        <w:trPr>
          <w:trHeight w:val="597"/>
        </w:trPr>
        <w:tc>
          <w:tcPr>
            <w:tcW w:w="4980" w:type="dxa"/>
            <w:vAlign w:val="bottom"/>
          </w:tcPr>
          <w:p>
            <w:pPr>
              <w:spacing w:after="0"/>
              <w:rPr>
                <w:sz w:val="24"/>
                <w:szCs w:val="24"/>
                <w:color w:val="auto"/>
              </w:rPr>
            </w:pPr>
          </w:p>
        </w:tc>
        <w:tc>
          <w:tcPr>
            <w:tcW w:w="6440" w:type="dxa"/>
            <w:vAlign w:val="bottom"/>
          </w:tcPr>
          <w:p>
            <w:pPr>
              <w:jc w:val="right"/>
              <w:ind w:right="5572"/>
              <w:spacing w:after="0"/>
              <w:rPr>
                <w:sz w:val="20"/>
                <w:szCs w:val="20"/>
                <w:color w:val="auto"/>
              </w:rPr>
            </w:pPr>
            <w:r>
              <w:rPr>
                <w:rFonts w:ascii="Times New Roman" w:cs="Times New Roman" w:eastAsia="Times New Roman" w:hAnsi="Times New Roman"/>
                <w:sz w:val="18"/>
                <w:szCs w:val="18"/>
                <w:color w:val="auto"/>
              </w:rPr>
              <w:t>1</w:t>
            </w:r>
          </w:p>
        </w:tc>
      </w:tr>
      <w:tr>
        <w:trPr>
          <w:trHeight w:val="115"/>
        </w:trPr>
        <w:tc>
          <w:tcPr>
            <w:tcW w:w="4980" w:type="dxa"/>
            <w:vAlign w:val="bottom"/>
            <w:tcBorders>
              <w:bottom w:val="single" w:sz="8" w:color="808080"/>
            </w:tcBorders>
          </w:tcPr>
          <w:p>
            <w:pPr>
              <w:spacing w:after="0"/>
              <w:rPr>
                <w:sz w:val="10"/>
                <w:szCs w:val="10"/>
                <w:color w:val="auto"/>
              </w:rPr>
            </w:pPr>
          </w:p>
        </w:tc>
        <w:tc>
          <w:tcPr>
            <w:tcW w:w="6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1"/>
          <w:szCs w:val="21"/>
          <w:color w:val="auto"/>
        </w:rPr>
        <w:t>Directors’ and Other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Thomas Lynch (British – Chairman of the Board) (1) (2) (3) (4)</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Ciaran Murray (Irish – Chief Executive Officer) (4)</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Dr. John Climax (Irish – Non-Executive) (5)</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Dr. Ronan Lambe (Irish – Non-Executive) (5)</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Prof. Dermot Kelleher (Irish – Non-Executive) (1) (5)</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Declan McKeon (Irish – Non-Executive) (1) (3)</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Prof. William Hall (Irish – Non-Executive) (1) (2) (3) (5)</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Mary Pendergast (American – Non-Executive) (2) (5)</w:t>
            </w:r>
          </w:p>
        </w:tc>
      </w:tr>
      <w:tr>
        <w:trPr>
          <w:trHeight w:val="231"/>
        </w:trPr>
        <w:tc>
          <w:tcPr>
            <w:tcW w:w="188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Dr. Hugh Brady (Irish – Non-Executive)</w:t>
            </w:r>
          </w:p>
        </w:tc>
      </w:tr>
      <w:tr>
        <w:trPr>
          <w:trHeight w:val="403"/>
        </w:trPr>
        <w:tc>
          <w:tcPr>
            <w:tcW w:w="1880" w:type="dxa"/>
            <w:vAlign w:val="bottom"/>
          </w:tcPr>
          <w:p>
            <w:pPr>
              <w:spacing w:after="0"/>
              <w:rPr>
                <w:sz w:val="24"/>
                <w:szCs w:val="24"/>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(1) Member of Audit Committee</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(2) Member of Compensation and Organisation Committee</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(3)  Member of Nominating and Governance Committee</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(4)  Member of Execution Committee</w:t>
            </w:r>
          </w:p>
        </w:tc>
      </w:tr>
      <w:tr>
        <w:trPr>
          <w:trHeight w:val="233"/>
        </w:trPr>
        <w:tc>
          <w:tcPr>
            <w:tcW w:w="188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(5)  Member of Quality Committee</w:t>
            </w:r>
          </w:p>
        </w:tc>
      </w:tr>
      <w:tr>
        <w:trPr>
          <w:trHeight w:val="424"/>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secretary</w:t>
            </w: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Diarmaid Cunningham</w:t>
            </w:r>
          </w:p>
        </w:tc>
      </w:tr>
      <w:tr>
        <w:trPr>
          <w:trHeight w:val="405"/>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South County Business Park</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Leopardstown</w:t>
            </w:r>
          </w:p>
        </w:tc>
      </w:tr>
      <w:tr>
        <w:trPr>
          <w:trHeight w:val="231"/>
        </w:trPr>
        <w:tc>
          <w:tcPr>
            <w:tcW w:w="188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Dublin 18</w:t>
            </w:r>
          </w:p>
        </w:tc>
      </w:tr>
      <w:tr>
        <w:trPr>
          <w:trHeight w:val="405"/>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Auditors</w:t>
            </w: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KPMG</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Chartered Accountants</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 Stokes Place</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 Stephens Green</w:t>
            </w:r>
          </w:p>
        </w:tc>
      </w:tr>
      <w:tr>
        <w:trPr>
          <w:trHeight w:val="231"/>
        </w:trPr>
        <w:tc>
          <w:tcPr>
            <w:tcW w:w="188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Dublin 2</w:t>
            </w:r>
          </w:p>
        </w:tc>
      </w:tr>
      <w:tr>
        <w:trPr>
          <w:trHeight w:val="405"/>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Solicitors</w:t>
            </w: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&amp; L Goodbody</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International Financial Services Centre</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North Wall Quay</w:t>
            </w:r>
          </w:p>
        </w:tc>
      </w:tr>
      <w:tr>
        <w:trPr>
          <w:trHeight w:val="231"/>
        </w:trPr>
        <w:tc>
          <w:tcPr>
            <w:tcW w:w="188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Dublin 1</w:t>
            </w:r>
          </w:p>
        </w:tc>
      </w:tr>
      <w:tr>
        <w:trPr>
          <w:trHeight w:val="405"/>
        </w:trPr>
        <w:tc>
          <w:tcPr>
            <w:tcW w:w="1880" w:type="dxa"/>
            <w:vAlign w:val="bottom"/>
          </w:tcPr>
          <w:p>
            <w:pPr>
              <w:spacing w:after="0"/>
              <w:rPr>
                <w:sz w:val="24"/>
                <w:szCs w:val="24"/>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Cahill Gordon Reindel LLP</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80 Pine Street</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NY10005</w:t>
            </w:r>
          </w:p>
        </w:tc>
      </w:tr>
      <w:tr>
        <w:trPr>
          <w:trHeight w:val="231"/>
        </w:trPr>
        <w:tc>
          <w:tcPr>
            <w:tcW w:w="188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USA</w:t>
            </w:r>
          </w:p>
        </w:tc>
      </w:tr>
      <w:tr>
        <w:trPr>
          <w:trHeight w:val="405"/>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Registrars</w:t>
            </w: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Computershare Investor Services (Ireland) Limited</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Herron House</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Corrig Road</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Sandyford Industrial Estate</w:t>
            </w:r>
          </w:p>
        </w:tc>
      </w:tr>
      <w:tr>
        <w:trPr>
          <w:trHeight w:val="231"/>
        </w:trPr>
        <w:tc>
          <w:tcPr>
            <w:tcW w:w="188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Dublin 18</w:t>
            </w:r>
          </w:p>
        </w:tc>
      </w:tr>
      <w:tr>
        <w:trPr>
          <w:trHeight w:val="405"/>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Bankers</w:t>
            </w: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Citibank</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Canada Square Canary Warf</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London E14 5LB</w:t>
            </w:r>
          </w:p>
        </w:tc>
      </w:tr>
      <w:tr>
        <w:trPr>
          <w:trHeight w:val="231"/>
        </w:trPr>
        <w:tc>
          <w:tcPr>
            <w:tcW w:w="188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05"/>
        </w:trPr>
        <w:tc>
          <w:tcPr>
            <w:tcW w:w="1880" w:type="dxa"/>
            <w:vAlign w:val="bottom"/>
          </w:tcPr>
          <w:p>
            <w:pPr>
              <w:spacing w:after="0"/>
              <w:rPr>
                <w:sz w:val="24"/>
                <w:szCs w:val="24"/>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JP Morgan Chase Bank N.A.</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 New York Plaza</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New York</w:t>
            </w:r>
          </w:p>
        </w:tc>
      </w:tr>
      <w:tr>
        <w:trPr>
          <w:trHeight w:val="212"/>
        </w:trPr>
        <w:tc>
          <w:tcPr>
            <w:tcW w:w="188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NY 10004</w:t>
            </w:r>
          </w:p>
        </w:tc>
      </w:tr>
      <w:tr>
        <w:trPr>
          <w:trHeight w:val="231"/>
        </w:trPr>
        <w:tc>
          <w:tcPr>
            <w:tcW w:w="188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USA</w:t>
            </w:r>
          </w:p>
        </w:tc>
      </w:tr>
      <w:tr>
        <w:trPr>
          <w:trHeight w:val="597"/>
        </w:trPr>
        <w:tc>
          <w:tcPr>
            <w:tcW w:w="1880" w:type="dxa"/>
            <w:vAlign w:val="bottom"/>
          </w:tcPr>
          <w:p>
            <w:pPr>
              <w:spacing w:after="0"/>
              <w:rPr>
                <w:sz w:val="24"/>
                <w:szCs w:val="24"/>
                <w:color w:val="auto"/>
              </w:rPr>
            </w:pPr>
          </w:p>
        </w:tc>
        <w:tc>
          <w:tcPr>
            <w:tcW w:w="95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1880" w:type="dxa"/>
            <w:vAlign w:val="bottom"/>
            <w:tcBorders>
              <w:bottom w:val="single" w:sz="8" w:color="808080"/>
            </w:tcBorders>
          </w:tcPr>
          <w:p>
            <w:pPr>
              <w:spacing w:after="0"/>
              <w:rPr>
                <w:sz w:val="10"/>
                <w:szCs w:val="10"/>
                <w:color w:val="auto"/>
              </w:rPr>
            </w:pPr>
          </w:p>
        </w:tc>
        <w:tc>
          <w:tcPr>
            <w:tcW w:w="9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1"/>
          <w:szCs w:val="21"/>
          <w:color w:val="auto"/>
        </w:rPr>
        <w:t xml:space="preserve">Directors’ </w:t>
      </w:r>
      <w:r>
        <w:rPr>
          <w:rFonts w:ascii="Times New Roman" w:cs="Times New Roman" w:eastAsia="Times New Roman" w:hAnsi="Times New Roman"/>
          <w:sz w:val="21"/>
          <w:szCs w:val="21"/>
          <w:b w:val="1"/>
          <w:bCs w:val="1"/>
          <w:color w:val="auto"/>
        </w:rPr>
        <w:t>Report</w:t>
      </w:r>
    </w:p>
    <w:p>
      <w:pPr>
        <w:spacing w:after="0" w:line="2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Directors present their report and audited Consolidated and Company financial statements of ICON p.l.c. (“the Company” or “ICON”), a public limited company incorporated in the Republic of Ireland, and its subsidiary undertakings (“the Subsidiaries”, with the Company and the Subsidiaries being together “the Group”) for the year ended 31 December 2014.</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These Consolidated and Company financial statements (together “the financial statements”) for the year ended 31 December 2014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t>
      </w:r>
      <w:r>
        <w:rPr>
          <w:rFonts w:ascii="Times New Roman" w:cs="Times New Roman" w:eastAsia="Times New Roman" w:hAnsi="Times New Roman"/>
          <w:sz w:val="18"/>
          <w:szCs w:val="18"/>
          <w:u w:val="single" w:color="auto"/>
          <w:color w:val="auto"/>
        </w:rPr>
        <w:t>www.iconplc.com</w:t>
      </w:r>
      <w:r>
        <w:rPr>
          <w:rFonts w:ascii="Times New Roman" w:cs="Times New Roman" w:eastAsia="Times New Roman" w:hAnsi="Times New Roman"/>
          <w:sz w:val="18"/>
          <w:szCs w:val="18"/>
          <w:color w:val="auto"/>
        </w:rPr>
        <w:t>. IFRS differs in certain respects from U.S. GAAP, details of which are set out on pages 117 to 120 of this annual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activities, business review and future developments</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is a contract research organisation (“CRO”), providing outsourced development services on a global basis to the pharmaceutical, biotechnology and medical device industries. The Group specialises in the strategic development, management and analysis of programmes that support all stages of the clinical development process - from compound selection to Phase I-IV clinical studies. The Company’s mission is to accelerate the development of drugs that save lives and improve the quality of life. Our vision is to be the Global CRO partner of choice for the Biopharma industry by delivering best in class information, solutions and performance in clinical and outcomes research.</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believes that it is one of a select number of CRO’s with the expertise and capability to conduct clinical trials in most major therapeutic areas on a global basis and has the operational flexibility to provide development services on a stand alone basis or as part of an integrated “full service” solution. At 31 December 2014, the Group had approximately 10,600 employees, in 81 locations in 38 countries. During the year ended 31 December 2014, the Group derived approximately 40.2%, 48.8% and 11.0% of its net revenue in the United States, Europe and Rest of World, respectively.</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Headquartered in Dublin, Ireland, the Group began operations in 1990 and has expanded the business predominately through internal growth, together with a number of strategic acquisitions to enhance its capabilities and expertise in certain areas of the clinical development process. Its principal executive office is located at: South County Business Park, Leopardstown, Dublin 18, Republic of Ireland. The contact telephone number of this office is 353 (1) 291 2000.</w:t>
      </w:r>
    </w:p>
    <w:p>
      <w:pPr>
        <w:spacing w:after="0" w:line="20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19 September 2014, the Company announced that it had completed a $40.0 million redemption of the Company’s ordinary shares and that it had entered into a further program under which the Company can acquire up to an additional $100 million of its outstanding ordinary shares (by way of redemption), in accordance with United States securities laws through open market share acquisitions. During the year ended December 31, 2014, 2,640,610 ordinary shares were redeemed by the Company under the programs for a total consideration of $140.0 million.</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27 February 2015 the Company acquired MediMedia Pharma Solutions for a total cash consideration of $120.0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7 May 2014, the Company acquired 100% of the common stock of Aptiv Solutions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1"/>
          <w:szCs w:val="21"/>
          <w:color w:val="auto"/>
        </w:rPr>
        <w:t xml:space="preserve">Directors’ Report </w:t>
      </w:r>
      <w:r>
        <w:rPr>
          <w:rFonts w:ascii="Times New Roman" w:cs="Times New Roman" w:eastAsia="Times New Roman" w:hAnsi="Times New Roman"/>
          <w:sz w:val="21"/>
          <w:szCs w:val="21"/>
          <w:i w:val="1"/>
          <w:iCs w:val="1"/>
          <w:color w:val="auto"/>
        </w:rPr>
        <w:t>(continued)</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17 December 2012 the Company’s shareholders voted in favour of terminating the Company’s ADR programme and replacing its ADRs with a direct listing of its shares on NASDAQ. The company also decided to cancel the Company’s secondary listing on the official list of the Irish Stock Exchange, mainly due to the very low levels of liquidity in the Company’s shares on this exchange. This followed a review by the Company of its share trading arrangements with the objective of ensuring that the arrangements in place are appropriate to the size, scale and locations of the business, are conducive to supporting a liquid market in the Company’s shares, enhance the Company’s profile and attractions for a wide range of international investors, and that the costs and maintenance of the associated trading arrangements are proportionate to the expected benefits. The last day of trading of the Company’s shares on the Irish Stock Exchange was 29 January 2013 with the Company’s delisting from the Irish Stock Exchange being effected as of 30 January 2013. Direct trading of the Company’s shares on NASDAQ commenced on 4 February 2013.</w:t>
      </w:r>
    </w:p>
    <w:p>
      <w:pPr>
        <w:spacing w:after="0" w:line="21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In 2015, the Group looks forward to increasing its geographic presence through the addition of new offices and expanding the scale and range of its service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and dividends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results for the year are as shown on page 26 of these financial statements. The Directors do not propose the payment of a dividend for the year ended 31 December 2014.</w:t>
      </w:r>
    </w:p>
    <w:p>
      <w:pPr>
        <w:spacing w:after="0" w:line="190"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The following table sets forth for the periods indicated certain financial data as a percentage of net revenue and the percentage change in these items compared to the prior period, being the key performance indicators used by management. The trends illustrated in the following table may not be indicative of future results.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1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1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1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2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6"/>
              </w:rPr>
              <w:t>change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44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As a percentage of net revenue</w:t>
            </w:r>
          </w:p>
        </w:tc>
        <w:tc>
          <w:tcPr>
            <w:tcW w:w="12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in period</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tcBorders>
              <w:bottom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4"/>
              </w:rPr>
              <w:t>12.5%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 (excluding exceptional items)</w:t>
            </w:r>
          </w:p>
        </w:tc>
        <w:tc>
          <w:tcPr>
            <w:tcW w:w="3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60.1%</w:t>
            </w: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63.2%</w:t>
            </w:r>
          </w:p>
        </w:tc>
        <w:tc>
          <w:tcPr>
            <w:tcW w:w="1220" w:type="dxa"/>
            <w:vAlign w:val="bottom"/>
            <w:tcBorders>
              <w:bottom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5"/>
              </w:rPr>
              <w:t>6.8%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 (excluding exceptional items)</w:t>
            </w:r>
          </w:p>
        </w:tc>
        <w:tc>
          <w:tcPr>
            <w:tcW w:w="3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25.9%</w:t>
            </w: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27.0%</w:t>
            </w:r>
          </w:p>
        </w:tc>
        <w:tc>
          <w:tcPr>
            <w:tcW w:w="1220" w:type="dxa"/>
            <w:vAlign w:val="bottom"/>
            <w:tcBorders>
              <w:bottom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5"/>
              </w:rPr>
              <w:t>8.0%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(excluding exceptional items)</w:t>
            </w:r>
          </w:p>
        </w:tc>
        <w:tc>
          <w:tcPr>
            <w:tcW w:w="3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14.0%</w:t>
            </w: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9.8%</w:t>
            </w:r>
          </w:p>
        </w:tc>
        <w:tc>
          <w:tcPr>
            <w:tcW w:w="1220" w:type="dxa"/>
            <w:vAlign w:val="bottom"/>
            <w:tcBorders>
              <w:bottom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4"/>
              </w:rPr>
              <w:t>61.7%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Exceptional items</w:t>
            </w:r>
          </w:p>
        </w:tc>
        <w:tc>
          <w:tcPr>
            <w:tcW w:w="3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w:t>
            </w:r>
          </w:p>
        </w:tc>
        <w:tc>
          <w:tcPr>
            <w:tcW w:w="1220" w:type="dxa"/>
            <w:vAlign w:val="bottom"/>
            <w:tcBorders>
              <w:bottom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6"/>
              </w:rPr>
              <w:t>(2.6)%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(including exceptional items)</w:t>
            </w:r>
          </w:p>
        </w:tc>
        <w:tc>
          <w:tcPr>
            <w:tcW w:w="3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13.4%</w:t>
            </w: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9.1%</w:t>
            </w:r>
          </w:p>
        </w:tc>
        <w:tc>
          <w:tcPr>
            <w:tcW w:w="1220" w:type="dxa"/>
            <w:vAlign w:val="bottom"/>
            <w:tcBorders>
              <w:bottom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4"/>
              </w:rPr>
              <w:t>66.5%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Twelve months ended 31 December 2014 compared to twelve months ended 31 December 2013</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revenue for the year increased by $167.2 million, or 12.5%, from $1,336.1 million for the year ended 31 December 2013 to $1,503.3 million for the year ended 31 December 2014. For the year ended 31 December 2014 we derived approximately 40.3%, 48.8% and 10.9% of our net revenue in the United States, Europe and Rest of World, respectively. Direct costs (excluding exceptional items) for the year ended 31 December 2014 increased by $57.9 million, or 6.8%, from $845.1 million for the year ended 31 December 2013 to $903.0 million for the year ended 31 December 2014.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$52.5 million and an increase in other direct project related costs of $12.4 million, offset by a decrease in laboratory costs of $7.0 million. As a percentage of net revenue, direct costs (excluding exceptional items) have decreased from 63.2% for the year ended 31 December 2013 to 60.1% for the year ended 31 December 2014.</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1"/>
          <w:szCs w:val="21"/>
          <w:color w:val="auto"/>
        </w:rPr>
        <w:t xml:space="preserve">Directors’ Report </w:t>
      </w:r>
      <w:r>
        <w:rPr>
          <w:rFonts w:ascii="Times New Roman" w:cs="Times New Roman" w:eastAsia="Times New Roman" w:hAnsi="Times New Roman"/>
          <w:sz w:val="21"/>
          <w:szCs w:val="21"/>
          <w:i w:val="1"/>
          <w:iCs w:val="1"/>
          <w:color w:val="auto"/>
        </w:rPr>
        <w:t>(continued)</w:t>
      </w:r>
    </w:p>
    <w:p>
      <w:pPr>
        <w:spacing w:after="0" w:line="2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operating expenses (excluding exceptional items) for the year ended 31 December 2014 increased by $28.8 million, or 8.0%, from $360.3 million for the year ended 31 December 2013 to $389.1 million for the year ended 31 December 2014. The increase in other operating expenses (excluding exceptional items) for the period arose primarily from an increase in personnel related expenditure of $15.3 million, an increase in facilities and related costs of $9.7 million, a decrease in other general overhead costs of $2.2 million and an increase in depreciation and amortisation expense of $6.0 million, arising principally as a result of the increased amortisation of acquired intangibles and our continued investment in facilities and equipment to support the Company’s growth. As a percentage of net revenue, other operating expenses (excluding exceptional items), decreased from 27.0% for the year ended 31 December 2013 to 25.9% for the year ended 31 December 2014.</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Exceptional charges of $8.8 million were recognized during the year ended December 31, 2014. Following the closure of the Company’s European Phase 1 services in 2013, the Company recognized a charge during the current year in relation to its Manchester, United Kingdom facility; $5.6 million in relation to asset impairments and $3.2 million in relation to an onerous lease charge associated with this facility.</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above, operating profit increased by $80.9 million, or 66.5%, from $121.6 million for the year ended 31 December 2013 ($130.6 million excluding restructuring charges) to $202.5 million for the year ended 31 December 2014 ($211.3 million, or 61.7% excluding restructuring charges). As a percentage of net revenue, income from operations increased from 9.1% of net revenues for the year ended 31 December 2013 (9.8% excluding restructuring charges) to 13.4% of net revenues for year ended 31 December 2014 (14.0% excluding restructuring charges).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Financing expense for the period decreased from $1.3 million for the year ended 31 December 2013 to $0.8 million for the year ended 31 December 2014. Financing income for the year increased from $1.0 million for the year ended 31 December 2013 to $1.2 million for the year ended 31 December 2014.</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Provision for income taxes for the period increased from $14.2 million for the year ended 31 December 2013 to $27.8 million for the year ended 31 December 2014. The Company’s effective tax rate for the year ended 31 December 2014 was 13.7% compared with 11.7% for the year ended 31 December 2013. Excluding the impact of exceptional items recognised during the year ended 31 December 2014 the Company’s effective tax rate was 14.3% for the year ended 31 December 2014 compared with 12.3% for the year ended 31 December 2013. The Company’s effective tax rate is principally a function of the distribution of pre-tax profits in the territories in which it operates.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principal risks and uncertainties facing the Group are set out in Appendix A of this annual report.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Group’s financial instruments comprise cash and cash equivalents, current asset investments, finance lease obligations and negotiated bank facilities. The main purpose of these financial instruments is to fund the working capital requirements of the Group, the cost of new acquisitions and continued growth. The principal financial risks facing the Group include currency rate risk, interest rate risk, credit risk and liquidity risk, further details of which are set out in note 25 to the Consolidated financial statements and note 10 to Company financial statements. The Group does not undertake any trading activity in financial instruments. The Group did not enter into any material derivative transactions during 2013 or 2014.</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1"/>
          <w:szCs w:val="21"/>
          <w:color w:val="auto"/>
        </w:rPr>
        <w:t xml:space="preserve">Directors’ Report </w:t>
      </w:r>
      <w:r>
        <w:rPr>
          <w:rFonts w:ascii="Times New Roman" w:cs="Times New Roman" w:eastAsia="Times New Roman" w:hAnsi="Times New Roman"/>
          <w:sz w:val="21"/>
          <w:szCs w:val="21"/>
          <w:i w:val="1"/>
          <w:iCs w:val="1"/>
          <w:color w:val="auto"/>
        </w:rPr>
        <w:t>(continued)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subsequent events are set out in note 30 to the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Secretary</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January 2013 Mr Thomas Lynch was appointed Chairman of the Board of Directors of the Company replacing Dr. Bruce Given who retired as Chairman of the Board of Directors of the Company on 31 December 2012.</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21 February 2013 Professor William Hall was appointed a Director of the Company. On 18 February 2014 Mary Pendergast was appointed a Non-Executive Director of the Company. On 29 April 2014 Dr. Hugh Brady was appointed a Non-Executive Director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22 July 2013 Dr. Bruce Given retired as a Director of the Company. On 24 January 2014, Cathrin Petty resigned as a Director of the Company.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Directors’ interests in the Group’s shares are set out in note 8 to the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remuneration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Directors’ remuneration are set out in the note 8 to the Consolidated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power to purchase and allot company shares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Subject to the provisions of the Companies Acts 1963 to 2013 the Company may purchase any of its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19 September 2014 the Company announced that it had completed a $40 million redemption of the Company’s ordinary shares and that it had entered into a further program under which the Company can acquire up to an additional $100 million of its outstanding ordinary shares (by way of redemption), in accordance with United States securities laws through open market share acquisitions. Further details of the share repurchase programme can be found in note 23 to the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and Obligations attaching to the Company’s shares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share capital of the Company is €6,000,000 divided into 100,000,000 ordinary shares of €0.06.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 provisions in significant agreements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Group’s customer contracts allow the customer to terminate the contract in the event of a change in control of the Company.</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Group has negotiated a banking facility with a number of financial institutions, details of which are set out in note 22 to the financial statements. This facility requires repayment in the event that the Company becomes controlled by any person or persons acting in concert by whom it was not controlled at the date the facility was entered into.</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1"/>
          <w:szCs w:val="21"/>
          <w:color w:val="auto"/>
        </w:rPr>
        <w:t xml:space="preserve">Directors’ Report </w:t>
      </w:r>
      <w:r>
        <w:rPr>
          <w:rFonts w:ascii="Times New Roman" w:cs="Times New Roman" w:eastAsia="Times New Roman" w:hAnsi="Times New Roman"/>
          <w:sz w:val="21"/>
          <w:szCs w:val="21"/>
          <w:i w:val="1"/>
          <w:iCs w:val="1"/>
          <w:color w:val="auto"/>
        </w:rPr>
        <w:t>(continued)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 provisions in significant agreements (continued)</w:t>
      </w:r>
    </w:p>
    <w:p>
      <w:pPr>
        <w:spacing w:after="0" w:line="24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Additionally, the Company's share option and restricted share unit plans contain change in control provisions which provide for the acceleration of the vesting and exercisability of outstanding options and awards of restricted share units in the event that a change in control occurs with respect to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listed on the NASDAQ Global Select Market. The Company complies with the corporate governance listing requirements under the NASDAQ marketplace rules. NASDAQ may provide exemptions from certain NASDAQ corporate governance standards to a foreign private issuer in certain circumstances provided that the foreign private issuer properly notifies NASDAQ and makes the required disclosure except to the extent that such exemptions would be contrary to United States federal securities laws.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exemptions that the Company relies on, and the practices the Company adheres to, are as follows:</w:t>
      </w:r>
    </w:p>
    <w:p>
      <w:pPr>
        <w:spacing w:after="0" w:line="244" w:lineRule="exact"/>
        <w:rPr>
          <w:sz w:val="20"/>
          <w:szCs w:val="20"/>
          <w:color w:val="auto"/>
        </w:rPr>
      </w:pPr>
    </w:p>
    <w:p>
      <w:pPr>
        <w:jc w:val="both"/>
        <w:ind w:left="960" w:hanging="194"/>
        <w:spacing w:after="0" w:line="253"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208" w:lineRule="exact"/>
        <w:rPr>
          <w:rFonts w:ascii="Times New Roman" w:cs="Times New Roman" w:eastAsia="Times New Roman" w:hAnsi="Times New Roman"/>
          <w:sz w:val="18"/>
          <w:szCs w:val="18"/>
          <w:color w:val="auto"/>
        </w:rPr>
      </w:pPr>
    </w:p>
    <w:p>
      <w:pPr>
        <w:jc w:val="both"/>
        <w:ind w:left="960" w:hanging="194"/>
        <w:spacing w:after="0" w:line="253"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2013 Employees Restricted Share Unit Plan was adopted by the Board of Directors without shareholder approval.</w:t>
      </w:r>
    </w:p>
    <w:p>
      <w:pPr>
        <w:spacing w:after="0" w:line="208" w:lineRule="exact"/>
        <w:rPr>
          <w:rFonts w:ascii="Times New Roman" w:cs="Times New Roman" w:eastAsia="Times New Roman" w:hAnsi="Times New Roman"/>
          <w:sz w:val="18"/>
          <w:szCs w:val="18"/>
          <w:color w:val="auto"/>
        </w:rPr>
      </w:pPr>
    </w:p>
    <w:p>
      <w:pPr>
        <w:jc w:val="both"/>
        <w:ind w:left="960" w:hanging="194"/>
        <w:spacing w:after="0" w:line="282" w:lineRule="auto"/>
        <w:tabs>
          <w:tab w:leader="none" w:pos="9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practices with regard to these requirements are not prohibited by Irish law.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1"/>
          <w:szCs w:val="21"/>
          <w:color w:val="auto"/>
        </w:rPr>
        <w:t xml:space="preserve">Directors’ Report </w:t>
      </w:r>
      <w:r>
        <w:rPr>
          <w:rFonts w:ascii="Times New Roman" w:cs="Times New Roman" w:eastAsia="Times New Roman" w:hAnsi="Times New Roman"/>
          <w:sz w:val="21"/>
          <w:szCs w:val="21"/>
          <w:i w:val="1"/>
          <w:iCs w:val="1"/>
          <w:color w:val="auto"/>
        </w:rPr>
        <w:t>(continued)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shareholdings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been notified of the following shareholdings in excess of 3% of the issued share capital of the Company at 31 December 2014: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Earnest Partners, LLC</w:t>
            </w:r>
          </w:p>
        </w:tc>
        <w:tc>
          <w:tcPr>
            <w:tcW w:w="40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5,394,081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Neuberger Berman LLC</w:t>
            </w:r>
          </w:p>
        </w:tc>
        <w:tc>
          <w:tcPr>
            <w:tcW w:w="4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8.0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Robeco Investment Management, Inc</w:t>
            </w:r>
          </w:p>
        </w:tc>
        <w:tc>
          <w:tcPr>
            <w:tcW w:w="40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2,193,812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Wasatch Advisors, Inc.</w:t>
            </w:r>
          </w:p>
        </w:tc>
        <w:tc>
          <w:tcPr>
            <w:tcW w:w="4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Officers as a group</w:t>
            </w:r>
          </w:p>
        </w:tc>
        <w:tc>
          <w:tcPr>
            <w:tcW w:w="40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undertakings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the Companies Act, 1963 in relation to subsidiary undertakings is presented in note 31 to the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donations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made no disclosable political donations in the period.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Directors have a reasonable expectation that the Group has adequate resources to continue in operation for the foreseeable future. For this reason, the Group continues to adopt the going concern basis in preparing the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account</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Directors believe that they have complied with the requirements of Section 202 of the Companies Act, 1990 with regard to books of account by employing accounting personnel with appropriate expertise and by providing adequate resources to the financial function. The books of account of the Company are maintained at the registered office.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Section 160(2) of the Companies Act, 1963, the auditors, KPMG, Chartered Accountants, will continue in office.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behalf of the Board</w:t>
      </w:r>
    </w:p>
    <w:p>
      <w:pPr>
        <w:sectPr>
          <w:pgSz w:w="11900" w:h="16838" w:orient="portrait"/>
          <w:cols w:equalWidth="0" w:num="1">
            <w:col w:w="11420"/>
          </w:cols>
          <w:pgMar w:left="240" w:top="493"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right="420"/>
        <w:spacing w:after="0" w:line="304" w:lineRule="auto"/>
        <w:rPr>
          <w:sz w:val="20"/>
          <w:szCs w:val="20"/>
          <w:color w:val="auto"/>
        </w:rPr>
      </w:pPr>
      <w:r>
        <w:rPr>
          <w:rFonts w:ascii="Times New Roman" w:cs="Times New Roman" w:eastAsia="Times New Roman" w:hAnsi="Times New Roman"/>
          <w:sz w:val="17"/>
          <w:szCs w:val="17"/>
          <w:color w:val="auto"/>
        </w:rPr>
        <w:t xml:space="preserve">Declan McKeon </w:t>
      </w:r>
      <w:r>
        <w:rPr>
          <w:rFonts w:ascii="Times New Roman" w:cs="Times New Roman" w:eastAsia="Times New Roman" w:hAnsi="Times New Roman"/>
          <w:sz w:val="17"/>
          <w:szCs w:val="17"/>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Ciaran Murray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56" w:lineRule="exact"/>
        <w:rPr>
          <w:sz w:val="20"/>
          <w:szCs w:val="20"/>
          <w:color w:val="auto"/>
        </w:rPr>
      </w:pPr>
    </w:p>
    <w:p>
      <w:pPr>
        <w:sectPr>
          <w:pgSz w:w="11900" w:h="16838" w:orient="portrait"/>
          <w:cols w:equalWidth="0" w:num="2">
            <w:col w:w="1580" w:space="720"/>
            <w:col w:w="9120"/>
          </w:cols>
          <w:pgMar w:left="240" w:top="493" w:right="239" w:bottom="1440" w:gutter="0" w:footer="0" w:header="0"/>
          <w:type w:val="continuous"/>
        </w:sectPr>
      </w:pP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1"/>
          <w:szCs w:val="21"/>
          <w:color w:val="auto"/>
        </w:rPr>
        <w:t>Statement of Directors’ Responsibilities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Responsibilities Statement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are responsible for preparing the Consolidated and Company financial statements, in accordance with applicable law and regulations.</w:t>
      </w: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Company law requires the Directors to prepare Group and Company financial statements for each financial year. Under that law the Directors are required to prepare the Group financial statements in accordance with International Financial Reporting Standards (“IFRS”) as adopted by the EU and have elected to prepare the Company financial statements in accordance with IFRSs as adopted by the EU and as applied in accordance with the Companies Acts 1963 to 2013.</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Group and Company financial statements are required by law and IFRSs as adopted by the EU to present fairly the financial position and performance of the Group and Company. The Companies Acts 1963 to 2013 provide in relation to such financial statements that references in the relevant part of that Act to financial statements giving a true and fair view are references to their achieving a fair presentation.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preparing each of the Group and Company financial statements, the Directors are required to:</w:t>
      </w:r>
    </w:p>
    <w:p>
      <w:pPr>
        <w:spacing w:after="0" w:line="24" w:lineRule="exact"/>
        <w:rPr>
          <w:sz w:val="20"/>
          <w:szCs w:val="20"/>
          <w:color w:val="auto"/>
        </w:rPr>
      </w:pPr>
    </w:p>
    <w:p>
      <w:pPr>
        <w:ind w:left="320" w:hanging="191"/>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suitable accounting policies and then apply them consistently;</w:t>
      </w:r>
    </w:p>
    <w:p>
      <w:pPr>
        <w:spacing w:after="0" w:line="5" w:lineRule="exact"/>
        <w:rPr>
          <w:rFonts w:ascii="Times New Roman" w:cs="Times New Roman" w:eastAsia="Times New Roman" w:hAnsi="Times New Roman"/>
          <w:sz w:val="18"/>
          <w:szCs w:val="18"/>
          <w:color w:val="auto"/>
        </w:rPr>
      </w:pPr>
    </w:p>
    <w:p>
      <w:pPr>
        <w:ind w:left="320" w:hanging="191"/>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judgments and estimates that are reasonable and prudent;</w:t>
      </w:r>
    </w:p>
    <w:p>
      <w:pPr>
        <w:spacing w:after="0" w:line="5" w:lineRule="exact"/>
        <w:rPr>
          <w:rFonts w:ascii="Times New Roman" w:cs="Times New Roman" w:eastAsia="Times New Roman" w:hAnsi="Times New Roman"/>
          <w:sz w:val="18"/>
          <w:szCs w:val="18"/>
          <w:color w:val="auto"/>
        </w:rPr>
      </w:pPr>
    </w:p>
    <w:p>
      <w:pPr>
        <w:ind w:left="320" w:hanging="191"/>
        <w:spacing w:after="0" w:line="245"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that the financial statements comply with the IFRSs as adopted by the EU, and in the case of the Company, as applied in accordance with the Companies Acts 1963 to 2013; and</w:t>
      </w:r>
    </w:p>
    <w:p>
      <w:pPr>
        <w:spacing w:after="0" w:line="1" w:lineRule="exact"/>
        <w:rPr>
          <w:rFonts w:ascii="Times New Roman" w:cs="Times New Roman" w:eastAsia="Times New Roman" w:hAnsi="Times New Roman"/>
          <w:sz w:val="18"/>
          <w:szCs w:val="18"/>
          <w:color w:val="auto"/>
        </w:rPr>
      </w:pPr>
    </w:p>
    <w:p>
      <w:pPr>
        <w:ind w:left="320" w:hanging="191"/>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financial statements on a going concern basis unless it is inappropriate to presume that the Group and Company will continue in business.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Directors are responsible for keeping proper books of account that disclose with reasonable accuracy at any time the financial position of the Company and the Group and enable them to ensure that the financial statements comply with the Companies Acts 1963 to 2013 and, as regards the Group financial statements, Article 4 of the IAS Regulation. They are also responsible for taking such steps as are reasonably open to them to safeguard the assets of the Group and Company and to prevent and detect fraud and other irregularities.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behalf of the Board</w:t>
      </w:r>
    </w:p>
    <w:p>
      <w:pPr>
        <w:sectPr>
          <w:pgSz w:w="11900" w:h="16838" w:orient="portrait"/>
          <w:cols w:equalWidth="0" w:num="1">
            <w:col w:w="11420"/>
          </w:cols>
          <w:pgMar w:left="240" w:top="470"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right="420"/>
        <w:spacing w:after="0" w:line="304" w:lineRule="auto"/>
        <w:rPr>
          <w:sz w:val="20"/>
          <w:szCs w:val="20"/>
          <w:color w:val="auto"/>
        </w:rPr>
      </w:pPr>
      <w:r>
        <w:rPr>
          <w:rFonts w:ascii="Times New Roman" w:cs="Times New Roman" w:eastAsia="Times New Roman" w:hAnsi="Times New Roman"/>
          <w:sz w:val="17"/>
          <w:szCs w:val="17"/>
          <w:color w:val="auto"/>
        </w:rPr>
        <w:t xml:space="preserve">Declan McKeon </w:t>
      </w:r>
      <w:r>
        <w:rPr>
          <w:rFonts w:ascii="Times New Roman" w:cs="Times New Roman" w:eastAsia="Times New Roman" w:hAnsi="Times New Roman"/>
          <w:sz w:val="17"/>
          <w:szCs w:val="17"/>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Ciaran Murray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56" w:lineRule="exact"/>
        <w:rPr>
          <w:sz w:val="20"/>
          <w:szCs w:val="20"/>
          <w:color w:val="auto"/>
        </w:rPr>
      </w:pPr>
    </w:p>
    <w:p>
      <w:pPr>
        <w:sectPr>
          <w:pgSz w:w="11900" w:h="16838" w:orient="portrait"/>
          <w:cols w:equalWidth="0" w:num="2">
            <w:col w:w="1580" w:space="720"/>
            <w:col w:w="9120"/>
          </w:cols>
          <w:pgMar w:left="240" w:top="470" w:right="239" w:bottom="1440" w:gutter="0" w:footer="0" w:header="0"/>
          <w:type w:val="continuous"/>
        </w:sectPr>
      </w:pP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1"/>
          <w:szCs w:val="21"/>
          <w:color w:val="auto"/>
        </w:rPr>
        <w:t>Independent Auditor’s Report to the Members of ICON plc</w:t>
      </w:r>
    </w:p>
    <w:p>
      <w:pPr>
        <w:spacing w:after="0" w:line="2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audited the Group and Company financial statements (‘‘financial statements’’) of ICON Plc for the year ended 31 December 2014 which comprise the Statement of Accounting Policies, Consolidated Income Statement, the Consolidated Statements of Comprehensive Income, the Consolidated and Company Statements of Financial Position, the Consolidated and Company Statements of Cash Flow, the Consolidated and Company Statements of Changes in Equity and the related notes. The financial reporting framework that has been applied in their preparation is Irish law and International Financial Reporting Standards (IFRSs) as adopted by the European Union, and, as regards the Company financial statements, as applied in accordance with the provisions of the Companies Acts 1963 to 2013.</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report is made solely to the Company’s members, as a body, in accordance with section 193 of the Companies Act 1990.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Respective responsibilities of directors and auditor</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As explained more fully in the Directors’ Responsibilities Statement set out on page 9 the Directors are responsible for the preparation of the financial statements giving a true and fair view. Our responsibility is to audit and express an opinion on the financial statements in accordance with Irish law and International Standards on Auditing (UK and Ireland). Those standards require us to comply with the Financial Reporting Council’s Ethical Standards for Auditors.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 of the audit of the financial statements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audit involves obtaining evidence about the amounts and disclosures in the financial statements sufficient to give reasonable assurance that the financial statements are free from material misstatement, whether caused by fraud or error. This includes an assessment of: whether the accounting policies are appropriate to the Group’s and Company’s circumstances and have been consistently applied and adequately disclosed; the reasonableness of significant accounting estimates made by the directors; and the overall presentation of the financial statements. In addition, we read all the financial and non-financial information in the annual report to identify material inconsistencies with the audited financial statements and to identify any information that is apparently materially incorrect based on, or materially inconsistent with the knowledge acquitted by us in the course of performing the audit. If we become aware of any apparent material misstatements or inconsistencies we consider the implications for our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financial statements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opinion:</w:t>
      </w:r>
    </w:p>
    <w:p>
      <w:pPr>
        <w:spacing w:after="0" w:line="24" w:lineRule="exact"/>
        <w:rPr>
          <w:sz w:val="20"/>
          <w:szCs w:val="20"/>
          <w:color w:val="auto"/>
        </w:rPr>
      </w:pPr>
    </w:p>
    <w:p>
      <w:pPr>
        <w:ind w:left="240" w:right="20" w:hanging="234"/>
        <w:spacing w:after="0" w:line="245" w:lineRule="auto"/>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financial statements give a true and fair view, in accordance with IFRSs as adopted by the EU, of the state of the Group’s affairs as at 31 December 2014 and of its profit for the year then ended;</w:t>
      </w:r>
    </w:p>
    <w:p>
      <w:pPr>
        <w:spacing w:after="0" w:line="1" w:lineRule="exact"/>
        <w:rPr>
          <w:rFonts w:ascii="Times New Roman" w:cs="Times New Roman" w:eastAsia="Times New Roman" w:hAnsi="Times New Roman"/>
          <w:sz w:val="18"/>
          <w:szCs w:val="18"/>
          <w:color w:val="auto"/>
        </w:rPr>
      </w:pPr>
    </w:p>
    <w:p>
      <w:pPr>
        <w:ind w:left="240" w:right="360" w:hanging="234"/>
        <w:spacing w:after="0" w:line="245" w:lineRule="auto"/>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statement of financial position gives a true and fair view, in accordance with IFRSs as adopted by the EU as applied in accordance with the provisions of the Companies Acts 1963 to 2013, of the state of the Company’s affairs as at 31 December 2014; and</w:t>
      </w:r>
    </w:p>
    <w:p>
      <w:pPr>
        <w:spacing w:after="0" w:line="1" w:lineRule="exact"/>
        <w:rPr>
          <w:rFonts w:ascii="Times New Roman" w:cs="Times New Roman" w:eastAsia="Times New Roman" w:hAnsi="Times New Roman"/>
          <w:sz w:val="18"/>
          <w:szCs w:val="18"/>
          <w:color w:val="auto"/>
        </w:rPr>
      </w:pPr>
    </w:p>
    <w:p>
      <w:pPr>
        <w:ind w:left="240" w:right="280" w:hanging="234"/>
        <w:spacing w:after="0" w:line="251" w:lineRule="auto"/>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have been properly prepared in accordance with the Companies Acts 1963 to 2013 and, as regards the Group financial statements, Article 4 of the IAS Regulation.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on which we are required to report by the Companies Acts 1963 to 2013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obtained all the information and explanations which we consider necessary for the purposes of our audit.</w:t>
      </w:r>
    </w:p>
    <w:p>
      <w:pPr>
        <w:spacing w:after="0" w:line="2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Company’s statement of financial position is in agreement with the books of account and, in our opinion, proper books of account have been kept by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opinion the information given in the Directors’ Report is consistent with the financial statements.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1"/>
          <w:szCs w:val="21"/>
          <w:color w:val="auto"/>
        </w:rPr>
        <w:t xml:space="preserve">Independent Auditor’s Report to the Members of ICON plc </w:t>
      </w:r>
      <w:r>
        <w:rPr>
          <w:rFonts w:ascii="Times New Roman" w:cs="Times New Roman" w:eastAsia="Times New Roman" w:hAnsi="Times New Roman"/>
          <w:sz w:val="21"/>
          <w:szCs w:val="21"/>
          <w:i w:val="1"/>
          <w:iCs w:val="1"/>
          <w:color w:val="auto"/>
        </w:rPr>
        <w:t>(continued)</w:t>
      </w:r>
    </w:p>
    <w:p>
      <w:pPr>
        <w:spacing w:after="0" w:line="2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net assets of the Company, as stated in the statement of financial position are more than half of the amount of its called-up share capital and, in our opinion, on that basis there did not exist at 31 December 2014 a financial situation which under Section 40(1) of the Companies (Amendment) Act, 1983 would require the convening of an extraordinary general meeting of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on which we are required to report by exception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nothing to report in respect of the following:</w:t>
      </w:r>
    </w:p>
    <w:p>
      <w:pPr>
        <w:spacing w:after="0" w:line="2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Under the Companies Acts 1963 to 2013 we are required to report to you if, in our opinion, the disclosures of Directors’ remuneration and transactions specified by law are not made.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Sean O’Keefe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and on behalf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KPMG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Chartered Accountants, Statutory Audit Firm</w:t>
      </w:r>
    </w:p>
    <w:p>
      <w:pPr>
        <w:spacing w:after="0" w:line="189" w:lineRule="auto"/>
        <w:rPr>
          <w:sz w:val="20"/>
          <w:szCs w:val="20"/>
          <w:color w:val="auto"/>
        </w:rPr>
      </w:pPr>
      <w:r>
        <w:rPr>
          <w:rFonts w:ascii="Times New Roman" w:cs="Times New Roman" w:eastAsia="Times New Roman" w:hAnsi="Times New Roman"/>
          <w:sz w:val="18"/>
          <w:szCs w:val="18"/>
          <w:i w:val="1"/>
          <w:iCs w:val="1"/>
          <w:color w:val="auto"/>
        </w:rPr>
        <w:t>23</w:t>
      </w:r>
      <w:r>
        <w:rPr>
          <w:rFonts w:ascii="Times New Roman" w:cs="Times New Roman" w:eastAsia="Times New Roman" w:hAnsi="Times New Roman"/>
          <w:sz w:val="24"/>
          <w:szCs w:val="24"/>
          <w:i w:val="1"/>
          <w:iCs w:val="1"/>
          <w:color w:val="auto"/>
          <w:vertAlign w:val="superscript"/>
        </w:rPr>
        <w:t>rd</w:t>
      </w:r>
      <w:r>
        <w:rPr>
          <w:rFonts w:ascii="Times New Roman" w:cs="Times New Roman" w:eastAsia="Times New Roman" w:hAnsi="Times New Roman"/>
          <w:sz w:val="18"/>
          <w:szCs w:val="18"/>
          <w:i w:val="1"/>
          <w:iCs w:val="1"/>
          <w:color w:val="auto"/>
        </w:rPr>
        <w:t xml:space="preserve"> April 2015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Stokes Place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 Stephen’s Green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Dublin 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Ireland</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1"/>
          <w:szCs w:val="21"/>
          <w:color w:val="auto"/>
        </w:rPr>
        <w:t>Statement of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compliance</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financial statements have been prepared in accordance with International Financial Reporting Standards (IFRS) that are adopted by the European Union (EU) that are effective at 31 December 2014. The Directors have elected to prepare the Company financial statements in accordance with IFRS as adopted by the EU and as applied in accordance with the Companies Acts 1963 to 2013. In accordance with the Companies Acts 1963 to 2013, a company that publishes its Group and Company financial statements together, can take advantage of the exemption in Section 148(8) of the Companies Act 1963 from presenting to its members a Company income statement and related notes that form part of the approved Company financial statements.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Group financial statements have been prepared in accordance with the amendment to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This amendment sets overall requirements for the presentation of financial statements, guidelines for their structure and minimum requirements for their content. The revised standard aims to improve users’ ability to analyse and compare information given in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Group and Company financial statements are presented in U.S. dollars and all values are rounded to the nearest thousand ($ ‘000), except where otherwise indicated, this being the reporting currency of the Group. They are prepared on the historical cost basis, except for the measurement at fair value on date of grant of share options, the UK defined benefit pension plan and certain contingent consideration payable on acquisitions. Accounting policies are applied consistently with the prior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accounting policies which involve significant estimates and judgments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management to make estimates and judgments that affect the reported amounts of assets and liabilities at the date of the financial statements and the reported amounts of revenues and expenses during the reported period.</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Estimates and judgments are based on historical experience and on other factors that are reasonable under current circumstances. Actual results may differ from these estimates if these assumptions prove to be incorrect or if conditions develop other than as assumed for the purposes of such estimates. The following are the critical areas requiring estimates and judgments by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Significant management judgments and estimates must be made and used in connection with the recognition of revenue in each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 Revenues are earned by providing a number of different services to clients. These services include clinical trials management, biometric activities, consulting, imaging, contract staffing, informatics and laboratory services. Revenue for services, as rendered, are recognised only after persuasive evidence of an arrangement exists, the sales price is fixed or determinable, risks and rewards have transferred and collectability is reasonably assured.</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Customers are invoiced upon the achievement of specified contractual milestones. This mechanism, which allows the Group to receive payment from customers throughout the duration of the contract, is not reflective of revenue earned. Revenues are recognised over the period from the awarding of the customer’s contract to study completion and acceptance. This requires an estimate of the total expected revenue, time inputs, contract costs, profitability and expected duration of the clinical trial. The Group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1"/>
          <w:szCs w:val="21"/>
          <w:color w:val="auto"/>
        </w:rPr>
        <w:t xml:space="preserve">Statement of Accounting Policies </w:t>
      </w:r>
      <w:r>
        <w:rPr>
          <w:rFonts w:ascii="Times New Roman" w:cs="Times New Roman" w:eastAsia="Times New Roman" w:hAnsi="Times New Roman"/>
          <w:sz w:val="21"/>
          <w:szCs w:val="21"/>
          <w:i w:val="1"/>
          <w:iCs w:val="1"/>
          <w:color w:val="auto"/>
        </w:rPr>
        <w:t>(continued)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Key accounting policies which involve significant estimates and judgments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contract and can include geographical site selection and initiation, patient enrolment, patient testing and level of results analysis required. While the group may routinely adjust time estimates, the estimates and assumptions have historically been accurate in all material respects in the aggregate.</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the Group does not reasonably estimate the resources required or the scope of the work to be performed, or does not manage its projects properly within the planned cost or satisfy obligations under the contracts, then future results may be significantly and negatively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Goodwill is reviewed for impairment annually or more frequently if facts or circumstances warrant such a review. Goodwill is evaluated for impairment by comparing the recoverable amount of the cash-generating unit to the carrying amount of the cash-generating unit to which the goodwill relates. If the recoverable amount is less than the carrying amount an impairment is determined.</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recoverable amount of the cash-generating unit is determined using a value-in-use computation based upon discounted net present value cash flow projections for the business. The cash flow projections are for a period of five years forward together with a terminal value calculated in accordance with the Gordon’s terminal value model. Management’s estimates of future cash flows are based upon anticipated growth rates within the CRO industry, expected growth in the Group’s market share and past experience. The key assumptions applied in determining expected future cash flows include management’s estimate of future profitability, replacement capital expenditure requirements, trade working capital investment needs and tax considerations. The Group’s cash flow model is adjusted each year for actual and expected changes in performance.</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Use of different estimates or judgments, particularly with respect to expected profitability could result in a material impairment charge. The Group believes reasonable estimates and judgments have been used in assessing the recoverable amounts of its cash-generating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global nature of the business and the multiple taxing jurisdictions in which the Group operates, the determination of the Group’s provision for income taxes requires significant judgments and estimates, the ultimate tax outcome of which may not be certain. Although estimates are believed to be reasonable, the final outcome of these matters may be different than those reflected in the historical income tax provisions and accruals. Such differences could have a material effect on the income tax provision and results in the period during which such determination is made.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Deferred tax assets and liabilities are determined using enacted tax rates for the effects of net operating losses and temporary differences between the book and tax bases of assets and liabilities. In assessing the realisability of deferred tax assets, management considers whether it is more likely than not that some portion or all of the deferred tax assets will not be realised. The ultimate realisation of deferred tax assets is dependent upon the generation of future taxable income during the periods in which those temporary differences become deductible. While management considers the scheduled reversal of deferred tax liabilities, and projected future taxable income in making this assessment, there can be no assurance that these deferred tax assets may be realisable.</w:t>
      </w:r>
    </w:p>
    <w:p>
      <w:pPr>
        <w:spacing w:after="0" w:line="20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In addition, the Group may also be subject to audits in the multiple taxing jurisdictions in which it operates. These audits can involve complex issues which may require an extended period of time for resolution. Management believe that adequate provisions for income taxes have been made in the financial statements.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1"/>
          <w:szCs w:val="21"/>
          <w:color w:val="auto"/>
        </w:rPr>
        <w:t xml:space="preserve">Statement of Accounting Policies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Key accounting policies which involve significant estimates and judgments </w:t>
      </w:r>
      <w:r>
        <w:rPr>
          <w:rFonts w:ascii="Times New Roman" w:cs="Times New Roman" w:eastAsia="Times New Roman" w:hAnsi="Times New Roman"/>
          <w:sz w:val="18"/>
          <w:szCs w:val="18"/>
          <w:b w:val="1"/>
          <w:bCs w:val="1"/>
          <w:i w:val="1"/>
          <w:iCs w:val="1"/>
          <w:color w:val="auto"/>
        </w:rPr>
        <w:t>(continued)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relating to Business Combinations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Group has concluded a number of business combinations in recent years. The fair value of the consideration of a business combination is measured as the aggregate of the fair values at the date of exchange of assets given, liabilities incurred or assumed, and equity instruments issued in exchange for control. The fair value of the consideration of a business combination may include a portion which is contingent upon the achievement of certain future events, such as the achievement of a particular revenue or earnings target. Where a business combination agreement provides for such additional consideration, the amount of the estimated consideration is recognised on the acquisition date at fair value. The accounting treatment of any changes to the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 will be accounted for through the consolidated income statement.</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Significant management judgments and estimates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serious impact on our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IFRS’s and International Financial Reporting Interpretations Committee (IFRIC) Interpretations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IFRS and IFRIC Interpretations adopted during the financial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adopted the following new and revised IFRS and IFRIC interpretations in respect of the 2014 financial year-end:</w:t>
      </w:r>
    </w:p>
    <w:p>
      <w:pPr>
        <w:spacing w:after="0" w:line="244" w:lineRule="exact"/>
        <w:rPr>
          <w:sz w:val="20"/>
          <w:szCs w:val="20"/>
          <w:color w:val="auto"/>
        </w:rPr>
      </w:pPr>
    </w:p>
    <w:p>
      <w:pPr>
        <w:ind w:left="640" w:hanging="19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27 Separate Financial Statements effective 1 January 2014</w:t>
      </w:r>
    </w:p>
    <w:p>
      <w:pPr>
        <w:spacing w:after="0" w:line="243"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28 Investments in Associates and Joint Ventures effective 1 January 2014</w:t>
      </w:r>
    </w:p>
    <w:p>
      <w:pPr>
        <w:spacing w:after="0" w:line="243"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Financial Assets and Financial Liabilities (Amendment to IAS 32) effective 1 January 2014</w:t>
      </w:r>
    </w:p>
    <w:p>
      <w:pPr>
        <w:spacing w:after="0" w:line="243"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10 Consolidated Financial Statements effective 1 January 2014</w:t>
      </w:r>
    </w:p>
    <w:p>
      <w:pPr>
        <w:spacing w:after="0" w:line="243"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11 Joint Arrangements effective 1 January 2014</w:t>
      </w:r>
    </w:p>
    <w:p>
      <w:pPr>
        <w:spacing w:after="0" w:line="243"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12 Disclosure of Interests in Other Entities effective 1 January 2014</w:t>
      </w:r>
    </w:p>
    <w:p>
      <w:pPr>
        <w:spacing w:after="0" w:line="243"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for investment entities (Amendments to IFRS 10, IFRS 12, and IAS 27) effective 1 January 2014</w:t>
      </w:r>
    </w:p>
    <w:p>
      <w:pPr>
        <w:spacing w:after="0" w:line="243"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36 Impairment of Assets (amendment) effective 1 January 2014</w:t>
      </w:r>
    </w:p>
    <w:p>
      <w:pPr>
        <w:spacing w:after="0" w:line="243"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Novation of derivatives and continuation of hedge accounting (amendment to IAS 39) effective 1 January 2014</w:t>
      </w:r>
    </w:p>
    <w:p>
      <w:pPr>
        <w:spacing w:after="0" w:line="243"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IFRIC interpretation 21 Levies effective 1 January 2014</w:t>
      </w:r>
    </w:p>
    <w:p>
      <w:pPr>
        <w:spacing w:after="0" w:line="243"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19 Employee benefits (amendment) effective 1 July 2014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application of the standards and interpretations noted above did not result in material changes in the Group’s Consolidated Financial Statements.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1"/>
          <w:szCs w:val="21"/>
          <w:color w:val="auto"/>
        </w:rPr>
        <w:t xml:space="preserve">Statement of Accounting Policies </w:t>
      </w:r>
      <w:r>
        <w:rPr>
          <w:rFonts w:ascii="Times New Roman" w:cs="Times New Roman" w:eastAsia="Times New Roman" w:hAnsi="Times New Roman"/>
          <w:sz w:val="21"/>
          <w:szCs w:val="21"/>
          <w:i w:val="1"/>
          <w:iCs w:val="1"/>
          <w:color w:val="auto"/>
        </w:rPr>
        <w:t>(continued)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IFRS and IFRIC Interpretations effective in respect of the 2015 and future financial year-ends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not applied the following standards and interpretations that have been issued which are not yet effective:</w:t>
      </w:r>
    </w:p>
    <w:p>
      <w:pPr>
        <w:spacing w:after="0" w:line="244" w:lineRule="exact"/>
        <w:rPr>
          <w:sz w:val="20"/>
          <w:szCs w:val="20"/>
          <w:color w:val="auto"/>
        </w:rPr>
      </w:pPr>
    </w:p>
    <w:p>
      <w:pPr>
        <w:ind w:left="640" w:hanging="192"/>
        <w:spacing w:after="0"/>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15: Revenue from contracts with customers effective 1 January 2017*</w:t>
      </w:r>
    </w:p>
    <w:p>
      <w:pPr>
        <w:spacing w:after="0" w:line="243"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(Amendment to IAS 16) effective 1 January 2016*</w:t>
      </w:r>
    </w:p>
    <w:p>
      <w:pPr>
        <w:spacing w:after="0" w:line="243"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Clarification of acceptable methods of depreciation and amortisation (amendment to IAS 16 and IAS 38) effective 1 January 2015*</w:t>
      </w:r>
    </w:p>
    <w:p>
      <w:pPr>
        <w:spacing w:after="0" w:line="243" w:lineRule="exact"/>
        <w:rPr>
          <w:rFonts w:ascii="Times New Roman" w:cs="Times New Roman" w:eastAsia="Times New Roman" w:hAnsi="Times New Roman"/>
          <w:sz w:val="18"/>
          <w:szCs w:val="18"/>
          <w:color w:val="auto"/>
        </w:rPr>
      </w:pPr>
    </w:p>
    <w:p>
      <w:pPr>
        <w:ind w:left="640" w:hanging="192"/>
        <w:spacing w:after="0"/>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11: Accounting for acquisitions of interests in Joint Operations effective 1 January 2016*</w:t>
      </w:r>
    </w:p>
    <w:p>
      <w:pPr>
        <w:spacing w:after="0" w:line="243" w:lineRule="exact"/>
        <w:rPr>
          <w:rFonts w:ascii="Times New Roman" w:cs="Times New Roman" w:eastAsia="Times New Roman" w:hAnsi="Times New Roman"/>
          <w:sz w:val="18"/>
          <w:szCs w:val="18"/>
          <w:color w:val="auto"/>
        </w:rPr>
      </w:pPr>
    </w:p>
    <w:p>
      <w:pPr>
        <w:ind w:left="320" w:right="2880" w:firstLine="128"/>
        <w:spacing w:after="0" w:line="522" w:lineRule="auto"/>
        <w:tabs>
          <w:tab w:leader="none" w:pos="63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9 Financial Instruments (2009, and subsequent amendments in 2010 and 2013) effective 1 January 2018* * Not yet EU endorsed. The Group only apply EU endorsed IFRS</w:t>
      </w:r>
    </w:p>
    <w:p>
      <w:pPr>
        <w:spacing w:after="0" w:line="1" w:lineRule="exact"/>
        <w:rPr>
          <w:sz w:val="20"/>
          <w:szCs w:val="20"/>
          <w:color w:val="auto"/>
        </w:rPr>
      </w:pPr>
    </w:p>
    <w:p>
      <w:pPr>
        <w:ind w:right="840"/>
        <w:spacing w:after="0" w:line="274" w:lineRule="auto"/>
        <w:rPr>
          <w:sz w:val="20"/>
          <w:szCs w:val="20"/>
          <w:color w:val="auto"/>
        </w:rPr>
      </w:pPr>
      <w:r>
        <w:rPr>
          <w:rFonts w:ascii="Times New Roman" w:cs="Times New Roman" w:eastAsia="Times New Roman" w:hAnsi="Times New Roman"/>
          <w:sz w:val="18"/>
          <w:szCs w:val="18"/>
          <w:color w:val="auto"/>
        </w:rPr>
        <w:t>The application of the standards and interpretations noted above is not expected to result in significant changes in the Group’s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accounting policies have been applied consistently in dealing with items which are considered material in relation to the Group’s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Group financial statements consolidate the financial statements of ICON plc and its subsidiaries. Subsidiaries are consolidated from the date on which control is transferred to the Group and cease to be consolidated from the date on which control is transferred out of the Group. The Group controls an entity when it is exposed to, or has rights to, variable returns from its involvement with the entity and has the ability to affect those returns through its power over the entity.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2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presentation currency of the Group and Company is US dollars ($). The functional currency of the Company is Euros. The Company financial statements have been presented in US dollars due to the Company’s international operations and profile. Results and cash flows of non-dollar denominated undertakings are translated into dollars at the actual exchange rates at the transaction dates or average exchange rates for the year where this is a reasonable approximation. 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dealt with in a separate translation reserve within equity.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1"/>
          <w:szCs w:val="21"/>
          <w:color w:val="auto"/>
        </w:rPr>
        <w:t xml:space="preserve">Statement of Accounting Policies </w:t>
      </w:r>
      <w:r>
        <w:rPr>
          <w:rFonts w:ascii="Times New Roman" w:cs="Times New Roman" w:eastAsia="Times New Roman" w:hAnsi="Times New Roman"/>
          <w:sz w:val="21"/>
          <w:szCs w:val="21"/>
          <w:i w:val="1"/>
          <w:iCs w:val="1"/>
          <w:color w:val="auto"/>
        </w:rPr>
        <w:t>(continued)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 term intercompany balances where repayment is not foreseen, are taken to the income statement. Translation differences on long term intercompany balances where repayment is not foreseen are treated as other comprehensive income in the statement of comprehensive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exchange rates used for the translation of results, cash flows and statements of financial position into US dollars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7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Year to 31</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Year to</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Year to 31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Year to</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7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31 December</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31 December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7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2013</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1:$</w:t>
            </w:r>
          </w:p>
        </w:tc>
        <w:tc>
          <w:tcPr>
            <w:tcW w:w="37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1.3361</w:t>
            </w:r>
          </w:p>
        </w:tc>
        <w:tc>
          <w:tcPr>
            <w:tcW w:w="13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1.3254</w:t>
            </w:r>
          </w:p>
        </w:tc>
        <w:tc>
          <w:tcPr>
            <w:tcW w:w="1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1.2098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Pound Sterling 1:$</w:t>
            </w:r>
          </w:p>
        </w:tc>
        <w:tc>
          <w:tcPr>
            <w:tcW w:w="37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1.6548</w:t>
            </w:r>
          </w:p>
        </w:tc>
        <w:tc>
          <w:tcPr>
            <w:tcW w:w="13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1.5653</w:t>
            </w:r>
          </w:p>
        </w:tc>
        <w:tc>
          <w:tcPr>
            <w:tcW w:w="1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1.5577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disposal of a foreign operation, accumulated currency translation differences, together with any exchange differences on foreign currency borrowings that provide a hedge of the net investment are recognised in the income statement as part of the overall gain or loss on disposal; the cumulative currency translation differences arising prior to the transition date have been set to zero for the purposes of ascertaining the gain or loss on disposal of a foreign operation subsequent to 1 June 2004.</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1"/>
          <w:szCs w:val="21"/>
          <w:color w:val="auto"/>
        </w:rPr>
        <w:t xml:space="preserve">Statement of Accounting Policies </w:t>
      </w:r>
      <w:r>
        <w:rPr>
          <w:rFonts w:ascii="Times New Roman" w:cs="Times New Roman" w:eastAsia="Times New Roman" w:hAnsi="Times New Roman"/>
          <w:sz w:val="21"/>
          <w:szCs w:val="21"/>
          <w:i w:val="1"/>
          <w:iCs w:val="1"/>
          <w:color w:val="auto"/>
        </w:rPr>
        <w:t>(continued)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of property, plant and equipment are stated at cost less accumulated depreciation and any provisions for impairment losses.</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206" w:lineRule="exact"/>
        <w:rPr>
          <w:sz w:val="20"/>
          <w:szCs w:val="20"/>
          <w:color w:val="auto"/>
        </w:rPr>
      </w:pPr>
    </w:p>
    <w:tbl>
      <w:tblPr>
        <w:tblLayout w:type="fixed"/>
        <w:tblInd w:w="2860" w:type="dxa"/>
        <w:tblCellMar>
          <w:top w:w="0" w:type="dxa"/>
          <w:left w:w="0" w:type="dxa"/>
          <w:bottom w:w="0" w:type="dxa"/>
          <w:right w:w="0" w:type="dxa"/>
        </w:tblCellMar>
      </w:tblPr>
      <w:tr>
        <w:trPr>
          <w:trHeight w:val="233"/>
        </w:trPr>
        <w:tc>
          <w:tcPr>
            <w:tcW w:w="3320" w:type="dxa"/>
            <w:vAlign w:val="bottom"/>
          </w:tcPr>
          <w:p>
            <w:pPr>
              <w:spacing w:after="0"/>
              <w:rPr>
                <w:sz w:val="20"/>
                <w:szCs w:val="20"/>
                <w:color w:val="auto"/>
              </w:rPr>
            </w:pPr>
          </w:p>
        </w:tc>
        <w:tc>
          <w:tcPr>
            <w:tcW w:w="240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40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w w:val="99"/>
              </w:rPr>
              <w:t>40</w:t>
            </w:r>
          </w:p>
        </w:tc>
      </w:tr>
      <w:tr>
        <w:trPr>
          <w:trHeight w:val="21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1"/>
              </w:rPr>
              <w:t>2-8</w:t>
            </w:r>
          </w:p>
        </w:tc>
      </w:tr>
      <w:tr>
        <w:trPr>
          <w:trHeight w:val="21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240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4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5</w:t>
            </w:r>
          </w:p>
        </w:tc>
      </w:tr>
      <w:tr>
        <w:trPr>
          <w:trHeight w:val="21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240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rPr>
              <w:t>5</w:t>
            </w: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Leasehold improvements are amortised using the straight-line method over the estimated useful life of the asset or the lease term, whichever is shorter. Assets acquired under finance leases are depreciated over the shorter of their useful economic life and the lease term.</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disposal of property, plant and equipment the cost and related accumulated depreciation and impairments are removed from the financial statements and the net amount, less any proceeds, is taken to the income statement.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carrying amounts of the Group’s property, plant and equipment are reviewed at each reporting date to determine whether there is any indication of impairment. Where such an indication exists an impairment review is carried out. An impairment loss is recognised whenever the carrying amount of an asset or its cash generation unit exceeds its recoverable amount. Impairment losses are recognised in the income statement unless the asset is recorded at a revalued amount in which case it is firstly dealt with through the revaluation reserve with any residual amount being transferred to the income statement.</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income statement during the financial period in which they are incurred.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Leased assets – as lessee</w:t>
      </w:r>
    </w:p>
    <w:p>
      <w:pPr>
        <w:spacing w:after="0" w:line="2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Finance leases, which transfer to the Group substantially all the risks and benefits of ownership of the leased asset, are capitalised at the inception of the lease at the fair value of the leased asset or if lower the present value of the minimum lease payments. The corresponding liability to the lessor is included in the statement of financial position as a finance lease obligation. Lease payments are apportioned between the finance charges and reduction of the lease obligation so as to achieve a constant rate of interest on the remaining balance of the liability. Finance charges are charged to the income statement as part of finance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Capitalised leased assets are depreciated over the shorter of the estimated useful life of the asset or the lease term.</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1"/>
          <w:szCs w:val="21"/>
          <w:color w:val="auto"/>
        </w:rPr>
        <w:t xml:space="preserve">Statement of Accounting Policies </w:t>
      </w:r>
      <w:r>
        <w:rPr>
          <w:rFonts w:ascii="Times New Roman" w:cs="Times New Roman" w:eastAsia="Times New Roman" w:hAnsi="Times New Roman"/>
          <w:sz w:val="21"/>
          <w:szCs w:val="21"/>
          <w:i w:val="1"/>
          <w:iCs w:val="1"/>
          <w:color w:val="auto"/>
        </w:rPr>
        <w:t>(continued)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Leased assets – as lessee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Leases where the lessor retains substantially all the risks and benefits of ownership of the assets are classified as operating leases. Operating lease payments are recognised as an expense in the income statement on a straight line basis over the lease term. Lease incentives are recognised over the term of the lease as an integral part of the total lease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subsidiaries - company</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Investments in subsidiary undertakings are stated at cost less provision for impairment in the Company’s statement of financial position. Loans to subsidiary undertakings which are deemed long term investments in nature, are initially recorded at fair value in the Company statement of financial position and subsequently at amortised cost using an effective interest rate methodology.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a business combination is measured as the aggregate of the fair values at the date of exchange of assets given, liabilities incurred or assumed and equity instruments issued in exchange for control plus the fair value of any investment previously held in the entity.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income statement.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measures goodwill at the acquisition date as the fair value of the consideration transferred plus the recognised amount of any non-controlling interests in the acquiree, plus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acquisition date, any goodwill acquired is allocated to each of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Following initial recognition, goodwill is measured at cost less any accumulated impairment losses. Goodwill relating to acquisitions post 1 June 2001 and the deemed cost of goodwill carried in the statement of financial position at 1 June 2001 is not amortised. Goodwill is reviewed for impairment annually or more frequently if events or changes in circumstances indicate that the carrying value may be impaired.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1"/>
          <w:szCs w:val="21"/>
          <w:color w:val="auto"/>
        </w:rPr>
        <w:t xml:space="preserve">Statement of Accounting Policies </w:t>
      </w:r>
      <w:r>
        <w:rPr>
          <w:rFonts w:ascii="Times New Roman" w:cs="Times New Roman" w:eastAsia="Times New Roman" w:hAnsi="Times New Roman"/>
          <w:sz w:val="21"/>
          <w:szCs w:val="21"/>
          <w:i w:val="1"/>
          <w:iCs w:val="1"/>
          <w:color w:val="auto"/>
        </w:rPr>
        <w:t>(continued)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non financial assets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carrying amounts of the Group’s assets, other than deferred tax assets, are reviewed at each reporting date to determine whether there is any indication of impairment. If any such indication exists, the asset’s recoverable amount is estimated. An estimate of the recoverable amount of goodwill is carried out at each reporting date.</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 impairment loss is recognised in the income statement whenever the carrying amount of an asset or its cash generating unit exceeds its recoverable amount. Impairment losses recognised in respect of cash generating units are allocated first to reduce the carrying amount of any goodwill allocated to cash generating units and then, to reduce the carrying amount of other assets in the unit on a pro rata basis.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recoverable value of assets, other than receivables carried at amortised cost and short term receivables, is the greater of their net selling price and value in use. Value in use is assessed by discounting estimated future cash flows of the asset to their present value or discounting the estimated future cash flows of the cash generating unit where the asset does not generate independent cash flows. Estimated cash flows are discounted using a pre tax discount rate reflecting current market estimates of the time value of money and the risks specific to the asset.</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recoverable amount of receivables carried at amortised cost is calculated by discounting the present value of estimated future cash flows of the asset to their present value, discounted at the original effective interest rate. Receivables with a short duration of less than six months are not discounted.</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Impairment losses in respect of receivables carried at amortised cost are reversed if subsequent increases in the recoverable amount of the asset can be related objectively to an event occurring after the impairment loss was recognised.</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Impairment losses in respect of other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Other intangible assets are stated at cost less accumulated amortisation and impairment losses. Useful lives of intangibles are reviewed and adjusted if appropriate at each reporting date. Amortisation is charged to the income statement on a straight line basis over the estimated useful lives of intangible assets, currently estimated as follows:</w:t>
      </w:r>
    </w:p>
    <w:p>
      <w:pPr>
        <w:spacing w:after="0" w:line="200" w:lineRule="exact"/>
        <w:rPr>
          <w:sz w:val="20"/>
          <w:szCs w:val="20"/>
          <w:color w:val="auto"/>
        </w:rPr>
      </w:pPr>
    </w:p>
    <w:tbl>
      <w:tblPr>
        <w:tblLayout w:type="fixed"/>
        <w:tblInd w:w="2860" w:type="dxa"/>
        <w:tblCellMar>
          <w:top w:w="0" w:type="dxa"/>
          <w:left w:w="0" w:type="dxa"/>
          <w:bottom w:w="0" w:type="dxa"/>
          <w:right w:w="0" w:type="dxa"/>
        </w:tblCellMar>
      </w:tblPr>
      <w:tr>
        <w:trPr>
          <w:trHeight w:val="233"/>
        </w:trPr>
        <w:tc>
          <w:tcPr>
            <w:tcW w:w="36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1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Volunteer list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1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Asset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Tradename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arrangements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Inventories, which comprise laboratory inventories, are stated at the lower of cost and net realisable value. Cost is basedon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1"/>
          <w:szCs w:val="21"/>
          <w:color w:val="auto"/>
        </w:rPr>
        <w:t xml:space="preserve">Statement of Accounting Policies </w:t>
      </w:r>
      <w:r>
        <w:rPr>
          <w:rFonts w:ascii="Times New Roman" w:cs="Times New Roman" w:eastAsia="Times New Roman" w:hAnsi="Times New Roman"/>
          <w:sz w:val="21"/>
          <w:szCs w:val="21"/>
          <w:i w:val="1"/>
          <w:iCs w:val="1"/>
          <w:color w:val="auto"/>
        </w:rPr>
        <w:t>(continued)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and other receivables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Trade and other receivables are initially measured at fair value and are thereafter measured at amortised cost using the effective interest rate method less any provision for impairment. A provision for impairment of trade receivables is recognised when there is objective evidence that the Group will not be able to collect all amounts due according to the original terms of the receivables. Impairment losses, and any subsequent recovery of such losses, are recognised in the income statement within ‘other operating expenses’.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 investments – available for sale</w:t>
      </w:r>
    </w:p>
    <w:p>
      <w:pPr>
        <w:spacing w:after="0" w:line="24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Financial instruments held are classified as current assets and are stated at fair value, with any resultant gain or loss recognised as other comprehensive income in the statement of comprehensive income. The fair value of financial instruments classified as available-for-sale is their market price at the reporting 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4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Cash and cash equivalents include cash and highly liquid investments with original maturities of three months or less and are stated at cost, which approximates market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payables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payables are recognised initially at fair value and subsequently measured at amortised cost using the effective interest rate method.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Government grants received that compensate the Group for the cost of an asset are recognised in the statement of financial position initially as deferred income when there is reasonable assurance that it will be received and that the Group will comply with the conditions attaching to it. Such grants are recognised in the income statement over the useful economic life of the asset which is consistent with the depreciation policy of the relevant asset.</w:t>
      </w:r>
    </w:p>
    <w:p>
      <w:pPr>
        <w:spacing w:after="0" w:line="20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Grants that compensate the Group for expenses incurred are recognised in the income statement in the same periods in which the expenditure to which they relate is charged.</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bearing loans and borrowings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Interest bearing borrowings are recognised initially at fair value. Subsequent to initial recognition, current and non-current interest bearing loans and borrowings are measured at amortised cost with any difference between cost and redemption value being recognised in the income statement over the period of the borrowings on an effective interest basis.</w:t>
      </w:r>
    </w:p>
    <w:p>
      <w:pPr>
        <w:spacing w:after="0" w:line="202"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Borrowings are classified as current liabilities unless the Group has an unconditional right to defer settlement of the liability for at least 12 months after the reporting date.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color w:val="auto"/>
        </w:rPr>
        <w:t xml:space="preserve">Statement of Accounting Policies </w:t>
      </w:r>
      <w:r>
        <w:rPr>
          <w:rFonts w:ascii="Times New Roman" w:cs="Times New Roman" w:eastAsia="Times New Roman" w:hAnsi="Times New Roman"/>
          <w:sz w:val="21"/>
          <w:szCs w:val="21"/>
          <w:i w:val="1"/>
          <w:iCs w:val="1"/>
          <w:color w:val="auto"/>
        </w:rPr>
        <w:t>(continued)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provision is recognised in the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provision for onerous contracts is recognised when the expected benefits to be derived by the Group from a contract are lower than the unavoidable cost of meeting its obligations under the contract.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may also include an element of contingent acquisition consideration.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46"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Ordinary shares are classified as equity. Incremental costs directly attributable to the issue of new shares or options are shown in equity as a deduction, net of tax, from the proceeds.</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Where ordinary shares are repurchased by the Company they are cancelled and the nominal value of the shares is transferred to a capital redemption reserve fund within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Pension and other post-employment benefits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a defined benefit pension plan for certain of its United Kingdom employees through a subsidiary.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contribution pension plans are recognised as an expense in the income statement as service is received from the relevant employees.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Group’s net obligation in respect of the defined benefit pension plan is calculated separately by estimating the amount of future benefit that employees have earned in return for their service in the current and prior periods; that benefit is discounted to determine its present value, and the fair value of plan assets deducted. The discount rate used is the yield at the reporting date on iboxx AA 15 index plus 20 basis points. The calculation is performed by a qualified actuary using the projected unit credit method. Under IAS 19R the net finance income/cost are recorded in operating costs in the Income Statement. When benefits of a plan are improved, the portion of the increased benefit relating to the past service by employees is recognised as an expense in the Income Statement on a straight line basis over the average period until the benefits become vested. To the extent that the benefits vest immediately, the expense is recognised immediately in the Income Statement.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1"/>
          <w:szCs w:val="21"/>
          <w:color w:val="auto"/>
        </w:rPr>
        <w:t xml:space="preserve">Statement of Accounting Policies </w:t>
      </w:r>
      <w:r>
        <w:rPr>
          <w:rFonts w:ascii="Times New Roman" w:cs="Times New Roman" w:eastAsia="Times New Roman" w:hAnsi="Times New Roman"/>
          <w:sz w:val="21"/>
          <w:szCs w:val="21"/>
          <w:i w:val="1"/>
          <w:iCs w:val="1"/>
          <w:color w:val="auto"/>
        </w:rPr>
        <w:t>(continued)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All actuarial gains and losses as at 1 June 2004, the date of transition to IFRSs, were recognised and adjusted against retained earnings. Actuarial gains and losses arising after this date are recognised as other comprehensive income immediately in the Statement of Comprehensive Income.</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IAS 19 ‘Employee benefits’ was revised in June 2011 and was effective for the Group’s financial statements for the year commencing 1 January 2013 with restatement of the prior year comparatives.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Share-based payments</w:t>
      </w:r>
    </w:p>
    <w:p>
      <w:pPr>
        <w:spacing w:after="0" w:line="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Share-based payments comprise options to acquire ordinary shares in the Company, restricted share units (RSUs) and performance share units (PSUs) in the form of ordinary share entitlements after a certain period of time. These are awarded to certain key employees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 or PSU. The fair value of options granted is measured using a binomial lattice model, taking into account the terms and conditions upon which the options were granted. The fair value of RSUs and PSUs is equal to the market price at date of grant. The total amount to be expensed is determined by reference to the fair value of the options, RSUs or PSUs granted, excluding the impact of any non-market service and performance vesting conditions (for example profitability, sales growth targets). There are no such non-market vesting conditions during the year ended 31 December 2014 in relation to options or RSUs that are expected to vest. The amount recognised as an expense is adjusted to reflect the actual number of share options, RSUs or PSUs that vest.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payments - Company</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operates a number of share-based payment plans the details of which are presented in note 10 Share-Based Payments to the Consolidated Financial Statements. The share-based payment expense associated with the share-based payment plans is recognised by the entity which receives services in exchange for the share-based compensation. Share-based payment expense is recognised over the requisite service period for awards of equity instruments to employees based on the grant date fair value of those awards expected to ultimately vest. Forfeitures are estimated on the date of grant and revised if actual or expected forfeiture activity differs materially from original estimates.</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income statement of the Company is charged with the expense related to the services received by the Company. The remaining portions of the share-based payments represent a contribution to Company entities and are added to the carrying amount of those investments. Under an agreement, the subsidiaries pay the Company an amount equal to the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For more information on financial fixed assets see note 3, Investment in subsidiaries, in the company only financial statements below.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Group primarily earns revenues by providing clinical research services to its customers. Clinical research services include clinical trials management, biometric activities, consulting, imaging, contract staffing, informatics and laboratory services. Contracts range in duration from a number of months to several years. Revenue is recognised according to the type of service provided as follows: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1"/>
          <w:szCs w:val="21"/>
          <w:color w:val="auto"/>
        </w:rPr>
        <w:t xml:space="preserve">Statement of Accounting Policies </w:t>
      </w:r>
      <w:r>
        <w:rPr>
          <w:rFonts w:ascii="Times New Roman" w:cs="Times New Roman" w:eastAsia="Times New Roman" w:hAnsi="Times New Roman"/>
          <w:sz w:val="21"/>
          <w:szCs w:val="21"/>
          <w:i w:val="1"/>
          <w:iCs w:val="1"/>
          <w:color w:val="auto"/>
        </w:rPr>
        <w:t>(continued)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Clinical trials management revenue is recognised on a proportional performance method. Depending on the contractual terms, revenue is either recognised on the percentage of completion method, based on the relationship between hours incurred and the total estimated hours of the trial, or on the unit of delivery method. Biometrics revenue is recognised on a fee-for-service method on the basis of the number of units completed in a period as a percentage of the total number of contracted units. Imaging revenue is recognised on a fee-for- service basis. Consulting revenue is recognised on a fee-for-service basis as the related service is performed. Contract staffing revenue is recognised on a fee-for-service basis, over the time the related service is performed, or in the case of permanent placement, once the candidate has been placed with the client.</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Informatics revenue is recognised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recognised rateably over the period of the related agreement. Revenue from software services is recognised using the percentage of completion method based on the relationship between hours incurred and the total estimated hours required to perform the service.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Laboratory service revenue is recognised on a fee-for-service basis. The Group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recognised on the basis of the number of deliverable units completed in the period.</w:t>
      </w:r>
    </w:p>
    <w:p>
      <w:pPr>
        <w:spacing w:after="0" w:line="208" w:lineRule="exact"/>
        <w:rPr>
          <w:sz w:val="20"/>
          <w:szCs w:val="20"/>
          <w:color w:val="auto"/>
        </w:rPr>
      </w:pPr>
    </w:p>
    <w:p>
      <w:pPr>
        <w:ind w:right="2880"/>
        <w:spacing w:after="0" w:line="272" w:lineRule="auto"/>
        <w:rPr>
          <w:sz w:val="20"/>
          <w:szCs w:val="20"/>
          <w:color w:val="auto"/>
        </w:rPr>
      </w:pPr>
      <w:r>
        <w:rPr>
          <w:rFonts w:ascii="Times New Roman" w:cs="Times New Roman" w:eastAsia="Times New Roman" w:hAnsi="Times New Roman"/>
          <w:sz w:val="17"/>
          <w:szCs w:val="17"/>
          <w:color w:val="auto"/>
        </w:rPr>
        <w:t>Contracts generally contain provisions for renegotiation in the event of changes in the scope, nature, duration, volume of services or conditions of the contract. Renegotiated amounts are recognised as revenue by revision to the total contract</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value arising as a result of an authorised customer change order. Provisions for losses to be incurred on contracts are recognised in full in the period in which it is determined that a loss will result from performance of the contractual arrangement.</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difference between the amount of revenue recognised and the amount billed on a particular contract is included in the statement of financial position as unbilled revenue. Normally, amounts become billable upon the achievement of certain milestones, in accordance with pre-agreed payment schedules included in the contract or on submission of appropriate billing detail. Such cash payments are not representative of revenue earned on the contract as revenues are recognised over the period in which the specified contractual obligations are fulfilled. Amounts included in unbilled revenue are expected to be collected within one year and are included within current assets. Advance billings to customers, for which revenue has not been recognised, are recognised as payments on account within current liabilities.</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event of contract termination, if the value of work performed and recognised as revenue is greater than aggregate milestone billings at the date of termination, cancellation clauses provide that the Group is paid for all work performed to the termination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Reimbursable expenses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enrolment over the life of the contract. Investigator payments are made based on predetermined contractual arrangements, which may differ from the accrual of the expense.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1"/>
          <w:szCs w:val="21"/>
          <w:color w:val="auto"/>
        </w:rPr>
        <w:t xml:space="preserve">Statement of Accounting Policies </w:t>
      </w:r>
      <w:r>
        <w:rPr>
          <w:rFonts w:ascii="Times New Roman" w:cs="Times New Roman" w:eastAsia="Times New Roman" w:hAnsi="Times New Roman"/>
          <w:sz w:val="21"/>
          <w:szCs w:val="21"/>
          <w:i w:val="1"/>
          <w:iCs w:val="1"/>
          <w:color w:val="auto"/>
        </w:rPr>
        <w:t>(continued)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costs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Direct costs consist of compensation, associated employee benefits and share-based payments for project-related employees and other direct project-related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operating expenses consist of compensation, associated employee benefits and share-based payments for non-project-related employees and other indirect costs associated with the business. Other operating expenses also includes depreciation expense and the amortisation of intangible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Exceptional items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significant impairments, and material changes in estimates.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credits</w:t>
      </w:r>
    </w:p>
    <w:p>
      <w:pPr>
        <w:spacing w:after="0" w:line="24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Research and development credits that are provided under the income tax law of the jurisdictions in which the Group operates generally are recognised as a reduction of income tax expense. However, certain tax jurisdictions provide refundable credits that are not dependent on the Group’s ongoing tax status or tax position. In these circumstances the credits are recognised in the income statement in the same periods in which the expenditure to which they related to is charged as a deduction against the related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expense</w:t>
      </w:r>
    </w:p>
    <w:p>
      <w:pPr>
        <w:spacing w:after="0" w:line="246"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Financing expense comprises interest payable on borrowings calculated using the effective interest rate method, finance charges on finance leases, foreign exchange gains and losses on bank loans, non-cash finance charges in respect of contingent consideration and gains and losses on hedging instruments that are recognised in the income statement.</w:t>
      </w:r>
    </w:p>
    <w:p>
      <w:pPr>
        <w:spacing w:after="0" w:line="20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Income Statement over the term the facility is available to the Group.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income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is recognised in the income statement as it accrues, using the effective interest rate method and includes interest receivable on funds invested.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in the income statement represents the sum of income tax currently payable and deferred income tax.</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 currently payable is based on taxable profit for the year. Taxable profit differs from net profit as reported in the income statement because it excludes items of income or expense that are taxable or deductible in other years and further excludes items that are not taxable or deductible. The Group’s liability for income tax is calculated using rates that have been enacted or substantially enacted at the reporting date. Income tax is recognised in the income statement except to the extent that it relates to items recognised directly in equity.</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1"/>
          <w:szCs w:val="21"/>
          <w:color w:val="auto"/>
        </w:rPr>
        <w:t xml:space="preserve">Statement of Accounting Policies </w:t>
      </w:r>
      <w:r>
        <w:rPr>
          <w:rFonts w:ascii="Times New Roman" w:cs="Times New Roman" w:eastAsia="Times New Roman" w:hAnsi="Times New Roman"/>
          <w:sz w:val="21"/>
          <w:szCs w:val="21"/>
          <w:i w:val="1"/>
          <w:iCs w:val="1"/>
          <w:color w:val="auto"/>
        </w:rPr>
        <w:t>(continued)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Deferred income tax assets and liabilities are measured at the tax rates that are expected to apply in the year when the asset is expected to be realised or the liability to be settled.</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ordinary share</w:t>
      </w:r>
    </w:p>
    <w:p>
      <w:pPr>
        <w:spacing w:after="0" w:line="24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90"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Diluted earnings per share is computed by dividing the profit for the financial year attributable to ordinary shareholders of the Company by the weighted average number of ordinary shares in issue after adjusting for the effects of all potential dilutive ordinary shares that were outstanding during the financial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Chief Financial Officer (CFO) and Chief Operating Officer (COO) who together are considered the Group’s chief operating decision makers. An operating segment’s operating results are reviewed regularly by the CEO, CFO and COO to make decisions about resources to be allocated to the segment and assess its performance, and for which discrete financial information is available.</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Segment results that are reported to the CEO, CFO and COO include items directly attributable to a segment as well as those that can be allocated on a reasonable basis. Segment capital expenditure is the total cost incurred during the period to acquire property, plant and equipment and intangible assets other than goodwill.</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1"/>
          <w:szCs w:val="21"/>
          <w:color w:val="auto"/>
        </w:rPr>
        <w:t>Consolidated Income Statement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616"/>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3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360" w:type="dxa"/>
            <w:vAlign w:val="bottom"/>
            <w:tcBorders>
              <w:top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Year ended</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Year ended</w:t>
            </w:r>
          </w:p>
        </w:tc>
        <w:tc>
          <w:tcPr>
            <w:tcW w:w="1360" w:type="dxa"/>
            <w:vAlign w:val="bottom"/>
            <w:tcBorders>
              <w:top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130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i w:val="1"/>
                <w:iCs w:val="1"/>
                <w:color w:val="auto"/>
              </w:rPr>
              <w:t>Note</w:t>
            </w: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7"/>
              </w:rPr>
              <w:t>31 December</w:t>
            </w:r>
          </w:p>
        </w:tc>
        <w:tc>
          <w:tcPr>
            <w:tcW w:w="13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31 December</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 December</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2013</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2013</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Excluding</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Including</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Excluding</w:t>
            </w:r>
          </w:p>
        </w:tc>
        <w:tc>
          <w:tcPr>
            <w:tcW w:w="12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Including</w:t>
            </w: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Exceptional</w:t>
            </w:r>
          </w:p>
        </w:tc>
        <w:tc>
          <w:tcPr>
            <w:tcW w:w="13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Exceptional</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Exceptional</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Exceptional</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Exceptional</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Exceptional</w:t>
            </w:r>
          </w:p>
        </w:tc>
        <w:tc>
          <w:tcPr>
            <w:tcW w:w="0" w:type="dxa"/>
            <w:vAlign w:val="bottom"/>
          </w:tcPr>
          <w:p>
            <w:pPr>
              <w:spacing w:after="0"/>
              <w:rPr>
                <w:sz w:val="1"/>
                <w:szCs w:val="1"/>
                <w:color w:val="auto"/>
              </w:rPr>
            </w:pPr>
          </w:p>
        </w:tc>
      </w:tr>
      <w:tr>
        <w:trPr>
          <w:trHeight w:val="212"/>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Continuing</w:t>
            </w:r>
          </w:p>
        </w:tc>
        <w:tc>
          <w:tcPr>
            <w:tcW w:w="1300" w:type="dxa"/>
            <w:vAlign w:val="bottom"/>
          </w:tcPr>
          <w:p>
            <w:pPr>
              <w:spacing w:after="0"/>
              <w:rPr>
                <w:sz w:val="18"/>
                <w:szCs w:val="18"/>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3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items</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items</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items</w:t>
            </w:r>
          </w:p>
        </w:tc>
        <w:tc>
          <w:tcPr>
            <w:tcW w:w="0" w:type="dxa"/>
            <w:vAlign w:val="bottom"/>
          </w:tcPr>
          <w:p>
            <w:pPr>
              <w:spacing w:after="0"/>
              <w:rPr>
                <w:sz w:val="1"/>
                <w:szCs w:val="1"/>
                <w:color w:val="auto"/>
              </w:rPr>
            </w:pPr>
          </w:p>
        </w:tc>
      </w:tr>
      <w:tr>
        <w:trPr>
          <w:trHeight w:val="233"/>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300" w:type="dxa"/>
            <w:vAlign w:val="bottom"/>
          </w:tcPr>
          <w:p>
            <w:pPr>
              <w:spacing w:after="0"/>
              <w:rPr>
                <w:sz w:val="20"/>
                <w:szCs w:val="20"/>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$’000</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Gross revenue</w:t>
            </w: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2,030,286</w:t>
            </w:r>
          </w:p>
        </w:tc>
        <w:tc>
          <w:tcPr>
            <w:tcW w:w="134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2,030,286</w:t>
            </w:r>
          </w:p>
        </w:tc>
        <w:tc>
          <w:tcPr>
            <w:tcW w:w="14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1,784,345</w:t>
            </w:r>
          </w:p>
        </w:tc>
        <w:tc>
          <w:tcPr>
            <w:tcW w:w="124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1,784,345</w:t>
            </w:r>
          </w:p>
        </w:tc>
        <w:tc>
          <w:tcPr>
            <w:tcW w:w="0" w:type="dxa"/>
            <w:vAlign w:val="bottom"/>
          </w:tcPr>
          <w:p>
            <w:pPr>
              <w:spacing w:after="0"/>
              <w:rPr>
                <w:sz w:val="1"/>
                <w:szCs w:val="1"/>
                <w:color w:val="auto"/>
              </w:rPr>
            </w:pPr>
          </w:p>
        </w:tc>
      </w:tr>
      <w:tr>
        <w:trPr>
          <w:trHeight w:val="219"/>
        </w:trPr>
        <w:tc>
          <w:tcPr>
            <w:tcW w:w="2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Reimbursable expenses</w:t>
            </w:r>
          </w:p>
        </w:tc>
        <w:tc>
          <w:tcPr>
            <w:tcW w:w="1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(526,970)</w:t>
            </w:r>
          </w:p>
        </w:tc>
        <w:tc>
          <w:tcPr>
            <w:tcW w:w="13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(526,970)</w:t>
            </w:r>
          </w:p>
        </w:tc>
        <w:tc>
          <w:tcPr>
            <w:tcW w:w="1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(448,287)</w:t>
            </w:r>
          </w:p>
        </w:tc>
        <w:tc>
          <w:tcPr>
            <w:tcW w:w="12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(448,287)</w:t>
            </w: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i w:val="1"/>
                <w:iCs w:val="1"/>
                <w:color w:val="auto"/>
              </w:rPr>
              <w:t>1</w:t>
            </w:r>
          </w:p>
        </w:tc>
        <w:tc>
          <w:tcPr>
            <w:tcW w:w="12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1,503,316</w:t>
            </w:r>
          </w:p>
        </w:tc>
        <w:tc>
          <w:tcPr>
            <w:tcW w:w="134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1,503,316</w:t>
            </w:r>
          </w:p>
        </w:tc>
        <w:tc>
          <w:tcPr>
            <w:tcW w:w="14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1,336,058</w:t>
            </w:r>
          </w:p>
        </w:tc>
        <w:tc>
          <w:tcPr>
            <w:tcW w:w="124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1,336,058</w:t>
            </w: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Direct costs</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i w:val="1"/>
                <w:iCs w:val="1"/>
                <w:color w:val="auto"/>
              </w:rPr>
              <w:t>7</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(902,956)</w:t>
            </w:r>
          </w:p>
        </w:tc>
        <w:tc>
          <w:tcPr>
            <w:tcW w:w="13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(902,956)</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(845,146)</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(848,937)</w:t>
            </w:r>
          </w:p>
        </w:tc>
        <w:tc>
          <w:tcPr>
            <w:tcW w:w="0" w:type="dxa"/>
            <w:vAlign w:val="bottom"/>
          </w:tcPr>
          <w:p>
            <w:pPr>
              <w:spacing w:after="0"/>
              <w:rPr>
                <w:sz w:val="1"/>
                <w:szCs w:val="1"/>
                <w:color w:val="auto"/>
              </w:rPr>
            </w:pPr>
          </w:p>
        </w:tc>
      </w:tr>
      <w:tr>
        <w:trPr>
          <w:trHeight w:val="219"/>
        </w:trPr>
        <w:tc>
          <w:tcPr>
            <w:tcW w:w="2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9"/>
              </w:rPr>
              <w:t>Other operating expenses</w:t>
            </w:r>
          </w:p>
        </w:tc>
        <w:tc>
          <w:tcPr>
            <w:tcW w:w="13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i w:val="1"/>
                <w:iCs w:val="1"/>
                <w:color w:val="auto"/>
              </w:rPr>
              <w:t>7</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(389,106)</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(8,796)</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(397,902)</w:t>
            </w:r>
          </w:p>
        </w:tc>
        <w:tc>
          <w:tcPr>
            <w:tcW w:w="14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(360,285)</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(365,527)</w:t>
            </w:r>
          </w:p>
        </w:tc>
        <w:tc>
          <w:tcPr>
            <w:tcW w:w="0" w:type="dxa"/>
            <w:vAlign w:val="bottom"/>
          </w:tcPr>
          <w:p>
            <w:pPr>
              <w:spacing w:after="0"/>
              <w:rPr>
                <w:sz w:val="1"/>
                <w:szCs w:val="1"/>
                <w:color w:val="auto"/>
              </w:rPr>
            </w:pPr>
          </w:p>
        </w:tc>
      </w:tr>
      <w:tr>
        <w:trPr>
          <w:trHeight w:val="212"/>
        </w:trPr>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300" w:type="dxa"/>
            <w:vAlign w:val="bottom"/>
          </w:tcPr>
          <w:p>
            <w:pPr>
              <w:spacing w:after="0"/>
              <w:rPr>
                <w:sz w:val="18"/>
                <w:szCs w:val="18"/>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211,254</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(8,796)</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202,458</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130,627</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121,594</w:t>
            </w: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Financing income</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i w:val="1"/>
                <w:iCs w:val="1"/>
                <w:color w:val="auto"/>
              </w:rPr>
              <w:t>3</w:t>
            </w: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1,151</w:t>
            </w:r>
          </w:p>
        </w:tc>
        <w:tc>
          <w:tcPr>
            <w:tcW w:w="13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1,151</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986</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9"/>
        </w:trPr>
        <w:tc>
          <w:tcPr>
            <w:tcW w:w="2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Financing expense</w:t>
            </w:r>
          </w:p>
        </w:tc>
        <w:tc>
          <w:tcPr>
            <w:tcW w:w="13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i w:val="1"/>
                <w:iCs w:val="1"/>
                <w:color w:val="auto"/>
              </w:rPr>
              <w:t>4</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(785)</w:t>
            </w:r>
          </w:p>
        </w:tc>
        <w:tc>
          <w:tcPr>
            <w:tcW w:w="134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w:t>
            </w:r>
          </w:p>
        </w:tc>
        <w:tc>
          <w:tcPr>
            <w:tcW w:w="14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(1,288)</w:t>
            </w:r>
          </w:p>
        </w:tc>
        <w:tc>
          <w:tcPr>
            <w:tcW w:w="124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i w:val="1"/>
                <w:iCs w:val="1"/>
                <w:color w:val="auto"/>
              </w:rPr>
              <w:t>2</w:t>
            </w:r>
          </w:p>
        </w:tc>
        <w:tc>
          <w:tcPr>
            <w:tcW w:w="12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211,620</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(8,796)</w:t>
            </w:r>
          </w:p>
        </w:tc>
        <w:tc>
          <w:tcPr>
            <w:tcW w:w="13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202,824</w:t>
            </w:r>
          </w:p>
        </w:tc>
        <w:tc>
          <w:tcPr>
            <w:tcW w:w="14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130,325</w:t>
            </w:r>
          </w:p>
        </w:tc>
        <w:tc>
          <w:tcPr>
            <w:tcW w:w="1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3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121,292</w:t>
            </w:r>
          </w:p>
        </w:tc>
        <w:tc>
          <w:tcPr>
            <w:tcW w:w="0" w:type="dxa"/>
            <w:vAlign w:val="bottom"/>
          </w:tcPr>
          <w:p>
            <w:pPr>
              <w:spacing w:after="0"/>
              <w:rPr>
                <w:sz w:val="1"/>
                <w:szCs w:val="1"/>
                <w:color w:val="auto"/>
              </w:rPr>
            </w:pPr>
          </w:p>
        </w:tc>
      </w:tr>
      <w:tr>
        <w:trPr>
          <w:trHeight w:val="219"/>
        </w:trPr>
        <w:tc>
          <w:tcPr>
            <w:tcW w:w="2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i w:val="1"/>
                <w:iCs w:val="1"/>
                <w:color w:val="auto"/>
              </w:rPr>
              <w:t>5</w:t>
            </w: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(27,798)</w:t>
            </w:r>
          </w:p>
        </w:tc>
        <w:tc>
          <w:tcPr>
            <w:tcW w:w="13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(27,798)</w:t>
            </w:r>
          </w:p>
        </w:tc>
        <w:tc>
          <w:tcPr>
            <w:tcW w:w="1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(16,084)</w:t>
            </w:r>
          </w:p>
        </w:tc>
        <w:tc>
          <w:tcPr>
            <w:tcW w:w="12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1,850</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6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Profit for the financial</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183,822</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(8,796)</w:t>
            </w:r>
          </w:p>
        </w:tc>
        <w:tc>
          <w:tcPr>
            <w:tcW w:w="13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175,026</w:t>
            </w: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114,241</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3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107,058</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60" w:type="dxa"/>
            <w:vAlign w:val="bottom"/>
          </w:tcPr>
          <w:p>
            <w:pPr>
              <w:jc w:val="right"/>
              <w:ind w:right="132"/>
              <w:spacing w:after="0" w:line="194" w:lineRule="exact"/>
              <w:rPr>
                <w:sz w:val="20"/>
                <w:szCs w:val="20"/>
                <w:color w:val="auto"/>
              </w:rPr>
            </w:pPr>
            <w:r>
              <w:rPr>
                <w:rFonts w:ascii="Times New Roman" w:cs="Times New Roman" w:eastAsia="Times New Roman" w:hAnsi="Times New Roman"/>
                <w:sz w:val="18"/>
                <w:szCs w:val="18"/>
                <w:color w:val="auto"/>
              </w:rPr>
              <w:t>Equity holders of the</w:t>
            </w:r>
          </w:p>
        </w:tc>
        <w:tc>
          <w:tcPr>
            <w:tcW w:w="130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i w:val="1"/>
                <w:iCs w:val="1"/>
                <w:color w:val="auto"/>
              </w:rPr>
              <w:t>24</w:t>
            </w:r>
          </w:p>
        </w:tc>
        <w:tc>
          <w:tcPr>
            <w:tcW w:w="12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183,822</w:t>
            </w:r>
          </w:p>
        </w:tc>
        <w:tc>
          <w:tcPr>
            <w:tcW w:w="13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(8,796)</w:t>
            </w:r>
          </w:p>
        </w:tc>
        <w:tc>
          <w:tcPr>
            <w:tcW w:w="136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175,026</w:t>
            </w:r>
          </w:p>
        </w:tc>
        <w:tc>
          <w:tcPr>
            <w:tcW w:w="14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Company</w:t>
            </w:r>
          </w:p>
        </w:tc>
        <w:tc>
          <w:tcPr>
            <w:tcW w:w="130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right w:val="single" w:sz="8" w:color="auto"/>
            </w:tcBorders>
            <w:vMerge w:val="continue"/>
          </w:tcPr>
          <w:p>
            <w:pPr>
              <w:spacing w:after="0"/>
              <w:rPr>
                <w:sz w:val="20"/>
                <w:szCs w:val="20"/>
                <w:color w:val="auto"/>
              </w:rPr>
            </w:pPr>
          </w:p>
        </w:tc>
        <w:tc>
          <w:tcPr>
            <w:tcW w:w="1360" w:type="dxa"/>
            <w:vAlign w:val="bottom"/>
            <w:tcBorders>
              <w:bottom w:val="single" w:sz="8" w:color="auto"/>
              <w:right w:val="single" w:sz="8" w:color="auto"/>
            </w:tcBorders>
            <w:vMerge w:val="continue"/>
          </w:tcPr>
          <w:p>
            <w:pPr>
              <w:spacing w:after="0"/>
              <w:rPr>
                <w:sz w:val="20"/>
                <w:szCs w:val="20"/>
                <w:color w:val="auto"/>
              </w:rPr>
            </w:pP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114,241</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3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107,058</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Earnings per ordinary</w:t>
            </w:r>
          </w:p>
        </w:tc>
        <w:tc>
          <w:tcPr>
            <w:tcW w:w="1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340" w:type="dxa"/>
            <w:vAlign w:val="bottom"/>
            <w:tcBorders>
              <w:right w:val="single" w:sz="8" w:color="auto"/>
            </w:tcBorders>
            <w:shd w:val="clear" w:color="auto" w:fill="CCEEFF"/>
          </w:tcPr>
          <w:p>
            <w:pPr>
              <w:spacing w:after="0"/>
              <w:rPr>
                <w:sz w:val="16"/>
                <w:szCs w:val="16"/>
                <w:color w:val="auto"/>
              </w:rPr>
            </w:pPr>
          </w:p>
        </w:tc>
        <w:tc>
          <w:tcPr>
            <w:tcW w:w="1360" w:type="dxa"/>
            <w:vAlign w:val="bottom"/>
            <w:tcBorders>
              <w:right w:val="single" w:sz="8" w:color="auto"/>
            </w:tcBorders>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3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340" w:type="dxa"/>
            <w:vAlign w:val="bottom"/>
            <w:tcBorders>
              <w:right w:val="single" w:sz="8" w:color="auto"/>
            </w:tcBorders>
            <w:shd w:val="clear" w:color="auto" w:fill="CCEEFF"/>
          </w:tcPr>
          <w:p>
            <w:pPr>
              <w:spacing w:after="0"/>
              <w:rPr>
                <w:sz w:val="20"/>
                <w:szCs w:val="20"/>
                <w:color w:val="auto"/>
              </w:rPr>
            </w:pPr>
          </w:p>
        </w:tc>
        <w:tc>
          <w:tcPr>
            <w:tcW w:w="1360" w:type="dxa"/>
            <w:vAlign w:val="bottom"/>
            <w:tcBorders>
              <w:right w:val="single" w:sz="8" w:color="auto"/>
            </w:tcBorders>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40" w:type="dxa"/>
            <w:vAlign w:val="bottom"/>
            <w:tcBorders>
              <w:right w:val="single" w:sz="8" w:color="auto"/>
            </w:tcBorders>
            <w:shd w:val="clear" w:color="auto" w:fill="CCEEFF"/>
          </w:tcPr>
          <w:p>
            <w:pPr>
              <w:spacing w:after="0"/>
              <w:rPr>
                <w:sz w:val="20"/>
                <w:szCs w:val="20"/>
                <w:color w:val="auto"/>
              </w:rPr>
            </w:pPr>
          </w:p>
        </w:tc>
        <w:tc>
          <w:tcPr>
            <w:tcW w:w="136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Basic</w:t>
            </w: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i w:val="1"/>
                <w:iCs w:val="1"/>
                <w:color w:val="auto"/>
              </w:rPr>
              <w:t>6</w:t>
            </w: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2.85</w:t>
            </w: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Diluted</w:t>
            </w: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i w:val="1"/>
                <w:iCs w:val="1"/>
                <w:color w:val="auto"/>
              </w:rPr>
              <w:t>6</w:t>
            </w: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2.76</w:t>
            </w: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On behalf of the Board</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Declan McKeon</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Ciaran Murray</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7"/>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1"/>
          <w:szCs w:val="21"/>
          <w:color w:val="auto"/>
        </w:rPr>
        <w:t>Consolidated Statement of Comprehensive Income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for the year ended 31 December 2014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i w:val="1"/>
                <w:iCs w:val="1"/>
                <w:color w:val="auto"/>
              </w:rPr>
              <w:t>Note</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360" w:type="dxa"/>
            <w:vAlign w:val="bottom"/>
            <w:vMerge w:val="continue"/>
          </w:tcPr>
          <w:p>
            <w:pPr>
              <w:spacing w:after="0"/>
              <w:rPr>
                <w:sz w:val="18"/>
                <w:szCs w:val="18"/>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424"/>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Other Comprehensive Income</w:t>
            </w:r>
          </w:p>
        </w:tc>
        <w:tc>
          <w:tcPr>
            <w:tcW w:w="3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to profit or loss:</w:t>
            </w:r>
          </w:p>
        </w:tc>
        <w:tc>
          <w:tcPr>
            <w:tcW w:w="3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3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post-employment benefit obligations</w:t>
            </w:r>
          </w:p>
        </w:tc>
        <w:tc>
          <w:tcPr>
            <w:tcW w:w="3360" w:type="dxa"/>
            <w:vAlign w:val="bottom"/>
            <w:shd w:val="clear" w:color="auto" w:fill="CCEEFF"/>
          </w:tcPr>
          <w:p>
            <w:pPr>
              <w:jc w:val="center"/>
              <w:ind w:left="2372"/>
              <w:spacing w:after="0"/>
              <w:rPr>
                <w:sz w:val="20"/>
                <w:szCs w:val="20"/>
                <w:color w:val="auto"/>
              </w:rPr>
            </w:pPr>
            <w:r>
              <w:rPr>
                <w:rFonts w:ascii="Times New Roman" w:cs="Times New Roman" w:eastAsia="Times New Roman" w:hAnsi="Times New Roman"/>
                <w:sz w:val="18"/>
                <w:szCs w:val="18"/>
                <w:i w:val="1"/>
                <w:iCs w:val="1"/>
                <w:color w:val="auto"/>
              </w:rPr>
              <w:t>9</w:t>
            </w:r>
          </w:p>
        </w:tc>
        <w:tc>
          <w:tcPr>
            <w:tcW w:w="15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(3,850)</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9"/>
        </w:trPr>
        <w:tc>
          <w:tcPr>
            <w:tcW w:w="5320" w:type="dxa"/>
            <w:vAlign w:val="bottom"/>
            <w:gridSpan w:val="3"/>
          </w:tcPr>
          <w:p>
            <w:pPr>
              <w:spacing w:after="0"/>
              <w:rPr>
                <w:sz w:val="19"/>
                <w:szCs w:val="19"/>
                <w:color w:val="auto"/>
              </w:rPr>
            </w:pPr>
          </w:p>
        </w:tc>
        <w:tc>
          <w:tcPr>
            <w:tcW w:w="3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tcBorders>
              <w:top w:val="single" w:sz="8" w:color="auto"/>
            </w:tcBorders>
            <w:gridSpan w:val="2"/>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items that will not be reclassified to profit or loss</w:t>
            </w:r>
          </w:p>
        </w:tc>
        <w:tc>
          <w:tcPr>
            <w:tcW w:w="3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(3,850)</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gridSpan w:val="2"/>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Items that are or may be reclassified subsequently to profit or loss:</w:t>
            </w:r>
          </w:p>
        </w:tc>
        <w:tc>
          <w:tcPr>
            <w:tcW w:w="3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w w:val="97"/>
              </w:rPr>
              <w:t>Currency translation differences</w:t>
            </w:r>
          </w:p>
        </w:tc>
        <w:tc>
          <w:tcPr>
            <w:tcW w:w="3020" w:type="dxa"/>
            <w:vAlign w:val="bottom"/>
          </w:tcPr>
          <w:p>
            <w:pPr>
              <w:spacing w:after="0"/>
              <w:rPr>
                <w:sz w:val="18"/>
                <w:szCs w:val="18"/>
                <w:color w:val="auto"/>
              </w:rPr>
            </w:pPr>
          </w:p>
        </w:tc>
        <w:tc>
          <w:tcPr>
            <w:tcW w:w="3360" w:type="dxa"/>
            <w:vAlign w:val="bottom"/>
          </w:tcPr>
          <w:p>
            <w:pPr>
              <w:jc w:val="center"/>
              <w:ind w:left="2372"/>
              <w:spacing w:after="0"/>
              <w:rPr>
                <w:sz w:val="20"/>
                <w:szCs w:val="20"/>
                <w:color w:val="auto"/>
              </w:rPr>
            </w:pPr>
            <w:r>
              <w:rPr>
                <w:rFonts w:ascii="Times New Roman" w:cs="Times New Roman" w:eastAsia="Times New Roman" w:hAnsi="Times New Roman"/>
                <w:sz w:val="18"/>
                <w:szCs w:val="18"/>
                <w:i w:val="1"/>
                <w:iCs w:val="1"/>
                <w:color w:val="auto"/>
                <w:w w:val="99"/>
              </w:rPr>
              <w:t>24</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(45,038)</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10,725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gridSpan w:val="2"/>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 impact on long-term intercompany funding</w:t>
            </w:r>
          </w:p>
        </w:tc>
        <w:tc>
          <w:tcPr>
            <w:tcW w:w="3360" w:type="dxa"/>
            <w:vAlign w:val="bottom"/>
          </w:tcPr>
          <w:p>
            <w:pPr>
              <w:jc w:val="center"/>
              <w:ind w:left="2372"/>
              <w:spacing w:after="0"/>
              <w:rPr>
                <w:sz w:val="20"/>
                <w:szCs w:val="20"/>
                <w:color w:val="auto"/>
              </w:rPr>
            </w:pPr>
            <w:r>
              <w:rPr>
                <w:rFonts w:ascii="Times New Roman" w:cs="Times New Roman" w:eastAsia="Times New Roman" w:hAnsi="Times New Roman"/>
                <w:sz w:val="18"/>
                <w:szCs w:val="18"/>
                <w:i w:val="1"/>
                <w:iCs w:val="1"/>
                <w:color w:val="auto"/>
                <w:w w:val="99"/>
              </w:rPr>
              <w:t>24</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9,806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gridSpan w:val="2"/>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on currency impact on long-term funding</w:t>
            </w:r>
          </w:p>
        </w:tc>
        <w:tc>
          <w:tcPr>
            <w:tcW w:w="3360" w:type="dxa"/>
            <w:vAlign w:val="bottom"/>
          </w:tcPr>
          <w:p>
            <w:pPr>
              <w:jc w:val="center"/>
              <w:ind w:left="2372"/>
              <w:spacing w:after="0"/>
              <w:rPr>
                <w:sz w:val="20"/>
                <w:szCs w:val="20"/>
                <w:color w:val="auto"/>
              </w:rPr>
            </w:pPr>
            <w:r>
              <w:rPr>
                <w:rFonts w:ascii="Times New Roman" w:cs="Times New Roman" w:eastAsia="Times New Roman" w:hAnsi="Times New Roman"/>
                <w:sz w:val="18"/>
                <w:szCs w:val="18"/>
                <w:i w:val="1"/>
                <w:iCs w:val="1"/>
                <w:color w:val="auto"/>
                <w:w w:val="99"/>
              </w:rPr>
              <w:t>24</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(178)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gridSpan w:val="2"/>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Unrealised capital gain/(loss) on investments</w:t>
            </w:r>
          </w:p>
        </w:tc>
        <w:tc>
          <w:tcPr>
            <w:tcW w:w="3360" w:type="dxa"/>
            <w:vAlign w:val="bottom"/>
          </w:tcPr>
          <w:p>
            <w:pPr>
              <w:jc w:val="center"/>
              <w:ind w:left="2372"/>
              <w:spacing w:after="0"/>
              <w:rPr>
                <w:sz w:val="20"/>
                <w:szCs w:val="20"/>
                <w:color w:val="auto"/>
              </w:rPr>
            </w:pPr>
            <w:r>
              <w:rPr>
                <w:rFonts w:ascii="Times New Roman" w:cs="Times New Roman" w:eastAsia="Times New Roman" w:hAnsi="Times New Roman"/>
                <w:sz w:val="18"/>
                <w:szCs w:val="18"/>
                <w:i w:val="1"/>
                <w:iCs w:val="1"/>
                <w:color w:val="auto"/>
                <w:w w:val="99"/>
              </w:rPr>
              <w:t>24</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Borders>
              <w:bottom w:val="single" w:sz="8" w:color="auto"/>
            </w:tcBorders>
            <w:gridSpan w:val="2"/>
            <w:shd w:val="clear" w:color="auto" w:fill="CCEEFF"/>
          </w:tcPr>
          <w:p>
            <w:pPr>
              <w:spacing w:after="0"/>
              <w:rPr>
                <w:sz w:val="19"/>
                <w:szCs w:val="19"/>
                <w:color w:val="auto"/>
              </w:rPr>
            </w:pPr>
          </w:p>
        </w:tc>
        <w:tc>
          <w:tcPr>
            <w:tcW w:w="3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3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items that are or may be reclassified to profit or loss</w:t>
            </w:r>
          </w:p>
        </w:tc>
        <w:tc>
          <w:tcPr>
            <w:tcW w:w="3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(35,390)</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9,353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3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(loss)/income for the year, net of tax</w:t>
            </w:r>
          </w:p>
        </w:tc>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(39,240)</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10,792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financial year</w:t>
            </w:r>
          </w:p>
        </w:tc>
        <w:tc>
          <w:tcPr>
            <w:tcW w:w="3020" w:type="dxa"/>
            <w:vAlign w:val="bottom"/>
            <w:tcBorders>
              <w:bottom w:val="single" w:sz="8" w:color="auto"/>
            </w:tcBorders>
            <w:shd w:val="clear" w:color="auto" w:fill="CCEEFF"/>
          </w:tcPr>
          <w:p>
            <w:pPr>
              <w:spacing w:after="0"/>
              <w:rPr>
                <w:sz w:val="19"/>
                <w:szCs w:val="19"/>
                <w:color w:val="auto"/>
              </w:rPr>
            </w:pPr>
          </w:p>
        </w:tc>
        <w:tc>
          <w:tcPr>
            <w:tcW w:w="3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175,026</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107,058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3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for the financial year</w:t>
            </w:r>
          </w:p>
        </w:tc>
        <w:tc>
          <w:tcPr>
            <w:tcW w:w="33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135,786</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117,850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302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Equity holders of the Company</w:t>
            </w:r>
          </w:p>
        </w:tc>
        <w:tc>
          <w:tcPr>
            <w:tcW w:w="30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135,786</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117,850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5300" w:type="dxa"/>
            <w:vAlign w:val="bottom"/>
            <w:gridSpan w:val="2"/>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financial year</w:t>
            </w:r>
          </w:p>
        </w:tc>
        <w:tc>
          <w:tcPr>
            <w:tcW w:w="3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135,786</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117,850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On behalf of the Board</w:t>
            </w:r>
          </w:p>
        </w:tc>
        <w:tc>
          <w:tcPr>
            <w:tcW w:w="3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Declan McKeon</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Ciaran Murray</w:t>
            </w:r>
          </w:p>
        </w:tc>
        <w:tc>
          <w:tcPr>
            <w:tcW w:w="3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60" w:type="dxa"/>
            <w:vAlign w:val="bottom"/>
          </w:tcPr>
          <w:p>
            <w:pPr>
              <w:jc w:val="right"/>
              <w:ind w:right="2792"/>
              <w:spacing w:after="0"/>
              <w:rPr>
                <w:sz w:val="20"/>
                <w:szCs w:val="20"/>
                <w:color w:val="auto"/>
              </w:rPr>
            </w:pPr>
            <w:r>
              <w:rPr>
                <w:rFonts w:ascii="Times New Roman" w:cs="Times New Roman" w:eastAsia="Times New Roman" w:hAnsi="Times New Roman"/>
                <w:sz w:val="18"/>
                <w:szCs w:val="18"/>
                <w:color w:val="auto"/>
              </w:rPr>
              <w:t>27</w:t>
            </w: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1"/>
          <w:szCs w:val="21"/>
          <w:color w:val="auto"/>
        </w:rPr>
        <w:t>Consolidated Statement of Financial Position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0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i w:val="1"/>
                <w:iCs w:val="1"/>
                <w:color w:val="auto"/>
              </w:rPr>
              <w:t>Note</w:t>
            </w: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3"/>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Property, plant and equipment</w:t>
            </w: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jc w:val="center"/>
              <w:ind w:left="3232"/>
              <w:spacing w:after="0"/>
              <w:rPr>
                <w:sz w:val="20"/>
                <w:szCs w:val="20"/>
                <w:color w:val="auto"/>
              </w:rPr>
            </w:pPr>
            <w:r>
              <w:rPr>
                <w:rFonts w:ascii="Times New Roman" w:cs="Times New Roman" w:eastAsia="Times New Roman" w:hAnsi="Times New Roman"/>
                <w:sz w:val="18"/>
                <w:szCs w:val="18"/>
                <w:i w:val="1"/>
                <w:iCs w:val="1"/>
                <w:color w:val="auto"/>
                <w:w w:val="88"/>
              </w:rPr>
              <w:t>11</w:t>
            </w:r>
          </w:p>
        </w:tc>
        <w:tc>
          <w:tcPr>
            <w:tcW w:w="15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109,829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 goodwill and other</w:t>
            </w:r>
          </w:p>
        </w:tc>
        <w:tc>
          <w:tcPr>
            <w:tcW w:w="4200" w:type="dxa"/>
            <w:vAlign w:val="bottom"/>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12</w:t>
            </w: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565,408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16</w:t>
            </w:r>
          </w:p>
        </w:tc>
        <w:tc>
          <w:tcPr>
            <w:tcW w:w="15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17,089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6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rPr>
              <w:t>5</w:t>
            </w:r>
          </w:p>
        </w:tc>
        <w:tc>
          <w:tcPr>
            <w:tcW w:w="15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45,728</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60" w:type="dxa"/>
            <w:vAlign w:val="bottom"/>
            <w:tcBorders>
              <w:bottom w:val="single" w:sz="8" w:color="auto"/>
            </w:tcBorders>
            <w:shd w:val="clear" w:color="auto" w:fill="CCEEFF"/>
          </w:tcPr>
          <w:p>
            <w:pPr>
              <w:spacing w:after="0"/>
              <w:rPr>
                <w:sz w:val="19"/>
                <w:szCs w:val="19"/>
                <w:color w:val="auto"/>
              </w:rPr>
            </w:pPr>
          </w:p>
        </w:tc>
        <w:tc>
          <w:tcPr>
            <w:tcW w:w="4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738,054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60" w:type="dxa"/>
            <w:vAlign w:val="bottom"/>
          </w:tcPr>
          <w:p>
            <w:pPr>
              <w:spacing w:after="0"/>
              <w:rPr>
                <w:sz w:val="18"/>
                <w:szCs w:val="18"/>
                <w:color w:val="auto"/>
              </w:rPr>
            </w:pPr>
          </w:p>
        </w:tc>
        <w:tc>
          <w:tcPr>
            <w:tcW w:w="4200" w:type="dxa"/>
            <w:vAlign w:val="bottom"/>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14</w:t>
            </w: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1,664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15</w:t>
            </w:r>
          </w:p>
        </w:tc>
        <w:tc>
          <w:tcPr>
            <w:tcW w:w="15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370,956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2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146,163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16</w:t>
            </w:r>
          </w:p>
        </w:tc>
        <w:tc>
          <w:tcPr>
            <w:tcW w:w="15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38,786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Current taxes receivable</w:t>
            </w:r>
          </w:p>
        </w:tc>
        <w:tc>
          <w:tcPr>
            <w:tcW w:w="2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30,776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 investments</w:t>
            </w: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15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97,100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6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18</w:t>
            </w:r>
          </w:p>
        </w:tc>
        <w:tc>
          <w:tcPr>
            <w:tcW w:w="15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118,900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60" w:type="dxa"/>
            <w:vAlign w:val="bottom"/>
            <w:tcBorders>
              <w:bottom w:val="single" w:sz="8" w:color="auto"/>
            </w:tcBorders>
            <w:shd w:val="clear" w:color="auto" w:fill="CCEEFF"/>
          </w:tcPr>
          <w:p>
            <w:pPr>
              <w:spacing w:after="0"/>
              <w:rPr>
                <w:sz w:val="19"/>
                <w:szCs w:val="19"/>
                <w:color w:val="auto"/>
              </w:rPr>
            </w:pPr>
          </w:p>
        </w:tc>
        <w:tc>
          <w:tcPr>
            <w:tcW w:w="4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804,345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60" w:type="dxa"/>
            <w:vAlign w:val="bottom"/>
            <w:tcBorders>
              <w:bottom w:val="single" w:sz="8" w:color="auto"/>
            </w:tcBorders>
            <w:shd w:val="clear" w:color="auto" w:fill="CCEEFF"/>
          </w:tcPr>
          <w:p>
            <w:pPr>
              <w:spacing w:after="0"/>
              <w:rPr>
                <w:sz w:val="21"/>
                <w:szCs w:val="21"/>
                <w:color w:val="auto"/>
              </w:rPr>
            </w:pPr>
          </w:p>
        </w:tc>
        <w:tc>
          <w:tcPr>
            <w:tcW w:w="4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1,542,399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260" w:type="dxa"/>
            <w:vAlign w:val="bottom"/>
          </w:tcPr>
          <w:p>
            <w:pPr>
              <w:spacing w:after="0"/>
              <w:rPr>
                <w:sz w:val="18"/>
                <w:szCs w:val="18"/>
                <w:color w:val="auto"/>
              </w:rPr>
            </w:pPr>
          </w:p>
        </w:tc>
        <w:tc>
          <w:tcPr>
            <w:tcW w:w="4200" w:type="dxa"/>
            <w:vAlign w:val="bottom"/>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23</w:t>
            </w: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5,037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221,965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 reserve</w:t>
            </w:r>
          </w:p>
        </w:tc>
        <w:tc>
          <w:tcPr>
            <w:tcW w:w="2260" w:type="dxa"/>
            <w:vAlign w:val="bottom"/>
          </w:tcPr>
          <w:p>
            <w:pPr>
              <w:spacing w:after="0"/>
              <w:rPr>
                <w:sz w:val="18"/>
                <w:szCs w:val="18"/>
                <w:color w:val="auto"/>
              </w:rPr>
            </w:pPr>
          </w:p>
        </w:tc>
        <w:tc>
          <w:tcPr>
            <w:tcW w:w="4200" w:type="dxa"/>
            <w:vAlign w:val="bottom"/>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24</w:t>
            </w: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70,178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redemption reserve</w:t>
            </w: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24</w:t>
            </w:r>
          </w:p>
        </w:tc>
        <w:tc>
          <w:tcPr>
            <w:tcW w:w="15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305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2260" w:type="dxa"/>
            <w:vAlign w:val="bottom"/>
          </w:tcPr>
          <w:p>
            <w:pPr>
              <w:spacing w:after="0"/>
              <w:rPr>
                <w:sz w:val="18"/>
                <w:szCs w:val="18"/>
                <w:color w:val="auto"/>
              </w:rPr>
            </w:pPr>
          </w:p>
        </w:tc>
        <w:tc>
          <w:tcPr>
            <w:tcW w:w="4200" w:type="dxa"/>
            <w:vAlign w:val="bottom"/>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24</w:t>
            </w: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6,741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4200" w:type="dxa"/>
            <w:vAlign w:val="bottom"/>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24</w:t>
            </w:r>
          </w:p>
        </w:tc>
        <w:tc>
          <w:tcPr>
            <w:tcW w:w="15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(31,205)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 investment - fair value reserve</w:t>
            </w:r>
          </w:p>
        </w:tc>
        <w:tc>
          <w:tcPr>
            <w:tcW w:w="4200" w:type="dxa"/>
            <w:vAlign w:val="bottom"/>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24</w:t>
            </w: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60" w:type="dxa"/>
            <w:vAlign w:val="bottom"/>
            <w:tcBorders>
              <w:bottom w:val="single" w:sz="8" w:color="auto"/>
            </w:tcBorders>
            <w:shd w:val="clear" w:color="auto" w:fill="CCEEFF"/>
          </w:tcPr>
          <w:p>
            <w:pPr>
              <w:spacing w:after="0"/>
              <w:rPr>
                <w:sz w:val="19"/>
                <w:szCs w:val="19"/>
                <w:color w:val="auto"/>
              </w:rPr>
            </w:pPr>
          </w:p>
        </w:tc>
        <w:tc>
          <w:tcPr>
            <w:tcW w:w="4200" w:type="dxa"/>
            <w:vAlign w:val="bottom"/>
            <w:tcBorders>
              <w:bottom w:val="single" w:sz="8" w:color="auto"/>
            </w:tcBorders>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24</w:t>
            </w:r>
          </w:p>
        </w:tc>
        <w:tc>
          <w:tcPr>
            <w:tcW w:w="15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700,154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 attributable to equity holders</w:t>
            </w:r>
          </w:p>
        </w:tc>
        <w:tc>
          <w:tcPr>
            <w:tcW w:w="4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973,195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929,550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2260" w:type="dxa"/>
            <w:vAlign w:val="bottom"/>
          </w:tcPr>
          <w:p>
            <w:pPr>
              <w:spacing w:after="0"/>
              <w:rPr>
                <w:sz w:val="18"/>
                <w:szCs w:val="18"/>
                <w:color w:val="auto"/>
              </w:rPr>
            </w:pPr>
          </w:p>
        </w:tc>
        <w:tc>
          <w:tcPr>
            <w:tcW w:w="4200" w:type="dxa"/>
            <w:vAlign w:val="bottom"/>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19</w:t>
            </w: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14,295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60" w:type="dxa"/>
            <w:vAlign w:val="bottom"/>
            <w:tcBorders>
              <w:bottom w:val="single" w:sz="8" w:color="auto"/>
            </w:tcBorders>
            <w:shd w:val="clear" w:color="auto" w:fill="CCEEFF"/>
          </w:tcPr>
          <w:p>
            <w:pPr>
              <w:spacing w:after="0"/>
              <w:rPr>
                <w:sz w:val="19"/>
                <w:szCs w:val="19"/>
                <w:color w:val="auto"/>
              </w:rPr>
            </w:pPr>
          </w:p>
        </w:tc>
        <w:tc>
          <w:tcPr>
            <w:tcW w:w="4200" w:type="dxa"/>
            <w:vAlign w:val="bottom"/>
            <w:tcBorders>
              <w:bottom w:val="single" w:sz="8" w:color="auto"/>
            </w:tcBorders>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rPr>
              <w:t>5</w:t>
            </w:r>
          </w:p>
        </w:tc>
        <w:tc>
          <w:tcPr>
            <w:tcW w:w="15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4,387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6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18,682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2,795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account</w:t>
            </w:r>
          </w:p>
        </w:tc>
        <w:tc>
          <w:tcPr>
            <w:tcW w:w="2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280,097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19</w:t>
            </w:r>
          </w:p>
        </w:tc>
        <w:tc>
          <w:tcPr>
            <w:tcW w:w="15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247,388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260" w:type="dxa"/>
            <w:vAlign w:val="bottom"/>
          </w:tcPr>
          <w:p>
            <w:pPr>
              <w:spacing w:after="0"/>
              <w:rPr>
                <w:sz w:val="18"/>
                <w:szCs w:val="18"/>
                <w:color w:val="auto"/>
              </w:rPr>
            </w:pPr>
          </w:p>
        </w:tc>
        <w:tc>
          <w:tcPr>
            <w:tcW w:w="4200" w:type="dxa"/>
            <w:vAlign w:val="bottom"/>
          </w:tcPr>
          <w:p>
            <w:pPr>
              <w:jc w:val="center"/>
              <w:ind w:left="3212"/>
              <w:spacing w:after="0"/>
              <w:rPr>
                <w:sz w:val="20"/>
                <w:szCs w:val="20"/>
                <w:color w:val="auto"/>
              </w:rPr>
            </w:pPr>
            <w:r>
              <w:rPr>
                <w:rFonts w:ascii="Times New Roman" w:cs="Times New Roman" w:eastAsia="Times New Roman" w:hAnsi="Times New Roman"/>
                <w:sz w:val="18"/>
                <w:szCs w:val="18"/>
                <w:i w:val="1"/>
                <w:iCs w:val="1"/>
                <w:color w:val="auto"/>
                <w:w w:val="99"/>
              </w:rPr>
              <w:t>20</w:t>
            </w: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3,704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payable</w:t>
            </w:r>
          </w:p>
        </w:tc>
        <w:tc>
          <w:tcPr>
            <w:tcW w:w="2260" w:type="dxa"/>
            <w:vAlign w:val="bottom"/>
            <w:tcBorders>
              <w:bottom w:val="single" w:sz="8" w:color="auto"/>
            </w:tcBorders>
            <w:shd w:val="clear" w:color="auto" w:fill="CCEEFF"/>
          </w:tcPr>
          <w:p>
            <w:pPr>
              <w:spacing w:after="0"/>
              <w:rPr>
                <w:sz w:val="19"/>
                <w:szCs w:val="19"/>
                <w:color w:val="auto"/>
              </w:rPr>
            </w:pPr>
          </w:p>
        </w:tc>
        <w:tc>
          <w:tcPr>
            <w:tcW w:w="4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16,538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6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550,522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0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19"/>
                <w:szCs w:val="19"/>
                <w:color w:val="auto"/>
              </w:rPr>
            </w:pPr>
          </w:p>
        </w:tc>
        <w:tc>
          <w:tcPr>
            <w:tcW w:w="4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6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569,204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26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1,542,399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1,450,741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On behalf of the Board</w:t>
            </w:r>
          </w:p>
        </w:tc>
        <w:tc>
          <w:tcPr>
            <w:tcW w:w="22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Declan McKeon</w:t>
            </w:r>
          </w:p>
        </w:tc>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Ciaran Murray</w:t>
            </w:r>
          </w:p>
        </w:tc>
        <w:tc>
          <w:tcPr>
            <w:tcW w:w="4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4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00" w:type="dxa"/>
            <w:vAlign w:val="bottom"/>
          </w:tcPr>
          <w:p>
            <w:pPr>
              <w:jc w:val="right"/>
              <w:ind w:right="2792"/>
              <w:spacing w:after="0"/>
              <w:rPr>
                <w:sz w:val="20"/>
                <w:szCs w:val="20"/>
                <w:color w:val="auto"/>
              </w:rPr>
            </w:pPr>
            <w:r>
              <w:rPr>
                <w:rFonts w:ascii="Times New Roman" w:cs="Times New Roman" w:eastAsia="Times New Roman" w:hAnsi="Times New Roman"/>
                <w:sz w:val="18"/>
                <w:szCs w:val="18"/>
                <w:color w:val="auto"/>
              </w:rPr>
              <w:t>28</w:t>
            </w: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color w:val="auto"/>
        </w:rPr>
        <w:t>Consolidated Statement of Changes in Equity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Asset</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Based</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$’000</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 January 2014</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61,587,257</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5,168</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199,785</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100</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52,407</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8,068</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4,205</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659,817</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929,550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2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Total comprehensive</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for the year:</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175,026</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175,026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2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Other Comprehensive</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(45,038)</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Currency impact on long-</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funding</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9,806</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9,806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Tax on currency impact of</w:t>
            </w:r>
          </w:p>
        </w:tc>
        <w:tc>
          <w:tcPr>
            <w:tcW w:w="10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funding</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Unrealised capital loss on</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(3,850)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Total other comprehensive</w:t>
            </w:r>
          </w:p>
        </w:tc>
        <w:tc>
          <w:tcPr>
            <w:tcW w:w="10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(35,410)</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(3,850)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Total comprehensive income</w:t>
            </w:r>
          </w:p>
        </w:tc>
        <w:tc>
          <w:tcPr>
            <w:tcW w:w="10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(35,410)</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171,176</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135,786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2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Transactions with owners,</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recorded directly in equity</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22,727</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22,727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926,407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22,182</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22,256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Issue of Restricted Share</w:t>
            </w:r>
          </w:p>
        </w:tc>
        <w:tc>
          <w:tcPr>
            <w:tcW w:w="10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233,726</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Share issue costs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Repurchase of ordinary</w:t>
            </w:r>
          </w:p>
        </w:tc>
        <w:tc>
          <w:tcPr>
            <w:tcW w:w="10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(2,640,610)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(140,030)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Share repurchase costs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Tax benefit excess on</w:t>
            </w:r>
          </w:p>
        </w:tc>
        <w:tc>
          <w:tcPr>
            <w:tcW w:w="10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2,404</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Deferred tax movement on</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unexercised options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1,536</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Transfer of exercised and</w:t>
            </w:r>
          </w:p>
        </w:tc>
        <w:tc>
          <w:tcPr>
            <w:tcW w:w="10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share–based awards</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8,896</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Non-distributable reserves</w:t>
            </w: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1,327</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Total contributions by and</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to owners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(1,480,477)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22,180</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17,771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(130,839)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Total transactions with</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(1,480,477)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22,180</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17,771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(130,839)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2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Balance at 31 December</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60,106,780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5,037</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221,965</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305</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70,178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6,741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(31,205)</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700,154</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973,195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1"/>
          <w:szCs w:val="21"/>
          <w:color w:val="auto"/>
        </w:rPr>
        <w:t>Consolidated Statement of Changes in Equity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Asset</w:t>
            </w: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Based</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9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$’000</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 January 2013</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60,287,498</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5,067</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172,963</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100</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45,179</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7,988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(5,387)</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239</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540,292</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766,441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Total comprehensive</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for the year:</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107,058</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107,058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Other Comprehensive</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10,725</w:t>
            </w: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Currency impact on long-</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funding</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Tax on currency impact of</w:t>
            </w: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funding</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Unrealised capital loss on</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1,439</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Total other comprehensive</w:t>
            </w: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9,592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1,439</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10,792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Total comprehensive income</w:t>
            </w: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9,592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108,497</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117,850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Transactions with owners,</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recorded directly in equity</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13,366</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1,249,759</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26,888</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26,989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Issue of Restricted Share</w:t>
            </w: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50,000</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Share issue costs</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Tax benefit excess on</w:t>
            </w: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1,651</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Deferred tax movement on</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unexercised options</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3,319</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Transfer of exercised and</w:t>
            </w:r>
          </w:p>
        </w:tc>
        <w:tc>
          <w:tcPr>
            <w:tcW w:w="10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share–based awards</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11,108</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Non-distributable reserves</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Total contributions by and</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to owners</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1,299,759</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26,822</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7,228</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11,028</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45,259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Total transactions with</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owners</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1,299,759</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26,822</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7,228</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11,028</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45,259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6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Balance at 31 December</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61,587,257</w:t>
            </w: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5,168</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199,785</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100</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52,407</w:t>
            </w: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8,068</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4,205</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659,817</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929,550</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Further details of the reserves above are detailed in note 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1"/>
          <w:szCs w:val="21"/>
          <w:color w:val="auto"/>
        </w:rPr>
        <w:t>Consolidated Statement of Cash Flows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54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i w:val="1"/>
                <w:iCs w:val="1"/>
                <w:color w:val="auto"/>
              </w:rPr>
              <w:t>Note</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financial year</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175,026</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107,058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generated from operating activities</w:t>
            </w:r>
          </w:p>
        </w:tc>
        <w:tc>
          <w:tcPr>
            <w:tcW w:w="1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248</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540" w:type="dxa"/>
            <w:vAlign w:val="bottom"/>
          </w:tcPr>
          <w:p>
            <w:pPr>
              <w:jc w:val="right"/>
              <w:ind w:right="332"/>
              <w:spacing w:after="0"/>
              <w:rPr>
                <w:sz w:val="20"/>
                <w:szCs w:val="20"/>
                <w:color w:val="auto"/>
              </w:rPr>
            </w:pPr>
            <w:r>
              <w:rPr>
                <w:rFonts w:ascii="Times New Roman" w:cs="Times New Roman" w:eastAsia="Times New Roman" w:hAnsi="Times New Roman"/>
                <w:sz w:val="18"/>
                <w:szCs w:val="18"/>
                <w:i w:val="1"/>
                <w:iCs w:val="1"/>
                <w:color w:val="auto"/>
              </w:rPr>
              <w:t>11</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23,138</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24,196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of intangible assets</w:t>
            </w:r>
          </w:p>
        </w:tc>
        <w:tc>
          <w:tcPr>
            <w:tcW w:w="1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i w:val="1"/>
                <w:iCs w:val="1"/>
                <w:color w:val="auto"/>
              </w:rPr>
              <w:t>12</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29,404</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Amortisation of grants</w:t>
            </w:r>
          </w:p>
        </w:tc>
        <w:tc>
          <w:tcPr>
            <w:tcW w:w="15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(213)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1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i w:val="1"/>
                <w:iCs w:val="1"/>
                <w:color w:val="auto"/>
              </w:rPr>
              <w:t>10</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22,359</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1540" w:type="dxa"/>
            <w:vAlign w:val="bottom"/>
          </w:tcPr>
          <w:p>
            <w:pPr>
              <w:jc w:val="right"/>
              <w:ind w:right="332"/>
              <w:spacing w:after="0"/>
              <w:rPr>
                <w:sz w:val="20"/>
                <w:szCs w:val="20"/>
                <w:color w:val="auto"/>
              </w:rPr>
            </w:pPr>
            <w:r>
              <w:rPr>
                <w:rFonts w:ascii="Times New Roman" w:cs="Times New Roman" w:eastAsia="Times New Roman" w:hAnsi="Times New Roman"/>
                <w:sz w:val="18"/>
                <w:szCs w:val="18"/>
                <w:i w:val="1"/>
                <w:iCs w:val="1"/>
                <w:color w:val="auto"/>
              </w:rPr>
              <w:t>3</w:t>
            </w: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(1,151)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expense</w:t>
            </w:r>
          </w:p>
        </w:tc>
        <w:tc>
          <w:tcPr>
            <w:tcW w:w="1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i w:val="1"/>
                <w:iCs w:val="1"/>
                <w:color w:val="auto"/>
              </w:rPr>
              <w:t>4</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785</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pension service costs</w:t>
            </w:r>
          </w:p>
        </w:tc>
        <w:tc>
          <w:tcPr>
            <w:tcW w:w="1540" w:type="dxa"/>
            <w:vAlign w:val="bottom"/>
          </w:tcPr>
          <w:p>
            <w:pPr>
              <w:jc w:val="right"/>
              <w:ind w:right="332"/>
              <w:spacing w:after="0"/>
              <w:rPr>
                <w:sz w:val="20"/>
                <w:szCs w:val="20"/>
                <w:color w:val="auto"/>
              </w:rPr>
            </w:pPr>
            <w:r>
              <w:rPr>
                <w:rFonts w:ascii="Times New Roman" w:cs="Times New Roman" w:eastAsia="Times New Roman" w:hAnsi="Times New Roman"/>
                <w:sz w:val="18"/>
                <w:szCs w:val="18"/>
                <w:i w:val="1"/>
                <w:iCs w:val="1"/>
                <w:color w:val="auto"/>
              </w:rPr>
              <w:t>9</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91</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pension finance costs</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231</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past service cost</w:t>
            </w:r>
          </w:p>
        </w:tc>
        <w:tc>
          <w:tcPr>
            <w:tcW w:w="1540" w:type="dxa"/>
            <w:vAlign w:val="bottom"/>
          </w:tcPr>
          <w:p>
            <w:pPr>
              <w:spacing w:after="0"/>
              <w:rPr>
                <w:sz w:val="18"/>
                <w:szCs w:val="18"/>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359</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i w:val="1"/>
                <w:iCs w:val="1"/>
                <w:color w:val="auto"/>
              </w:rPr>
              <w:t>5</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27,798</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cash inflow before changes in working capital</w:t>
            </w:r>
          </w:p>
        </w:tc>
        <w:tc>
          <w:tcPr>
            <w:tcW w:w="1540" w:type="dxa"/>
            <w:vAlign w:val="bottom"/>
          </w:tcPr>
          <w:p>
            <w:pPr>
              <w:spacing w:after="0"/>
              <w:rPr>
                <w:sz w:val="18"/>
                <w:szCs w:val="18"/>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278,075</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182,595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15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(7,032)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unbilled revenue</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(13,671)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5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(8,367)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other non current assets</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(2,264)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inventory</w:t>
            </w:r>
          </w:p>
        </w:tc>
        <w:tc>
          <w:tcPr>
            <w:tcW w:w="1540" w:type="dxa"/>
            <w:vAlign w:val="bottom"/>
          </w:tcPr>
          <w:p>
            <w:pPr>
              <w:spacing w:after="0"/>
              <w:rPr>
                <w:sz w:val="18"/>
                <w:szCs w:val="18"/>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534</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(11,006)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(Decrease)/increase in payments on account</w:t>
            </w:r>
          </w:p>
        </w:tc>
        <w:tc>
          <w:tcPr>
            <w:tcW w:w="15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(47,548)</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76,066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accrued and other liabilities and provisions</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(5,293)</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in non current other liabilities and provisions</w:t>
            </w:r>
          </w:p>
        </w:tc>
        <w:tc>
          <w:tcPr>
            <w:tcW w:w="1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988</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operations</w:t>
            </w:r>
          </w:p>
        </w:tc>
        <w:tc>
          <w:tcPr>
            <w:tcW w:w="15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184,416</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233,208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5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(17,829)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 defined benefit pension scheme</w:t>
            </w:r>
          </w:p>
        </w:tc>
        <w:tc>
          <w:tcPr>
            <w:tcW w:w="1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i w:val="1"/>
                <w:iCs w:val="1"/>
                <w:color w:val="auto"/>
              </w:rPr>
              <w:t>9</w:t>
            </w:r>
          </w:p>
        </w:tc>
        <w:tc>
          <w:tcPr>
            <w:tcW w:w="15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(155)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540" w:type="dxa"/>
            <w:vAlign w:val="bottom"/>
          </w:tcPr>
          <w:p>
            <w:pPr>
              <w:spacing w:after="0"/>
              <w:rPr>
                <w:sz w:val="18"/>
                <w:szCs w:val="18"/>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4,050</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(533)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Receipt of government grants</w:t>
            </w:r>
          </w:p>
        </w:tc>
        <w:tc>
          <w:tcPr>
            <w:tcW w:w="1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inflow from operating activities</w:t>
            </w:r>
          </w:p>
        </w:tc>
        <w:tc>
          <w:tcPr>
            <w:tcW w:w="15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169,949</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221,452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(18,798)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5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(13,982)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subsidiary undertakings</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(124,301)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 with subsidiary undertakings</w:t>
            </w:r>
          </w:p>
        </w:tc>
        <w:tc>
          <w:tcPr>
            <w:tcW w:w="1540" w:type="dxa"/>
            <w:vAlign w:val="bottom"/>
          </w:tcPr>
          <w:p>
            <w:pPr>
              <w:spacing w:after="0"/>
              <w:rPr>
                <w:sz w:val="18"/>
                <w:szCs w:val="18"/>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3,527</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current asset investments</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102,565</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109,795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 of current asset investments</w:t>
            </w:r>
          </w:p>
        </w:tc>
        <w:tc>
          <w:tcPr>
            <w:tcW w:w="1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(61,328)</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(172,168)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5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(112,317)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from the exercise of share options</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2,404</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540" w:type="dxa"/>
            <w:vAlign w:val="bottom"/>
          </w:tcPr>
          <w:p>
            <w:pPr>
              <w:spacing w:after="0"/>
              <w:rPr>
                <w:sz w:val="18"/>
                <w:szCs w:val="18"/>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22,274</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5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(140,030)</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costs</w:t>
            </w:r>
          </w:p>
        </w:tc>
        <w:tc>
          <w:tcPr>
            <w:tcW w:w="15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(1,032)</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(116,404)</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28,574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15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(58,772)</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65,651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5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(4,847)</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start of year</w:t>
            </w:r>
          </w:p>
        </w:tc>
        <w:tc>
          <w:tcPr>
            <w:tcW w:w="15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182,519</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114,047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1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118,900</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182,519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7140" w:type="dxa"/>
            <w:vAlign w:val="bottom"/>
            <w:gridSpan w:val="2"/>
          </w:tcPr>
          <w:p>
            <w:pPr>
              <w:jc w:val="right"/>
              <w:ind w:right="1252"/>
              <w:spacing w:after="0"/>
              <w:rPr>
                <w:sz w:val="20"/>
                <w:szCs w:val="20"/>
                <w:color w:val="auto"/>
              </w:rPr>
            </w:pPr>
            <w:r>
              <w:rPr>
                <w:rFonts w:ascii="Times New Roman" w:cs="Times New Roman" w:eastAsia="Times New Roman" w:hAnsi="Times New Roman"/>
                <w:sz w:val="18"/>
                <w:szCs w:val="18"/>
                <w:color w:val="auto"/>
              </w:rPr>
              <w:t>31</w:t>
            </w: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1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color w:val="auto"/>
        </w:rPr>
        <w:t>Notes to Consolidated Financial Statements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Segmental information</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Group is a contract research organisation (“CRO”), providing outsourced development services on a global basis to the pharmaceutical, biotechnology and medical device industries. It specialises in the strategic development, management and analysis of programmes that support all stages of the clinical development process - from compound selection to Phase I-IV clinical studies. The Group has expanded predominately through internal growth, together with a number of strategic acquisitions to enhance its expertise and capabilities in certain areas of the clinical development process. The Group has the ability to conduct clinical trials in most major therapeutic areas on a global basis and has the operational flexibility to provide development services on a stand-alone basis or as part of an integrated “full service” solution. These services include clinical trials management, biometric activities, laboratory services, consulting, imaging, contract staffing, and informatics.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Group determines and presents operating segments in accordance with IFRS 8 </w:t>
      </w:r>
      <w:r>
        <w:rPr>
          <w:rFonts w:ascii="Times New Roman" w:cs="Times New Roman" w:eastAsia="Times New Roman" w:hAnsi="Times New Roman"/>
          <w:sz w:val="18"/>
          <w:szCs w:val="18"/>
          <w:i w:val="1"/>
          <w:iCs w:val="1"/>
          <w:color w:val="auto"/>
        </w:rPr>
        <w:t>Operating Segments</w:t>
      </w:r>
      <w:r>
        <w:rPr>
          <w:rFonts w:ascii="Times New Roman" w:cs="Times New Roman" w:eastAsia="Times New Roman" w:hAnsi="Times New Roman"/>
          <w:sz w:val="18"/>
          <w:szCs w:val="18"/>
          <w:color w:val="auto"/>
        </w:rPr>
        <w:t xml:space="preserve"> based on the information that internally is provided to the Chief Executive Officer (CEO), Chief Financial Officer (CFO) and Chief Operating Officer (COO) who together are considered the Group’s chief operating decision makers. The Group has determined that it has one operating segment - Clinical Research.</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117 to 120 of this report.</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areas of operation outside of Ireland include the United States, United Kingdom, France, Germany, Italy, Spain, The Netherlands, Sweden, Turkey, Poland, Czech Republic, Lithuania, Latvia, Russia, Ukraine, Hungary, Israel, Romania, Switzerland, Canada, Mexico, Brazil, Colombia, Argentina, Chile, Peru, India, China, South Korea, Japan, Thailand, Taiwan, Singapore, The Philippines, Australia, New Zealand, and South Africa.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 Segmental information</w:t>
            </w:r>
          </w:p>
        </w:tc>
        <w:tc>
          <w:tcPr>
            <w:tcW w:w="6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Geographical segment information</w:t>
            </w:r>
          </w:p>
        </w:tc>
        <w:tc>
          <w:tcPr>
            <w:tcW w:w="6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(EU IFRS)</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(EU IFRS)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8"/>
        </w:trPr>
        <w:tc>
          <w:tcPr>
            <w:tcW w:w="4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External revenue</w:t>
            </w:r>
          </w:p>
        </w:tc>
        <w:tc>
          <w:tcPr>
            <w:tcW w:w="6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2760" w:type="dxa"/>
            <w:vAlign w:val="bottom"/>
            <w:shd w:val="clear" w:color="auto" w:fill="CCEEFF"/>
          </w:tcPr>
          <w:p>
            <w:pPr>
              <w:spacing w:after="0"/>
              <w:rPr>
                <w:sz w:val="20"/>
                <w:szCs w:val="20"/>
                <w:color w:val="auto"/>
              </w:rPr>
            </w:pPr>
          </w:p>
        </w:tc>
        <w:tc>
          <w:tcPr>
            <w:tcW w:w="6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360,376</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272,683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6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372,634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333,543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605,815</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582,250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61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164,491</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147,582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1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1,503,316</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1,336,058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10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6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1. Segmental information </w:t>
            </w:r>
            <w:r>
              <w:rPr>
                <w:rFonts w:ascii="Times New Roman" w:cs="Times New Roman" w:eastAsia="Times New Roman" w:hAnsi="Times New Roman"/>
                <w:sz w:val="18"/>
                <w:szCs w:val="18"/>
                <w:b w:val="1"/>
                <w:bCs w:val="1"/>
                <w:i w:val="1"/>
                <w:iCs w:val="1"/>
                <w:color w:val="auto"/>
              </w:rPr>
              <w:t>(continued)</w:t>
            </w:r>
          </w:p>
        </w:tc>
        <w:tc>
          <w:tcPr>
            <w:tcW w:w="426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(EU IFRS)</w:t>
            </w:r>
          </w:p>
        </w:tc>
        <w:tc>
          <w:tcPr>
            <w:tcW w:w="12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(EU IFRS)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2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2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2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2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8"/>
        </w:trPr>
        <w:tc>
          <w:tcPr>
            <w:tcW w:w="59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4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4480" w:type="dxa"/>
            <w:vAlign w:val="bottom"/>
            <w:shd w:val="clear" w:color="auto" w:fill="CCEEFF"/>
          </w:tcPr>
          <w:p>
            <w:pPr>
              <w:spacing w:after="0"/>
              <w:rPr>
                <w:sz w:val="20"/>
                <w:szCs w:val="20"/>
                <w:color w:val="auto"/>
              </w:rPr>
            </w:pPr>
          </w:p>
        </w:tc>
        <w:tc>
          <w:tcPr>
            <w:tcW w:w="4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145,129</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165,902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42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132,307</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134,849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431,864</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276,197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42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28,754</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29,412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738,054</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606,360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customers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clients which represented 10% or more of the Group's net revenue in each of the periods set out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4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4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A</w:t>
            </w:r>
          </w:p>
        </w:tc>
        <w:tc>
          <w:tcPr>
            <w:tcW w:w="54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48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B</w:t>
            </w:r>
          </w:p>
        </w:tc>
        <w:tc>
          <w:tcPr>
            <w:tcW w:w="54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60" w:hanging="136"/>
        <w:spacing w:after="0"/>
        <w:tabs>
          <w:tab w:leader="none" w:pos="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did not exceed 10%.</w:t>
      </w:r>
    </w:p>
    <w:p>
      <w:pPr>
        <w:spacing w:after="0" w:line="241"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Profit before taxation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 before taxation is stated after charging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7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31 December 2014</w:t>
            </w:r>
          </w:p>
        </w:tc>
        <w:tc>
          <w:tcPr>
            <w:tcW w:w="1040" w:type="dxa"/>
            <w:vAlign w:val="bottom"/>
          </w:tcPr>
          <w:p>
            <w:pPr>
              <w:spacing w:after="0"/>
              <w:rPr>
                <w:sz w:val="18"/>
                <w:szCs w:val="18"/>
                <w:color w:val="auto"/>
              </w:rPr>
            </w:pPr>
          </w:p>
        </w:tc>
        <w:tc>
          <w:tcPr>
            <w:tcW w:w="30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Year ended 31 December 2013</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84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Affiliated</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Group</w:t>
            </w: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Affiliated</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auditor</w:t>
            </w:r>
          </w:p>
        </w:tc>
        <w:tc>
          <w:tcPr>
            <w:tcW w:w="184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firms</w:t>
            </w:r>
          </w:p>
        </w:tc>
        <w:tc>
          <w:tcPr>
            <w:tcW w:w="1040" w:type="dxa"/>
            <w:vAlign w:val="bottom"/>
          </w:tcPr>
          <w:p>
            <w:pPr>
              <w:spacing w:after="0"/>
              <w:rPr>
                <w:sz w:val="18"/>
                <w:szCs w:val="18"/>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auditor</w:t>
            </w: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firms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Auditors’ remuneration:</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84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$’000</w:t>
            </w: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$’000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90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 (2)</w:t>
            </w:r>
          </w:p>
        </w:tc>
        <w:tc>
          <w:tcPr>
            <w:tcW w:w="19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1,545</w:t>
            </w:r>
          </w:p>
        </w:tc>
        <w:tc>
          <w:tcPr>
            <w:tcW w:w="184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330</w:t>
            </w:r>
          </w:p>
        </w:tc>
        <w:tc>
          <w:tcPr>
            <w:tcW w:w="10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1,875</w:t>
            </w:r>
          </w:p>
        </w:tc>
        <w:tc>
          <w:tcPr>
            <w:tcW w:w="12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1,183</w:t>
            </w:r>
          </w:p>
        </w:tc>
        <w:tc>
          <w:tcPr>
            <w:tcW w:w="174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314</w:t>
            </w: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Other assurance fees (3)</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171</w:t>
            </w:r>
          </w:p>
        </w:tc>
        <w:tc>
          <w:tcPr>
            <w:tcW w:w="184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102</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273</w:t>
            </w: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31</w:t>
            </w: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109</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advisory fees (4)</w:t>
            </w:r>
          </w:p>
        </w:tc>
        <w:tc>
          <w:tcPr>
            <w:tcW w:w="19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878</w:t>
            </w:r>
          </w:p>
        </w:tc>
        <w:tc>
          <w:tcPr>
            <w:tcW w:w="184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826</w:t>
            </w:r>
          </w:p>
        </w:tc>
        <w:tc>
          <w:tcPr>
            <w:tcW w:w="10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1,704</w:t>
            </w:r>
          </w:p>
        </w:tc>
        <w:tc>
          <w:tcPr>
            <w:tcW w:w="12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723</w:t>
            </w:r>
          </w:p>
        </w:tc>
        <w:tc>
          <w:tcPr>
            <w:tcW w:w="174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96</w:t>
            </w: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non-audit fees (5)</w:t>
            </w:r>
          </w:p>
        </w:tc>
        <w:tc>
          <w:tcPr>
            <w:tcW w:w="1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156</w:t>
            </w:r>
          </w:p>
        </w:tc>
        <w:tc>
          <w:tcPr>
            <w:tcW w:w="18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156</w:t>
            </w:r>
          </w:p>
        </w:tc>
        <w:tc>
          <w:tcPr>
            <w:tcW w:w="12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78</w:t>
            </w:r>
          </w:p>
        </w:tc>
        <w:tc>
          <w:tcPr>
            <w:tcW w:w="17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2,750</w:t>
            </w:r>
          </w:p>
        </w:tc>
        <w:tc>
          <w:tcPr>
            <w:tcW w:w="18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1,258</w:t>
            </w: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4,008</w:t>
            </w:r>
          </w:p>
        </w:tc>
        <w:tc>
          <w:tcPr>
            <w:tcW w:w="12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2,015</w:t>
            </w:r>
          </w:p>
        </w:tc>
        <w:tc>
          <w:tcPr>
            <w:tcW w:w="17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519</w:t>
            </w: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60" w:hanging="354"/>
        <w:spacing w:after="0"/>
        <w:tabs>
          <w:tab w:leader="none" w:pos="3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Audit fees include annual audit fees for ICON plc and companies based in Ireland and the US.</w:t>
      </w:r>
    </w:p>
    <w:p>
      <w:pPr>
        <w:spacing w:after="0" w:line="26" w:lineRule="exact"/>
        <w:rPr>
          <w:rFonts w:ascii="Times New Roman" w:cs="Times New Roman" w:eastAsia="Times New Roman" w:hAnsi="Times New Roman"/>
          <w:sz w:val="18"/>
          <w:szCs w:val="18"/>
          <w:i w:val="1"/>
          <w:iCs w:val="1"/>
          <w:color w:val="auto"/>
        </w:rPr>
      </w:pPr>
    </w:p>
    <w:p>
      <w:pPr>
        <w:ind w:left="360" w:hanging="354"/>
        <w:spacing w:after="0"/>
        <w:tabs>
          <w:tab w:leader="none" w:pos="3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Audit fees for the Company for the year is set at $30,000 (2013: $30,000)</w:t>
      </w:r>
    </w:p>
    <w:p>
      <w:pPr>
        <w:spacing w:after="0" w:line="5" w:lineRule="exact"/>
        <w:rPr>
          <w:rFonts w:ascii="Times New Roman" w:cs="Times New Roman" w:eastAsia="Times New Roman" w:hAnsi="Times New Roman"/>
          <w:sz w:val="18"/>
          <w:szCs w:val="18"/>
          <w:i w:val="1"/>
          <w:iCs w:val="1"/>
          <w:color w:val="auto"/>
        </w:rPr>
      </w:pPr>
    </w:p>
    <w:p>
      <w:pPr>
        <w:ind w:left="360" w:right="80" w:hanging="354"/>
        <w:spacing w:after="0" w:line="245" w:lineRule="auto"/>
        <w:tabs>
          <w:tab w:leader="none" w:pos="3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assurance fees principally consist of fees for the audit of remaining subsidiaries and fees for the audit of the financial statements of employee benefit plans.</w:t>
      </w:r>
    </w:p>
    <w:p>
      <w:pPr>
        <w:spacing w:after="0" w:line="1" w:lineRule="exact"/>
        <w:rPr>
          <w:rFonts w:ascii="Times New Roman" w:cs="Times New Roman" w:eastAsia="Times New Roman" w:hAnsi="Times New Roman"/>
          <w:sz w:val="18"/>
          <w:szCs w:val="18"/>
          <w:i w:val="1"/>
          <w:iCs w:val="1"/>
          <w:color w:val="auto"/>
        </w:rPr>
      </w:pPr>
    </w:p>
    <w:p>
      <w:pPr>
        <w:ind w:left="360" w:hanging="354"/>
        <w:spacing w:after="0"/>
        <w:tabs>
          <w:tab w:leader="none" w:pos="3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 advisory fees are for tax compliance and tax advisory services.</w:t>
      </w:r>
    </w:p>
    <w:p>
      <w:pPr>
        <w:spacing w:after="0" w:line="5" w:lineRule="exact"/>
        <w:rPr>
          <w:rFonts w:ascii="Times New Roman" w:cs="Times New Roman" w:eastAsia="Times New Roman" w:hAnsi="Times New Roman"/>
          <w:sz w:val="18"/>
          <w:szCs w:val="18"/>
          <w:i w:val="1"/>
          <w:iCs w:val="1"/>
          <w:color w:val="auto"/>
        </w:rPr>
      </w:pPr>
    </w:p>
    <w:p>
      <w:pPr>
        <w:ind w:left="360" w:hanging="354"/>
        <w:spacing w:after="0"/>
        <w:tabs>
          <w:tab w:leader="none" w:pos="3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non-audit fee principally consist of fees for financial due diligence.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2. Profit before taxation </w:t>
            </w:r>
            <w:r>
              <w:rPr>
                <w:rFonts w:ascii="Times New Roman" w:cs="Times New Roman" w:eastAsia="Times New Roman" w:hAnsi="Times New Roman"/>
                <w:sz w:val="18"/>
                <w:szCs w:val="18"/>
                <w:b w:val="1"/>
                <w:bCs w:val="1"/>
                <w:i w:val="1"/>
                <w:iCs w:val="1"/>
                <w:color w:val="auto"/>
              </w:rPr>
              <w:t>(continued)</w:t>
            </w:r>
          </w:p>
        </w:tc>
        <w:tc>
          <w:tcPr>
            <w:tcW w:w="4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4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Directors’ emoluments</w:t>
            </w:r>
          </w:p>
        </w:tc>
        <w:tc>
          <w:tcPr>
            <w:tcW w:w="4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5860" w:type="dxa"/>
            <w:vAlign w:val="bottom"/>
            <w:gridSpan w:val="2"/>
            <w:vMerge w:val="continue"/>
          </w:tcPr>
          <w:p>
            <w:pPr>
              <w:spacing w:after="0"/>
              <w:rPr>
                <w:sz w:val="18"/>
                <w:szCs w:val="18"/>
                <w:color w:val="auto"/>
              </w:rPr>
            </w:pPr>
          </w:p>
        </w:tc>
        <w:tc>
          <w:tcPr>
            <w:tcW w:w="4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w:t>
            </w:r>
          </w:p>
        </w:tc>
        <w:tc>
          <w:tcPr>
            <w:tcW w:w="4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1,161</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emoluments and benefits in kind</w:t>
            </w:r>
          </w:p>
        </w:tc>
        <w:tc>
          <w:tcPr>
            <w:tcW w:w="4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6,658</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contributions</w:t>
            </w:r>
          </w:p>
        </w:tc>
        <w:tc>
          <w:tcPr>
            <w:tcW w:w="4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148</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 based payments</w:t>
            </w:r>
          </w:p>
        </w:tc>
        <w:tc>
          <w:tcPr>
            <w:tcW w:w="4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5,982</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Directors’ emoluments</w:t>
            </w:r>
          </w:p>
        </w:tc>
        <w:tc>
          <w:tcPr>
            <w:tcW w:w="4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13,949</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For additional information regarding Directors’ shareholdings, share options and compensation, please refer to note 8 – Payroll and related benefits.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amortisation</w:t>
            </w:r>
          </w:p>
        </w:tc>
        <w:tc>
          <w:tcPr>
            <w:tcW w:w="4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5440" w:type="dxa"/>
            <w:vAlign w:val="bottom"/>
            <w:gridSpan w:val="2"/>
            <w:vMerge w:val="continue"/>
          </w:tcPr>
          <w:p>
            <w:pPr>
              <w:spacing w:after="0"/>
              <w:rPr>
                <w:sz w:val="18"/>
                <w:szCs w:val="18"/>
                <w:color w:val="auto"/>
              </w:rPr>
            </w:pPr>
          </w:p>
        </w:tc>
        <w:tc>
          <w:tcPr>
            <w:tcW w:w="4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47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23,138</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24,196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Amortisation of intangible assets</w:t>
            </w:r>
          </w:p>
        </w:tc>
        <w:tc>
          <w:tcPr>
            <w:tcW w:w="4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29,404</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22,318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depreciation and amortisation</w:t>
            </w:r>
          </w:p>
        </w:tc>
        <w:tc>
          <w:tcPr>
            <w:tcW w:w="4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52,542</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 rentals</w:t>
            </w:r>
          </w:p>
        </w:tc>
        <w:tc>
          <w:tcPr>
            <w:tcW w:w="47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4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4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w:t>
            </w:r>
          </w:p>
        </w:tc>
        <w:tc>
          <w:tcPr>
            <w:tcW w:w="47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46,654</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45,976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4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6,339</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47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1,299</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rentals *</w:t>
            </w:r>
          </w:p>
        </w:tc>
        <w:tc>
          <w:tcPr>
            <w:tcW w:w="47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54,292</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54,865</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54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Government grants</w:t>
            </w:r>
          </w:p>
        </w:tc>
        <w:tc>
          <w:tcPr>
            <w:tcW w:w="4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4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government grants</w:t>
            </w:r>
          </w:p>
        </w:tc>
        <w:tc>
          <w:tcPr>
            <w:tcW w:w="4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Operating lease rentals includes rate expenses incurred during the year.</w:t>
            </w:r>
          </w:p>
        </w:tc>
        <w:tc>
          <w:tcPr>
            <w:tcW w:w="4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72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rPr>
              <w:t>34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c>
          <w:tcPr>
            <w:tcW w:w="47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Financing income</w:t>
            </w:r>
          </w:p>
        </w:tc>
        <w:tc>
          <w:tcPr>
            <w:tcW w:w="4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7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7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47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1,151</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360" w:type="dxa"/>
            <w:vAlign w:val="bottom"/>
            <w:tcBorders>
              <w:bottom w:val="single" w:sz="8" w:color="auto"/>
            </w:tcBorders>
            <w:shd w:val="clear" w:color="auto" w:fill="CCEEFF"/>
          </w:tcPr>
          <w:p>
            <w:pPr>
              <w:spacing w:after="0"/>
              <w:rPr>
                <w:sz w:val="21"/>
                <w:szCs w:val="21"/>
                <w:color w:val="auto"/>
              </w:rPr>
            </w:pPr>
          </w:p>
        </w:tc>
        <w:tc>
          <w:tcPr>
            <w:tcW w:w="47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1,151</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445"/>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of the above relates to items not at fair value through profit and loss.</w:t>
            </w:r>
          </w:p>
        </w:tc>
        <w:tc>
          <w:tcPr>
            <w:tcW w:w="4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Financing expense</w:t>
            </w:r>
          </w:p>
        </w:tc>
        <w:tc>
          <w:tcPr>
            <w:tcW w:w="4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7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7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facility fees on bank overdraft and credit facilities</w:t>
            </w:r>
          </w:p>
        </w:tc>
        <w:tc>
          <w:tcPr>
            <w:tcW w:w="4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785</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movement on acquisition contingent consideration</w:t>
            </w:r>
          </w:p>
        </w:tc>
        <w:tc>
          <w:tcPr>
            <w:tcW w:w="47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785</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continue"/>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 of the above relates to items not at fair value through profit and loss</w:t>
            </w:r>
          </w:p>
        </w:tc>
        <w:tc>
          <w:tcPr>
            <w:tcW w:w="4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78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 expense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current and deferred tax expense for the years ended 31 December 2014 and 2013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3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3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3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6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tax expense</w:t>
            </w:r>
          </w:p>
        </w:tc>
        <w:tc>
          <w:tcPr>
            <w:tcW w:w="33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3"/>
        </w:trPr>
        <w:tc>
          <w:tcPr>
            <w:tcW w:w="6840" w:type="dxa"/>
            <w:vAlign w:val="bottom"/>
            <w:gridSpan w:val="3"/>
            <w:vMerge w:val="continue"/>
          </w:tcPr>
          <w:p>
            <w:pPr>
              <w:spacing w:after="0"/>
              <w:rPr>
                <w:sz w:val="16"/>
                <w:szCs w:val="16"/>
                <w:color w:val="auto"/>
              </w:rPr>
            </w:pPr>
          </w:p>
        </w:tc>
        <w:tc>
          <w:tcPr>
            <w:tcW w:w="3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3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3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20,780</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17,680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Over/Under provided in prior years</w:t>
            </w:r>
          </w:p>
        </w:tc>
        <w:tc>
          <w:tcPr>
            <w:tcW w:w="3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3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(1,218)</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906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3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38,148</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credit</w:t>
            </w:r>
          </w:p>
        </w:tc>
        <w:tc>
          <w:tcPr>
            <w:tcW w:w="3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Origination and reversal of temporary differences</w:t>
            </w:r>
          </w:p>
        </w:tc>
        <w:tc>
          <w:tcPr>
            <w:tcW w:w="3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(10,110)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provided in prior years</w:t>
            </w:r>
          </w:p>
        </w:tc>
        <w:tc>
          <w:tcPr>
            <w:tcW w:w="3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(240)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(10,350)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820" w:type="dxa"/>
            <w:vAlign w:val="bottom"/>
            <w:gridSpan w:val="2"/>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 in the consolidated income statement</w:t>
            </w:r>
          </w:p>
        </w:tc>
        <w:tc>
          <w:tcPr>
            <w:tcW w:w="3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27,798</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820" w:type="dxa"/>
            <w:vAlign w:val="bottom"/>
            <w:gridSpan w:val="2"/>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tax recognised in equity</w:t>
            </w:r>
          </w:p>
        </w:tc>
        <w:tc>
          <w:tcPr>
            <w:tcW w:w="3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3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(2,404)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820" w:type="dxa"/>
            <w:vAlign w:val="bottom"/>
            <w:gridSpan w:val="2"/>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6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tax recognised in equity</w:t>
            </w:r>
          </w:p>
        </w:tc>
        <w:tc>
          <w:tcPr>
            <w:tcW w:w="3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(2,404)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bottom w:val="single" w:sz="8" w:color="auto"/>
            </w:tcBorders>
            <w:gridSpan w:val="2"/>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40" w:type="dxa"/>
            <w:vAlign w:val="bottom"/>
            <w:gridSpan w:val="3"/>
          </w:tcPr>
          <w:p>
            <w:pPr>
              <w:spacing w:after="0"/>
              <w:rPr>
                <w:sz w:val="20"/>
                <w:szCs w:val="20"/>
                <w:color w:val="auto"/>
              </w:rPr>
            </w:pPr>
          </w:p>
        </w:tc>
        <w:tc>
          <w:tcPr>
            <w:tcW w:w="3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820" w:type="dxa"/>
            <w:vAlign w:val="bottom"/>
            <w:gridSpan w:val="2"/>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tax recognised in other comprehensive income</w:t>
            </w: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on currency impact on long term funding</w:t>
            </w:r>
          </w:p>
        </w:tc>
        <w:tc>
          <w:tcPr>
            <w:tcW w:w="3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178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820" w:type="dxa"/>
            <w:vAlign w:val="bottom"/>
            <w:gridSpan w:val="2"/>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68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tax recognised in other comprehensive income</w:t>
            </w:r>
          </w:p>
        </w:tc>
        <w:tc>
          <w:tcPr>
            <w:tcW w:w="3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178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total tax expense of $27.8 million and $14.2 million for the years ended 31 December 2014 and 31 December 2013 respectively, reflects tax at standard rates on taxable profits in the jurisdictions in which the group operates, foreign withholding tax and the availability of tax losses.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deferred tax credit of $10.4 million for the year ended 31 December 2014 and the deferred tax credit of $14.3 million for the year ended 31 December 2013, relates to deferred tax arising in respect of net operating losses and temporary differences in capital items, the timing of certain goodwill amortisation on US acquisitions and the timing of tax deductions available relating to the Group’s share based compensation schemes. No deferred tax asset has been recognised on the defined benefit pension scheme as it is not probable that sufficient taxable profit will be available against which the deductible temporary difference can be utilised.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Income tax expense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expected tax expense, computed by applying the standard Irish tax rate to income before tax to the actual tax expense,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54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54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54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54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tax</w:t>
            </w:r>
          </w:p>
        </w:tc>
        <w:tc>
          <w:tcPr>
            <w:tcW w:w="4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202,824</w:t>
            </w:r>
          </w:p>
        </w:tc>
        <w:tc>
          <w:tcPr>
            <w:tcW w:w="1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121,292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Irish standard tax rate</w:t>
            </w:r>
          </w:p>
        </w:tc>
        <w:tc>
          <w:tcPr>
            <w:tcW w:w="4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Taxes at Irish standard tax rate</w:t>
            </w:r>
          </w:p>
        </w:tc>
        <w:tc>
          <w:tcPr>
            <w:tcW w:w="45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25,353</w:t>
            </w:r>
          </w:p>
        </w:tc>
        <w:tc>
          <w:tcPr>
            <w:tcW w:w="1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15,162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Reversal of prior year over provision in respect of</w:t>
            </w:r>
          </w:p>
        </w:tc>
        <w:tc>
          <w:tcPr>
            <w:tcW w:w="454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(552)</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foreign taxes</w:t>
            </w:r>
          </w:p>
        </w:tc>
        <w:tc>
          <w:tcPr>
            <w:tcW w:w="4540" w:type="dxa"/>
            <w:vAlign w:val="bottom"/>
            <w:vMerge w:val="continue"/>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and other income taxed at higher rates</w:t>
            </w:r>
          </w:p>
        </w:tc>
        <w:tc>
          <w:tcPr>
            <w:tcW w:w="4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2,662</w:t>
            </w:r>
          </w:p>
        </w:tc>
        <w:tc>
          <w:tcPr>
            <w:tcW w:w="1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5,514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w w:val="97"/>
              </w:rPr>
              <w:t>Recognition of previously unrecognised tax benefits for uncertain tax positions</w:t>
            </w:r>
          </w:p>
        </w:tc>
        <w:tc>
          <w:tcPr>
            <w:tcW w:w="45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(1,779)</w:t>
            </w: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 in tax rates</w:t>
            </w:r>
          </w:p>
        </w:tc>
        <w:tc>
          <w:tcPr>
            <w:tcW w:w="4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543</w:t>
            </w:r>
          </w:p>
        </w:tc>
        <w:tc>
          <w:tcPr>
            <w:tcW w:w="1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unrecognised tax benefits</w:t>
            </w:r>
          </w:p>
        </w:tc>
        <w:tc>
          <w:tcPr>
            <w:tcW w:w="454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2,869</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taxable income and non tax deductible expenses</w:t>
            </w:r>
          </w:p>
        </w:tc>
        <w:tc>
          <w:tcPr>
            <w:tcW w:w="4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1,854</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Losses for which no benefit has been recognised</w:t>
            </w:r>
          </w:p>
        </w:tc>
        <w:tc>
          <w:tcPr>
            <w:tcW w:w="45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(1,964)</w:t>
            </w: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incentives</w:t>
            </w:r>
          </w:p>
        </w:tc>
        <w:tc>
          <w:tcPr>
            <w:tcW w:w="45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(1,810)</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5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623</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Tax expense on profit for the year</w:t>
            </w:r>
          </w:p>
        </w:tc>
        <w:tc>
          <w:tcPr>
            <w:tcW w:w="45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27,798</w:t>
            </w:r>
          </w:p>
        </w:tc>
        <w:tc>
          <w:tcPr>
            <w:tcW w:w="1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14,234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54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w w:val="88"/>
              </w:rPr>
              <w:t>37</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Income tax expense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deferred tax asset at 31 December 2014 and 31 December 2013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taxation assets</w:t>
            </w:r>
          </w:p>
        </w:tc>
        <w:tc>
          <w:tcPr>
            <w:tcW w:w="5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5120" w:type="dxa"/>
            <w:vAlign w:val="bottom"/>
            <w:gridSpan w:val="2"/>
            <w:vMerge w:val="continue"/>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losses carried forward</w:t>
            </w:r>
          </w:p>
        </w:tc>
        <w:tc>
          <w:tcPr>
            <w:tcW w:w="5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8,672</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5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37,296</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29,458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3,448</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5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1,853</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5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17,700</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5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891</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taxation assets</w:t>
            </w:r>
          </w:p>
        </w:tc>
        <w:tc>
          <w:tcPr>
            <w:tcW w:w="5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69,860</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50,789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offset against deferred tax liabilities</w:t>
            </w:r>
          </w:p>
        </w:tc>
        <w:tc>
          <w:tcPr>
            <w:tcW w:w="5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(24,132)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 disclosed on Statement of financial position</w:t>
            </w:r>
          </w:p>
        </w:tc>
        <w:tc>
          <w:tcPr>
            <w:tcW w:w="5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45,728</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30,337</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taxation liabilities</w:t>
            </w:r>
          </w:p>
        </w:tc>
        <w:tc>
          <w:tcPr>
            <w:tcW w:w="5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4,270</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related assets</w:t>
            </w:r>
          </w:p>
        </w:tc>
        <w:tc>
          <w:tcPr>
            <w:tcW w:w="5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18,645</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5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3,657</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to cash method adjustment</w:t>
            </w:r>
          </w:p>
        </w:tc>
        <w:tc>
          <w:tcPr>
            <w:tcW w:w="50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1,947</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taxation liabilities</w:t>
            </w:r>
          </w:p>
        </w:tc>
        <w:tc>
          <w:tcPr>
            <w:tcW w:w="5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28,519</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offset against deferred tax assets</w:t>
            </w:r>
          </w:p>
        </w:tc>
        <w:tc>
          <w:tcPr>
            <w:tcW w:w="5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(24,132)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disclosed on Statement of financial position</w:t>
            </w:r>
          </w:p>
        </w:tc>
        <w:tc>
          <w:tcPr>
            <w:tcW w:w="50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4,387</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taxation asset</w:t>
            </w:r>
          </w:p>
        </w:tc>
        <w:tc>
          <w:tcPr>
            <w:tcW w:w="50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41,341</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28,194</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080" w:type="dxa"/>
            <w:vAlign w:val="bottom"/>
          </w:tcPr>
          <w:p>
            <w:pPr>
              <w:jc w:val="right"/>
              <w:ind w:right="4312"/>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50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Income tax expense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 in temporary differences during the year ended 31 December 2014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w:t>
            </w: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Recognised</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Recognised</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Recognised in</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Recognised</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January</w:t>
            </w: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in Income</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on</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in Equity</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taxation assets</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1"/>
        </w:trPr>
        <w:tc>
          <w:tcPr>
            <w:tcW w:w="350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6,696</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2,043</w:t>
            </w:r>
          </w:p>
        </w:tc>
        <w:tc>
          <w:tcPr>
            <w:tcW w:w="15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8,672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29,458</w:t>
            </w: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7,829</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37,296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2,161</w:t>
            </w:r>
          </w:p>
        </w:tc>
        <w:tc>
          <w:tcPr>
            <w:tcW w:w="1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1,261</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3,448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1,187</w:t>
            </w: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666</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11,287</w:t>
            </w:r>
          </w:p>
        </w:tc>
        <w:tc>
          <w:tcPr>
            <w:tcW w:w="1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4,876</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1,537</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17,700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891</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891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taxation assets</w:t>
            </w: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50,789</w:t>
            </w: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15,456</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2,043</w:t>
            </w:r>
          </w:p>
        </w:tc>
        <w:tc>
          <w:tcPr>
            <w:tcW w:w="15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1,572</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69,860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taxation liabilities</w:t>
            </w: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6,501</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(3,015)</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530</w:t>
            </w:r>
          </w:p>
        </w:tc>
        <w:tc>
          <w:tcPr>
            <w:tcW w:w="15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254*</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4,270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Goodwill on acquisition</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14,013</w:t>
            </w: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4,632</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18,645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to cash method adjustment</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1,107</w:t>
            </w:r>
          </w:p>
        </w:tc>
        <w:tc>
          <w:tcPr>
            <w:tcW w:w="1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840</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970</w:t>
            </w: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2,687</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3,657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w:t>
            </w: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5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taxation liabilities</w:t>
            </w:r>
          </w:p>
        </w:tc>
        <w:tc>
          <w:tcPr>
            <w:tcW w:w="12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22,595</w:t>
            </w:r>
          </w:p>
        </w:tc>
        <w:tc>
          <w:tcPr>
            <w:tcW w:w="1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5,106</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564</w:t>
            </w:r>
          </w:p>
        </w:tc>
        <w:tc>
          <w:tcPr>
            <w:tcW w:w="15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254</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28,519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taxation asset/(liability)</w:t>
            </w:r>
          </w:p>
        </w:tc>
        <w:tc>
          <w:tcPr>
            <w:tcW w:w="12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28,194</w:t>
            </w:r>
          </w:p>
        </w:tc>
        <w:tc>
          <w:tcPr>
            <w:tcW w:w="1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10,350</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1,479</w:t>
            </w:r>
          </w:p>
        </w:tc>
        <w:tc>
          <w:tcPr>
            <w:tcW w:w="15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1,318</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41,341</w:t>
            </w:r>
          </w:p>
        </w:tc>
        <w:tc>
          <w:tcPr>
            <w:tcW w:w="0" w:type="dxa"/>
            <w:vAlign w:val="bottom"/>
          </w:tcPr>
          <w:p>
            <w:pPr>
              <w:spacing w:after="0"/>
              <w:rPr>
                <w:sz w:val="1"/>
                <w:szCs w:val="1"/>
                <w:color w:val="auto"/>
              </w:rPr>
            </w:pPr>
          </w:p>
        </w:tc>
      </w:tr>
    </w:tbl>
    <w:p>
      <w:pPr>
        <w:ind w:left="5620" w:right="4400" w:hanging="5614"/>
        <w:spacing w:after="0" w:line="698" w:lineRule="auto"/>
        <w:tabs>
          <w:tab w:leader="none" w:pos="133"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These adjustments relate to foreign currency translation on the deferred tax assets and liabilities. </w:t>
      </w: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Income tax expense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 in temporary differences during the year ended 31 December 2013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 January</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Recognised</w:t>
            </w: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Recognised</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Recognised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In Income</w:t>
            </w: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in Other</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in Equity</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taxation assets</w:t>
            </w:r>
          </w:p>
        </w:tc>
        <w:tc>
          <w:tcPr>
            <w:tcW w:w="2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1"/>
        </w:trPr>
        <w:tc>
          <w:tcPr>
            <w:tcW w:w="410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0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6,776</w:t>
            </w: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1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6,696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2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19,375</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10,075</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29,458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1,875</w:t>
            </w:r>
          </w:p>
        </w:tc>
        <w:tc>
          <w:tcPr>
            <w:tcW w:w="1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275</w:t>
            </w:r>
          </w:p>
        </w:tc>
        <w:tc>
          <w:tcPr>
            <w:tcW w:w="1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1,136</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51</w:t>
            </w: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20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3,444</w:t>
            </w:r>
          </w:p>
        </w:tc>
        <w:tc>
          <w:tcPr>
            <w:tcW w:w="1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4,524</w:t>
            </w:r>
          </w:p>
        </w:tc>
        <w:tc>
          <w:tcPr>
            <w:tcW w:w="15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3,319</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11,287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98</w:t>
            </w: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(98)</w:t>
            </w:r>
          </w:p>
        </w:tc>
        <w:tc>
          <w:tcPr>
            <w:tcW w:w="15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taxation assets</w:t>
            </w:r>
          </w:p>
        </w:tc>
        <w:tc>
          <w:tcPr>
            <w:tcW w:w="2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32,704</w:t>
            </w: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14,724</w:t>
            </w:r>
          </w:p>
        </w:tc>
        <w:tc>
          <w:tcPr>
            <w:tcW w:w="15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42</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3,319</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50,789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taxation liabilities</w:t>
            </w: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6,631</w:t>
            </w: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1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33*</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6,501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Goodwill on acquisition</w:t>
            </w:r>
          </w:p>
        </w:tc>
        <w:tc>
          <w:tcPr>
            <w:tcW w:w="2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11,467</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2,546</w:t>
            </w: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14,013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to cash method adjustment</w:t>
            </w:r>
          </w:p>
        </w:tc>
        <w:tc>
          <w:tcPr>
            <w:tcW w:w="20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1,237</w:t>
            </w: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w:t>
            </w:r>
          </w:p>
        </w:tc>
        <w:tc>
          <w:tcPr>
            <w:tcW w:w="15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2,707</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(1,737)</w:t>
            </w: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970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88</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c>
          <w:tcPr>
            <w:tcW w:w="15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taxation liabilities</w:t>
            </w:r>
          </w:p>
        </w:tc>
        <w:tc>
          <w:tcPr>
            <w:tcW w:w="20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22,130</w:t>
            </w: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432</w:t>
            </w:r>
          </w:p>
        </w:tc>
        <w:tc>
          <w:tcPr>
            <w:tcW w:w="15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33</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22,595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taxation asset/(liability)</w:t>
            </w:r>
          </w:p>
        </w:tc>
        <w:tc>
          <w:tcPr>
            <w:tcW w:w="20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10,574</w:t>
            </w: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14,292</w:t>
            </w:r>
          </w:p>
        </w:tc>
        <w:tc>
          <w:tcPr>
            <w:tcW w:w="15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3,319</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28,194</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*These adjustments relate to foreign currency translation on the deferred tax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Unrecognised deferred tax assets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Deferred tax assets relating to the following net operating losses have not been recognised to the extent that it is considered unlikely that a benefit will be received in the future.</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31 December 2014, non-US subsidiaries had operating loss carry-forwards for income tax purposes that may be carried forward indefinitely, available to offset against future taxable income, if any, of approximately $76.7million (31 December 2013: $88.5 million). At 31 December 2014, non – US subsidiaries also had additional operating loss carry forwards of $5.8 million which are due to expire between 2015 and 2017.</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total, the Group has unrecognised deferred tax assets at 31 December 2014 of $24.0 million and $22.6 million at 31 December 2013. The Group has not recognised the remaining deferred tax assets because it believes that it is more likely than not that the losses and other deferred tax assets will not be utilised given their history of operating losses.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Income tax expense </w:t>
      </w:r>
      <w:r>
        <w:rPr>
          <w:rFonts w:ascii="Times New Roman" w:cs="Times New Roman" w:eastAsia="Times New Roman" w:hAnsi="Times New Roman"/>
          <w:sz w:val="18"/>
          <w:szCs w:val="18"/>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Unrecognised deferred tax liabilities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31 December 2014 and 31 December 2013 respectively, there were no recognised or unrecognised deferred tax liabilities for taxes that would be payable on the unremitted earnings of certain of the Group's subsidiaries. The Group is able to control the timing of the reversal of the temporary differences of its subsidiaries and it is probable that these temporary differences will not reverse in the foreseeable future.</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for basic and diluted net earnings per share for the year ended 31 December 2014:</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31</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w:t>
            </w:r>
          </w:p>
        </w:tc>
        <w:tc>
          <w:tcPr>
            <w:tcW w:w="1420" w:type="dxa"/>
            <w:vAlign w:val="bottom"/>
            <w:tcBorders>
              <w:top w:val="single" w:sz="8" w:color="auto"/>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tcBorders>
              <w:top w:val="single" w:sz="8" w:color="auto"/>
              <w:left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420" w:type="dxa"/>
            <w:vAlign w:val="bottom"/>
            <w:tcBorders>
              <w:left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2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7"/>
              </w:rPr>
              <w:t>31 December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20" w:type="dxa"/>
            <w:vAlign w:val="bottom"/>
            <w:tcBorders>
              <w:left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2013</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20" w:type="dxa"/>
            <w:vAlign w:val="bottom"/>
            <w:tcBorders>
              <w:left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2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Excluding</w:t>
            </w:r>
          </w:p>
        </w:tc>
        <w:tc>
          <w:tcPr>
            <w:tcW w:w="1260" w:type="dxa"/>
            <w:vAlign w:val="bottom"/>
          </w:tcPr>
          <w:p>
            <w:pPr>
              <w:spacing w:after="0"/>
              <w:rPr>
                <w:sz w:val="18"/>
                <w:szCs w:val="18"/>
                <w:color w:val="auto"/>
              </w:rPr>
            </w:pPr>
          </w:p>
        </w:tc>
        <w:tc>
          <w:tcPr>
            <w:tcW w:w="1420" w:type="dxa"/>
            <w:vAlign w:val="bottom"/>
            <w:tcBorders>
              <w:left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Including</w:t>
            </w:r>
          </w:p>
        </w:tc>
        <w:tc>
          <w:tcPr>
            <w:tcW w:w="2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Excluding</w:t>
            </w:r>
          </w:p>
        </w:tc>
        <w:tc>
          <w:tcPr>
            <w:tcW w:w="1240" w:type="dxa"/>
            <w:vAlign w:val="bottom"/>
          </w:tcPr>
          <w:p>
            <w:pPr>
              <w:spacing w:after="0"/>
              <w:rPr>
                <w:sz w:val="18"/>
                <w:szCs w:val="18"/>
                <w:color w:val="auto"/>
              </w:rPr>
            </w:pP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Including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Exceptional</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Exceptional</w:t>
            </w:r>
          </w:p>
        </w:tc>
        <w:tc>
          <w:tcPr>
            <w:tcW w:w="1420" w:type="dxa"/>
            <w:vAlign w:val="bottom"/>
            <w:tcBorders>
              <w:left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Exceptional</w:t>
            </w:r>
          </w:p>
        </w:tc>
        <w:tc>
          <w:tcPr>
            <w:tcW w:w="2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Exceptional</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Exceptional</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Exceptional</w:t>
            </w:r>
          </w:p>
        </w:tc>
        <w:tc>
          <w:tcPr>
            <w:tcW w:w="0" w:type="dxa"/>
            <w:vAlign w:val="bottom"/>
          </w:tcPr>
          <w:p>
            <w:pPr>
              <w:spacing w:after="0"/>
              <w:rPr>
                <w:sz w:val="1"/>
                <w:szCs w:val="1"/>
                <w:color w:val="auto"/>
              </w:rPr>
            </w:pPr>
          </w:p>
        </w:tc>
      </w:tr>
      <w:tr>
        <w:trPr>
          <w:trHeight w:val="233"/>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 computations</w:t>
            </w: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420" w:type="dxa"/>
            <w:vAlign w:val="bottom"/>
            <w:tcBorders>
              <w:left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60" w:type="dxa"/>
            <w:vAlign w:val="bottom"/>
          </w:tcPr>
          <w:p>
            <w:pPr>
              <w:spacing w:after="0"/>
              <w:rPr>
                <w:sz w:val="20"/>
                <w:szCs w:val="20"/>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items</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items</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items</w:t>
            </w:r>
          </w:p>
        </w:tc>
        <w:tc>
          <w:tcPr>
            <w:tcW w:w="0" w:type="dxa"/>
            <w:vAlign w:val="bottom"/>
          </w:tcPr>
          <w:p>
            <w:pPr>
              <w:spacing w:after="0"/>
              <w:rPr>
                <w:sz w:val="1"/>
                <w:szCs w:val="1"/>
                <w:color w:val="auto"/>
              </w:rPr>
            </w:pPr>
          </w:p>
        </w:tc>
      </w:tr>
      <w:tr>
        <w:trPr>
          <w:trHeight w:val="191"/>
        </w:trPr>
        <w:tc>
          <w:tcPr>
            <w:tcW w:w="3060" w:type="dxa"/>
            <w:vAlign w:val="bottom"/>
            <w:gridSpan w:val="2"/>
            <w:vMerge w:val="continue"/>
          </w:tcPr>
          <w:p>
            <w:pPr>
              <w:spacing w:after="0"/>
              <w:rPr>
                <w:sz w:val="16"/>
                <w:szCs w:val="16"/>
                <w:color w:val="auto"/>
              </w:rPr>
            </w:pPr>
          </w:p>
        </w:tc>
        <w:tc>
          <w:tcPr>
            <w:tcW w:w="1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tcBorders>
              <w:left w:val="single" w:sz="8" w:color="auto"/>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Borders>
              <w:left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1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20" w:type="dxa"/>
            <w:vAlign w:val="bottom"/>
            <w:tcBorders>
              <w:left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40" w:type="dxa"/>
            <w:vAlign w:val="bottom"/>
            <w:tcBorders>
              <w:left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6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183,822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(8,796)</w:t>
            </w:r>
          </w:p>
        </w:tc>
        <w:tc>
          <w:tcPr>
            <w:tcW w:w="1420" w:type="dxa"/>
            <w:vAlign w:val="bottom"/>
            <w:tcBorders>
              <w:left w:val="single" w:sz="8" w:color="auto"/>
              <w:bottom w:val="single" w:sz="8" w:color="auto"/>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175,026</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114,241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340" w:type="dxa"/>
            <w:vAlign w:val="bottom"/>
            <w:tcBorders>
              <w:left w:val="single" w:sz="8" w:color="auto"/>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107,058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Profit attributable to</w:t>
            </w:r>
          </w:p>
        </w:tc>
        <w:tc>
          <w:tcPr>
            <w:tcW w:w="168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183,822</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(8,796)</w:t>
            </w:r>
          </w:p>
        </w:tc>
        <w:tc>
          <w:tcPr>
            <w:tcW w:w="1420" w:type="dxa"/>
            <w:vAlign w:val="bottom"/>
            <w:tcBorders>
              <w:left w:val="single" w:sz="8" w:color="auto"/>
              <w:right w:val="single" w:sz="8" w:color="auto"/>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175,026</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340" w:type="dxa"/>
            <w:vAlign w:val="bottom"/>
            <w:tcBorders>
              <w:left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1680" w:type="dxa"/>
            <w:vAlign w:val="bottom"/>
            <w:tcBorders>
              <w:bottom w:val="single" w:sz="8" w:color="auto"/>
            </w:tcBorders>
            <w:vMerge w:val="continue"/>
            <w:shd w:val="clear" w:color="auto" w:fill="CCEEFF"/>
          </w:tcPr>
          <w:p>
            <w:pPr>
              <w:spacing w:after="0"/>
              <w:rPr>
                <w:sz w:val="23"/>
                <w:szCs w:val="23"/>
                <w:color w:val="auto"/>
              </w:rPr>
            </w:pPr>
          </w:p>
        </w:tc>
        <w:tc>
          <w:tcPr>
            <w:tcW w:w="1260" w:type="dxa"/>
            <w:vAlign w:val="bottom"/>
            <w:tcBorders>
              <w:bottom w:val="single" w:sz="8" w:color="auto"/>
            </w:tcBorders>
            <w:vMerge w:val="continue"/>
            <w:shd w:val="clear" w:color="auto" w:fill="CCEEFF"/>
          </w:tcPr>
          <w:p>
            <w:pPr>
              <w:spacing w:after="0"/>
              <w:rPr>
                <w:sz w:val="23"/>
                <w:szCs w:val="23"/>
                <w:color w:val="auto"/>
              </w:rPr>
            </w:pPr>
          </w:p>
        </w:tc>
        <w:tc>
          <w:tcPr>
            <w:tcW w:w="1420" w:type="dxa"/>
            <w:vAlign w:val="bottom"/>
            <w:tcBorders>
              <w:left w:val="single" w:sz="8" w:color="auto"/>
              <w:bottom w:val="single" w:sz="8" w:color="auto"/>
              <w:right w:val="single" w:sz="8" w:color="auto"/>
            </w:tcBorders>
            <w:vMerge w:val="continue"/>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114,241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340" w:type="dxa"/>
            <w:vAlign w:val="bottom"/>
            <w:tcBorders>
              <w:left w:val="single" w:sz="8" w:color="auto"/>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107,058</w:t>
            </w:r>
          </w:p>
        </w:tc>
        <w:tc>
          <w:tcPr>
            <w:tcW w:w="0" w:type="dxa"/>
            <w:vAlign w:val="bottom"/>
          </w:tcPr>
          <w:p>
            <w:pPr>
              <w:spacing w:after="0"/>
              <w:rPr>
                <w:sz w:val="1"/>
                <w:szCs w:val="1"/>
                <w:color w:val="auto"/>
              </w:rPr>
            </w:pPr>
          </w:p>
        </w:tc>
      </w:tr>
      <w:tr>
        <w:trPr>
          <w:trHeight w:val="445"/>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 computations</w:t>
            </w: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40" w:type="dxa"/>
            <w:vAlign w:val="bottom"/>
            <w:gridSpan w:val="3"/>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w:t>
            </w:r>
          </w:p>
        </w:tc>
        <w:tc>
          <w:tcPr>
            <w:tcW w:w="16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20" w:type="dxa"/>
            <w:vAlign w:val="bottom"/>
            <w:tcBorders>
              <w:left w:val="single" w:sz="8" w:color="auto"/>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340" w:type="dxa"/>
            <w:vAlign w:val="bottom"/>
            <w:tcBorders>
              <w:left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ordinary</w:t>
            </w:r>
          </w:p>
        </w:tc>
        <w:tc>
          <w:tcPr>
            <w:tcW w:w="1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20" w:type="dxa"/>
            <w:vAlign w:val="bottom"/>
            <w:tcBorders>
              <w:left w:val="single" w:sz="8" w:color="auto"/>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40" w:type="dxa"/>
            <w:vAlign w:val="bottom"/>
            <w:tcBorders>
              <w:left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w:t>
            </w:r>
          </w:p>
        </w:tc>
        <w:tc>
          <w:tcPr>
            <w:tcW w:w="168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61,496,115</w:t>
            </w:r>
          </w:p>
        </w:tc>
        <w:tc>
          <w:tcPr>
            <w:tcW w:w="12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61,496,115</w:t>
            </w:r>
          </w:p>
        </w:tc>
        <w:tc>
          <w:tcPr>
            <w:tcW w:w="1420" w:type="dxa"/>
            <w:vAlign w:val="bottom"/>
            <w:tcBorders>
              <w:left w:val="single" w:sz="8" w:color="auto"/>
              <w:right w:val="single" w:sz="8" w:color="auto"/>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61,496,115</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40" w:type="dxa"/>
            <w:vAlign w:val="bottom"/>
            <w:tcBorders>
              <w:left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420" w:type="dxa"/>
            <w:vAlign w:val="bottom"/>
            <w:tcBorders>
              <w:left w:val="single" w:sz="8" w:color="auto"/>
              <w:right w:val="single" w:sz="8" w:color="auto"/>
            </w:tcBorders>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60,907,274</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60,907,274</w:t>
            </w:r>
          </w:p>
        </w:tc>
        <w:tc>
          <w:tcPr>
            <w:tcW w:w="1340" w:type="dxa"/>
            <w:vAlign w:val="bottom"/>
            <w:tcBorders>
              <w:left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60,907,274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Effect of dilutive</w:t>
            </w:r>
          </w:p>
        </w:tc>
        <w:tc>
          <w:tcPr>
            <w:tcW w:w="1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tcBorders>
              <w:left w:val="single" w:sz="8" w:color="auto"/>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Borders>
              <w:left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potential ordinary</w:t>
            </w:r>
          </w:p>
        </w:tc>
        <w:tc>
          <w:tcPr>
            <w:tcW w:w="1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1,830,295</w:t>
            </w:r>
          </w:p>
        </w:tc>
        <w:tc>
          <w:tcPr>
            <w:tcW w:w="12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1,830,295</w:t>
            </w:r>
          </w:p>
        </w:tc>
        <w:tc>
          <w:tcPr>
            <w:tcW w:w="1420" w:type="dxa"/>
            <w:vAlign w:val="bottom"/>
            <w:tcBorders>
              <w:left w:val="single" w:sz="8" w:color="auto"/>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1,830,295</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68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420" w:type="dxa"/>
            <w:vAlign w:val="bottom"/>
            <w:tcBorders>
              <w:left w:val="single" w:sz="8" w:color="auto"/>
              <w:right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1,544,503</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1,544,503</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1,544,503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4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w:t>
            </w:r>
          </w:p>
        </w:tc>
        <w:tc>
          <w:tcPr>
            <w:tcW w:w="16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left w:val="single" w:sz="8" w:color="auto"/>
              <w:right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left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ordinary</w:t>
            </w:r>
          </w:p>
        </w:tc>
        <w:tc>
          <w:tcPr>
            <w:tcW w:w="1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20" w:type="dxa"/>
            <w:vAlign w:val="bottom"/>
            <w:tcBorders>
              <w:left w:val="single" w:sz="8" w:color="auto"/>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40" w:type="dxa"/>
            <w:vAlign w:val="bottom"/>
            <w:tcBorders>
              <w:left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w:t>
            </w:r>
          </w:p>
        </w:tc>
        <w:tc>
          <w:tcPr>
            <w:tcW w:w="168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63,326,410</w:t>
            </w:r>
          </w:p>
        </w:tc>
        <w:tc>
          <w:tcPr>
            <w:tcW w:w="12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63,326,410</w:t>
            </w:r>
          </w:p>
        </w:tc>
        <w:tc>
          <w:tcPr>
            <w:tcW w:w="1420" w:type="dxa"/>
            <w:vAlign w:val="bottom"/>
            <w:tcBorders>
              <w:left w:val="single" w:sz="8" w:color="auto"/>
              <w:right w:val="single" w:sz="8" w:color="auto"/>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63,326,410</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40" w:type="dxa"/>
            <w:vAlign w:val="bottom"/>
            <w:tcBorders>
              <w:left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80" w:type="dxa"/>
            <w:vAlign w:val="bottom"/>
            <w:tcBorders>
              <w:bottom w:val="single" w:sz="8" w:color="auto"/>
            </w:tcBorders>
            <w:vMerge w:val="continue"/>
            <w:shd w:val="clear" w:color="auto" w:fill="CCEEFF"/>
          </w:tcPr>
          <w:p>
            <w:pPr>
              <w:spacing w:after="0"/>
              <w:rPr>
                <w:sz w:val="23"/>
                <w:szCs w:val="23"/>
                <w:color w:val="auto"/>
              </w:rPr>
            </w:pPr>
          </w:p>
        </w:tc>
        <w:tc>
          <w:tcPr>
            <w:tcW w:w="1260" w:type="dxa"/>
            <w:vAlign w:val="bottom"/>
            <w:tcBorders>
              <w:bottom w:val="single" w:sz="8" w:color="auto"/>
            </w:tcBorders>
            <w:vMerge w:val="continue"/>
            <w:shd w:val="clear" w:color="auto" w:fill="CCEEFF"/>
          </w:tcPr>
          <w:p>
            <w:pPr>
              <w:spacing w:after="0"/>
              <w:rPr>
                <w:sz w:val="23"/>
                <w:szCs w:val="23"/>
                <w:color w:val="auto"/>
              </w:rPr>
            </w:pPr>
          </w:p>
        </w:tc>
        <w:tc>
          <w:tcPr>
            <w:tcW w:w="1420" w:type="dxa"/>
            <w:vAlign w:val="bottom"/>
            <w:tcBorders>
              <w:left w:val="single" w:sz="8" w:color="auto"/>
              <w:bottom w:val="single" w:sz="8" w:color="auto"/>
              <w:right w:val="single" w:sz="8" w:color="auto"/>
            </w:tcBorders>
            <w:vMerge w:val="continue"/>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62,451,777</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62,451,777</w:t>
            </w:r>
          </w:p>
        </w:tc>
        <w:tc>
          <w:tcPr>
            <w:tcW w:w="1340" w:type="dxa"/>
            <w:vAlign w:val="bottom"/>
            <w:tcBorders>
              <w:left w:val="single" w:sz="8" w:color="auto"/>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62,451,777</w:t>
            </w:r>
          </w:p>
        </w:tc>
        <w:tc>
          <w:tcPr>
            <w:tcW w:w="0" w:type="dxa"/>
            <w:vAlign w:val="bottom"/>
          </w:tcPr>
          <w:p>
            <w:pPr>
              <w:spacing w:after="0"/>
              <w:rPr>
                <w:sz w:val="1"/>
                <w:szCs w:val="1"/>
                <w:color w:val="auto"/>
              </w:rPr>
            </w:pPr>
          </w:p>
        </w:tc>
      </w:tr>
      <w:tr>
        <w:trPr>
          <w:trHeight w:val="450"/>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60" w:type="dxa"/>
            <w:vAlign w:val="bottom"/>
            <w:gridSpan w:val="2"/>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420" w:type="dxa"/>
            <w:vAlign w:val="bottom"/>
            <w:tcBorders>
              <w:left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16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2.99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420" w:type="dxa"/>
            <w:vAlign w:val="bottom"/>
            <w:tcBorders>
              <w:left w:val="single" w:sz="8" w:color="auto"/>
              <w:bottom w:val="single" w:sz="8" w:color="auto"/>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2.85</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340" w:type="dxa"/>
            <w:vAlign w:val="bottom"/>
            <w:tcBorders>
              <w:left w:val="single" w:sz="8" w:color="auto"/>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1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2.90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420" w:type="dxa"/>
            <w:vAlign w:val="bottom"/>
            <w:tcBorders>
              <w:left w:val="single" w:sz="8" w:color="auto"/>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2.76</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1.83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34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6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7"/>
              </w:rPr>
              <w:t>The Company had 558,224 anti-dilutive shares in issue at 31 December 2014 (31 December 2013: 839,189).</w:t>
            </w: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8"/>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Exceptional items</w:t>
            </w:r>
          </w:p>
        </w:tc>
        <w:tc>
          <w:tcPr>
            <w:tcW w:w="2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Exceptional items incurred during the year ended 31 December 2014 comprised the following:</w:t>
            </w:r>
          </w:p>
        </w:tc>
        <w:tc>
          <w:tcPr>
            <w:tcW w:w="2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3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3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3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8,796</w:t>
            </w: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9,033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w:t>
            </w:r>
          </w:p>
        </w:tc>
        <w:tc>
          <w:tcPr>
            <w:tcW w:w="2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Exceptional items (net)</w:t>
            </w:r>
          </w:p>
        </w:tc>
        <w:tc>
          <w:tcPr>
            <w:tcW w:w="2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8,796</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7,183</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restructuring charge of $8.8 million was recognised during the year ended 31 December 2014. Following the closure of the Company’s European Phase 1 services in 2013, the Company recognised a charge in 2014 in relation to its Manchester, United Kingdom facility; $5.6 million in relation to asset impairments and $3.2 million in relation to an onerous lease charge associated with this facility. We expect this to be paid by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Onerous</w:t>
            </w:r>
          </w:p>
        </w:tc>
        <w:tc>
          <w:tcPr>
            <w:tcW w:w="280" w:type="dxa"/>
            <w:vAlign w:val="bottom"/>
          </w:tcPr>
          <w:p>
            <w:pPr>
              <w:spacing w:after="0"/>
              <w:rPr>
                <w:sz w:val="18"/>
                <w:szCs w:val="18"/>
                <w:color w:val="auto"/>
              </w:rPr>
            </w:pPr>
          </w:p>
        </w:tc>
        <w:tc>
          <w:tcPr>
            <w:tcW w:w="15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Asset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Lease</w:t>
            </w:r>
          </w:p>
        </w:tc>
        <w:tc>
          <w:tcPr>
            <w:tcW w:w="280" w:type="dxa"/>
            <w:vAlign w:val="bottom"/>
          </w:tcPr>
          <w:p>
            <w:pPr>
              <w:spacing w:after="0"/>
              <w:rPr>
                <w:sz w:val="18"/>
                <w:szCs w:val="18"/>
                <w:color w:val="auto"/>
              </w:rPr>
            </w:pPr>
          </w:p>
        </w:tc>
        <w:tc>
          <w:tcPr>
            <w:tcW w:w="15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recognised</w:t>
            </w:r>
          </w:p>
        </w:tc>
        <w:tc>
          <w:tcPr>
            <w:tcW w:w="28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3,167</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5,629</w:t>
            </w: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Asset write-off</w:t>
            </w:r>
          </w:p>
        </w:tc>
        <w:tc>
          <w:tcPr>
            <w:tcW w:w="28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5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(5,629)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8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at December 31, 2014</w:t>
            </w:r>
          </w:p>
        </w:tc>
        <w:tc>
          <w:tcPr>
            <w:tcW w:w="28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3,167</w:t>
            </w:r>
          </w:p>
        </w:tc>
        <w:tc>
          <w:tcPr>
            <w:tcW w:w="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Period Restructuring Charges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Restructuring and other items of $9.0 million were recorded during the year ended 31 December 2013. During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rationalisations in certain areas of the business to improve resource utilisation. A further restructuring plan was also adopted during 2013 which resulted in resource rationalisations in order to improve operating efficiencies and reduce expenses. Details of the movement in this restructuring plan recognised are as follows: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7. Exceptional items </w:t>
            </w:r>
            <w:r>
              <w:rPr>
                <w:rFonts w:ascii="Times New Roman" w:cs="Times New Roman" w:eastAsia="Times New Roman" w:hAnsi="Times New Roman"/>
                <w:sz w:val="18"/>
                <w:szCs w:val="18"/>
                <w:b w:val="1"/>
                <w:bCs w:val="1"/>
                <w:i w:val="1"/>
                <w:iCs w:val="1"/>
                <w:color w:val="auto"/>
              </w:rPr>
              <w:t>(continued)</w:t>
            </w:r>
          </w:p>
        </w:tc>
        <w:tc>
          <w:tcPr>
            <w:tcW w:w="3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Workforce</w:t>
            </w:r>
          </w:p>
        </w:tc>
        <w:tc>
          <w:tcPr>
            <w:tcW w:w="48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Consolidations</w:t>
            </w:r>
          </w:p>
        </w:tc>
        <w:tc>
          <w:tcPr>
            <w:tcW w:w="4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Q1 Plan - Initial provision recognised</w:t>
            </w:r>
          </w:p>
        </w:tc>
        <w:tc>
          <w:tcPr>
            <w:tcW w:w="3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3,903</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509</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Q2 Plan - Initial provision recognised</w:t>
            </w:r>
          </w:p>
        </w:tc>
        <w:tc>
          <w:tcPr>
            <w:tcW w:w="3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4,228</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393</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recognised</w:t>
            </w:r>
          </w:p>
        </w:tc>
        <w:tc>
          <w:tcPr>
            <w:tcW w:w="3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8,131</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902</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3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released</w:t>
            </w:r>
          </w:p>
        </w:tc>
        <w:tc>
          <w:tcPr>
            <w:tcW w:w="3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3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at December 31, 2013</w:t>
            </w:r>
          </w:p>
        </w:tc>
        <w:tc>
          <w:tcPr>
            <w:tcW w:w="3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1,491</w:t>
            </w: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703</w:t>
            </w: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3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Amounts released</w:t>
            </w:r>
          </w:p>
        </w:tc>
        <w:tc>
          <w:tcPr>
            <w:tcW w:w="350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3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at December 31, 2014</w:t>
            </w:r>
          </w:p>
        </w:tc>
        <w:tc>
          <w:tcPr>
            <w:tcW w:w="35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171</w:t>
            </w:r>
          </w:p>
        </w:tc>
        <w:tc>
          <w:tcPr>
            <w:tcW w:w="4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366</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500" w:type="dxa"/>
            <w:vAlign w:val="bottom"/>
          </w:tcPr>
          <w:p>
            <w:pPr>
              <w:jc w:val="right"/>
              <w:ind w:right="1752"/>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Payroll and related benefits</w:t>
            </w: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Payroll costs</w:t>
            </w: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aggregate payroll costs of employees of the Group for the year ended 31 December 2014 were as follows:</w:t>
            </w: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i w:val="1"/>
                <w:iCs w:val="1"/>
                <w:color w:val="auto"/>
              </w:rPr>
              <w:t>Note</w:t>
            </w: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and salaries</w:t>
            </w:r>
          </w:p>
        </w:tc>
        <w:tc>
          <w:tcPr>
            <w:tcW w:w="7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839,264</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736,597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Social welfare costs</w:t>
            </w:r>
          </w:p>
        </w:tc>
        <w:tc>
          <w:tcPr>
            <w:tcW w:w="76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114,068</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110,035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costs for defined contribution pension schemes</w:t>
            </w:r>
          </w:p>
        </w:tc>
        <w:tc>
          <w:tcPr>
            <w:tcW w:w="7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32,690</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Pension costs for defined benefit pension schemes</w:t>
            </w:r>
          </w:p>
        </w:tc>
        <w:tc>
          <w:tcPr>
            <w:tcW w:w="760" w:type="dxa"/>
            <w:vAlign w:val="bottom"/>
          </w:tcPr>
          <w:p>
            <w:pPr>
              <w:jc w:val="right"/>
              <w:ind w:right="332"/>
              <w:spacing w:after="0"/>
              <w:rPr>
                <w:sz w:val="20"/>
                <w:szCs w:val="20"/>
                <w:color w:val="auto"/>
              </w:rPr>
            </w:pPr>
            <w:r>
              <w:rPr>
                <w:rFonts w:ascii="Times New Roman" w:cs="Times New Roman" w:eastAsia="Times New Roman" w:hAnsi="Times New Roman"/>
                <w:sz w:val="18"/>
                <w:szCs w:val="18"/>
                <w:i w:val="1"/>
                <w:iCs w:val="1"/>
                <w:color w:val="auto"/>
              </w:rPr>
              <w:t>9</w:t>
            </w: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681</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payments</w:t>
            </w:r>
          </w:p>
        </w:tc>
        <w:tc>
          <w:tcPr>
            <w:tcW w:w="7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i w:val="1"/>
                <w:iCs w:val="1"/>
                <w:color w:val="auto"/>
              </w:rPr>
              <w:t>10</w:t>
            </w:r>
          </w:p>
        </w:tc>
        <w:tc>
          <w:tcPr>
            <w:tcW w:w="1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22,359</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charge to income</w:t>
            </w:r>
          </w:p>
        </w:tc>
        <w:tc>
          <w:tcPr>
            <w:tcW w:w="7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1,009,062</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899,066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Re-measurement of post-employment benefit obligations</w:t>
            </w: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i w:val="1"/>
                <w:iCs w:val="1"/>
                <w:color w:val="auto"/>
              </w:rPr>
              <w:t>9</w:t>
            </w:r>
          </w:p>
        </w:tc>
        <w:tc>
          <w:tcPr>
            <w:tcW w:w="1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3,850</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payroll and related benefit costs</w:t>
            </w:r>
          </w:p>
        </w:tc>
        <w:tc>
          <w:tcPr>
            <w:tcW w:w="7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1,012,912</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897,627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00" w:firstLine="6"/>
        <w:spacing w:after="0" w:line="253" w:lineRule="auto"/>
        <w:tabs>
          <w:tab w:leader="none" w:pos="1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IFRS 2 Share based Payments requires that the fair value of share options and restricted share units is calculated and amortised over the vesting period of the related share option or restricted share unit.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employee numbers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number of employees, including executive Directors, employed by the Group during the year ended 31 December 2014 was as follows</w:t>
      </w:r>
      <w:r>
        <w:rPr>
          <w:rFonts w:ascii="Times New Roman" w:cs="Times New Roman" w:eastAsia="Times New Roman" w:hAnsi="Times New Roman"/>
          <w:sz w:val="18"/>
          <w:szCs w:val="18"/>
          <w:b w:val="1"/>
          <w:bCs w:val="1"/>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6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6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4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193</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w:t>
            </w:r>
          </w:p>
        </w:tc>
        <w:tc>
          <w:tcPr>
            <w:tcW w:w="46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1,203</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research processing</w:t>
            </w:r>
          </w:p>
        </w:tc>
        <w:tc>
          <w:tcPr>
            <w:tcW w:w="4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8,766</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Laboratory</w:t>
            </w:r>
          </w:p>
        </w:tc>
        <w:tc>
          <w:tcPr>
            <w:tcW w:w="4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462</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10,624</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remuneration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Remuneration policy</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Compensation and Organisation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Organisation Committee based on the achievement of the Group’s and individual performance objectives.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Payroll and related benefits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Non-Executive Directors’ remuneration</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Outside Directors are remunerated by way of Directors’ fees and are also eligible for participation in the share option scheme. Each Outside Director (excluding the Board Chairman) is paid an annual retainer of $60,000 and additional fees for Board Committee service. The Board Chairman is paid $563,000 annually and does not receive additional payment for Board Committee service. Outside Directors are not eligible for performance related bonuses and no pension contributions are made on their behalf. The Compensation and Organisation Committee sets non-Executive remuneration.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Directors’ and Key Executive Officers’ remuneration</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Total cash compensation is divided into a base salary portion and a bonus incentive portion. Base salary is established based on peer group and is adjusted based on individual performance, experience and the importance of the role.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Organisation Committee believes that the higher the executive’s level of responsibility within the Company, the greater the percentage of the executive’s compensation that should be tied to the Company’s performance. Target bonus incentive for executive officers range between 60% and 100% with actual pay outs ranging from 90% to 150% of salary based on group and individual performance.</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31 December 2014 an additional cash bonus of $5.9 million was awarded by the Compensation and Organisation Committee to Mr. Ciaran Murray Chief Executive Officer ($3.6 million), Mr. Brendan Brennan Chief Financial Officer ($0.9 million) and Dr. Steve Cutler Chief Operating Officer ($1.4 million), to reflect their contribution to the exceptional performance of the Company during 2014. The additional bonus is included within Other Liabilities in the Consolidated Balance Sheet at December 31, 2014. This amount has been paid in 2015 to date.</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year ended 31 December 2012 an additional bonus of $9.5 million was awarded by the Compensation and Organisation Committee to Mr. Ciaran Murray Chief Executive Officer ($5.5 million), Mr. Brendan Brennan Chief Financial Officer ($1.5 million) and Dr. Steve Cutler Chief Operating Officer ($2.5 million), to reflect their contribution to the successful turnaround in the performance of the Company during 2012 and the creation of a platform to enable the delivery of long-term sustainable returns to the Company’s shareholders. The bonus was payable in either cash or ordinary shares of the Company, at the discretion of the Committee, over the period up to 31 December 2015. $6.4 million was paid under this plan to 31 December 2014. The remaining $3.1 million is included within Other Liabilities in the Consolidated Balance Sheet at 31 December 2014. This amount has been paid in 2015 to date.</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Company’s executives are eligible to receive equity incentives, including share options, restricted share units and performance share units, granted under the Company’s equity incentive plans. If executives receive equity incentive grants, they are normally approved annually at the first regularly scheduled meeting of the Committee in the fiscal year. The grant date is determined by the Committee, and grants are awarded at the closing price on the day of grant. Newly hired executives may receive sign-on grants, if approved by the Committee.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 The Company granted equity incentive awards to executive officers in its fiscal years ended 31 December 2013 and 31 December 2014.</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Payroll and related benefits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p>
      <w:pPr>
        <w:spacing w:after="0" w:line="24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Directors, Executive Officers and Company Secretary have the following interests, all of which are beneficial, other than as stated, in the shares and share options of the Company or other Group companies at the following dates: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00" w:type="dxa"/>
            <w:vAlign w:val="bottom"/>
            <w:gridSpan w:val="2"/>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Interest at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Interest at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00" w:type="dxa"/>
            <w:vAlign w:val="bottom"/>
            <w:gridSpan w:val="2"/>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31 December 2014</w:t>
            </w:r>
          </w:p>
        </w:tc>
        <w:tc>
          <w:tcPr>
            <w:tcW w:w="256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31 December 2013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company</w:t>
            </w:r>
          </w:p>
        </w:tc>
        <w:tc>
          <w:tcPr>
            <w:tcW w:w="23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4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Number</w:t>
            </w:r>
          </w:p>
        </w:tc>
        <w:tc>
          <w:tcPr>
            <w:tcW w:w="9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98"/>
              </w:rPr>
              <w:t>Options</w:t>
            </w:r>
          </w:p>
        </w:tc>
        <w:tc>
          <w:tcPr>
            <w:tcW w:w="0" w:type="dxa"/>
            <w:vAlign w:val="bottom"/>
          </w:tcPr>
          <w:p>
            <w:pPr>
              <w:spacing w:after="0"/>
              <w:rPr>
                <w:sz w:val="1"/>
                <w:szCs w:val="1"/>
                <w:color w:val="auto"/>
              </w:rPr>
            </w:pPr>
          </w:p>
        </w:tc>
      </w:tr>
      <w:tr>
        <w:trPr>
          <w:trHeight w:val="212"/>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 description of</w:t>
            </w:r>
          </w:p>
        </w:tc>
        <w:tc>
          <w:tcPr>
            <w:tcW w:w="23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360" w:type="dxa"/>
            <w:vAlign w:val="bottom"/>
          </w:tcPr>
          <w:p>
            <w:pPr>
              <w:spacing w:after="0"/>
              <w:rPr>
                <w:sz w:val="18"/>
                <w:szCs w:val="18"/>
                <w:color w:val="auto"/>
              </w:rPr>
            </w:pPr>
          </w:p>
        </w:tc>
        <w:tc>
          <w:tcPr>
            <w:tcW w:w="164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of shares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Lynch</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ICON plc</w:t>
            </w:r>
          </w:p>
        </w:tc>
        <w:tc>
          <w:tcPr>
            <w:tcW w:w="23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4</w:t>
            </w:r>
          </w:p>
        </w:tc>
        <w:tc>
          <w:tcPr>
            <w:tcW w:w="136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23,000</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€0.06</w:t>
            </w:r>
          </w:p>
        </w:tc>
        <w:tc>
          <w:tcPr>
            <w:tcW w:w="2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Ciaran Murray</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ICON plc</w:t>
            </w:r>
          </w:p>
        </w:tc>
        <w:tc>
          <w:tcPr>
            <w:tcW w:w="23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15,149</w:t>
            </w:r>
          </w:p>
        </w:tc>
        <w:tc>
          <w:tcPr>
            <w:tcW w:w="136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353,901</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€0.06</w:t>
            </w:r>
          </w:p>
        </w:tc>
        <w:tc>
          <w:tcPr>
            <w:tcW w:w="2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368,873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ICON plc</w:t>
            </w:r>
          </w:p>
        </w:tc>
        <w:tc>
          <w:tcPr>
            <w:tcW w:w="23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3,025</w:t>
            </w:r>
          </w:p>
        </w:tc>
        <w:tc>
          <w:tcPr>
            <w:tcW w:w="136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58,996</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€0.06</w:t>
            </w:r>
          </w:p>
        </w:tc>
        <w:tc>
          <w:tcPr>
            <w:tcW w:w="2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43,233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Steve Cutler</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ICON plc</w:t>
            </w:r>
          </w:p>
        </w:tc>
        <w:tc>
          <w:tcPr>
            <w:tcW w:w="23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138,299</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€0.06</w:t>
            </w:r>
          </w:p>
        </w:tc>
        <w:tc>
          <w:tcPr>
            <w:tcW w:w="2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103,539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John Climax</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ICON plc</w:t>
            </w:r>
          </w:p>
        </w:tc>
        <w:tc>
          <w:tcPr>
            <w:tcW w:w="23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1,357,568</w:t>
            </w:r>
          </w:p>
        </w:tc>
        <w:tc>
          <w:tcPr>
            <w:tcW w:w="136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78,500</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€0.06</w:t>
            </w:r>
          </w:p>
        </w:tc>
        <w:tc>
          <w:tcPr>
            <w:tcW w:w="2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1,357,568</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Ronan Lambe</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ICON plc</w:t>
            </w:r>
          </w:p>
        </w:tc>
        <w:tc>
          <w:tcPr>
            <w:tcW w:w="23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400</w:t>
            </w:r>
          </w:p>
        </w:tc>
        <w:tc>
          <w:tcPr>
            <w:tcW w:w="136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22,500</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€0.06</w:t>
            </w:r>
          </w:p>
        </w:tc>
        <w:tc>
          <w:tcPr>
            <w:tcW w:w="2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400</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Dermot Kelleher</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ICON plc</w:t>
            </w:r>
          </w:p>
        </w:tc>
        <w:tc>
          <w:tcPr>
            <w:tcW w:w="23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18,500</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€0.06</w:t>
            </w:r>
          </w:p>
        </w:tc>
        <w:tc>
          <w:tcPr>
            <w:tcW w:w="2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Declan McKeon</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ICON plc</w:t>
            </w:r>
          </w:p>
        </w:tc>
        <w:tc>
          <w:tcPr>
            <w:tcW w:w="23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19,500</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€0.06</w:t>
            </w:r>
          </w:p>
        </w:tc>
        <w:tc>
          <w:tcPr>
            <w:tcW w:w="2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William Hall</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ICON plc</w:t>
            </w:r>
          </w:p>
        </w:tc>
        <w:tc>
          <w:tcPr>
            <w:tcW w:w="23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17,500</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€0.06</w:t>
            </w:r>
          </w:p>
        </w:tc>
        <w:tc>
          <w:tcPr>
            <w:tcW w:w="2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Prendergast</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ICON plc</w:t>
            </w:r>
          </w:p>
        </w:tc>
        <w:tc>
          <w:tcPr>
            <w:tcW w:w="23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€0.06</w:t>
            </w:r>
          </w:p>
        </w:tc>
        <w:tc>
          <w:tcPr>
            <w:tcW w:w="2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Hugh Brady</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ICON plc</w:t>
            </w:r>
          </w:p>
        </w:tc>
        <w:tc>
          <w:tcPr>
            <w:tcW w:w="23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€0.06</w:t>
            </w:r>
          </w:p>
        </w:tc>
        <w:tc>
          <w:tcPr>
            <w:tcW w:w="2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ICON plc</w:t>
            </w:r>
          </w:p>
        </w:tc>
        <w:tc>
          <w:tcPr>
            <w:tcW w:w="23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25,825</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€0.06</w:t>
            </w:r>
          </w:p>
        </w:tc>
        <w:tc>
          <w:tcPr>
            <w:tcW w:w="2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22,075</w:t>
            </w: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4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47</w:t>
            </w: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8. Payroll and related benefits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Further details regarding the above share options are as follows:</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10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Thomas Lynch</w:t>
            </w:r>
          </w:p>
        </w:tc>
        <w:tc>
          <w:tcPr>
            <w:tcW w:w="1380" w:type="dxa"/>
            <w:vAlign w:val="bottom"/>
            <w:shd w:val="clear" w:color="auto" w:fill="CCEEFF"/>
          </w:tcPr>
          <w:p>
            <w:pPr>
              <w:jc w:val="right"/>
              <w:ind w:right="332"/>
              <w:spacing w:after="0" w:line="194" w:lineRule="exact"/>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line="194" w:lineRule="exact"/>
              <w:rPr>
                <w:sz w:val="20"/>
                <w:szCs w:val="20"/>
                <w:color w:val="auto"/>
              </w:rPr>
            </w:pPr>
            <w:r>
              <w:rPr>
                <w:rFonts w:ascii="Times New Roman" w:cs="Times New Roman" w:eastAsia="Times New Roman" w:hAnsi="Times New Roman"/>
                <w:sz w:val="18"/>
                <w:szCs w:val="18"/>
                <w:color w:val="auto"/>
              </w:rPr>
              <w:t>$35.33</w:t>
            </w:r>
          </w:p>
        </w:tc>
        <w:tc>
          <w:tcPr>
            <w:tcW w:w="360" w:type="dxa"/>
            <w:vAlign w:val="bottom"/>
            <w:gridSpan w:val="2"/>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w w:val="99"/>
              </w:rPr>
              <w:t>26</w:t>
            </w:r>
          </w:p>
        </w:tc>
        <w:tc>
          <w:tcPr>
            <w:tcW w:w="1460" w:type="dxa"/>
            <w:vAlign w:val="bottom"/>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rPr>
              <w:t>February 2008</w:t>
            </w:r>
          </w:p>
        </w:tc>
        <w:tc>
          <w:tcPr>
            <w:tcW w:w="600" w:type="dxa"/>
            <w:vAlign w:val="bottom"/>
            <w:gridSpan w:val="2"/>
            <w:shd w:val="clear" w:color="auto" w:fill="CCEEFF"/>
          </w:tcPr>
          <w:p>
            <w:pPr>
              <w:ind w:left="400"/>
              <w:spacing w:after="0" w:line="194" w:lineRule="exact"/>
              <w:rPr>
                <w:sz w:val="20"/>
                <w:szCs w:val="20"/>
                <w:color w:val="auto"/>
              </w:rPr>
            </w:pPr>
            <w:r>
              <w:rPr>
                <w:rFonts w:ascii="Times New Roman" w:cs="Times New Roman" w:eastAsia="Times New Roman" w:hAnsi="Times New Roman"/>
                <w:sz w:val="18"/>
                <w:szCs w:val="18"/>
                <w:color w:val="auto"/>
                <w:w w:val="99"/>
              </w:rPr>
              <w:t>26</w:t>
            </w:r>
          </w:p>
        </w:tc>
        <w:tc>
          <w:tcPr>
            <w:tcW w:w="15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February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$24.46</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2010</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4</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2011</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$22.30</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27</w:t>
            </w:r>
          </w:p>
        </w:tc>
        <w:tc>
          <w:tcPr>
            <w:tcW w:w="14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9"/>
              </w:rPr>
              <w:t>April 2012</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27</w:t>
            </w:r>
          </w:p>
        </w:tc>
        <w:tc>
          <w:tcPr>
            <w:tcW w:w="15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6"/>
              </w:rPr>
              <w:t>April 2020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$32.37</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 May 2013</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 May 2021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$40.83</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 May 2014</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 May 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Ciaran Murray</w:t>
            </w:r>
          </w:p>
        </w:tc>
        <w:tc>
          <w:tcPr>
            <w:tcW w:w="1380" w:type="dxa"/>
            <w:vAlign w:val="bottom"/>
            <w:shd w:val="clear" w:color="auto" w:fill="CCEEFF"/>
          </w:tcPr>
          <w:p>
            <w:pPr>
              <w:jc w:val="right"/>
              <w:ind w:right="332"/>
              <w:spacing w:after="0" w:line="194" w:lineRule="exact"/>
              <w:rPr>
                <w:sz w:val="20"/>
                <w:szCs w:val="20"/>
                <w:color w:val="auto"/>
              </w:rPr>
            </w:pPr>
            <w:r>
              <w:rPr>
                <w:rFonts w:ascii="Times New Roman" w:cs="Times New Roman" w:eastAsia="Times New Roman" w:hAnsi="Times New Roman"/>
                <w:sz w:val="18"/>
                <w:szCs w:val="18"/>
                <w:color w:val="auto"/>
              </w:rPr>
              <w:t>14,000</w:t>
            </w:r>
          </w:p>
        </w:tc>
        <w:tc>
          <w:tcPr>
            <w:tcW w:w="1220" w:type="dxa"/>
            <w:vAlign w:val="bottom"/>
            <w:shd w:val="clear" w:color="auto" w:fill="CCEEFF"/>
          </w:tcPr>
          <w:p>
            <w:pPr>
              <w:jc w:val="right"/>
              <w:ind w:right="72"/>
              <w:spacing w:after="0" w:line="194" w:lineRule="exact"/>
              <w:rPr>
                <w:sz w:val="20"/>
                <w:szCs w:val="20"/>
                <w:color w:val="auto"/>
              </w:rPr>
            </w:pPr>
            <w:r>
              <w:rPr>
                <w:rFonts w:ascii="Times New Roman" w:cs="Times New Roman" w:eastAsia="Times New Roman" w:hAnsi="Times New Roman"/>
                <w:sz w:val="18"/>
                <w:szCs w:val="18"/>
                <w:color w:val="auto"/>
              </w:rPr>
              <w:t>$35.33</w:t>
            </w:r>
          </w:p>
        </w:tc>
        <w:tc>
          <w:tcPr>
            <w:tcW w:w="360" w:type="dxa"/>
            <w:vAlign w:val="bottom"/>
            <w:gridSpan w:val="2"/>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w w:val="99"/>
              </w:rPr>
              <w:t>26</w:t>
            </w:r>
          </w:p>
        </w:tc>
        <w:tc>
          <w:tcPr>
            <w:tcW w:w="1460" w:type="dxa"/>
            <w:vAlign w:val="bottom"/>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rPr>
              <w:t>February 2008</w:t>
            </w:r>
          </w:p>
        </w:tc>
        <w:tc>
          <w:tcPr>
            <w:tcW w:w="600" w:type="dxa"/>
            <w:vAlign w:val="bottom"/>
            <w:gridSpan w:val="2"/>
            <w:shd w:val="clear" w:color="auto" w:fill="CCEEFF"/>
          </w:tcPr>
          <w:p>
            <w:pPr>
              <w:ind w:left="400"/>
              <w:spacing w:after="0" w:line="194" w:lineRule="exact"/>
              <w:rPr>
                <w:sz w:val="20"/>
                <w:szCs w:val="20"/>
                <w:color w:val="auto"/>
              </w:rPr>
            </w:pPr>
            <w:r>
              <w:rPr>
                <w:rFonts w:ascii="Times New Roman" w:cs="Times New Roman" w:eastAsia="Times New Roman" w:hAnsi="Times New Roman"/>
                <w:sz w:val="18"/>
                <w:szCs w:val="18"/>
                <w:color w:val="auto"/>
                <w:w w:val="99"/>
              </w:rPr>
              <w:t>26</w:t>
            </w:r>
          </w:p>
        </w:tc>
        <w:tc>
          <w:tcPr>
            <w:tcW w:w="15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February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3,400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$22.26</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25</w:t>
            </w:r>
          </w:p>
        </w:tc>
        <w:tc>
          <w:tcPr>
            <w:tcW w:w="1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2009</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25</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$24.46</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2010</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4</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18,000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2011</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90,000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$16.80</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31</w:t>
            </w:r>
          </w:p>
        </w:tc>
        <w:tc>
          <w:tcPr>
            <w:tcW w:w="1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2011</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31</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40,000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$22.30</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27</w:t>
            </w:r>
          </w:p>
        </w:tc>
        <w:tc>
          <w:tcPr>
            <w:tcW w:w="14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9"/>
              </w:rPr>
              <w:t>April 2012</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27</w:t>
            </w:r>
          </w:p>
        </w:tc>
        <w:tc>
          <w:tcPr>
            <w:tcW w:w="15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6"/>
              </w:rPr>
              <w:t>April 2020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77,873</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$32.37</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 May 2013</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 May 2021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31,344</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$47.03</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2014</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67,284</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$48.67</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17</w:t>
            </w:r>
          </w:p>
        </w:tc>
        <w:tc>
          <w:tcPr>
            <w:tcW w:w="1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2014</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17</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Brendan Brennan</w:t>
            </w:r>
          </w:p>
        </w:tc>
        <w:tc>
          <w:tcPr>
            <w:tcW w:w="1380" w:type="dxa"/>
            <w:vAlign w:val="bottom"/>
            <w:shd w:val="clear" w:color="auto" w:fill="CCEEFF"/>
          </w:tcPr>
          <w:p>
            <w:pPr>
              <w:jc w:val="right"/>
              <w:ind w:right="332"/>
              <w:spacing w:after="0" w:line="194" w:lineRule="exact"/>
              <w:rPr>
                <w:sz w:val="20"/>
                <w:szCs w:val="20"/>
                <w:color w:val="auto"/>
              </w:rPr>
            </w:pPr>
            <w:r>
              <w:rPr>
                <w:rFonts w:ascii="Times New Roman" w:cs="Times New Roman" w:eastAsia="Times New Roman" w:hAnsi="Times New Roman"/>
                <w:sz w:val="18"/>
                <w:szCs w:val="18"/>
                <w:color w:val="auto"/>
              </w:rPr>
              <w:t>420</w:t>
            </w:r>
          </w:p>
        </w:tc>
        <w:tc>
          <w:tcPr>
            <w:tcW w:w="1220" w:type="dxa"/>
            <w:vAlign w:val="bottom"/>
            <w:shd w:val="clear" w:color="auto" w:fill="CCEEFF"/>
          </w:tcPr>
          <w:p>
            <w:pPr>
              <w:jc w:val="right"/>
              <w:ind w:right="72"/>
              <w:spacing w:after="0" w:line="194" w:lineRule="exact"/>
              <w:rPr>
                <w:sz w:val="20"/>
                <w:szCs w:val="20"/>
                <w:color w:val="auto"/>
              </w:rPr>
            </w:pPr>
            <w:r>
              <w:rPr>
                <w:rFonts w:ascii="Times New Roman" w:cs="Times New Roman" w:eastAsia="Times New Roman" w:hAnsi="Times New Roman"/>
                <w:sz w:val="18"/>
                <w:szCs w:val="18"/>
                <w:color w:val="auto"/>
              </w:rPr>
              <w:t>$22.26</w:t>
            </w:r>
          </w:p>
        </w:tc>
        <w:tc>
          <w:tcPr>
            <w:tcW w:w="360" w:type="dxa"/>
            <w:vAlign w:val="bottom"/>
            <w:gridSpan w:val="2"/>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w w:val="99"/>
              </w:rPr>
              <w:t>25</w:t>
            </w:r>
          </w:p>
        </w:tc>
        <w:tc>
          <w:tcPr>
            <w:tcW w:w="1460" w:type="dxa"/>
            <w:vAlign w:val="bottom"/>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rPr>
              <w:t>February 2009</w:t>
            </w:r>
          </w:p>
        </w:tc>
        <w:tc>
          <w:tcPr>
            <w:tcW w:w="600" w:type="dxa"/>
            <w:vAlign w:val="bottom"/>
            <w:gridSpan w:val="2"/>
            <w:shd w:val="clear" w:color="auto" w:fill="CCEEFF"/>
          </w:tcPr>
          <w:p>
            <w:pPr>
              <w:ind w:left="400"/>
              <w:spacing w:after="0" w:line="194" w:lineRule="exact"/>
              <w:rPr>
                <w:sz w:val="20"/>
                <w:szCs w:val="20"/>
                <w:color w:val="auto"/>
              </w:rPr>
            </w:pPr>
            <w:r>
              <w:rPr>
                <w:rFonts w:ascii="Times New Roman" w:cs="Times New Roman" w:eastAsia="Times New Roman" w:hAnsi="Times New Roman"/>
                <w:sz w:val="18"/>
                <w:szCs w:val="18"/>
                <w:color w:val="auto"/>
                <w:w w:val="99"/>
              </w:rPr>
              <w:t>25</w:t>
            </w:r>
          </w:p>
        </w:tc>
        <w:tc>
          <w:tcPr>
            <w:tcW w:w="15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February 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$24.46</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2010</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4</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2011</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$20.59</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22</w:t>
            </w:r>
          </w:p>
        </w:tc>
        <w:tc>
          <w:tcPr>
            <w:tcW w:w="1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2012</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22</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15,813</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$32.37</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 May 2013</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 May 2021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5,014</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$47.03</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2014</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10,749</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$48.67</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17</w:t>
            </w:r>
          </w:p>
        </w:tc>
        <w:tc>
          <w:tcPr>
            <w:tcW w:w="1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2014</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17</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Dr. Steve Cutler</w:t>
            </w:r>
          </w:p>
        </w:tc>
        <w:tc>
          <w:tcPr>
            <w:tcW w:w="1380" w:type="dxa"/>
            <w:vAlign w:val="bottom"/>
            <w:shd w:val="clear" w:color="auto" w:fill="CCEEFF"/>
          </w:tcPr>
          <w:p>
            <w:pPr>
              <w:jc w:val="right"/>
              <w:ind w:right="332"/>
              <w:spacing w:after="0" w:line="194" w:lineRule="exact"/>
              <w:rPr>
                <w:sz w:val="20"/>
                <w:szCs w:val="20"/>
                <w:color w:val="auto"/>
              </w:rPr>
            </w:pPr>
            <w:r>
              <w:rPr>
                <w:rFonts w:ascii="Times New Roman" w:cs="Times New Roman" w:eastAsia="Times New Roman" w:hAnsi="Times New Roman"/>
                <w:sz w:val="18"/>
                <w:szCs w:val="18"/>
                <w:color w:val="auto"/>
              </w:rPr>
              <w:t>18,000</w:t>
            </w:r>
          </w:p>
        </w:tc>
        <w:tc>
          <w:tcPr>
            <w:tcW w:w="1220" w:type="dxa"/>
            <w:vAlign w:val="bottom"/>
            <w:shd w:val="clear" w:color="auto" w:fill="CCEEFF"/>
          </w:tcPr>
          <w:p>
            <w:pPr>
              <w:jc w:val="right"/>
              <w:ind w:right="72"/>
              <w:spacing w:after="0" w:line="194" w:lineRule="exact"/>
              <w:rPr>
                <w:sz w:val="20"/>
                <w:szCs w:val="20"/>
                <w:color w:val="auto"/>
              </w:rPr>
            </w:pPr>
            <w:r>
              <w:rPr>
                <w:rFonts w:ascii="Times New Roman" w:cs="Times New Roman" w:eastAsia="Times New Roman" w:hAnsi="Times New Roman"/>
                <w:sz w:val="18"/>
                <w:szCs w:val="18"/>
                <w:color w:val="auto"/>
              </w:rPr>
              <w:t>$17.17</w:t>
            </w:r>
          </w:p>
        </w:tc>
        <w:tc>
          <w:tcPr>
            <w:tcW w:w="28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7</w:t>
            </w:r>
          </w:p>
        </w:tc>
        <w:tc>
          <w:tcPr>
            <w:tcW w:w="1540" w:type="dxa"/>
            <w:vAlign w:val="bottom"/>
            <w:gridSpan w:val="2"/>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7"/>
              </w:rPr>
              <w:t>November 2011</w:t>
            </w:r>
          </w:p>
        </w:tc>
        <w:tc>
          <w:tcPr>
            <w:tcW w:w="500" w:type="dxa"/>
            <w:vAlign w:val="bottom"/>
            <w:shd w:val="clear" w:color="auto" w:fill="CCEEFF"/>
          </w:tcPr>
          <w:p>
            <w:pPr>
              <w:ind w:left="400"/>
              <w:spacing w:after="0" w:line="194" w:lineRule="exact"/>
              <w:rPr>
                <w:sz w:val="20"/>
                <w:szCs w:val="20"/>
                <w:color w:val="auto"/>
              </w:rPr>
            </w:pPr>
            <w:r>
              <w:rPr>
                <w:rFonts w:ascii="Times New Roman" w:cs="Times New Roman" w:eastAsia="Times New Roman" w:hAnsi="Times New Roman"/>
                <w:sz w:val="18"/>
                <w:szCs w:val="18"/>
                <w:color w:val="auto"/>
                <w:w w:val="88"/>
              </w:rPr>
              <w:t>7</w:t>
            </w:r>
          </w:p>
        </w:tc>
        <w:tc>
          <w:tcPr>
            <w:tcW w:w="1600" w:type="dxa"/>
            <w:vAlign w:val="bottom"/>
            <w:gridSpan w:val="2"/>
            <w:shd w:val="clear" w:color="auto" w:fill="CCEEFF"/>
          </w:tcPr>
          <w:p>
            <w:pPr>
              <w:jc w:val="right"/>
              <w:ind w:right="352"/>
              <w:spacing w:after="0" w:line="194" w:lineRule="exact"/>
              <w:rPr>
                <w:sz w:val="20"/>
                <w:szCs w:val="20"/>
                <w:color w:val="auto"/>
              </w:rPr>
            </w:pPr>
            <w:r>
              <w:rPr>
                <w:rFonts w:ascii="Times New Roman" w:cs="Times New Roman" w:eastAsia="Times New Roman" w:hAnsi="Times New Roman"/>
                <w:sz w:val="18"/>
                <w:szCs w:val="18"/>
                <w:color w:val="auto"/>
                <w:w w:val="97"/>
              </w:rPr>
              <w:t>November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27,000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$20.59</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22</w:t>
            </w:r>
          </w:p>
        </w:tc>
        <w:tc>
          <w:tcPr>
            <w:tcW w:w="1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2012</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22</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43,539</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$32.37</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 May 2013</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 May 2021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15,823</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$47.03</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2014</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33,937</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$48.67</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17</w:t>
            </w:r>
          </w:p>
        </w:tc>
        <w:tc>
          <w:tcPr>
            <w:tcW w:w="1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2014</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17</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Dr. John Climax</w:t>
            </w:r>
          </w:p>
        </w:tc>
        <w:tc>
          <w:tcPr>
            <w:tcW w:w="1380" w:type="dxa"/>
            <w:vAlign w:val="bottom"/>
            <w:shd w:val="clear" w:color="auto" w:fill="CCEEFF"/>
          </w:tcPr>
          <w:p>
            <w:pPr>
              <w:jc w:val="right"/>
              <w:ind w:right="332"/>
              <w:spacing w:after="0" w:line="194" w:lineRule="exact"/>
              <w:rPr>
                <w:sz w:val="20"/>
                <w:szCs w:val="20"/>
                <w:color w:val="auto"/>
              </w:rPr>
            </w:pPr>
            <w:r>
              <w:rPr>
                <w:rFonts w:ascii="Times New Roman" w:cs="Times New Roman" w:eastAsia="Times New Roman" w:hAnsi="Times New Roman"/>
                <w:sz w:val="18"/>
                <w:szCs w:val="18"/>
                <w:color w:val="auto"/>
              </w:rPr>
              <w:t>10,000</w:t>
            </w:r>
          </w:p>
        </w:tc>
        <w:tc>
          <w:tcPr>
            <w:tcW w:w="1220" w:type="dxa"/>
            <w:vAlign w:val="bottom"/>
            <w:shd w:val="clear" w:color="auto" w:fill="CCEEFF"/>
          </w:tcPr>
          <w:p>
            <w:pPr>
              <w:jc w:val="right"/>
              <w:ind w:right="72"/>
              <w:spacing w:after="0" w:line="194" w:lineRule="exact"/>
              <w:rPr>
                <w:sz w:val="20"/>
                <w:szCs w:val="20"/>
                <w:color w:val="auto"/>
              </w:rPr>
            </w:pPr>
            <w:r>
              <w:rPr>
                <w:rFonts w:ascii="Times New Roman" w:cs="Times New Roman" w:eastAsia="Times New Roman" w:hAnsi="Times New Roman"/>
                <w:sz w:val="18"/>
                <w:szCs w:val="18"/>
                <w:color w:val="auto"/>
              </w:rPr>
              <w:t>$35.33</w:t>
            </w:r>
          </w:p>
        </w:tc>
        <w:tc>
          <w:tcPr>
            <w:tcW w:w="360" w:type="dxa"/>
            <w:vAlign w:val="bottom"/>
            <w:gridSpan w:val="2"/>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w w:val="99"/>
              </w:rPr>
              <w:t>26</w:t>
            </w:r>
          </w:p>
        </w:tc>
        <w:tc>
          <w:tcPr>
            <w:tcW w:w="1460" w:type="dxa"/>
            <w:vAlign w:val="bottom"/>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rPr>
              <w:t>February 2008</w:t>
            </w:r>
          </w:p>
        </w:tc>
        <w:tc>
          <w:tcPr>
            <w:tcW w:w="600" w:type="dxa"/>
            <w:vAlign w:val="bottom"/>
            <w:gridSpan w:val="2"/>
            <w:shd w:val="clear" w:color="auto" w:fill="CCEEFF"/>
          </w:tcPr>
          <w:p>
            <w:pPr>
              <w:ind w:left="400"/>
              <w:spacing w:after="0" w:line="194" w:lineRule="exact"/>
              <w:rPr>
                <w:sz w:val="20"/>
                <w:szCs w:val="20"/>
                <w:color w:val="auto"/>
              </w:rPr>
            </w:pPr>
            <w:r>
              <w:rPr>
                <w:rFonts w:ascii="Times New Roman" w:cs="Times New Roman" w:eastAsia="Times New Roman" w:hAnsi="Times New Roman"/>
                <w:sz w:val="18"/>
                <w:szCs w:val="18"/>
                <w:color w:val="auto"/>
                <w:w w:val="99"/>
              </w:rPr>
              <w:t>26</w:t>
            </w:r>
          </w:p>
        </w:tc>
        <w:tc>
          <w:tcPr>
            <w:tcW w:w="15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February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50,000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$15.84</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30</w:t>
            </w:r>
          </w:p>
        </w:tc>
        <w:tc>
          <w:tcPr>
            <w:tcW w:w="14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9"/>
              </w:rPr>
              <w:t>April 2009</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30</w:t>
            </w:r>
          </w:p>
        </w:tc>
        <w:tc>
          <w:tcPr>
            <w:tcW w:w="15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6"/>
              </w:rPr>
              <w:t>April 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$24.46</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2010</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4</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2011</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$22.30</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27</w:t>
            </w:r>
          </w:p>
        </w:tc>
        <w:tc>
          <w:tcPr>
            <w:tcW w:w="14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9"/>
              </w:rPr>
              <w:t>April 2012</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27</w:t>
            </w:r>
          </w:p>
        </w:tc>
        <w:tc>
          <w:tcPr>
            <w:tcW w:w="15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6"/>
              </w:rPr>
              <w:t>April 2020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$32.37</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 May 2013</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 May 2021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$40.83</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 May 2014</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 May 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3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48</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8. Payroll and related benefits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tc>
        <w:tc>
          <w:tcPr>
            <w:tcW w:w="1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10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Dr. Ronan Lambe</w:t>
            </w:r>
          </w:p>
        </w:tc>
        <w:tc>
          <w:tcPr>
            <w:tcW w:w="1580" w:type="dxa"/>
            <w:vAlign w:val="bottom"/>
            <w:tcBorders>
              <w:top w:val="single" w:sz="8" w:color="auto"/>
            </w:tcBorders>
            <w:shd w:val="clear" w:color="auto" w:fill="CCEEFF"/>
          </w:tcPr>
          <w:p>
            <w:pPr>
              <w:jc w:val="right"/>
              <w:ind w:right="332"/>
              <w:spacing w:after="0" w:line="194" w:lineRule="exact"/>
              <w:rPr>
                <w:sz w:val="20"/>
                <w:szCs w:val="20"/>
                <w:color w:val="auto"/>
              </w:rPr>
            </w:pPr>
            <w:r>
              <w:rPr>
                <w:rFonts w:ascii="Times New Roman" w:cs="Times New Roman" w:eastAsia="Times New Roman" w:hAnsi="Times New Roman"/>
                <w:sz w:val="18"/>
                <w:szCs w:val="18"/>
                <w:color w:val="auto"/>
              </w:rPr>
              <w:t>2,000</w:t>
            </w:r>
          </w:p>
        </w:tc>
        <w:tc>
          <w:tcPr>
            <w:tcW w:w="1220" w:type="dxa"/>
            <w:vAlign w:val="bottom"/>
            <w:tcBorders>
              <w:top w:val="single" w:sz="8" w:color="auto"/>
            </w:tcBorders>
            <w:shd w:val="clear" w:color="auto" w:fill="CCEEFF"/>
          </w:tcPr>
          <w:p>
            <w:pPr>
              <w:jc w:val="right"/>
              <w:ind w:right="72"/>
              <w:spacing w:after="0" w:line="194" w:lineRule="exact"/>
              <w:rPr>
                <w:sz w:val="20"/>
                <w:szCs w:val="20"/>
                <w:color w:val="auto"/>
              </w:rPr>
            </w:pPr>
            <w:r>
              <w:rPr>
                <w:rFonts w:ascii="Times New Roman" w:cs="Times New Roman" w:eastAsia="Times New Roman" w:hAnsi="Times New Roman"/>
                <w:sz w:val="18"/>
                <w:szCs w:val="18"/>
                <w:color w:val="auto"/>
              </w:rPr>
              <w:t>$35.33</w:t>
            </w:r>
          </w:p>
        </w:tc>
        <w:tc>
          <w:tcPr>
            <w:tcW w:w="360" w:type="dxa"/>
            <w:vAlign w:val="bottom"/>
            <w:tcBorders>
              <w:top w:val="single" w:sz="8" w:color="auto"/>
            </w:tcBorders>
            <w:gridSpan w:val="2"/>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w w:val="99"/>
              </w:rPr>
              <w:t>26</w:t>
            </w:r>
          </w:p>
        </w:tc>
        <w:tc>
          <w:tcPr>
            <w:tcW w:w="1460" w:type="dxa"/>
            <w:vAlign w:val="bottom"/>
            <w:tcBorders>
              <w:top w:val="single" w:sz="8" w:color="auto"/>
            </w:tcBorders>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rPr>
              <w:t>February 2008</w:t>
            </w:r>
          </w:p>
        </w:tc>
        <w:tc>
          <w:tcPr>
            <w:tcW w:w="600" w:type="dxa"/>
            <w:vAlign w:val="bottom"/>
            <w:tcBorders>
              <w:top w:val="single" w:sz="8" w:color="auto"/>
            </w:tcBorders>
            <w:gridSpan w:val="2"/>
            <w:shd w:val="clear" w:color="auto" w:fill="CCEEFF"/>
          </w:tcPr>
          <w:p>
            <w:pPr>
              <w:ind w:left="400"/>
              <w:spacing w:after="0" w:line="194" w:lineRule="exact"/>
              <w:rPr>
                <w:sz w:val="20"/>
                <w:szCs w:val="20"/>
                <w:color w:val="auto"/>
              </w:rPr>
            </w:pPr>
            <w:r>
              <w:rPr>
                <w:rFonts w:ascii="Times New Roman" w:cs="Times New Roman" w:eastAsia="Times New Roman" w:hAnsi="Times New Roman"/>
                <w:sz w:val="18"/>
                <w:szCs w:val="18"/>
                <w:color w:val="auto"/>
                <w:w w:val="99"/>
              </w:rPr>
              <w:t>26</w:t>
            </w:r>
          </w:p>
        </w:tc>
        <w:tc>
          <w:tcPr>
            <w:tcW w:w="1500" w:type="dxa"/>
            <w:vAlign w:val="bottom"/>
            <w:tcBorders>
              <w:top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February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$22.26</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25</w:t>
            </w:r>
          </w:p>
        </w:tc>
        <w:tc>
          <w:tcPr>
            <w:tcW w:w="1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2009</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25</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$24.46</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2010</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4</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2011</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$22.30</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27</w:t>
            </w:r>
          </w:p>
        </w:tc>
        <w:tc>
          <w:tcPr>
            <w:tcW w:w="14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9"/>
              </w:rPr>
              <w:t>April 2012</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27</w:t>
            </w:r>
          </w:p>
        </w:tc>
        <w:tc>
          <w:tcPr>
            <w:tcW w:w="15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6"/>
              </w:rPr>
              <w:t>April 2020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$32.37</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 May 2013</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 May 2021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$40.83</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 May 2014</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 May 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Prof. Dermot Kelleher</w:t>
            </w:r>
          </w:p>
        </w:tc>
        <w:tc>
          <w:tcPr>
            <w:tcW w:w="1580" w:type="dxa"/>
            <w:vAlign w:val="bottom"/>
            <w:shd w:val="clear" w:color="auto" w:fill="CCEEFF"/>
          </w:tcPr>
          <w:p>
            <w:pPr>
              <w:jc w:val="right"/>
              <w:ind w:right="332"/>
              <w:spacing w:after="0" w:line="194" w:lineRule="exact"/>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line="194" w:lineRule="exact"/>
              <w:rPr>
                <w:sz w:val="20"/>
                <w:szCs w:val="20"/>
                <w:color w:val="auto"/>
              </w:rPr>
            </w:pPr>
            <w:r>
              <w:rPr>
                <w:rFonts w:ascii="Times New Roman" w:cs="Times New Roman" w:eastAsia="Times New Roman" w:hAnsi="Times New Roman"/>
                <w:sz w:val="18"/>
                <w:szCs w:val="18"/>
                <w:color w:val="auto"/>
              </w:rPr>
              <w:t>$24.46</w:t>
            </w:r>
          </w:p>
        </w:tc>
        <w:tc>
          <w:tcPr>
            <w:tcW w:w="28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shd w:val="clear" w:color="auto" w:fill="CCEEFF"/>
          </w:tcPr>
          <w:p>
            <w:pPr>
              <w:jc w:val="right"/>
              <w:ind w:right="572"/>
              <w:spacing w:after="0" w:line="194" w:lineRule="exact"/>
              <w:rPr>
                <w:sz w:val="20"/>
                <w:szCs w:val="20"/>
                <w:color w:val="auto"/>
              </w:rPr>
            </w:pPr>
            <w:r>
              <w:rPr>
                <w:rFonts w:ascii="Times New Roman" w:cs="Times New Roman" w:eastAsia="Times New Roman" w:hAnsi="Times New Roman"/>
                <w:sz w:val="18"/>
                <w:szCs w:val="18"/>
                <w:color w:val="auto"/>
                <w:w w:val="98"/>
              </w:rPr>
              <w:t>March 2010</w:t>
            </w:r>
          </w:p>
        </w:tc>
        <w:tc>
          <w:tcPr>
            <w:tcW w:w="500" w:type="dxa"/>
            <w:vAlign w:val="bottom"/>
            <w:shd w:val="clear" w:color="auto" w:fill="CCEEFF"/>
          </w:tcPr>
          <w:p>
            <w:pPr>
              <w:ind w:left="400"/>
              <w:spacing w:after="0" w:line="194" w:lineRule="exact"/>
              <w:rPr>
                <w:sz w:val="20"/>
                <w:szCs w:val="20"/>
                <w:color w:val="auto"/>
              </w:rPr>
            </w:pPr>
            <w:r>
              <w:rPr>
                <w:rFonts w:ascii="Times New Roman" w:cs="Times New Roman" w:eastAsia="Times New Roman" w:hAnsi="Times New Roman"/>
                <w:sz w:val="18"/>
                <w:szCs w:val="18"/>
                <w:color w:val="auto"/>
                <w:w w:val="88"/>
              </w:rPr>
              <w:t>4</w:t>
            </w:r>
          </w:p>
        </w:tc>
        <w:tc>
          <w:tcPr>
            <w:tcW w:w="1600" w:type="dxa"/>
            <w:vAlign w:val="bottom"/>
            <w:gridSpan w:val="2"/>
            <w:shd w:val="clear" w:color="auto" w:fill="CCEEFF"/>
          </w:tcPr>
          <w:p>
            <w:pPr>
              <w:jc w:val="right"/>
              <w:ind w:right="632"/>
              <w:spacing w:after="0" w:line="194" w:lineRule="exact"/>
              <w:rPr>
                <w:sz w:val="20"/>
                <w:szCs w:val="20"/>
                <w:color w:val="auto"/>
              </w:rPr>
            </w:pPr>
            <w:r>
              <w:rPr>
                <w:rFonts w:ascii="Times New Roman" w:cs="Times New Roman" w:eastAsia="Times New Roman" w:hAnsi="Times New Roman"/>
                <w:sz w:val="18"/>
                <w:szCs w:val="18"/>
                <w:color w:val="auto"/>
                <w:w w:val="98"/>
              </w:rPr>
              <w:t>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2011</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$22.30</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27</w:t>
            </w:r>
          </w:p>
        </w:tc>
        <w:tc>
          <w:tcPr>
            <w:tcW w:w="14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9"/>
              </w:rPr>
              <w:t>April 2012</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27</w:t>
            </w:r>
          </w:p>
        </w:tc>
        <w:tc>
          <w:tcPr>
            <w:tcW w:w="15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6"/>
              </w:rPr>
              <w:t>April 2020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$32.37</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 May 2013</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 May 2021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$40.83</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 May 2014</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 May 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Declan McKeon</w:t>
            </w:r>
          </w:p>
        </w:tc>
        <w:tc>
          <w:tcPr>
            <w:tcW w:w="1580" w:type="dxa"/>
            <w:vAlign w:val="bottom"/>
            <w:shd w:val="clear" w:color="auto" w:fill="CCEEFF"/>
          </w:tcPr>
          <w:p>
            <w:pPr>
              <w:jc w:val="right"/>
              <w:ind w:right="332"/>
              <w:spacing w:after="0" w:line="194" w:lineRule="exact"/>
              <w:rPr>
                <w:sz w:val="20"/>
                <w:szCs w:val="20"/>
                <w:color w:val="auto"/>
              </w:rPr>
            </w:pPr>
            <w:r>
              <w:rPr>
                <w:rFonts w:ascii="Times New Roman" w:cs="Times New Roman" w:eastAsia="Times New Roman" w:hAnsi="Times New Roman"/>
                <w:sz w:val="18"/>
                <w:szCs w:val="18"/>
                <w:color w:val="auto"/>
              </w:rPr>
              <w:t>3,000</w:t>
            </w:r>
          </w:p>
        </w:tc>
        <w:tc>
          <w:tcPr>
            <w:tcW w:w="1220" w:type="dxa"/>
            <w:vAlign w:val="bottom"/>
            <w:shd w:val="clear" w:color="auto" w:fill="CCEEFF"/>
          </w:tcPr>
          <w:p>
            <w:pPr>
              <w:jc w:val="right"/>
              <w:ind w:right="72"/>
              <w:spacing w:after="0" w:line="194" w:lineRule="exact"/>
              <w:rPr>
                <w:sz w:val="20"/>
                <w:szCs w:val="20"/>
                <w:color w:val="auto"/>
              </w:rPr>
            </w:pPr>
            <w:r>
              <w:rPr>
                <w:rFonts w:ascii="Times New Roman" w:cs="Times New Roman" w:eastAsia="Times New Roman" w:hAnsi="Times New Roman"/>
                <w:sz w:val="18"/>
                <w:szCs w:val="18"/>
                <w:color w:val="auto"/>
              </w:rPr>
              <w:t>$29.45</w:t>
            </w:r>
          </w:p>
        </w:tc>
        <w:tc>
          <w:tcPr>
            <w:tcW w:w="360" w:type="dxa"/>
            <w:vAlign w:val="bottom"/>
            <w:gridSpan w:val="2"/>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w w:val="99"/>
              </w:rPr>
              <w:t>29</w:t>
            </w:r>
          </w:p>
        </w:tc>
        <w:tc>
          <w:tcPr>
            <w:tcW w:w="1460" w:type="dxa"/>
            <w:vAlign w:val="bottom"/>
            <w:shd w:val="clear" w:color="auto" w:fill="CCEEFF"/>
          </w:tcPr>
          <w:p>
            <w:pPr>
              <w:jc w:val="right"/>
              <w:ind w:right="572"/>
              <w:spacing w:after="0" w:line="194" w:lineRule="exact"/>
              <w:rPr>
                <w:sz w:val="20"/>
                <w:szCs w:val="20"/>
                <w:color w:val="auto"/>
              </w:rPr>
            </w:pPr>
            <w:r>
              <w:rPr>
                <w:rFonts w:ascii="Times New Roman" w:cs="Times New Roman" w:eastAsia="Times New Roman" w:hAnsi="Times New Roman"/>
                <w:sz w:val="18"/>
                <w:szCs w:val="18"/>
                <w:color w:val="auto"/>
                <w:w w:val="99"/>
              </w:rPr>
              <w:t>April 2010</w:t>
            </w:r>
          </w:p>
        </w:tc>
        <w:tc>
          <w:tcPr>
            <w:tcW w:w="600" w:type="dxa"/>
            <w:vAlign w:val="bottom"/>
            <w:gridSpan w:val="2"/>
            <w:shd w:val="clear" w:color="auto" w:fill="CCEEFF"/>
          </w:tcPr>
          <w:p>
            <w:pPr>
              <w:ind w:left="400"/>
              <w:spacing w:after="0" w:line="194" w:lineRule="exact"/>
              <w:rPr>
                <w:sz w:val="20"/>
                <w:szCs w:val="20"/>
                <w:color w:val="auto"/>
              </w:rPr>
            </w:pPr>
            <w:r>
              <w:rPr>
                <w:rFonts w:ascii="Times New Roman" w:cs="Times New Roman" w:eastAsia="Times New Roman" w:hAnsi="Times New Roman"/>
                <w:sz w:val="18"/>
                <w:szCs w:val="18"/>
                <w:color w:val="auto"/>
                <w:w w:val="99"/>
              </w:rPr>
              <w:t>29</w:t>
            </w:r>
          </w:p>
        </w:tc>
        <w:tc>
          <w:tcPr>
            <w:tcW w:w="1500" w:type="dxa"/>
            <w:vAlign w:val="bottom"/>
            <w:shd w:val="clear" w:color="auto" w:fill="CCEEFF"/>
          </w:tcPr>
          <w:p>
            <w:pPr>
              <w:jc w:val="right"/>
              <w:ind w:right="632"/>
              <w:spacing w:after="0" w:line="194" w:lineRule="exact"/>
              <w:rPr>
                <w:sz w:val="20"/>
                <w:szCs w:val="20"/>
                <w:color w:val="auto"/>
              </w:rPr>
            </w:pPr>
            <w:r>
              <w:rPr>
                <w:rFonts w:ascii="Times New Roman" w:cs="Times New Roman" w:eastAsia="Times New Roman" w:hAnsi="Times New Roman"/>
                <w:sz w:val="18"/>
                <w:szCs w:val="18"/>
                <w:color w:val="auto"/>
                <w:w w:val="96"/>
              </w:rPr>
              <w:t>April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2011</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$22.30</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27</w:t>
            </w:r>
          </w:p>
        </w:tc>
        <w:tc>
          <w:tcPr>
            <w:tcW w:w="14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9"/>
              </w:rPr>
              <w:t>April 2012</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27</w:t>
            </w:r>
          </w:p>
        </w:tc>
        <w:tc>
          <w:tcPr>
            <w:tcW w:w="15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6"/>
              </w:rPr>
              <w:t>April 2020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$32.37</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 May 2013</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 May 2021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$40.83</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 May 2014</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 May 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Professor William Hall</w:t>
            </w:r>
          </w:p>
        </w:tc>
        <w:tc>
          <w:tcPr>
            <w:tcW w:w="1580" w:type="dxa"/>
            <w:vAlign w:val="bottom"/>
            <w:shd w:val="clear" w:color="auto" w:fill="CCEEFF"/>
          </w:tcPr>
          <w:p>
            <w:pPr>
              <w:jc w:val="right"/>
              <w:ind w:right="332"/>
              <w:spacing w:after="0" w:line="194" w:lineRule="exact"/>
              <w:rPr>
                <w:sz w:val="20"/>
                <w:szCs w:val="20"/>
                <w:color w:val="auto"/>
              </w:rPr>
            </w:pPr>
            <w:r>
              <w:rPr>
                <w:rFonts w:ascii="Times New Roman" w:cs="Times New Roman" w:eastAsia="Times New Roman" w:hAnsi="Times New Roman"/>
                <w:sz w:val="18"/>
                <w:szCs w:val="18"/>
                <w:color w:val="auto"/>
              </w:rPr>
              <w:t>7,500</w:t>
            </w:r>
          </w:p>
        </w:tc>
        <w:tc>
          <w:tcPr>
            <w:tcW w:w="1220" w:type="dxa"/>
            <w:vAlign w:val="bottom"/>
            <w:shd w:val="clear" w:color="auto" w:fill="CCEEFF"/>
          </w:tcPr>
          <w:p>
            <w:pPr>
              <w:jc w:val="right"/>
              <w:ind w:right="72"/>
              <w:spacing w:after="0" w:line="194" w:lineRule="exact"/>
              <w:rPr>
                <w:sz w:val="20"/>
                <w:szCs w:val="20"/>
                <w:color w:val="auto"/>
              </w:rPr>
            </w:pPr>
            <w:r>
              <w:rPr>
                <w:rFonts w:ascii="Times New Roman" w:cs="Times New Roman" w:eastAsia="Times New Roman" w:hAnsi="Times New Roman"/>
                <w:sz w:val="18"/>
                <w:szCs w:val="18"/>
                <w:color w:val="auto"/>
              </w:rPr>
              <w:t>$32.37</w:t>
            </w:r>
          </w:p>
        </w:tc>
        <w:tc>
          <w:tcPr>
            <w:tcW w:w="28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712"/>
              <w:spacing w:after="0" w:line="194" w:lineRule="exact"/>
              <w:rPr>
                <w:sz w:val="20"/>
                <w:szCs w:val="20"/>
                <w:color w:val="auto"/>
              </w:rPr>
            </w:pPr>
            <w:r>
              <w:rPr>
                <w:rFonts w:ascii="Times New Roman" w:cs="Times New Roman" w:eastAsia="Times New Roman" w:hAnsi="Times New Roman"/>
                <w:sz w:val="18"/>
                <w:szCs w:val="18"/>
                <w:color w:val="auto"/>
                <w:w w:val="97"/>
              </w:rPr>
              <w:t>May 2013</w:t>
            </w:r>
          </w:p>
        </w:tc>
        <w:tc>
          <w:tcPr>
            <w:tcW w:w="500" w:type="dxa"/>
            <w:vAlign w:val="bottom"/>
            <w:shd w:val="clear" w:color="auto" w:fill="CCEEFF"/>
          </w:tcPr>
          <w:p>
            <w:pPr>
              <w:ind w:left="400"/>
              <w:spacing w:after="0" w:line="194" w:lineRule="exact"/>
              <w:rPr>
                <w:sz w:val="20"/>
                <w:szCs w:val="20"/>
                <w:color w:val="auto"/>
              </w:rPr>
            </w:pPr>
            <w:r>
              <w:rPr>
                <w:rFonts w:ascii="Times New Roman" w:cs="Times New Roman" w:eastAsia="Times New Roman" w:hAnsi="Times New Roman"/>
                <w:sz w:val="18"/>
                <w:szCs w:val="18"/>
                <w:color w:val="auto"/>
                <w:w w:val="88"/>
              </w:rPr>
              <w:t>1</w:t>
            </w:r>
          </w:p>
        </w:tc>
        <w:tc>
          <w:tcPr>
            <w:tcW w:w="1600" w:type="dxa"/>
            <w:vAlign w:val="bottom"/>
            <w:gridSpan w:val="2"/>
            <w:shd w:val="clear" w:color="auto" w:fill="CCEEFF"/>
          </w:tcPr>
          <w:p>
            <w:pPr>
              <w:jc w:val="right"/>
              <w:ind w:right="772"/>
              <w:spacing w:after="0" w:line="194" w:lineRule="exact"/>
              <w:rPr>
                <w:sz w:val="20"/>
                <w:szCs w:val="20"/>
                <w:color w:val="auto"/>
              </w:rPr>
            </w:pPr>
            <w:r>
              <w:rPr>
                <w:rFonts w:ascii="Times New Roman" w:cs="Times New Roman" w:eastAsia="Times New Roman" w:hAnsi="Times New Roman"/>
                <w:sz w:val="18"/>
                <w:szCs w:val="18"/>
                <w:color w:val="auto"/>
                <w:w w:val="97"/>
              </w:rPr>
              <w:t>May 2021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$40.83</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 May 2014</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 May 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Pendergast</w:t>
            </w: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$40.83</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23</w:t>
            </w:r>
          </w:p>
        </w:tc>
        <w:tc>
          <w:tcPr>
            <w:tcW w:w="1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2014</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23</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gridSpan w:val="3"/>
            <w:shd w:val="clear" w:color="auto" w:fill="CCEEFF"/>
          </w:tcPr>
          <w:p>
            <w:pPr>
              <w:spacing w:after="0"/>
              <w:rPr>
                <w:sz w:val="17"/>
                <w:szCs w:val="17"/>
                <w:color w:val="auto"/>
              </w:rPr>
            </w:pPr>
          </w:p>
        </w:tc>
        <w:tc>
          <w:tcPr>
            <w:tcW w:w="2100" w:type="dxa"/>
            <w:vAlign w:val="bottom"/>
            <w:tcBorders>
              <w:bottom w:val="single" w:sz="8" w:color="auto"/>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gridSpan w:val="3"/>
          </w:tcPr>
          <w:p>
            <w:pPr>
              <w:spacing w:after="0"/>
              <w:rPr>
                <w:sz w:val="18"/>
                <w:szCs w:val="18"/>
                <w:color w:val="auto"/>
              </w:rPr>
            </w:pPr>
          </w:p>
        </w:tc>
        <w:tc>
          <w:tcPr>
            <w:tcW w:w="2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Hugh Brady</w:t>
            </w: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$40.83</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 May 2014</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 May 2022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spacing w:after="0"/>
              <w:rPr>
                <w:sz w:val="19"/>
                <w:szCs w:val="19"/>
                <w:color w:val="auto"/>
              </w:rPr>
            </w:pPr>
          </w:p>
        </w:tc>
        <w:tc>
          <w:tcPr>
            <w:tcW w:w="2100" w:type="dxa"/>
            <w:vAlign w:val="bottom"/>
            <w:tcBorders>
              <w:bottom w:val="single" w:sz="8" w:color="auto"/>
            </w:tcBorders>
            <w:gridSpan w:val="3"/>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2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Diarmaid Cunningham</w:t>
            </w:r>
          </w:p>
        </w:tc>
        <w:tc>
          <w:tcPr>
            <w:tcW w:w="1580" w:type="dxa"/>
            <w:vAlign w:val="bottom"/>
            <w:shd w:val="clear" w:color="auto" w:fill="CCEEFF"/>
          </w:tcPr>
          <w:p>
            <w:pPr>
              <w:jc w:val="right"/>
              <w:ind w:right="332"/>
              <w:spacing w:after="0" w:line="194" w:lineRule="exact"/>
              <w:rPr>
                <w:sz w:val="20"/>
                <w:szCs w:val="20"/>
                <w:color w:val="auto"/>
              </w:rPr>
            </w:pPr>
            <w:r>
              <w:rPr>
                <w:rFonts w:ascii="Times New Roman" w:cs="Times New Roman" w:eastAsia="Times New Roman" w:hAnsi="Times New Roman"/>
                <w:sz w:val="18"/>
                <w:szCs w:val="18"/>
                <w:color w:val="auto"/>
              </w:rPr>
              <w:t>400</w:t>
            </w:r>
          </w:p>
        </w:tc>
        <w:tc>
          <w:tcPr>
            <w:tcW w:w="1220" w:type="dxa"/>
            <w:vAlign w:val="bottom"/>
            <w:shd w:val="clear" w:color="auto" w:fill="CCEEFF"/>
          </w:tcPr>
          <w:p>
            <w:pPr>
              <w:jc w:val="right"/>
              <w:ind w:right="72"/>
              <w:spacing w:after="0" w:line="194" w:lineRule="exact"/>
              <w:rPr>
                <w:sz w:val="20"/>
                <w:szCs w:val="20"/>
                <w:color w:val="auto"/>
              </w:rPr>
            </w:pPr>
            <w:r>
              <w:rPr>
                <w:rFonts w:ascii="Times New Roman" w:cs="Times New Roman" w:eastAsia="Times New Roman" w:hAnsi="Times New Roman"/>
                <w:sz w:val="18"/>
                <w:szCs w:val="18"/>
                <w:color w:val="auto"/>
              </w:rPr>
              <w:t>$24.46</w:t>
            </w:r>
          </w:p>
        </w:tc>
        <w:tc>
          <w:tcPr>
            <w:tcW w:w="28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shd w:val="clear" w:color="auto" w:fill="CCEEFF"/>
          </w:tcPr>
          <w:p>
            <w:pPr>
              <w:jc w:val="right"/>
              <w:ind w:right="572"/>
              <w:spacing w:after="0" w:line="194" w:lineRule="exact"/>
              <w:rPr>
                <w:sz w:val="20"/>
                <w:szCs w:val="20"/>
                <w:color w:val="auto"/>
              </w:rPr>
            </w:pPr>
            <w:r>
              <w:rPr>
                <w:rFonts w:ascii="Times New Roman" w:cs="Times New Roman" w:eastAsia="Times New Roman" w:hAnsi="Times New Roman"/>
                <w:sz w:val="18"/>
                <w:szCs w:val="18"/>
                <w:color w:val="auto"/>
                <w:w w:val="98"/>
              </w:rPr>
              <w:t>March 2010</w:t>
            </w:r>
          </w:p>
        </w:tc>
        <w:tc>
          <w:tcPr>
            <w:tcW w:w="2100" w:type="dxa"/>
            <w:vAlign w:val="bottom"/>
            <w:gridSpan w:val="3"/>
            <w:shd w:val="clear" w:color="auto" w:fill="CCEEFF"/>
          </w:tcPr>
          <w:p>
            <w:pPr>
              <w:ind w:left="400"/>
              <w:spacing w:after="0" w:line="194" w:lineRule="exact"/>
              <w:rPr>
                <w:sz w:val="20"/>
                <w:szCs w:val="20"/>
                <w:color w:val="auto"/>
              </w:rPr>
            </w:pPr>
            <w:r>
              <w:rPr>
                <w:rFonts w:ascii="Times New Roman" w:cs="Times New Roman" w:eastAsia="Times New Roman" w:hAnsi="Times New Roman"/>
                <w:sz w:val="18"/>
                <w:szCs w:val="18"/>
                <w:color w:val="auto"/>
              </w:rPr>
              <w:t>4 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2011</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9,000</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$20.59</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22</w:t>
            </w:r>
          </w:p>
        </w:tc>
        <w:tc>
          <w:tcPr>
            <w:tcW w:w="1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2012</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22</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6,275</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$32.37</w:t>
            </w:r>
          </w:p>
        </w:tc>
        <w:tc>
          <w:tcPr>
            <w:tcW w:w="1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 May 2013</w:t>
            </w:r>
          </w:p>
        </w:tc>
        <w:tc>
          <w:tcPr>
            <w:tcW w:w="21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 May 2021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2,591</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$47.03</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March 2014</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w:t>
            </w:r>
          </w:p>
        </w:tc>
        <w:tc>
          <w:tcPr>
            <w:tcW w:w="16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5,559</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$48.67</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17</w:t>
            </w:r>
          </w:p>
        </w:tc>
        <w:tc>
          <w:tcPr>
            <w:tcW w:w="1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2014</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17</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Payroll and related benefits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p>
      <w:pPr>
        <w:spacing w:after="0" w:line="24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Restricted Share Units (“RSUs”) and Performance Share Units (“PSUs”) have been awarded to the Directors, Executive Officer and Company Secretary: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2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RSUs</w:t>
            </w:r>
          </w:p>
        </w:tc>
        <w:tc>
          <w:tcPr>
            <w:tcW w:w="16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Award date</w:t>
            </w:r>
          </w:p>
        </w:tc>
        <w:tc>
          <w:tcPr>
            <w:tcW w:w="17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Vesting Date</w:t>
            </w:r>
          </w:p>
        </w:tc>
        <w:tc>
          <w:tcPr>
            <w:tcW w:w="114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24"/>
                <w:szCs w:val="24"/>
                <w:b w:val="1"/>
                <w:bCs w:val="1"/>
                <w:color w:val="auto"/>
                <w:vertAlign w:val="superscript"/>
              </w:rPr>
              <w:t>(1)</w:t>
            </w:r>
          </w:p>
        </w:tc>
        <w:tc>
          <w:tcPr>
            <w:tcW w:w="16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Award Date</w:t>
            </w: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Vesting date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Ciaran Murray</w:t>
            </w:r>
          </w:p>
        </w:tc>
        <w:tc>
          <w:tcPr>
            <w:tcW w:w="1760" w:type="dxa"/>
            <w:vAlign w:val="bottom"/>
            <w:shd w:val="clear" w:color="auto" w:fill="CCEEFF"/>
          </w:tcPr>
          <w:p>
            <w:pPr>
              <w:jc w:val="right"/>
              <w:ind w:right="92"/>
              <w:spacing w:after="0" w:line="194" w:lineRule="exact"/>
              <w:rPr>
                <w:sz w:val="20"/>
                <w:szCs w:val="20"/>
                <w:color w:val="auto"/>
              </w:rPr>
            </w:pPr>
            <w:r>
              <w:rPr>
                <w:rFonts w:ascii="Times New Roman" w:cs="Times New Roman" w:eastAsia="Times New Roman" w:hAnsi="Times New Roman"/>
                <w:sz w:val="18"/>
                <w:szCs w:val="18"/>
                <w:color w:val="auto"/>
              </w:rPr>
              <w:t>50,000</w:t>
            </w:r>
          </w:p>
        </w:tc>
        <w:tc>
          <w:tcPr>
            <w:tcW w:w="1600" w:type="dxa"/>
            <w:vAlign w:val="bottom"/>
            <w:shd w:val="clear" w:color="auto" w:fill="CCEEFF"/>
          </w:tcPr>
          <w:p>
            <w:pPr>
              <w:jc w:val="right"/>
              <w:ind w:right="92"/>
              <w:spacing w:after="0" w:line="194" w:lineRule="exact"/>
              <w:rPr>
                <w:sz w:val="20"/>
                <w:szCs w:val="20"/>
                <w:color w:val="auto"/>
              </w:rPr>
            </w:pPr>
            <w:r>
              <w:rPr>
                <w:rFonts w:ascii="Times New Roman" w:cs="Times New Roman" w:eastAsia="Times New Roman" w:hAnsi="Times New Roman"/>
                <w:sz w:val="18"/>
                <w:szCs w:val="18"/>
                <w:color w:val="auto"/>
              </w:rPr>
              <w:t>10 February 2011</w:t>
            </w:r>
          </w:p>
        </w:tc>
        <w:tc>
          <w:tcPr>
            <w:tcW w:w="1720" w:type="dxa"/>
            <w:vAlign w:val="bottom"/>
            <w:shd w:val="clear" w:color="auto" w:fill="CCEEFF"/>
          </w:tcPr>
          <w:p>
            <w:pPr>
              <w:jc w:val="right"/>
              <w:ind w:right="192"/>
              <w:spacing w:after="0" w:line="194" w:lineRule="exact"/>
              <w:rPr>
                <w:sz w:val="20"/>
                <w:szCs w:val="20"/>
                <w:color w:val="auto"/>
              </w:rPr>
            </w:pPr>
            <w:r>
              <w:rPr>
                <w:rFonts w:ascii="Times New Roman" w:cs="Times New Roman" w:eastAsia="Times New Roman" w:hAnsi="Times New Roman"/>
                <w:sz w:val="18"/>
                <w:szCs w:val="18"/>
                <w:color w:val="auto"/>
              </w:rPr>
              <w:t>10 February 2016</w:t>
            </w:r>
          </w:p>
        </w:tc>
        <w:tc>
          <w:tcPr>
            <w:tcW w:w="1140" w:type="dxa"/>
            <w:vAlign w:val="bottom"/>
            <w:shd w:val="clear" w:color="auto" w:fill="CCEEFF"/>
          </w:tcPr>
          <w:p>
            <w:pPr>
              <w:jc w:val="right"/>
              <w:ind w:right="212"/>
              <w:spacing w:after="0" w:line="194" w:lineRule="exact"/>
              <w:rPr>
                <w:sz w:val="20"/>
                <w:szCs w:val="20"/>
                <w:color w:val="auto"/>
              </w:rPr>
            </w:pPr>
            <w:r>
              <w:rPr>
                <w:rFonts w:ascii="Times New Roman" w:cs="Times New Roman" w:eastAsia="Times New Roman" w:hAnsi="Times New Roman"/>
                <w:sz w:val="18"/>
                <w:szCs w:val="18"/>
                <w:color w:val="auto"/>
              </w:rPr>
              <w:t>62,299</w:t>
            </w:r>
          </w:p>
        </w:tc>
        <w:tc>
          <w:tcPr>
            <w:tcW w:w="1600" w:type="dxa"/>
            <w:vAlign w:val="bottom"/>
            <w:shd w:val="clear" w:color="auto" w:fill="CCEEFF"/>
          </w:tcPr>
          <w:p>
            <w:pPr>
              <w:jc w:val="right"/>
              <w:ind w:right="212"/>
              <w:spacing w:after="0" w:line="194" w:lineRule="exact"/>
              <w:rPr>
                <w:sz w:val="20"/>
                <w:szCs w:val="20"/>
                <w:color w:val="auto"/>
              </w:rPr>
            </w:pPr>
            <w:r>
              <w:rPr>
                <w:rFonts w:ascii="Times New Roman" w:cs="Times New Roman" w:eastAsia="Times New Roman" w:hAnsi="Times New Roman"/>
                <w:sz w:val="18"/>
                <w:szCs w:val="18"/>
                <w:color w:val="auto"/>
              </w:rPr>
              <w:t>1 May 2013</w:t>
            </w:r>
          </w:p>
        </w:tc>
        <w:tc>
          <w:tcPr>
            <w:tcW w:w="12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 May 2016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31,149</w:t>
            </w:r>
          </w:p>
        </w:tc>
        <w:tc>
          <w:tcPr>
            <w:tcW w:w="16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 May 2013</w:t>
            </w:r>
          </w:p>
        </w:tc>
        <w:tc>
          <w:tcPr>
            <w:tcW w:w="1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 May 2015</w:t>
            </w:r>
          </w:p>
        </w:tc>
        <w:tc>
          <w:tcPr>
            <w:tcW w:w="11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63,638</w:t>
            </w:r>
          </w:p>
        </w:tc>
        <w:tc>
          <w:tcPr>
            <w:tcW w:w="16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 March 2014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March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31,149</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 May 2013</w:t>
            </w:r>
          </w:p>
        </w:tc>
        <w:tc>
          <w:tcPr>
            <w:tcW w:w="17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 May 2016</w:t>
            </w:r>
          </w:p>
        </w:tc>
        <w:tc>
          <w:tcPr>
            <w:tcW w:w="1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Brendan Brennan</w:t>
            </w:r>
          </w:p>
        </w:tc>
        <w:tc>
          <w:tcPr>
            <w:tcW w:w="1760" w:type="dxa"/>
            <w:vAlign w:val="bottom"/>
            <w:shd w:val="clear" w:color="auto" w:fill="CCEEFF"/>
          </w:tcPr>
          <w:p>
            <w:pPr>
              <w:jc w:val="right"/>
              <w:ind w:right="92"/>
              <w:spacing w:after="0" w:line="194" w:lineRule="exact"/>
              <w:rPr>
                <w:sz w:val="20"/>
                <w:szCs w:val="20"/>
                <w:color w:val="auto"/>
              </w:rPr>
            </w:pPr>
            <w:r>
              <w:rPr>
                <w:rFonts w:ascii="Times New Roman" w:cs="Times New Roman" w:eastAsia="Times New Roman" w:hAnsi="Times New Roman"/>
                <w:sz w:val="18"/>
                <w:szCs w:val="18"/>
                <w:color w:val="auto"/>
              </w:rPr>
              <w:t>20,000</w:t>
            </w:r>
          </w:p>
        </w:tc>
        <w:tc>
          <w:tcPr>
            <w:tcW w:w="1600" w:type="dxa"/>
            <w:vAlign w:val="bottom"/>
            <w:shd w:val="clear" w:color="auto" w:fill="CCEEFF"/>
          </w:tcPr>
          <w:p>
            <w:pPr>
              <w:jc w:val="right"/>
              <w:ind w:right="92"/>
              <w:spacing w:after="0" w:line="194" w:lineRule="exact"/>
              <w:rPr>
                <w:sz w:val="20"/>
                <w:szCs w:val="20"/>
                <w:color w:val="auto"/>
              </w:rPr>
            </w:pPr>
            <w:r>
              <w:rPr>
                <w:rFonts w:ascii="Times New Roman" w:cs="Times New Roman" w:eastAsia="Times New Roman" w:hAnsi="Times New Roman"/>
                <w:sz w:val="18"/>
                <w:szCs w:val="18"/>
                <w:color w:val="auto"/>
              </w:rPr>
              <w:t>21 February 2012</w:t>
            </w:r>
          </w:p>
        </w:tc>
        <w:tc>
          <w:tcPr>
            <w:tcW w:w="1720" w:type="dxa"/>
            <w:vAlign w:val="bottom"/>
            <w:shd w:val="clear" w:color="auto" w:fill="CCEEFF"/>
          </w:tcPr>
          <w:p>
            <w:pPr>
              <w:jc w:val="right"/>
              <w:ind w:right="192"/>
              <w:spacing w:after="0" w:line="194" w:lineRule="exact"/>
              <w:rPr>
                <w:sz w:val="20"/>
                <w:szCs w:val="20"/>
                <w:color w:val="auto"/>
              </w:rPr>
            </w:pPr>
            <w:r>
              <w:rPr>
                <w:rFonts w:ascii="Times New Roman" w:cs="Times New Roman" w:eastAsia="Times New Roman" w:hAnsi="Times New Roman"/>
                <w:sz w:val="18"/>
                <w:szCs w:val="18"/>
                <w:color w:val="auto"/>
              </w:rPr>
              <w:t>3 March 2015</w:t>
            </w:r>
          </w:p>
        </w:tc>
        <w:tc>
          <w:tcPr>
            <w:tcW w:w="1140" w:type="dxa"/>
            <w:vAlign w:val="bottom"/>
            <w:shd w:val="clear" w:color="auto" w:fill="CCEEFF"/>
          </w:tcPr>
          <w:p>
            <w:pPr>
              <w:jc w:val="right"/>
              <w:ind w:right="212"/>
              <w:spacing w:after="0" w:line="194" w:lineRule="exact"/>
              <w:rPr>
                <w:sz w:val="20"/>
                <w:szCs w:val="20"/>
                <w:color w:val="auto"/>
              </w:rPr>
            </w:pPr>
            <w:r>
              <w:rPr>
                <w:rFonts w:ascii="Times New Roman" w:cs="Times New Roman" w:eastAsia="Times New Roman" w:hAnsi="Times New Roman"/>
                <w:sz w:val="18"/>
                <w:szCs w:val="18"/>
                <w:color w:val="auto"/>
              </w:rPr>
              <w:t>12,650</w:t>
            </w:r>
          </w:p>
        </w:tc>
        <w:tc>
          <w:tcPr>
            <w:tcW w:w="1600" w:type="dxa"/>
            <w:vAlign w:val="bottom"/>
            <w:shd w:val="clear" w:color="auto" w:fill="CCEEFF"/>
          </w:tcPr>
          <w:p>
            <w:pPr>
              <w:jc w:val="right"/>
              <w:ind w:right="212"/>
              <w:spacing w:after="0" w:line="194" w:lineRule="exact"/>
              <w:rPr>
                <w:sz w:val="20"/>
                <w:szCs w:val="20"/>
                <w:color w:val="auto"/>
              </w:rPr>
            </w:pPr>
            <w:r>
              <w:rPr>
                <w:rFonts w:ascii="Times New Roman" w:cs="Times New Roman" w:eastAsia="Times New Roman" w:hAnsi="Times New Roman"/>
                <w:sz w:val="18"/>
                <w:szCs w:val="18"/>
                <w:color w:val="auto"/>
              </w:rPr>
              <w:t>1 May 2013</w:t>
            </w:r>
          </w:p>
        </w:tc>
        <w:tc>
          <w:tcPr>
            <w:tcW w:w="12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 May 2016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6,325</w:t>
            </w:r>
          </w:p>
        </w:tc>
        <w:tc>
          <w:tcPr>
            <w:tcW w:w="16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 May 2013</w:t>
            </w:r>
          </w:p>
        </w:tc>
        <w:tc>
          <w:tcPr>
            <w:tcW w:w="1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 May 2015</w:t>
            </w:r>
          </w:p>
        </w:tc>
        <w:tc>
          <w:tcPr>
            <w:tcW w:w="11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10,179</w:t>
            </w:r>
          </w:p>
        </w:tc>
        <w:tc>
          <w:tcPr>
            <w:tcW w:w="16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 March 2014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March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6,325</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 May 2013</w:t>
            </w:r>
          </w:p>
        </w:tc>
        <w:tc>
          <w:tcPr>
            <w:tcW w:w="17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 May 2016</w:t>
            </w:r>
          </w:p>
        </w:tc>
        <w:tc>
          <w:tcPr>
            <w:tcW w:w="1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Steve Cutler</w:t>
            </w:r>
          </w:p>
        </w:tc>
        <w:tc>
          <w:tcPr>
            <w:tcW w:w="1760" w:type="dxa"/>
            <w:vAlign w:val="bottom"/>
            <w:shd w:val="clear" w:color="auto" w:fill="CCEEFF"/>
          </w:tcPr>
          <w:p>
            <w:pPr>
              <w:jc w:val="right"/>
              <w:ind w:right="92"/>
              <w:spacing w:after="0" w:line="194" w:lineRule="exact"/>
              <w:rPr>
                <w:sz w:val="20"/>
                <w:szCs w:val="20"/>
                <w:color w:val="auto"/>
              </w:rPr>
            </w:pPr>
            <w:r>
              <w:rPr>
                <w:rFonts w:ascii="Times New Roman" w:cs="Times New Roman" w:eastAsia="Times New Roman" w:hAnsi="Times New Roman"/>
                <w:sz w:val="18"/>
                <w:szCs w:val="18"/>
                <w:color w:val="auto"/>
              </w:rPr>
              <w:t>30,000</w:t>
            </w:r>
          </w:p>
        </w:tc>
        <w:tc>
          <w:tcPr>
            <w:tcW w:w="1600" w:type="dxa"/>
            <w:vAlign w:val="bottom"/>
            <w:shd w:val="clear" w:color="auto" w:fill="CCEEFF"/>
          </w:tcPr>
          <w:p>
            <w:pPr>
              <w:jc w:val="right"/>
              <w:ind w:right="92"/>
              <w:spacing w:after="0" w:line="194" w:lineRule="exact"/>
              <w:rPr>
                <w:sz w:val="20"/>
                <w:szCs w:val="20"/>
                <w:color w:val="auto"/>
              </w:rPr>
            </w:pPr>
            <w:r>
              <w:rPr>
                <w:rFonts w:ascii="Times New Roman" w:cs="Times New Roman" w:eastAsia="Times New Roman" w:hAnsi="Times New Roman"/>
                <w:sz w:val="18"/>
                <w:szCs w:val="18"/>
                <w:color w:val="auto"/>
              </w:rPr>
              <w:t>21 February 2012</w:t>
            </w:r>
          </w:p>
        </w:tc>
        <w:tc>
          <w:tcPr>
            <w:tcW w:w="1720" w:type="dxa"/>
            <w:vAlign w:val="bottom"/>
            <w:shd w:val="clear" w:color="auto" w:fill="CCEEFF"/>
          </w:tcPr>
          <w:p>
            <w:pPr>
              <w:jc w:val="right"/>
              <w:ind w:right="192"/>
              <w:spacing w:after="0" w:line="194" w:lineRule="exact"/>
              <w:rPr>
                <w:sz w:val="20"/>
                <w:szCs w:val="20"/>
                <w:color w:val="auto"/>
              </w:rPr>
            </w:pPr>
            <w:r>
              <w:rPr>
                <w:rFonts w:ascii="Times New Roman" w:cs="Times New Roman" w:eastAsia="Times New Roman" w:hAnsi="Times New Roman"/>
                <w:sz w:val="18"/>
                <w:szCs w:val="18"/>
                <w:color w:val="auto"/>
              </w:rPr>
              <w:t>3 March 2015</w:t>
            </w:r>
          </w:p>
        </w:tc>
        <w:tc>
          <w:tcPr>
            <w:tcW w:w="1140" w:type="dxa"/>
            <w:vAlign w:val="bottom"/>
            <w:shd w:val="clear" w:color="auto" w:fill="CCEEFF"/>
          </w:tcPr>
          <w:p>
            <w:pPr>
              <w:jc w:val="right"/>
              <w:ind w:right="212"/>
              <w:spacing w:after="0" w:line="194" w:lineRule="exact"/>
              <w:rPr>
                <w:sz w:val="20"/>
                <w:szCs w:val="20"/>
                <w:color w:val="auto"/>
              </w:rPr>
            </w:pPr>
            <w:r>
              <w:rPr>
                <w:rFonts w:ascii="Times New Roman" w:cs="Times New Roman" w:eastAsia="Times New Roman" w:hAnsi="Times New Roman"/>
                <w:sz w:val="18"/>
                <w:szCs w:val="18"/>
                <w:color w:val="auto"/>
              </w:rPr>
              <w:t>34,831</w:t>
            </w:r>
          </w:p>
        </w:tc>
        <w:tc>
          <w:tcPr>
            <w:tcW w:w="1600" w:type="dxa"/>
            <w:vAlign w:val="bottom"/>
            <w:shd w:val="clear" w:color="auto" w:fill="CCEEFF"/>
          </w:tcPr>
          <w:p>
            <w:pPr>
              <w:jc w:val="right"/>
              <w:ind w:right="212"/>
              <w:spacing w:after="0" w:line="194" w:lineRule="exact"/>
              <w:rPr>
                <w:sz w:val="20"/>
                <w:szCs w:val="20"/>
                <w:color w:val="auto"/>
              </w:rPr>
            </w:pPr>
            <w:r>
              <w:rPr>
                <w:rFonts w:ascii="Times New Roman" w:cs="Times New Roman" w:eastAsia="Times New Roman" w:hAnsi="Times New Roman"/>
                <w:sz w:val="18"/>
                <w:szCs w:val="18"/>
                <w:color w:val="auto"/>
              </w:rPr>
              <w:t>1 May 2013</w:t>
            </w:r>
          </w:p>
        </w:tc>
        <w:tc>
          <w:tcPr>
            <w:tcW w:w="12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 May 2016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17,415</w:t>
            </w:r>
          </w:p>
        </w:tc>
        <w:tc>
          <w:tcPr>
            <w:tcW w:w="16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 May 2013</w:t>
            </w:r>
          </w:p>
        </w:tc>
        <w:tc>
          <w:tcPr>
            <w:tcW w:w="1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 May 2015</w:t>
            </w:r>
          </w:p>
        </w:tc>
        <w:tc>
          <w:tcPr>
            <w:tcW w:w="11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32,125</w:t>
            </w:r>
          </w:p>
        </w:tc>
        <w:tc>
          <w:tcPr>
            <w:tcW w:w="16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 March 2014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March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17,415</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 May 2013</w:t>
            </w:r>
          </w:p>
        </w:tc>
        <w:tc>
          <w:tcPr>
            <w:tcW w:w="17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 May 2016</w:t>
            </w:r>
          </w:p>
        </w:tc>
        <w:tc>
          <w:tcPr>
            <w:tcW w:w="1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Diarmaid</w:t>
            </w:r>
          </w:p>
        </w:tc>
        <w:tc>
          <w:tcPr>
            <w:tcW w:w="1760" w:type="dxa"/>
            <w:vAlign w:val="bottom"/>
            <w:shd w:val="clear" w:color="auto" w:fill="CCEEFF"/>
          </w:tcPr>
          <w:p>
            <w:pPr>
              <w:jc w:val="right"/>
              <w:ind w:right="92"/>
              <w:spacing w:after="0" w:line="194" w:lineRule="exact"/>
              <w:rPr>
                <w:sz w:val="20"/>
                <w:szCs w:val="20"/>
                <w:color w:val="auto"/>
              </w:rPr>
            </w:pPr>
            <w:r>
              <w:rPr>
                <w:rFonts w:ascii="Times New Roman" w:cs="Times New Roman" w:eastAsia="Times New Roman" w:hAnsi="Times New Roman"/>
                <w:sz w:val="18"/>
                <w:szCs w:val="18"/>
                <w:color w:val="auto"/>
              </w:rPr>
              <w:t>10,000</w:t>
            </w:r>
          </w:p>
        </w:tc>
        <w:tc>
          <w:tcPr>
            <w:tcW w:w="1600" w:type="dxa"/>
            <w:vAlign w:val="bottom"/>
            <w:shd w:val="clear" w:color="auto" w:fill="CCEEFF"/>
          </w:tcPr>
          <w:p>
            <w:pPr>
              <w:jc w:val="right"/>
              <w:ind w:right="92"/>
              <w:spacing w:after="0" w:line="194" w:lineRule="exact"/>
              <w:rPr>
                <w:sz w:val="20"/>
                <w:szCs w:val="20"/>
                <w:color w:val="auto"/>
              </w:rPr>
            </w:pPr>
            <w:r>
              <w:rPr>
                <w:rFonts w:ascii="Times New Roman" w:cs="Times New Roman" w:eastAsia="Times New Roman" w:hAnsi="Times New Roman"/>
                <w:sz w:val="18"/>
                <w:szCs w:val="18"/>
                <w:color w:val="auto"/>
              </w:rPr>
              <w:t>21 February 2012</w:t>
            </w:r>
          </w:p>
        </w:tc>
        <w:tc>
          <w:tcPr>
            <w:tcW w:w="1720" w:type="dxa"/>
            <w:vAlign w:val="bottom"/>
            <w:shd w:val="clear" w:color="auto" w:fill="CCEEFF"/>
          </w:tcPr>
          <w:p>
            <w:pPr>
              <w:jc w:val="right"/>
              <w:ind w:right="192"/>
              <w:spacing w:after="0" w:line="194" w:lineRule="exact"/>
              <w:rPr>
                <w:sz w:val="20"/>
                <w:szCs w:val="20"/>
                <w:color w:val="auto"/>
              </w:rPr>
            </w:pPr>
            <w:r>
              <w:rPr>
                <w:rFonts w:ascii="Times New Roman" w:cs="Times New Roman" w:eastAsia="Times New Roman" w:hAnsi="Times New Roman"/>
                <w:sz w:val="18"/>
                <w:szCs w:val="18"/>
                <w:color w:val="auto"/>
              </w:rPr>
              <w:t>3 March 2015</w:t>
            </w:r>
          </w:p>
        </w:tc>
        <w:tc>
          <w:tcPr>
            <w:tcW w:w="1140" w:type="dxa"/>
            <w:vAlign w:val="bottom"/>
            <w:shd w:val="clear" w:color="auto" w:fill="CCEEFF"/>
          </w:tcPr>
          <w:p>
            <w:pPr>
              <w:jc w:val="right"/>
              <w:ind w:right="212"/>
              <w:spacing w:after="0" w:line="194" w:lineRule="exact"/>
              <w:rPr>
                <w:sz w:val="20"/>
                <w:szCs w:val="20"/>
                <w:color w:val="auto"/>
              </w:rPr>
            </w:pPr>
            <w:r>
              <w:rPr>
                <w:rFonts w:ascii="Times New Roman" w:cs="Times New Roman" w:eastAsia="Times New Roman" w:hAnsi="Times New Roman"/>
                <w:sz w:val="18"/>
                <w:szCs w:val="18"/>
                <w:color w:val="auto"/>
              </w:rPr>
              <w:t>5,020</w:t>
            </w:r>
          </w:p>
        </w:tc>
        <w:tc>
          <w:tcPr>
            <w:tcW w:w="1600" w:type="dxa"/>
            <w:vAlign w:val="bottom"/>
            <w:shd w:val="clear" w:color="auto" w:fill="CCEEFF"/>
          </w:tcPr>
          <w:p>
            <w:pPr>
              <w:jc w:val="right"/>
              <w:ind w:right="212"/>
              <w:spacing w:after="0" w:line="194" w:lineRule="exact"/>
              <w:rPr>
                <w:sz w:val="20"/>
                <w:szCs w:val="20"/>
                <w:color w:val="auto"/>
              </w:rPr>
            </w:pPr>
            <w:r>
              <w:rPr>
                <w:rFonts w:ascii="Times New Roman" w:cs="Times New Roman" w:eastAsia="Times New Roman" w:hAnsi="Times New Roman"/>
                <w:sz w:val="18"/>
                <w:szCs w:val="18"/>
                <w:color w:val="auto"/>
              </w:rPr>
              <w:t>1 May 2013</w:t>
            </w:r>
          </w:p>
        </w:tc>
        <w:tc>
          <w:tcPr>
            <w:tcW w:w="12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 May 2016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Cunningham</w:t>
            </w:r>
          </w:p>
        </w:tc>
        <w:tc>
          <w:tcPr>
            <w:tcW w:w="1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2,510</w:t>
            </w:r>
          </w:p>
        </w:tc>
        <w:tc>
          <w:tcPr>
            <w:tcW w:w="16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 May 2013</w:t>
            </w:r>
          </w:p>
        </w:tc>
        <w:tc>
          <w:tcPr>
            <w:tcW w:w="1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 May 2016</w:t>
            </w:r>
          </w:p>
        </w:tc>
        <w:tc>
          <w:tcPr>
            <w:tcW w:w="11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5,183</w:t>
            </w:r>
          </w:p>
        </w:tc>
        <w:tc>
          <w:tcPr>
            <w:tcW w:w="16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 March 2014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March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863</w:t>
            </w:r>
          </w:p>
        </w:tc>
        <w:tc>
          <w:tcPr>
            <w:tcW w:w="16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 March 2014</w:t>
            </w:r>
          </w:p>
        </w:tc>
        <w:tc>
          <w:tcPr>
            <w:tcW w:w="1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 March 2015</w:t>
            </w: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863</w:t>
            </w:r>
          </w:p>
        </w:tc>
        <w:tc>
          <w:tcPr>
            <w:tcW w:w="16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 March 2014</w:t>
            </w:r>
          </w:p>
        </w:tc>
        <w:tc>
          <w:tcPr>
            <w:tcW w:w="1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 March 2016</w:t>
            </w: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3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865</w:t>
            </w:r>
          </w:p>
        </w:tc>
        <w:tc>
          <w:tcPr>
            <w:tcW w:w="16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 March 2014</w:t>
            </w:r>
          </w:p>
        </w:tc>
        <w:tc>
          <w:tcPr>
            <w:tcW w:w="17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 March 2017</w:t>
            </w:r>
          </w:p>
        </w:tc>
        <w:tc>
          <w:tcPr>
            <w:tcW w:w="11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40" w:hanging="463"/>
        <w:spacing w:after="0" w:line="253"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issued PSUs, performance conditions will determine how many of them vest and, if performance targets are exceeded, additional PSUs will be issued and vest in accordance with the terms of the relevant PSU award.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and Company share and share option transactions</w:t>
      </w:r>
    </w:p>
    <w:p>
      <w:pPr>
        <w:spacing w:after="0" w:line="246"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Details of transactions entered into by the Directors, Executive Officers and Company Secretary in shares and shares options of the Company during the year ended 31 December 2014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options exercised</w:t>
            </w:r>
          </w:p>
        </w:tc>
        <w:tc>
          <w:tcPr>
            <w:tcW w:w="3960" w:type="dxa"/>
            <w:vAlign w:val="bottom"/>
          </w:tcPr>
          <w:p>
            <w:pPr>
              <w:spacing w:after="0"/>
              <w:rPr>
                <w:sz w:val="20"/>
                <w:szCs w:val="20"/>
                <w:color w:val="auto"/>
              </w:rPr>
            </w:pPr>
          </w:p>
        </w:tc>
        <w:tc>
          <w:tcPr>
            <w:tcW w:w="174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Market</w:t>
            </w: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6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price on date of</w:t>
            </w:r>
          </w:p>
        </w:tc>
        <w:tc>
          <w:tcPr>
            <w:tcW w:w="0" w:type="dxa"/>
            <w:vAlign w:val="bottom"/>
          </w:tcPr>
          <w:p>
            <w:pPr>
              <w:spacing w:after="0"/>
              <w:rPr>
                <w:sz w:val="1"/>
                <w:szCs w:val="1"/>
                <w:color w:val="auto"/>
              </w:rPr>
            </w:pPr>
          </w:p>
        </w:tc>
      </w:tr>
      <w:tr>
        <w:trPr>
          <w:trHeight w:val="233"/>
        </w:trPr>
        <w:tc>
          <w:tcPr>
            <w:tcW w:w="4080" w:type="dxa"/>
            <w:vAlign w:val="bottom"/>
          </w:tcPr>
          <w:p>
            <w:pPr>
              <w:spacing w:after="0"/>
              <w:rPr>
                <w:sz w:val="20"/>
                <w:szCs w:val="20"/>
                <w:color w:val="auto"/>
              </w:rPr>
            </w:pPr>
          </w:p>
        </w:tc>
        <w:tc>
          <w:tcPr>
            <w:tcW w:w="396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share options</w:t>
            </w:r>
          </w:p>
        </w:tc>
        <w:tc>
          <w:tcPr>
            <w:tcW w:w="17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0" w:type="dxa"/>
            <w:vAlign w:val="bottom"/>
          </w:tcPr>
          <w:p>
            <w:pPr>
              <w:spacing w:after="0"/>
              <w:rPr>
                <w:sz w:val="1"/>
                <w:szCs w:val="1"/>
                <w:color w:val="auto"/>
              </w:rPr>
            </w:pPr>
          </w:p>
        </w:tc>
      </w:tr>
      <w:tr>
        <w:trPr>
          <w:trHeight w:val="211"/>
        </w:trPr>
        <w:tc>
          <w:tcPr>
            <w:tcW w:w="40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Lynch*</w:t>
            </w:r>
          </w:p>
        </w:tc>
        <w:tc>
          <w:tcPr>
            <w:tcW w:w="396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6,000</w:t>
            </w:r>
          </w:p>
        </w:tc>
        <w:tc>
          <w:tcPr>
            <w:tcW w:w="174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$21.59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0" w:type="dxa"/>
            <w:vAlign w:val="bottom"/>
          </w:tcPr>
          <w:p>
            <w:pPr>
              <w:spacing w:after="0"/>
              <w:rPr>
                <w:sz w:val="1"/>
                <w:szCs w:val="1"/>
                <w:color w:val="auto"/>
              </w:rPr>
            </w:pPr>
          </w:p>
        </w:tc>
      </w:tr>
      <w:tr>
        <w:trPr>
          <w:trHeight w:val="431"/>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Dr. John Climax**</w:t>
            </w:r>
          </w:p>
        </w:tc>
        <w:tc>
          <w:tcPr>
            <w:tcW w:w="39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12,000</w:t>
            </w:r>
          </w:p>
        </w:tc>
        <w:tc>
          <w:tcPr>
            <w:tcW w:w="1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$21.25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431"/>
        </w:trPr>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Ciaran Murray**</w:t>
            </w:r>
          </w:p>
        </w:tc>
        <w:tc>
          <w:tcPr>
            <w:tcW w:w="396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113,600</w:t>
            </w:r>
          </w:p>
        </w:tc>
        <w:tc>
          <w:tcPr>
            <w:tcW w:w="174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$19.52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431"/>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 Cutler**</w:t>
            </w:r>
          </w:p>
        </w:tc>
        <w:tc>
          <w:tcPr>
            <w:tcW w:w="39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15,000</w:t>
            </w:r>
          </w:p>
        </w:tc>
        <w:tc>
          <w:tcPr>
            <w:tcW w:w="1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$17.85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0" w:type="dxa"/>
            <w:vAlign w:val="bottom"/>
          </w:tcPr>
          <w:p>
            <w:pPr>
              <w:spacing w:after="0"/>
              <w:rPr>
                <w:sz w:val="1"/>
                <w:szCs w:val="1"/>
                <w:color w:val="auto"/>
              </w:rPr>
            </w:pPr>
          </w:p>
        </w:tc>
      </w:tr>
      <w:tr>
        <w:trPr>
          <w:trHeight w:val="431"/>
        </w:trPr>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Dermot Kelleher**</w:t>
            </w:r>
          </w:p>
        </w:tc>
        <w:tc>
          <w:tcPr>
            <w:tcW w:w="396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8,000</w:t>
            </w:r>
          </w:p>
        </w:tc>
        <w:tc>
          <w:tcPr>
            <w:tcW w:w="174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$32.60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431"/>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Dr. Ronan Lambe**</w:t>
            </w:r>
          </w:p>
        </w:tc>
        <w:tc>
          <w:tcPr>
            <w:tcW w:w="39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2,000</w:t>
            </w:r>
          </w:p>
        </w:tc>
        <w:tc>
          <w:tcPr>
            <w:tcW w:w="1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$21.25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464"/>
        </w:trPr>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Diarmaid Cunningham **</w:t>
            </w:r>
          </w:p>
        </w:tc>
        <w:tc>
          <w:tcPr>
            <w:tcW w:w="396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4,400</w:t>
            </w:r>
          </w:p>
        </w:tc>
        <w:tc>
          <w:tcPr>
            <w:tcW w:w="174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$20.87</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bl>
    <w:p>
      <w:pPr>
        <w:ind w:left="5620" w:right="5280" w:hanging="5614"/>
        <w:spacing w:after="0" w:line="497" w:lineRule="auto"/>
        <w:tabs>
          <w:tab w:leader="none" w:pos="22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exercised and shares held. ** Options exercised and resulting shares sold.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321945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w:t>
      </w:r>
      <w:r>
        <w:rPr>
          <w:rFonts w:ascii="Times New Roman" w:cs="Times New Roman" w:eastAsia="Times New Roman" w:hAnsi="Times New Roman"/>
          <w:sz w:val="21"/>
          <w:szCs w:val="21"/>
          <w:i w:val="1"/>
          <w:iCs w:val="1"/>
          <w:color w:val="auto"/>
        </w:rPr>
        <w:t>mber</w:t>
      </w:r>
      <w:r>
        <w:rPr>
          <w:rFonts w:ascii="Times New Roman" w:cs="Times New Roman" w:eastAsia="Times New Roman" w:hAnsi="Times New Roman"/>
          <w:sz w:val="18"/>
          <w:szCs w:val="18"/>
          <w:i w:val="1"/>
          <w:iCs w:val="1"/>
          <w:color w:val="auto"/>
        </w:rPr>
        <w:t xml:space="preserve">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8. Payroll and related benefits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tc>
        <w:tc>
          <w:tcPr>
            <w:tcW w:w="3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3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8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8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4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Sold</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Lynch</w:t>
            </w:r>
          </w:p>
        </w:tc>
        <w:tc>
          <w:tcPr>
            <w:tcW w:w="3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6,000</w:t>
            </w:r>
          </w:p>
        </w:tc>
        <w:tc>
          <w:tcPr>
            <w:tcW w:w="4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46.18</w:t>
            </w:r>
          </w:p>
        </w:tc>
        <w:tc>
          <w:tcPr>
            <w:tcW w:w="0" w:type="dxa"/>
            <w:vAlign w:val="bottom"/>
          </w:tcPr>
          <w:p>
            <w:pPr>
              <w:spacing w:after="0"/>
              <w:rPr>
                <w:sz w:val="1"/>
                <w:szCs w:val="1"/>
                <w:color w:val="auto"/>
              </w:rPr>
            </w:pPr>
          </w:p>
        </w:tc>
      </w:tr>
      <w:tr>
        <w:trPr>
          <w:trHeight w:val="445"/>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RSUs vested and sold</w:t>
            </w:r>
          </w:p>
        </w:tc>
        <w:tc>
          <w:tcPr>
            <w:tcW w:w="3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8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8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4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Sold</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Cutler</w:t>
            </w:r>
          </w:p>
        </w:tc>
        <w:tc>
          <w:tcPr>
            <w:tcW w:w="3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47,415</w:t>
            </w:r>
          </w:p>
        </w:tc>
        <w:tc>
          <w:tcPr>
            <w:tcW w:w="4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3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3,300</w:t>
            </w:r>
          </w:p>
        </w:tc>
        <w:tc>
          <w:tcPr>
            <w:tcW w:w="4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Ciaran Murray</w:t>
            </w:r>
          </w:p>
        </w:tc>
        <w:tc>
          <w:tcPr>
            <w:tcW w:w="3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116,000</w:t>
            </w:r>
          </w:p>
        </w:tc>
        <w:tc>
          <w:tcPr>
            <w:tcW w:w="4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49.77</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market price of the Company’s ordinary shares during the year ended 31 December 2014 moved in the range of $35.33 to $59.81 (year ended 31 December 2013: in the range of $26.70 to $44.23). The closing share price at 31 December 2014 was $50.99 (at 31 December 2013 $40.42).</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Payroll and related benefits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compensation table - Year ended 31 December 2014</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220" w:type="dxa"/>
            <w:vAlign w:val="bottom"/>
            <w:tcBorders>
              <w:top w:val="single" w:sz="8" w:color="auto"/>
              <w:left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54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28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16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r>
      <w:tr>
        <w:trPr>
          <w:trHeight w:val="212"/>
        </w:trPr>
        <w:tc>
          <w:tcPr>
            <w:tcW w:w="122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15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28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60" w:type="dxa"/>
            <w:vAlign w:val="bottom"/>
            <w:tcBorders>
              <w:right w:val="single" w:sz="8" w:color="auto"/>
            </w:tcBorders>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based</w:t>
            </w:r>
          </w:p>
        </w:tc>
        <w:tc>
          <w:tcPr>
            <w:tcW w:w="11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1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3"/>
        </w:trPr>
        <w:tc>
          <w:tcPr>
            <w:tcW w:w="12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contribution*</w:t>
            </w:r>
          </w:p>
        </w:tc>
        <w:tc>
          <w:tcPr>
            <w:tcW w:w="15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8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1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Fees</w:t>
            </w:r>
          </w:p>
        </w:tc>
        <w:tc>
          <w:tcPr>
            <w:tcW w:w="11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compensation</w:t>
            </w:r>
          </w:p>
        </w:tc>
      </w:tr>
      <w:tr>
        <w:trPr>
          <w:trHeight w:val="234"/>
        </w:trPr>
        <w:tc>
          <w:tcPr>
            <w:tcW w:w="12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02"/>
        </w:trPr>
        <w:tc>
          <w:tcPr>
            <w:tcW w:w="1220" w:type="dxa"/>
            <w:vAlign w:val="bottom"/>
            <w:tcBorders>
              <w:left w:val="single" w:sz="8" w:color="auto"/>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1200" w:type="dxa"/>
            <w:vAlign w:val="bottom"/>
            <w:tcBorders>
              <w:bottom w:val="single" w:sz="8" w:color="auto"/>
            </w:tcBorders>
          </w:tcPr>
          <w:p>
            <w:pPr>
              <w:jc w:val="right"/>
              <w:ind w:right="1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1540" w:type="dxa"/>
            <w:vAlign w:val="bottom"/>
            <w:tcBorders>
              <w:bottom w:val="single" w:sz="8" w:color="auto"/>
            </w:tcBorders>
          </w:tcPr>
          <w:p>
            <w:pPr>
              <w:jc w:val="right"/>
              <w:ind w:right="33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1280" w:type="dxa"/>
            <w:vAlign w:val="bottom"/>
            <w:tcBorders>
              <w:bottom w:val="single" w:sz="8" w:color="auto"/>
              <w:right w:val="single" w:sz="8" w:color="auto"/>
            </w:tcBorders>
          </w:tcPr>
          <w:p>
            <w:pPr>
              <w:jc w:val="right"/>
              <w:ind w:right="11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860" w:type="dxa"/>
            <w:vAlign w:val="bottom"/>
            <w:tcBorders>
              <w:bottom w:val="single" w:sz="8" w:color="auto"/>
              <w:right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1180" w:type="dxa"/>
            <w:vAlign w:val="bottom"/>
            <w:tcBorders>
              <w:bottom w:val="single" w:sz="8" w:color="auto"/>
            </w:tcBorders>
          </w:tcPr>
          <w:p>
            <w:pPr>
              <w:jc w:val="right"/>
              <w:ind w:right="7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1160" w:type="dxa"/>
            <w:vAlign w:val="bottom"/>
            <w:tcBorders>
              <w:bottom w:val="single" w:sz="8" w:color="auto"/>
              <w:right w:val="single" w:sz="8" w:color="auto"/>
            </w:tcBorders>
          </w:tcPr>
          <w:p>
            <w:pPr>
              <w:jc w:val="right"/>
              <w:ind w:right="15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1140" w:type="dxa"/>
            <w:vAlign w:val="bottom"/>
            <w:tcBorders>
              <w:bottom w:val="single" w:sz="8" w:color="auto"/>
              <w:right w:val="single" w:sz="8" w:color="auto"/>
            </w:tcBorders>
          </w:tcPr>
          <w:p>
            <w:pPr>
              <w:jc w:val="right"/>
              <w:ind w:right="1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r>
      <w:tr>
        <w:trPr>
          <w:trHeight w:val="212"/>
        </w:trPr>
        <w:tc>
          <w:tcPr>
            <w:tcW w:w="1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Thomas Lynch</w:t>
            </w:r>
          </w:p>
        </w:tc>
        <w:tc>
          <w:tcPr>
            <w:tcW w:w="78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59</w:t>
            </w:r>
          </w:p>
        </w:tc>
        <w:tc>
          <w:tcPr>
            <w:tcW w:w="116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601</w:t>
            </w:r>
          </w:p>
        </w:tc>
        <w:tc>
          <w:tcPr>
            <w:tcW w:w="11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660</w:t>
            </w:r>
          </w:p>
        </w:tc>
      </w:tr>
      <w:tr>
        <w:trPr>
          <w:trHeight w:val="212"/>
        </w:trPr>
        <w:tc>
          <w:tcPr>
            <w:tcW w:w="1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Ciaran Murray</w:t>
            </w:r>
          </w:p>
        </w:tc>
        <w:tc>
          <w:tcPr>
            <w:tcW w:w="7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1,184</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8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5,544</w:t>
            </w:r>
          </w:p>
        </w:tc>
        <w:tc>
          <w:tcPr>
            <w:tcW w:w="11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12,350</w:t>
            </w:r>
          </w:p>
        </w:tc>
      </w:tr>
      <w:tr>
        <w:trPr>
          <w:trHeight w:val="212"/>
        </w:trPr>
        <w:tc>
          <w:tcPr>
            <w:tcW w:w="1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Climax</w:t>
            </w:r>
          </w:p>
        </w:tc>
        <w:tc>
          <w:tcPr>
            <w:tcW w:w="78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49</w:t>
            </w:r>
          </w:p>
        </w:tc>
        <w:tc>
          <w:tcPr>
            <w:tcW w:w="116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68</w:t>
            </w:r>
          </w:p>
        </w:tc>
        <w:tc>
          <w:tcPr>
            <w:tcW w:w="11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r>
      <w:tr>
        <w:trPr>
          <w:trHeight w:val="212"/>
        </w:trPr>
        <w:tc>
          <w:tcPr>
            <w:tcW w:w="1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Ronan Lambe</w:t>
            </w:r>
          </w:p>
        </w:tc>
        <w:tc>
          <w:tcPr>
            <w:tcW w:w="7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49</w:t>
            </w:r>
          </w:p>
        </w:tc>
        <w:tc>
          <w:tcPr>
            <w:tcW w:w="11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68</w:t>
            </w:r>
          </w:p>
        </w:tc>
        <w:tc>
          <w:tcPr>
            <w:tcW w:w="11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r>
      <w:tr>
        <w:trPr>
          <w:trHeight w:val="194"/>
        </w:trPr>
        <w:tc>
          <w:tcPr>
            <w:tcW w:w="1220" w:type="dxa"/>
            <w:vAlign w:val="bottom"/>
            <w:tcBorders>
              <w:left w:val="single" w:sz="8" w:color="auto"/>
              <w:right w:val="single" w:sz="8" w:color="auto"/>
            </w:tcBorders>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rPr>
              <w:t>Dermot</w:t>
            </w:r>
          </w:p>
        </w:tc>
        <w:tc>
          <w:tcPr>
            <w:tcW w:w="780" w:type="dxa"/>
            <w:vAlign w:val="bottom"/>
            <w:tcBorders>
              <w:right w:val="single" w:sz="8" w:color="auto"/>
            </w:tcBorders>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60" w:type="dxa"/>
            <w:vAlign w:val="bottom"/>
            <w:tcBorders>
              <w:right w:val="single" w:sz="8" w:color="auto"/>
            </w:tcBorders>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r>
      <w:tr>
        <w:trPr>
          <w:trHeight w:val="231"/>
        </w:trPr>
        <w:tc>
          <w:tcPr>
            <w:tcW w:w="1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Kelleher</w:t>
            </w:r>
          </w:p>
        </w:tc>
        <w:tc>
          <w:tcPr>
            <w:tcW w:w="78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49</w:t>
            </w:r>
          </w:p>
        </w:tc>
        <w:tc>
          <w:tcPr>
            <w:tcW w:w="116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88</w:t>
            </w:r>
          </w:p>
        </w:tc>
        <w:tc>
          <w:tcPr>
            <w:tcW w:w="11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r>
      <w:tr>
        <w:trPr>
          <w:trHeight w:val="194"/>
        </w:trPr>
        <w:tc>
          <w:tcPr>
            <w:tcW w:w="122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color w:val="auto"/>
              </w:rPr>
              <w:t>Declan</w:t>
            </w:r>
          </w:p>
        </w:tc>
        <w:tc>
          <w:tcPr>
            <w:tcW w:w="780" w:type="dxa"/>
            <w:vAlign w:val="bottom"/>
            <w:tcBorders>
              <w:righ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231"/>
        </w:trPr>
        <w:tc>
          <w:tcPr>
            <w:tcW w:w="1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McKeon</w:t>
            </w:r>
          </w:p>
        </w:tc>
        <w:tc>
          <w:tcPr>
            <w:tcW w:w="7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50</w:t>
            </w:r>
          </w:p>
        </w:tc>
        <w:tc>
          <w:tcPr>
            <w:tcW w:w="11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113</w:t>
            </w:r>
          </w:p>
        </w:tc>
        <w:tc>
          <w:tcPr>
            <w:tcW w:w="11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r>
      <w:tr>
        <w:trPr>
          <w:trHeight w:val="212"/>
        </w:trPr>
        <w:tc>
          <w:tcPr>
            <w:tcW w:w="1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Cathrin Petty*</w:t>
            </w:r>
          </w:p>
        </w:tc>
        <w:tc>
          <w:tcPr>
            <w:tcW w:w="78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54</w:t>
            </w:r>
          </w:p>
        </w:tc>
        <w:tc>
          <w:tcPr>
            <w:tcW w:w="116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r>
      <w:tr>
        <w:trPr>
          <w:trHeight w:val="212"/>
        </w:trPr>
        <w:tc>
          <w:tcPr>
            <w:tcW w:w="1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William Hall</w:t>
            </w:r>
          </w:p>
        </w:tc>
        <w:tc>
          <w:tcPr>
            <w:tcW w:w="7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62</w:t>
            </w:r>
          </w:p>
        </w:tc>
        <w:tc>
          <w:tcPr>
            <w:tcW w:w="11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109</w:t>
            </w:r>
          </w:p>
        </w:tc>
        <w:tc>
          <w:tcPr>
            <w:tcW w:w="11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171</w:t>
            </w:r>
          </w:p>
        </w:tc>
      </w:tr>
      <w:tr>
        <w:trPr>
          <w:trHeight w:val="194"/>
        </w:trPr>
        <w:tc>
          <w:tcPr>
            <w:tcW w:w="1220" w:type="dxa"/>
            <w:vAlign w:val="bottom"/>
            <w:tcBorders>
              <w:left w:val="single" w:sz="8" w:color="auto"/>
              <w:right w:val="single" w:sz="8" w:color="auto"/>
            </w:tcBorders>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rPr>
              <w:t>Mary</w:t>
            </w:r>
          </w:p>
        </w:tc>
        <w:tc>
          <w:tcPr>
            <w:tcW w:w="780" w:type="dxa"/>
            <w:vAlign w:val="bottom"/>
            <w:tcBorders>
              <w:right w:val="single" w:sz="8" w:color="auto"/>
            </w:tcBorders>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60" w:type="dxa"/>
            <w:vAlign w:val="bottom"/>
            <w:tcBorders>
              <w:right w:val="single" w:sz="8" w:color="auto"/>
            </w:tcBorders>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r>
      <w:tr>
        <w:trPr>
          <w:trHeight w:val="231"/>
        </w:trPr>
        <w:tc>
          <w:tcPr>
            <w:tcW w:w="122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Pendergast**</w:t>
            </w:r>
          </w:p>
        </w:tc>
        <w:tc>
          <w:tcPr>
            <w:tcW w:w="78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33</w:t>
            </w:r>
          </w:p>
        </w:tc>
        <w:tc>
          <w:tcPr>
            <w:tcW w:w="116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r>
      <w:tr>
        <w:trPr>
          <w:trHeight w:val="194"/>
        </w:trPr>
        <w:tc>
          <w:tcPr>
            <w:tcW w:w="122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color w:val="auto"/>
              </w:rPr>
              <w:t>Hugh   Brady</w:t>
            </w:r>
          </w:p>
        </w:tc>
        <w:tc>
          <w:tcPr>
            <w:tcW w:w="780" w:type="dxa"/>
            <w:vAlign w:val="bottom"/>
            <w:tcBorders>
              <w:righ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237"/>
        </w:trPr>
        <w:tc>
          <w:tcPr>
            <w:tcW w:w="1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33</w:t>
            </w:r>
          </w:p>
        </w:tc>
        <w:tc>
          <w:tcPr>
            <w:tcW w:w="1160" w:type="dxa"/>
            <w:vAlign w:val="bottom"/>
            <w:tcBorders>
              <w:bottom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40</w:t>
            </w:r>
          </w:p>
        </w:tc>
        <w:tc>
          <w:tcPr>
            <w:tcW w:w="11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r>
      <w:tr>
        <w:trPr>
          <w:trHeight w:val="219"/>
        </w:trPr>
        <w:tc>
          <w:tcPr>
            <w:tcW w:w="12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1,184</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148</w:t>
            </w:r>
          </w:p>
        </w:tc>
        <w:tc>
          <w:tcPr>
            <w:tcW w:w="1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5,427</w:t>
            </w:r>
          </w:p>
        </w:tc>
        <w:tc>
          <w:tcPr>
            <w:tcW w:w="128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47</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6,806</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5,982</w:t>
            </w:r>
          </w:p>
        </w:tc>
        <w:tc>
          <w:tcPr>
            <w:tcW w:w="116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1,161</w:t>
            </w:r>
          </w:p>
        </w:tc>
        <w:tc>
          <w:tcPr>
            <w:tcW w:w="11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13,949</w:t>
            </w:r>
          </w:p>
        </w:tc>
      </w:tr>
    </w:tbl>
    <w:p>
      <w:pPr>
        <w:spacing w:after="0" w:line="220" w:lineRule="exact"/>
        <w:rPr>
          <w:sz w:val="20"/>
          <w:szCs w:val="20"/>
          <w:color w:val="auto"/>
        </w:rPr>
      </w:pPr>
    </w:p>
    <w:p>
      <w:pPr>
        <w:ind w:left="700" w:hanging="199"/>
        <w:spacing w:after="0"/>
        <w:tabs>
          <w:tab w:leader="none" w:pos="7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Resigned on 24 January 2014</w:t>
      </w:r>
    </w:p>
    <w:p>
      <w:pPr>
        <w:spacing w:after="0" w:line="24" w:lineRule="exact"/>
        <w:rPr>
          <w:rFonts w:ascii="Times New Roman" w:cs="Times New Roman" w:eastAsia="Times New Roman" w:hAnsi="Times New Roman"/>
          <w:sz w:val="18"/>
          <w:szCs w:val="18"/>
          <w:color w:val="auto"/>
        </w:rPr>
      </w:pPr>
    </w:p>
    <w:p>
      <w:pPr>
        <w:ind w:left="700" w:hanging="287"/>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18 February 2014</w:t>
      </w:r>
    </w:p>
    <w:p>
      <w:pPr>
        <w:spacing w:after="0" w:line="5"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29 April 2014</w:t>
      </w:r>
    </w:p>
    <w:p>
      <w:pPr>
        <w:spacing w:after="0" w:line="5" w:lineRule="exact"/>
        <w:rPr>
          <w:rFonts w:ascii="Times New Roman" w:cs="Times New Roman" w:eastAsia="Times New Roman" w:hAnsi="Times New Roman"/>
          <w:sz w:val="18"/>
          <w:szCs w:val="18"/>
          <w:color w:val="auto"/>
        </w:rPr>
      </w:pPr>
    </w:p>
    <w:p>
      <w:pPr>
        <w:ind w:left="700" w:right="400" w:hanging="464"/>
        <w:spacing w:after="0" w:line="180" w:lineRule="auto"/>
        <w:tabs>
          <w:tab w:leader="none" w:pos="700" w:val="left"/>
        </w:tabs>
        <w:numPr>
          <w:ilvl w:val="0"/>
          <w:numId w:val="26"/>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7"/>
          <w:szCs w:val="17"/>
          <w:color w:val="auto"/>
        </w:rPr>
        <w:t>Includes $3.6 million in respect of the additional 2014 bonus plan. Excludes $2.0 million which was paid during 2014 under the terms of the 2012 long-term incentive plan.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Payroll and related benefits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compensation table - Year ended 31 December 2013</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180" w:type="dxa"/>
            <w:vAlign w:val="bottom"/>
            <w:tcBorders>
              <w:top w:val="single" w:sz="8" w:color="auto"/>
              <w:left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38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16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r>
      <w:tr>
        <w:trPr>
          <w:trHeight w:val="212"/>
        </w:trPr>
        <w:tc>
          <w:tcPr>
            <w:tcW w:w="11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3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based</w:t>
            </w:r>
          </w:p>
        </w:tc>
        <w:tc>
          <w:tcPr>
            <w:tcW w:w="11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1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2"/>
        </w:trPr>
        <w:tc>
          <w:tcPr>
            <w:tcW w:w="118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4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contribution*</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8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80" w:type="dxa"/>
            <w:vAlign w:val="bottom"/>
            <w:tcBorders>
              <w:right w:val="single" w:sz="8" w:color="auto"/>
            </w:tcBorders>
          </w:tcPr>
          <w:p>
            <w:pPr>
              <w:spacing w:after="0"/>
              <w:rPr>
                <w:sz w:val="18"/>
                <w:szCs w:val="18"/>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1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Fees</w:t>
            </w:r>
          </w:p>
        </w:tc>
        <w:tc>
          <w:tcPr>
            <w:tcW w:w="11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compensation</w:t>
            </w:r>
          </w:p>
        </w:tc>
      </w:tr>
      <w:tr>
        <w:trPr>
          <w:trHeight w:val="256"/>
        </w:trPr>
        <w:tc>
          <w:tcPr>
            <w:tcW w:w="1180" w:type="dxa"/>
            <w:vAlign w:val="bottom"/>
            <w:tcBorders>
              <w:left w:val="single" w:sz="8" w:color="auto"/>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26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r>
      <w:tr>
        <w:trPr>
          <w:trHeight w:val="202"/>
        </w:trPr>
        <w:tc>
          <w:tcPr>
            <w:tcW w:w="1180" w:type="dxa"/>
            <w:vAlign w:val="bottom"/>
            <w:tcBorders>
              <w:left w:val="single" w:sz="8" w:color="auto"/>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1240" w:type="dxa"/>
            <w:vAlign w:val="bottom"/>
            <w:tcBorders>
              <w:bottom w:val="single" w:sz="8" w:color="auto"/>
            </w:tcBorders>
          </w:tcPr>
          <w:p>
            <w:pPr>
              <w:jc w:val="right"/>
              <w:ind w:right="3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1240" w:type="dxa"/>
            <w:vAlign w:val="bottom"/>
            <w:tcBorders>
              <w:bottom w:val="single" w:sz="8" w:color="auto"/>
            </w:tcBorders>
          </w:tcPr>
          <w:p>
            <w:pPr>
              <w:jc w:val="right"/>
              <w:ind w:right="1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Borders>
              <w:bottom w:val="single" w:sz="8" w:color="auto"/>
              <w:right w:val="single" w:sz="8" w:color="auto"/>
            </w:tcBorders>
          </w:tcPr>
          <w:p>
            <w:pPr>
              <w:jc w:val="right"/>
              <w:ind w:right="15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880" w:type="dxa"/>
            <w:vAlign w:val="bottom"/>
            <w:tcBorders>
              <w:bottom w:val="single" w:sz="8" w:color="auto"/>
              <w:right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Borders>
              <w:bottom w:val="single" w:sz="8" w:color="auto"/>
            </w:tcBorders>
          </w:tcPr>
          <w:p>
            <w:pPr>
              <w:jc w:val="right"/>
              <w:ind w:right="9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1160" w:type="dxa"/>
            <w:vAlign w:val="bottom"/>
            <w:tcBorders>
              <w:bottom w:val="single" w:sz="8" w:color="auto"/>
              <w:right w:val="single" w:sz="8" w:color="auto"/>
            </w:tcBorders>
          </w:tcPr>
          <w:p>
            <w:pPr>
              <w:jc w:val="right"/>
              <w:ind w:right="15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c>
          <w:tcPr>
            <w:tcW w:w="1140" w:type="dxa"/>
            <w:vAlign w:val="bottom"/>
            <w:tcBorders>
              <w:bottom w:val="single" w:sz="8" w:color="auto"/>
              <w:right w:val="single" w:sz="8" w:color="auto"/>
            </w:tcBorders>
          </w:tcPr>
          <w:p>
            <w:pPr>
              <w:jc w:val="right"/>
              <w:ind w:right="12"/>
              <w:spacing w:after="0" w:line="195" w:lineRule="exact"/>
              <w:rPr>
                <w:sz w:val="20"/>
                <w:szCs w:val="20"/>
                <w:color w:val="auto"/>
              </w:rPr>
            </w:pPr>
            <w:r>
              <w:rPr>
                <w:rFonts w:ascii="Times New Roman" w:cs="Times New Roman" w:eastAsia="Times New Roman" w:hAnsi="Times New Roman"/>
                <w:sz w:val="18"/>
                <w:szCs w:val="18"/>
                <w:b w:val="1"/>
                <w:bCs w:val="1"/>
                <w:color w:val="auto"/>
              </w:rPr>
              <w:t>$’000</w:t>
            </w:r>
          </w:p>
        </w:tc>
      </w:tr>
      <w:tr>
        <w:trPr>
          <w:trHeight w:val="194"/>
        </w:trPr>
        <w:tc>
          <w:tcPr>
            <w:tcW w:w="1180" w:type="dxa"/>
            <w:vAlign w:val="bottom"/>
            <w:tcBorders>
              <w:left w:val="single" w:sz="8" w:color="auto"/>
              <w:right w:val="single" w:sz="8" w:color="auto"/>
            </w:tcBorders>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rPr>
              <w:t>Thomas</w:t>
            </w:r>
          </w:p>
        </w:tc>
        <w:tc>
          <w:tcPr>
            <w:tcW w:w="900" w:type="dxa"/>
            <w:vAlign w:val="bottom"/>
            <w:tcBorders>
              <w:right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380" w:type="dxa"/>
            <w:vAlign w:val="bottom"/>
            <w:tcBorders>
              <w:right w:val="single" w:sz="8" w:color="auto"/>
            </w:tcBorders>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60" w:type="dxa"/>
            <w:vAlign w:val="bottom"/>
            <w:tcBorders>
              <w:right w:val="single" w:sz="8" w:color="auto"/>
            </w:tcBorders>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r>
      <w:tr>
        <w:trPr>
          <w:trHeight w:val="231"/>
        </w:trPr>
        <w:tc>
          <w:tcPr>
            <w:tcW w:w="11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Lynch**</w:t>
            </w:r>
          </w:p>
        </w:tc>
        <w:tc>
          <w:tcPr>
            <w:tcW w:w="900" w:type="dxa"/>
            <w:vAlign w:val="bottom"/>
            <w:tcBorders>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2013</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315</w:t>
            </w:r>
          </w:p>
        </w:tc>
        <w:tc>
          <w:tcPr>
            <w:tcW w:w="11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345</w:t>
            </w:r>
          </w:p>
        </w:tc>
      </w:tr>
      <w:tr>
        <w:trPr>
          <w:trHeight w:val="194"/>
        </w:trPr>
        <w:tc>
          <w:tcPr>
            <w:tcW w:w="118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color w:val="auto"/>
              </w:rPr>
              <w:t>Bruce</w:t>
            </w:r>
          </w:p>
        </w:tc>
        <w:tc>
          <w:tcPr>
            <w:tcW w:w="900" w:type="dxa"/>
            <w:vAlign w:val="bottom"/>
            <w:tcBorders>
              <w:righ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231"/>
        </w:trPr>
        <w:tc>
          <w:tcPr>
            <w:tcW w:w="1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Given***</w:t>
            </w:r>
          </w:p>
        </w:tc>
        <w:tc>
          <w:tcPr>
            <w:tcW w:w="9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2013</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113</w:t>
            </w:r>
          </w:p>
        </w:tc>
        <w:tc>
          <w:tcPr>
            <w:tcW w:w="11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38</w:t>
            </w:r>
          </w:p>
        </w:tc>
        <w:tc>
          <w:tcPr>
            <w:tcW w:w="11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r>
      <w:tr>
        <w:trPr>
          <w:trHeight w:val="212"/>
        </w:trPr>
        <w:tc>
          <w:tcPr>
            <w:tcW w:w="11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Ciaran Murray</w:t>
            </w:r>
          </w:p>
        </w:tc>
        <w:tc>
          <w:tcPr>
            <w:tcW w:w="900" w:type="dxa"/>
            <w:vAlign w:val="bottom"/>
            <w:tcBorders>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2013</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945</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1,485</w:t>
            </w:r>
          </w:p>
        </w:tc>
        <w:tc>
          <w:tcPr>
            <w:tcW w:w="138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3,390</w:t>
            </w:r>
          </w:p>
        </w:tc>
        <w:tc>
          <w:tcPr>
            <w:tcW w:w="116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5,978</w:t>
            </w:r>
          </w:p>
        </w:tc>
      </w:tr>
      <w:tr>
        <w:trPr>
          <w:trHeight w:val="212"/>
        </w:trPr>
        <w:tc>
          <w:tcPr>
            <w:tcW w:w="1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John Climax</w:t>
            </w:r>
          </w:p>
        </w:tc>
        <w:tc>
          <w:tcPr>
            <w:tcW w:w="9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2013</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r>
      <w:tr>
        <w:trPr>
          <w:trHeight w:val="212"/>
        </w:trPr>
        <w:tc>
          <w:tcPr>
            <w:tcW w:w="11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Ronan Lambe</w:t>
            </w:r>
          </w:p>
        </w:tc>
        <w:tc>
          <w:tcPr>
            <w:tcW w:w="900" w:type="dxa"/>
            <w:vAlign w:val="bottom"/>
            <w:tcBorders>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2013</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r>
      <w:tr>
        <w:trPr>
          <w:trHeight w:val="194"/>
        </w:trPr>
        <w:tc>
          <w:tcPr>
            <w:tcW w:w="118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color w:val="auto"/>
              </w:rPr>
              <w:t>Dermot</w:t>
            </w:r>
          </w:p>
        </w:tc>
        <w:tc>
          <w:tcPr>
            <w:tcW w:w="900" w:type="dxa"/>
            <w:vAlign w:val="bottom"/>
            <w:tcBorders>
              <w:righ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231"/>
        </w:trPr>
        <w:tc>
          <w:tcPr>
            <w:tcW w:w="1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Kelleher</w:t>
            </w:r>
          </w:p>
        </w:tc>
        <w:tc>
          <w:tcPr>
            <w:tcW w:w="9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2013</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11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78</w:t>
            </w:r>
          </w:p>
        </w:tc>
        <w:tc>
          <w:tcPr>
            <w:tcW w:w="11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r>
      <w:tr>
        <w:trPr>
          <w:trHeight w:val="194"/>
        </w:trPr>
        <w:tc>
          <w:tcPr>
            <w:tcW w:w="1180" w:type="dxa"/>
            <w:vAlign w:val="bottom"/>
            <w:tcBorders>
              <w:left w:val="single" w:sz="8" w:color="auto"/>
              <w:right w:val="single" w:sz="8" w:color="auto"/>
            </w:tcBorders>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rPr>
              <w:t>Declan</w:t>
            </w:r>
          </w:p>
        </w:tc>
        <w:tc>
          <w:tcPr>
            <w:tcW w:w="900" w:type="dxa"/>
            <w:vAlign w:val="bottom"/>
            <w:tcBorders>
              <w:right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380" w:type="dxa"/>
            <w:vAlign w:val="bottom"/>
            <w:tcBorders>
              <w:right w:val="single" w:sz="8" w:color="auto"/>
            </w:tcBorders>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60" w:type="dxa"/>
            <w:vAlign w:val="bottom"/>
            <w:tcBorders>
              <w:right w:val="single" w:sz="8" w:color="auto"/>
            </w:tcBorders>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r>
      <w:tr>
        <w:trPr>
          <w:trHeight w:val="231"/>
        </w:trPr>
        <w:tc>
          <w:tcPr>
            <w:tcW w:w="11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McKeon</w:t>
            </w:r>
          </w:p>
        </w:tc>
        <w:tc>
          <w:tcPr>
            <w:tcW w:w="900" w:type="dxa"/>
            <w:vAlign w:val="bottom"/>
            <w:tcBorders>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2013</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116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r>
      <w:tr>
        <w:trPr>
          <w:trHeight w:val="212"/>
        </w:trPr>
        <w:tc>
          <w:tcPr>
            <w:tcW w:w="1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Cathrin Petty</w:t>
            </w:r>
          </w:p>
        </w:tc>
        <w:tc>
          <w:tcPr>
            <w:tcW w:w="9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2013</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78</w:t>
            </w:r>
          </w:p>
        </w:tc>
        <w:tc>
          <w:tcPr>
            <w:tcW w:w="11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r>
      <w:tr>
        <w:trPr>
          <w:trHeight w:val="212"/>
        </w:trPr>
        <w:tc>
          <w:tcPr>
            <w:tcW w:w="11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William Hall</w:t>
            </w:r>
          </w:p>
        </w:tc>
        <w:tc>
          <w:tcPr>
            <w:tcW w:w="900" w:type="dxa"/>
            <w:vAlign w:val="bottom"/>
            <w:tcBorders>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2013</w:t>
            </w: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w:t>
            </w:r>
          </w:p>
        </w:tc>
        <w:tc>
          <w:tcPr>
            <w:tcW w:w="116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76</w:t>
            </w:r>
          </w:p>
        </w:tc>
        <w:tc>
          <w:tcPr>
            <w:tcW w:w="11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r>
      <w:tr>
        <w:trPr>
          <w:trHeight w:val="219"/>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2013</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945</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118</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1,485</w:t>
            </w:r>
          </w:p>
        </w:tc>
        <w:tc>
          <w:tcPr>
            <w:tcW w:w="1380" w:type="dxa"/>
            <w:vAlign w:val="bottom"/>
            <w:tcBorders>
              <w:bottom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40</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2,588</w:t>
            </w: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3,666</w:t>
            </w:r>
          </w:p>
        </w:tc>
        <w:tc>
          <w:tcPr>
            <w:tcW w:w="1160" w:type="dxa"/>
            <w:vAlign w:val="bottom"/>
            <w:tcBorders>
              <w:bottom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798</w:t>
            </w:r>
          </w:p>
        </w:tc>
        <w:tc>
          <w:tcPr>
            <w:tcW w:w="11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7,052</w:t>
            </w:r>
          </w:p>
        </w:tc>
      </w:tr>
    </w:tbl>
    <w:p>
      <w:pPr>
        <w:spacing w:after="0" w:line="220" w:lineRule="exact"/>
        <w:rPr>
          <w:sz w:val="20"/>
          <w:szCs w:val="20"/>
          <w:color w:val="auto"/>
        </w:rPr>
      </w:pPr>
    </w:p>
    <w:p>
      <w:pPr>
        <w:ind w:left="700" w:hanging="199"/>
        <w:spacing w:after="0"/>
        <w:tabs>
          <w:tab w:leader="none" w:pos="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pension contributions above represent contributions paid by the Company to a defined contribution pension scheme.</w:t>
      </w:r>
    </w:p>
    <w:p>
      <w:pPr>
        <w:spacing w:after="0" w:line="24" w:lineRule="exact"/>
        <w:rPr>
          <w:rFonts w:ascii="Times New Roman" w:cs="Times New Roman" w:eastAsia="Times New Roman" w:hAnsi="Times New Roman"/>
          <w:sz w:val="18"/>
          <w:szCs w:val="18"/>
          <w:color w:val="auto"/>
        </w:rPr>
      </w:pPr>
    </w:p>
    <w:p>
      <w:pPr>
        <w:ind w:left="700" w:hanging="287"/>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Chairman on 1 January 2013.</w:t>
      </w:r>
    </w:p>
    <w:p>
      <w:pPr>
        <w:spacing w:after="0" w:line="5"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Retired on 22 July 2013.</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78"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benefit obligations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The Group operates a number of defined contribution schemes and a defined benefit pension scheme. The Group accounts for pensions in accordance with IAS 19R </w:t>
      </w:r>
      <w:r>
        <w:rPr>
          <w:rFonts w:ascii="Times New Roman" w:cs="Times New Roman" w:eastAsia="Times New Roman" w:hAnsi="Times New Roman"/>
          <w:sz w:val="18"/>
          <w:szCs w:val="18"/>
          <w:i w:val="1"/>
          <w:iCs w:val="1"/>
          <w:color w:val="auto"/>
        </w:rPr>
        <w:t>Employee Benefits</w:t>
      </w:r>
      <w:r>
        <w:rPr>
          <w:rFonts w:ascii="Times New Roman" w:cs="Times New Roman" w:eastAsia="Times New Roman" w:hAnsi="Times New Roman"/>
          <w:sz w:val="18"/>
          <w:szCs w:val="18"/>
          <w:color w:val="auto"/>
        </w:rPr>
        <w:t xml:space="preserve"> (“IAS 19R”).</w:t>
      </w:r>
    </w:p>
    <w:p>
      <w:pPr>
        <w:spacing w:after="0" w:line="190" w:lineRule="exact"/>
        <w:rPr>
          <w:sz w:val="20"/>
          <w:szCs w:val="20"/>
          <w:color w:val="auto"/>
        </w:rPr>
      </w:pPr>
    </w:p>
    <w:p>
      <w:pPr>
        <w:ind w:left="800" w:hanging="794"/>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Contribution Schemes</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employees of the Group are eligible to participate in a defined contribution plan (the "Plan"). Participants in the Plan may elect to defer a portion of their pre-tax earnings into a pension plan, which is run by an independent party. The Group matches each participant's contributions typically at 6% of the participant's annual compensation. Contributions to this plan are recorded, as a remuneration expense in the consolidated Income Statement. Contributions for the year ended 31 December 2014 and year ended 31 December 2013 were $22,582,000and $20,293,000 respectively.</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Group matches 50% of each participant's contributions and each participant can contribute up to 6% of their annual compensation. Contributions to the U.S. Plan are recorded, in the year contributed, as an expense in the consolidated Income Statement. Contributions for the year ended 31 December 2014 and year ended 31 December 2013 were $10,514,000and $9,816,000 respectively.</w:t>
      </w:r>
    </w:p>
    <w:p>
      <w:pPr>
        <w:spacing w:after="0" w:line="208" w:lineRule="exact"/>
        <w:rPr>
          <w:sz w:val="20"/>
          <w:szCs w:val="20"/>
          <w:color w:val="auto"/>
        </w:rPr>
      </w:pPr>
    </w:p>
    <w:p>
      <w:pPr>
        <w:ind w:left="800" w:hanging="794"/>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Benefit Plans</w:t>
      </w:r>
    </w:p>
    <w:p>
      <w:pPr>
        <w:spacing w:after="0" w:line="24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One of the Group’s subsidiaries, ICON Development Solutions Limited, which was acquired by the Group in 2003, operates a defined benefit pension plan in the United Kingdom for certain of its employees, which is now closed to new members.</w:t>
      </w:r>
    </w:p>
    <w:p>
      <w:pPr>
        <w:spacing w:after="0" w:line="19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plan is managed externally and the related pension costs and liabilities are assessed in accordance with the advice of a professionally qualified actuary. Plan assets at 31 December 2014 and 31 December 2013 consist of units held in independently administered funds.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assumptions</w:t>
      </w:r>
    </w:p>
    <w:p>
      <w:pPr>
        <w:spacing w:after="0" w:line="246"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The following assumptions were used in determining the fair value of the plan assets and the present value of the projected benefit obligation at 31 December 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8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8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8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3.60%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Inflation rate</w:t>
            </w:r>
          </w:p>
        </w:tc>
        <w:tc>
          <w:tcPr>
            <w:tcW w:w="48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3.10%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pension increases</w:t>
            </w:r>
          </w:p>
        </w:tc>
        <w:tc>
          <w:tcPr>
            <w:tcW w:w="48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3.00%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Future salary increases</w:t>
            </w:r>
          </w:p>
        </w:tc>
        <w:tc>
          <w:tcPr>
            <w:tcW w:w="4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3.60%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discount rate is determined by reference to UK long dated government and corporate bond yields at the balance sheet date. This is represented by the iboxx corporate bond over 15 year index plus 20 basis points. At 31 December 2014 the Company, with input from its actuarial advisors, refined its estimate of the discount rate used in calculating the benefit obligation and reduced the premium over iboxx from 30 basis points to 20 to reflect the change in the shape of the yield curve. This change had an impact of reducing the net obligation by $779,000.</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Retirement benefit obligations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at the commencement of the year in determining the net periodic pension cost for the year ended 31 December 2014: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9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9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9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4.70%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Future salary increases</w:t>
            </w:r>
          </w:p>
        </w:tc>
        <w:tc>
          <w:tcPr>
            <w:tcW w:w="4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4.00%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Mortality assumptions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Assumptions regarding mortality experience are set based on actuarial advice in accordance with published statistics and experience. The mortality assumptions adopted at 31 December 2014 are 130% of the standard tables PNxA00, Year of Birth, no age rating for males and females, projected using long cohort improvements with a floor of 1.00% p.a. These imply the following life expectancies, for persons retiring at age 62: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9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9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Male retiring in 2014</w:t>
            </w:r>
          </w:p>
        </w:tc>
        <w:tc>
          <w:tcPr>
            <w:tcW w:w="49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24.8 years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Female retiring in 2014</w:t>
            </w:r>
          </w:p>
        </w:tc>
        <w:tc>
          <w:tcPr>
            <w:tcW w:w="49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27.4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Male retiring in 2034</w:t>
            </w:r>
          </w:p>
        </w:tc>
        <w:tc>
          <w:tcPr>
            <w:tcW w:w="49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26.8 years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Female retiring in 2034</w:t>
            </w:r>
          </w:p>
        </w:tc>
        <w:tc>
          <w:tcPr>
            <w:tcW w:w="4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29.3 years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 years</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Movement in the net benefit obligation recognised in non-current other liabilities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Fair Value of</w:t>
            </w:r>
          </w:p>
        </w:tc>
        <w:tc>
          <w:tcPr>
            <w:tcW w:w="9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Present Value of</w:t>
            </w:r>
          </w:p>
        </w:tc>
        <w:tc>
          <w:tcPr>
            <w:tcW w:w="16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Plan</w:t>
            </w:r>
          </w:p>
        </w:tc>
        <w:tc>
          <w:tcPr>
            <w:tcW w:w="9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16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3"/>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6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$’000</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2"/>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1 January 2014</w:t>
            </w:r>
          </w:p>
        </w:tc>
        <w:tc>
          <w:tcPr>
            <w:tcW w:w="4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(24,958)</w:t>
            </w:r>
          </w:p>
        </w:tc>
        <w:tc>
          <w:tcPr>
            <w:tcW w:w="160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21,422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Current service costs</w:t>
            </w:r>
          </w:p>
        </w:tc>
        <w:tc>
          <w:tcPr>
            <w:tcW w:w="4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(91)</w:t>
            </w:r>
          </w:p>
        </w:tc>
        <w:tc>
          <w:tcPr>
            <w:tcW w:w="16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2"/>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expense/(income)</w:t>
            </w:r>
          </w:p>
        </w:tc>
        <w:tc>
          <w:tcPr>
            <w:tcW w:w="4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(1,235)</w:t>
            </w:r>
          </w:p>
        </w:tc>
        <w:tc>
          <w:tcPr>
            <w:tcW w:w="160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1,004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Past Service Cost</w:t>
            </w:r>
          </w:p>
        </w:tc>
        <w:tc>
          <w:tcPr>
            <w:tcW w:w="4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(359)</w:t>
            </w:r>
          </w:p>
        </w:tc>
        <w:tc>
          <w:tcPr>
            <w:tcW w:w="16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shd w:val="clear" w:color="auto" w:fill="CCEEFF"/>
          </w:tcPr>
          <w:p>
            <w:pPr>
              <w:spacing w:after="0"/>
              <w:rPr>
                <w:sz w:val="19"/>
                <w:szCs w:val="19"/>
                <w:color w:val="auto"/>
              </w:rPr>
            </w:pPr>
          </w:p>
        </w:tc>
        <w:tc>
          <w:tcPr>
            <w:tcW w:w="41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(26,643)</w:t>
            </w: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22,426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(4,217)</w:t>
            </w:r>
          </w:p>
        </w:tc>
      </w:tr>
      <w:tr>
        <w:trPr>
          <w:trHeight w:val="42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Re-measurements</w:t>
            </w:r>
          </w:p>
        </w:tc>
        <w:tc>
          <w:tcPr>
            <w:tcW w:w="4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 adjustment</w:t>
            </w:r>
          </w:p>
        </w:tc>
        <w:tc>
          <w:tcPr>
            <w:tcW w:w="4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(1,030)</w:t>
            </w:r>
          </w:p>
        </w:tc>
        <w:tc>
          <w:tcPr>
            <w:tcW w:w="160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4,420</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3,390</w:t>
            </w: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Gain or loss from change in demographic assumptions</w:t>
            </w:r>
          </w:p>
        </w:tc>
        <w:tc>
          <w:tcPr>
            <w:tcW w:w="4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or loss from change in financial assumptions</w:t>
            </w:r>
          </w:p>
        </w:tc>
        <w:tc>
          <w:tcPr>
            <w:tcW w:w="41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(7,240)</w:t>
            </w: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(8,270)</w:t>
            </w:r>
          </w:p>
        </w:tc>
        <w:tc>
          <w:tcPr>
            <w:tcW w:w="16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4,420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(3,850)</w:t>
            </w:r>
          </w:p>
        </w:tc>
      </w:tr>
      <w:tr>
        <w:trPr>
          <w:trHeight w:val="212"/>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4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2,014</w:t>
            </w:r>
          </w:p>
        </w:tc>
        <w:tc>
          <w:tcPr>
            <w:tcW w:w="16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(1,568)</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446</w:t>
            </w: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Employers</w:t>
            </w:r>
          </w:p>
        </w:tc>
        <w:tc>
          <w:tcPr>
            <w:tcW w:w="4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155</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155</w:t>
            </w: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 Plan participants</w:t>
            </w:r>
          </w:p>
        </w:tc>
        <w:tc>
          <w:tcPr>
            <w:tcW w:w="4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w:t>
            </w:r>
          </w:p>
        </w:tc>
        <w:tc>
          <w:tcPr>
            <w:tcW w:w="16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44</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41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68</w:t>
            </w:r>
          </w:p>
        </w:tc>
        <w:tc>
          <w:tcPr>
            <w:tcW w:w="16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(68)</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24</w:t>
            </w:r>
          </w:p>
        </w:tc>
        <w:tc>
          <w:tcPr>
            <w:tcW w:w="16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131</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155</w:t>
            </w: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2014</w:t>
            </w:r>
          </w:p>
        </w:tc>
        <w:tc>
          <w:tcPr>
            <w:tcW w:w="41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(32,875)</w:t>
            </w:r>
          </w:p>
        </w:tc>
        <w:tc>
          <w:tcPr>
            <w:tcW w:w="160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25,409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(7,466)</w:t>
            </w:r>
          </w:p>
        </w:tc>
      </w:tr>
      <w:tr>
        <w:trPr>
          <w:trHeight w:val="59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100" w:type="dxa"/>
            <w:vAlign w:val="bottom"/>
          </w:tcPr>
          <w:p>
            <w:pPr>
              <w:jc w:val="right"/>
              <w:ind w:right="2952"/>
              <w:spacing w:after="0"/>
              <w:rPr>
                <w:sz w:val="20"/>
                <w:szCs w:val="20"/>
                <w:color w:val="auto"/>
              </w:rPr>
            </w:pPr>
            <w:r>
              <w:rPr>
                <w:rFonts w:ascii="Times New Roman" w:cs="Times New Roman" w:eastAsia="Times New Roman" w:hAnsi="Times New Roman"/>
                <w:sz w:val="18"/>
                <w:szCs w:val="18"/>
                <w:color w:val="auto"/>
              </w:rPr>
              <w:t>55</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9. Retirement benefit obligations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tc>
        <w:tc>
          <w:tcPr>
            <w:tcW w:w="3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29"/>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1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Present Value</w:t>
            </w:r>
          </w:p>
        </w:tc>
        <w:tc>
          <w:tcPr>
            <w:tcW w:w="16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Fair Value of</w:t>
            </w:r>
          </w:p>
        </w:tc>
        <w:tc>
          <w:tcPr>
            <w:tcW w:w="9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1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of Obligations</w:t>
            </w:r>
          </w:p>
        </w:tc>
        <w:tc>
          <w:tcPr>
            <w:tcW w:w="16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Plan Assets</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3"/>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1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6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$’000</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2"/>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1 January 2013</w:t>
            </w:r>
          </w:p>
        </w:tc>
        <w:tc>
          <w:tcPr>
            <w:tcW w:w="3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(22,527)</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17,807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Current service costs</w:t>
            </w:r>
          </w:p>
        </w:tc>
        <w:tc>
          <w:tcPr>
            <w:tcW w:w="3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(251)</w:t>
            </w:r>
          </w:p>
        </w:tc>
        <w:tc>
          <w:tcPr>
            <w:tcW w:w="16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expense/(income)</w:t>
            </w:r>
          </w:p>
        </w:tc>
        <w:tc>
          <w:tcPr>
            <w:tcW w:w="31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(1,005)</w:t>
            </w:r>
          </w:p>
        </w:tc>
        <w:tc>
          <w:tcPr>
            <w:tcW w:w="16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796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(23,783)</w:t>
            </w:r>
          </w:p>
        </w:tc>
        <w:tc>
          <w:tcPr>
            <w:tcW w:w="16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18,603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(5,180)</w:t>
            </w: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Re-measurements</w:t>
            </w: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 adjustment</w:t>
            </w:r>
          </w:p>
        </w:tc>
        <w:tc>
          <w:tcPr>
            <w:tcW w:w="3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2,119</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2,119</w:t>
            </w: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Gain or loss from change in demographic assumptions</w:t>
            </w:r>
          </w:p>
        </w:tc>
        <w:tc>
          <w:tcPr>
            <w:tcW w:w="3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or loss from change in financial assumptions</w:t>
            </w:r>
          </w:p>
        </w:tc>
        <w:tc>
          <w:tcPr>
            <w:tcW w:w="31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(680)</w:t>
            </w:r>
          </w:p>
        </w:tc>
        <w:tc>
          <w:tcPr>
            <w:tcW w:w="16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(680)</w:t>
            </w:r>
          </w:p>
        </w:tc>
        <w:tc>
          <w:tcPr>
            <w:tcW w:w="16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2,119</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1,439</w:t>
            </w:r>
          </w:p>
        </w:tc>
      </w:tr>
      <w:tr>
        <w:trPr>
          <w:trHeight w:val="212"/>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3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(525)</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505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Employers</w:t>
            </w:r>
          </w:p>
        </w:tc>
        <w:tc>
          <w:tcPr>
            <w:tcW w:w="3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225</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 Plan participants</w:t>
            </w:r>
          </w:p>
        </w:tc>
        <w:tc>
          <w:tcPr>
            <w:tcW w:w="3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(75)</w:t>
            </w:r>
          </w:p>
        </w:tc>
        <w:tc>
          <w:tcPr>
            <w:tcW w:w="16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75</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3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c>
          <w:tcPr>
            <w:tcW w:w="16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30</w:t>
            </w:r>
          </w:p>
        </w:tc>
        <w:tc>
          <w:tcPr>
            <w:tcW w:w="16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195</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225</w:t>
            </w: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2013</w:t>
            </w:r>
          </w:p>
        </w:tc>
        <w:tc>
          <w:tcPr>
            <w:tcW w:w="31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(24,958)</w:t>
            </w:r>
          </w:p>
        </w:tc>
        <w:tc>
          <w:tcPr>
            <w:tcW w:w="16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21,422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(3,536)</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Re-measurements are recognised in the Consolidated Statement of Other Comprehensive Income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7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7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7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47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Plan Assets (excl. amounts included in Interest income/expense)</w:t>
            </w:r>
          </w:p>
        </w:tc>
        <w:tc>
          <w:tcPr>
            <w:tcW w:w="47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3,390</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from change in financial assumptions</w:t>
            </w:r>
          </w:p>
        </w:tc>
        <w:tc>
          <w:tcPr>
            <w:tcW w:w="4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(7,240)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 end of year</w:t>
            </w:r>
          </w:p>
        </w:tc>
        <w:tc>
          <w:tcPr>
            <w:tcW w:w="47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(3,850)</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740" w:type="dxa"/>
            <w:vAlign w:val="bottom"/>
          </w:tcPr>
          <w:p>
            <w:pPr>
              <w:jc w:val="right"/>
              <w:ind w:right="4312"/>
              <w:spacing w:after="0"/>
              <w:rPr>
                <w:sz w:val="20"/>
                <w:szCs w:val="20"/>
                <w:color w:val="auto"/>
              </w:rPr>
            </w:pPr>
            <w:r>
              <w:rPr>
                <w:rFonts w:ascii="Times New Roman" w:cs="Times New Roman" w:eastAsia="Times New Roman" w:hAnsi="Times New Roman"/>
                <w:sz w:val="18"/>
                <w:szCs w:val="18"/>
                <w:color w:val="auto"/>
              </w:rPr>
              <w:t>56</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9. Retirement benefit obligations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tc>
        <w:tc>
          <w:tcPr>
            <w:tcW w:w="2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benefit pension expense recognised in the Consolidated Income Statement was as follows:</w:t>
            </w:r>
          </w:p>
        </w:tc>
        <w:tc>
          <w:tcPr>
            <w:tcW w:w="2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1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1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1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1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service cost recognised in profit or loss</w:t>
            </w:r>
          </w:p>
        </w:tc>
        <w:tc>
          <w:tcPr>
            <w:tcW w:w="2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91</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expense recognised in profit or loss</w:t>
            </w:r>
          </w:p>
        </w:tc>
        <w:tc>
          <w:tcPr>
            <w:tcW w:w="21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231</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Past Service Cost</w:t>
            </w:r>
          </w:p>
        </w:tc>
        <w:tc>
          <w:tcPr>
            <w:tcW w:w="21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359</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21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681</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445"/>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Plan Assets Fair Value</w:t>
            </w:r>
          </w:p>
        </w:tc>
        <w:tc>
          <w:tcPr>
            <w:tcW w:w="2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 of plan assets at 31 December 2014 is analysed as follows:</w:t>
            </w:r>
          </w:p>
        </w:tc>
        <w:tc>
          <w:tcPr>
            <w:tcW w:w="2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1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1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1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 funds</w:t>
            </w:r>
          </w:p>
        </w:tc>
        <w:tc>
          <w:tcPr>
            <w:tcW w:w="21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25,409</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21,422</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assets of the scheme are invested in a unitised with profits policy. The plan’s assets do not include any of the Group’s own financial instruments, nor any property occupied by, or other assets used by the Group.</w:t>
      </w:r>
    </w:p>
    <w:p>
      <w:pPr>
        <w:jc w:val="both"/>
        <w:spacing w:after="0" w:line="251" w:lineRule="auto"/>
        <w:rPr>
          <w:sz w:val="20"/>
          <w:szCs w:val="20"/>
          <w:color w:val="auto"/>
        </w:rPr>
      </w:pPr>
      <w:r>
        <w:rPr>
          <w:rFonts w:ascii="Times New Roman" w:cs="Times New Roman" w:eastAsia="Times New Roman" w:hAnsi="Times New Roman"/>
          <w:sz w:val="18"/>
          <w:szCs w:val="18"/>
          <w:color w:val="auto"/>
        </w:rPr>
        <w:t>At 31 December 2014 the long-term expected return on corporate bonds and gilts (fixed interest and index linked) was determined by reference to bond yields and gilt yields.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underlying asset split of the funds at 31 December 2014 and 31 December 2013 was as follows:</w:t>
            </w:r>
          </w:p>
        </w:tc>
        <w:tc>
          <w:tcPr>
            <w:tcW w:w="2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1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21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Equities</w:t>
            </w:r>
          </w:p>
        </w:tc>
        <w:tc>
          <w:tcPr>
            <w:tcW w:w="21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1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8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Gilts</w:t>
            </w:r>
          </w:p>
        </w:tc>
        <w:tc>
          <w:tcPr>
            <w:tcW w:w="21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74%</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assets of the scheme are invested with Legal and General and held in a combination of the Active Corporate Bond Over 10 Year fund, Gilt, and Index Linked Gilt funds. The overall investment strategy is that approximately 70% of investments are in government bonds (both fixed interest and index linked) and approximately 30% of investments held in corporate bonds. This results in a concentration of investments in bond type assets, although invested in a number of different bond funds.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0" w:lineRule="exact"/>
        <w:rPr>
          <w:sz w:val="20"/>
          <w:szCs w:val="20"/>
          <w:color w:val="auto"/>
        </w:rPr>
      </w:pPr>
    </w:p>
    <w:p>
      <w:pPr>
        <w:ind w:right="8020" w:firstLine="6"/>
        <w:spacing w:after="0" w:line="525" w:lineRule="auto"/>
        <w:tabs>
          <w:tab w:leader="none" w:pos="22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Retirement benefit obligations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Sensitivity assumptions</w:t>
      </w:r>
    </w:p>
    <w:p>
      <w:pPr>
        <w:spacing w:after="0"/>
        <w:rPr>
          <w:sz w:val="20"/>
          <w:szCs w:val="20"/>
          <w:color w:val="auto"/>
        </w:rPr>
      </w:pPr>
      <w:r>
        <w:rPr>
          <w:rFonts w:ascii="Times New Roman" w:cs="Times New Roman" w:eastAsia="Times New Roman" w:hAnsi="Times New Roman"/>
          <w:sz w:val="18"/>
          <w:szCs w:val="18"/>
          <w:color w:val="auto"/>
        </w:rPr>
        <w:t>The sensitivity of the defined benefit obligation to changes in the weighted principal assumptions is: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860" w:type="dxa"/>
            <w:vAlign w:val="bottom"/>
          </w:tcPr>
          <w:p>
            <w:pPr>
              <w:jc w:val="center"/>
              <w:ind w:left="452"/>
              <w:spacing w:after="0"/>
              <w:rPr>
                <w:sz w:val="20"/>
                <w:szCs w:val="20"/>
                <w:color w:val="auto"/>
              </w:rPr>
            </w:pPr>
            <w:r>
              <w:rPr>
                <w:rFonts w:ascii="Times New Roman" w:cs="Times New Roman" w:eastAsia="Times New Roman" w:hAnsi="Times New Roman"/>
                <w:sz w:val="18"/>
                <w:szCs w:val="18"/>
                <w:b w:val="1"/>
                <w:bCs w:val="1"/>
                <w:color w:val="auto"/>
                <w:w w:val="98"/>
              </w:rPr>
              <w:t>Change in Assumption</w:t>
            </w:r>
          </w:p>
        </w:tc>
        <w:tc>
          <w:tcPr>
            <w:tcW w:w="35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Change in Liabilities</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86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8"/>
              </w:rPr>
              <w:t>Decrease of 0.25% p.a.</w:t>
            </w:r>
          </w:p>
        </w:tc>
        <w:tc>
          <w:tcPr>
            <w:tcW w:w="354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Increase by 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Rate of Inflation</w:t>
            </w:r>
          </w:p>
        </w:tc>
        <w:tc>
          <w:tcPr>
            <w:tcW w:w="48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8"/>
              </w:rPr>
              <w:t>Increase of 0.25% p.a.</w:t>
            </w:r>
          </w:p>
        </w:tc>
        <w:tc>
          <w:tcPr>
            <w:tcW w:w="35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Increase by 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Salary Growth</w:t>
            </w:r>
          </w:p>
        </w:tc>
        <w:tc>
          <w:tcPr>
            <w:tcW w:w="486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8"/>
              </w:rPr>
              <w:t>Increase of 0.25% p.a.</w:t>
            </w:r>
          </w:p>
        </w:tc>
        <w:tc>
          <w:tcPr>
            <w:tcW w:w="354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Increase by 0.2%</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Rate of Mortality</w:t>
            </w:r>
          </w:p>
        </w:tc>
        <w:tc>
          <w:tcPr>
            <w:tcW w:w="4860" w:type="dxa"/>
            <w:vAlign w:val="bottom"/>
            <w:tcBorders>
              <w:bottom w:val="single" w:sz="8" w:color="auto"/>
            </w:tcBorders>
          </w:tcPr>
          <w:p>
            <w:pPr>
              <w:jc w:val="center"/>
              <w:ind w:left="452"/>
              <w:spacing w:after="0"/>
              <w:rPr>
                <w:sz w:val="20"/>
                <w:szCs w:val="20"/>
                <w:color w:val="auto"/>
              </w:rPr>
            </w:pPr>
            <w:r>
              <w:rPr>
                <w:rFonts w:ascii="Times New Roman" w:cs="Times New Roman" w:eastAsia="Times New Roman" w:hAnsi="Times New Roman"/>
                <w:sz w:val="18"/>
                <w:szCs w:val="18"/>
                <w:color w:val="auto"/>
                <w:w w:val="98"/>
              </w:rPr>
              <w:t>Increase in life expectancy of 1 year</w:t>
            </w:r>
          </w:p>
        </w:tc>
        <w:tc>
          <w:tcPr>
            <w:tcW w:w="35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color w:val="auto"/>
                <w:w w:val="99"/>
              </w:rPr>
              <w:t>Increase by 3.2%</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sensitivities shown above are approximate. Each sensitivity considers one change in isolation. The inflation sensitivity includes the impact of changes to the assumptions for revaluation, pension increases and salary growth. The average duration of the defined benefit obligation at the period ending 31 December 2014 is 25 years.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income statements.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and Maturity Profiles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expects to contribute approximately $0.1 million of normal contribution to the defined benefit pension scheme for the year ended 31 December 2015.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duration of the defined benefit obligation at the period ending 31 December 2014 is 25 years.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 based payments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 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aggregate of 6.0 million ordinary shares have been reserved under the 2008 Employee Plan as reduced by any shares issued or to be issued pursuant to options granted under the 2008 Consultants Plan, under which a limit of 400,000 shares applies. The options are awarded at the share price on grant date and vest over a service period.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21 July 2018.</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Share based payments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17 January 2003 the Company adopted the Share Option Plan 2003 (“the 2003 Plan”), pursuant to which the Compensation and Organisation Committee of the Company’s Board of Director’s could grant options to employees of the Company or its subsidiaries for the purchase of ordinary shares. Each grant of an option under the 2003 Plan was to be evidenced by a Stock Option Agreement between the optionee and the Company. The exercise price was to be specified in each Stock Option Agreement, however option prices could not be less than 100% of the fair market value of an ordinary share on the date the option was granted.</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aggregate of 6.0 million ordinary shares were reserved under the 2003 Plan; and, in no event could the number of ordinary shares that may be issued pursuant to options awarded under the 2003 Plan exceed 10% of the outstanding shares, as defined in the 2003 Plan, at the time of the grant. Further, the maximum number of ordinary shares with respect to which options could be granted under the 2003 Plan during any calendar year to any employee was 400,000 ordinary shares. The 2003 Share Option Plan expired on 17 January 2013. No new options may be granted under this plan.</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Share option awards are granted with an exercise price equal to the market price of the Company’s ordinary shares at date of grant. Share options typically vest over a period of five years from date of grant and expire eight years from date of grant.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out below is a summary of the total number of options outstanding and number of options available to grant under each plan as at 31 December 2014: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560" w:type="dxa"/>
            <w:vAlign w:val="bottom"/>
            <w:gridSpan w:val="2"/>
          </w:tcPr>
          <w:p>
            <w:pPr>
              <w:jc w:val="right"/>
              <w:ind w:right="912"/>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2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Available to Grant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 December</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2013</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1998</w:t>
            </w: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Incentive Plan</w:t>
            </w:r>
          </w:p>
        </w:tc>
        <w:tc>
          <w:tcPr>
            <w:tcW w:w="3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16,540</w:t>
            </w: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167,550</w:t>
            </w:r>
          </w:p>
        </w:tc>
        <w:tc>
          <w:tcPr>
            <w:tcW w:w="1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2003</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Plan</w:t>
            </w:r>
          </w:p>
        </w:tc>
        <w:tc>
          <w:tcPr>
            <w:tcW w:w="3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776,200</w:t>
            </w: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1,295,528</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2008</w:t>
            </w: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Plans</w:t>
            </w:r>
          </w:p>
        </w:tc>
        <w:tc>
          <w:tcPr>
            <w:tcW w:w="3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1,434,960</w:t>
            </w: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1,510,710</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3,954,173</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4,205,940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7"/>
              </w:rPr>
              <w:t>Total</w:t>
            </w:r>
          </w:p>
        </w:tc>
        <w:tc>
          <w:tcPr>
            <w:tcW w:w="3840" w:type="dxa"/>
            <w:vAlign w:val="bottom"/>
            <w:tcBorders>
              <w:bottom w:val="single" w:sz="8" w:color="auto"/>
            </w:tcBorders>
            <w:shd w:val="clear" w:color="auto" w:fill="CCEEFF"/>
          </w:tcPr>
          <w:p>
            <w:pPr>
              <w:spacing w:after="0"/>
              <w:rPr>
                <w:sz w:val="21"/>
                <w:szCs w:val="21"/>
                <w:color w:val="auto"/>
              </w:rPr>
            </w:pPr>
          </w:p>
        </w:tc>
        <w:tc>
          <w:tcPr>
            <w:tcW w:w="3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2,227,700</w:t>
            </w: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2,973,788</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3,954,173</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4,205,940</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1998 Long Term Incentive Plan expired on 14 January 2008 and no further options may be granted under this plan.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2003 Share Option Plan expired on 17 January 2013 and no further options may be granted under this plan.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10. Share based payments </w:t>
            </w:r>
            <w:r>
              <w:rPr>
                <w:rFonts w:ascii="Times New Roman" w:cs="Times New Roman" w:eastAsia="Times New Roman" w:hAnsi="Times New Roman"/>
                <w:sz w:val="18"/>
                <w:szCs w:val="18"/>
                <w:b w:val="1"/>
                <w:bCs w:val="1"/>
                <w:i w:val="1"/>
                <w:iCs w:val="1"/>
                <w:color w:val="auto"/>
              </w:rPr>
              <w:t>(continued)</w:t>
            </w: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total number of share options outstanding and exercisable at 31 December 2014 is as follows:</w:t>
            </w: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2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423"/>
        </w:trPr>
        <w:tc>
          <w:tcPr>
            <w:tcW w:w="20" w:type="dxa"/>
            <w:vAlign w:val="bottom"/>
            <w:vMerge w:val="restart"/>
          </w:tcPr>
          <w:p>
            <w:pPr>
              <w:spacing w:after="0"/>
              <w:rPr>
                <w:sz w:val="24"/>
                <w:szCs w:val="24"/>
                <w:color w:val="auto"/>
              </w:rPr>
            </w:pPr>
          </w:p>
        </w:tc>
        <w:tc>
          <w:tcPr>
            <w:tcW w:w="8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31 December 2012</w:t>
            </w:r>
          </w:p>
        </w:tc>
        <w:tc>
          <w:tcPr>
            <w:tcW w:w="2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4,350,631</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23.01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264,950</w:t>
            </w:r>
          </w:p>
        </w:tc>
        <w:tc>
          <w:tcPr>
            <w:tcW w:w="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(1,249,759)</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(392,034)</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31 December 2013</w:t>
            </w:r>
          </w:p>
        </w:tc>
        <w:tc>
          <w:tcPr>
            <w:tcW w:w="2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2,973,788</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24.20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366,985</w:t>
            </w:r>
          </w:p>
        </w:tc>
        <w:tc>
          <w:tcPr>
            <w:tcW w:w="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(926,407)</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(186,666)</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8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31 December 2014</w:t>
            </w:r>
          </w:p>
        </w:tc>
        <w:tc>
          <w:tcPr>
            <w:tcW w:w="2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2,227,700</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8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at 31 December 2014</w:t>
            </w:r>
          </w:p>
        </w:tc>
        <w:tc>
          <w:tcPr>
            <w:tcW w:w="2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1,024,550</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25.03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8"/>
          <w:szCs w:val="18"/>
          <w:color w:val="auto"/>
        </w:rPr>
        <w:t>The weighted average market price of the Company’s shares on date of exercise of share options during the year ended 31 December 2014 was $48.82 (31 December 2013: $36.21).</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Share based payments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31 December 2014, the range of exercise prices and weighted average remaining contractual life of outstanding and exercisable options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20" w:type="dxa"/>
            <w:vAlign w:val="bottom"/>
          </w:tcPr>
          <w:p>
            <w:pPr>
              <w:spacing w:after="0"/>
              <w:rPr>
                <w:sz w:val="20"/>
                <w:szCs w:val="20"/>
                <w:color w:val="auto"/>
              </w:rPr>
            </w:pPr>
          </w:p>
        </w:tc>
        <w:tc>
          <w:tcPr>
            <w:tcW w:w="3700" w:type="dxa"/>
            <w:vAlign w:val="bottom"/>
            <w:gridSpan w:val="2"/>
          </w:tcPr>
          <w:p>
            <w:pPr>
              <w:jc w:val="right"/>
              <w:ind w:right="1392"/>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120" w:type="dxa"/>
            <w:vAlign w:val="bottom"/>
          </w:tcPr>
          <w:p>
            <w:pPr>
              <w:spacing w:after="0"/>
              <w:rPr>
                <w:sz w:val="20"/>
                <w:szCs w:val="20"/>
                <w:color w:val="auto"/>
              </w:rPr>
            </w:pPr>
          </w:p>
        </w:tc>
        <w:tc>
          <w:tcPr>
            <w:tcW w:w="31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0" w:type="dxa"/>
            <w:vAlign w:val="bottom"/>
          </w:tcPr>
          <w:p>
            <w:pPr>
              <w:spacing w:after="0"/>
              <w:rPr>
                <w:sz w:val="1"/>
                <w:szCs w:val="1"/>
                <w:color w:val="auto"/>
              </w:rPr>
            </w:pPr>
          </w:p>
        </w:tc>
      </w:tr>
      <w:tr>
        <w:trPr>
          <w:trHeight w:val="403"/>
        </w:trPr>
        <w:tc>
          <w:tcPr>
            <w:tcW w:w="2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Range Exercise</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3"/>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1"/>
        </w:trPr>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$15.84</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50,000</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2.33</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$15.84</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50,000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$16.80</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90,000</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4.83</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$16.80</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30,000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$17.17</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18,000</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4.85</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$17.17</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$18.98</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600</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1.87</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$18.98</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$19.45</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6,000</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3.82</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$19.45</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$20.16</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600</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3.87</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$20.16</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$20.28</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344,811</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4.17</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$20.28</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187,539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$20.59</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115,200</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5.14</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$20.59</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23,400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$21.25</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19,741</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0.12</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$21.25</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19,741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$22.26</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125,637</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2.15</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$22.26</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125,637</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$22.30</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352,793</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5.32</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$22.30</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113,729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$23.66</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8,720</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5.57</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$23.66</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3,380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$24.25</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50,000</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3.18</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$24.25</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50,000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$24.46</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217,907</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3.17</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$24.46</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145,419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$26.20</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2,400</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3.38</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$26.20</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1,920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$26.71</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4,450</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5.70</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$26.71</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1,780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$29.45</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3,000</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3.32</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$29.45</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$31.49</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11,650</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6.16</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$31.49</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1,690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$32.37</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187,498</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6.33</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$32.37</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38,698</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$35.33</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211,756</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1.15</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$35.33</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211,756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$36.22</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34,630</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6.46</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$36.22</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6,921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$37.90</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10,300</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6.93</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$37.90</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2,060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$40.83</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111,463</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7.39</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$40.83</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$41.25</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1,000</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1.67</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$41.25</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$47.03</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82,147</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7.17</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$47.03</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$48.67</w:t>
            </w:r>
          </w:p>
        </w:tc>
        <w:tc>
          <w:tcPr>
            <w:tcW w:w="1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163,367</w:t>
            </w: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7.21</w:t>
            </w:r>
          </w:p>
        </w:tc>
        <w:tc>
          <w:tcPr>
            <w:tcW w:w="21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$48.67</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$51.35</w:t>
            </w:r>
          </w:p>
        </w:tc>
        <w:tc>
          <w:tcPr>
            <w:tcW w:w="16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4,030</w:t>
            </w:r>
          </w:p>
        </w:tc>
        <w:tc>
          <w:tcPr>
            <w:tcW w:w="2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7.60</w:t>
            </w:r>
          </w:p>
        </w:tc>
        <w:tc>
          <w:tcPr>
            <w:tcW w:w="21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$51.35</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$15.84 - $51.35</w:t>
            </w:r>
          </w:p>
        </w:tc>
        <w:tc>
          <w:tcPr>
            <w:tcW w:w="166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2,227,700</w:t>
            </w:r>
          </w:p>
        </w:tc>
        <w:tc>
          <w:tcPr>
            <w:tcW w:w="20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4.58</w:t>
            </w:r>
          </w:p>
        </w:tc>
        <w:tc>
          <w:tcPr>
            <w:tcW w:w="212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$28.00</w:t>
            </w: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1,024,550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 fair values</w:t>
      </w:r>
    </w:p>
    <w:p>
      <w:pPr>
        <w:spacing w:after="0" w:line="24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The overall weighted average fair value of share options granted by the Company during the year ended 31 December 2014 was $14.13 based on the following grants: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41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3"/>
        </w:trPr>
        <w:tc>
          <w:tcPr>
            <w:tcW w:w="3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1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98"/>
              </w:rPr>
              <w:t>Mar 14</w:t>
            </w:r>
          </w:p>
        </w:tc>
        <w:tc>
          <w:tcPr>
            <w:tcW w:w="416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82,147</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98"/>
              </w:rPr>
              <w:t>Mar 14</w:t>
            </w:r>
          </w:p>
        </w:tc>
        <w:tc>
          <w:tcPr>
            <w:tcW w:w="41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163,367</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gridSpan w:val="2"/>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23 May 14</w:t>
            </w:r>
          </w:p>
        </w:tc>
        <w:tc>
          <w:tcPr>
            <w:tcW w:w="416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117,441</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auto"/>
            </w:tcBorders>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8 Aug 14</w:t>
            </w:r>
          </w:p>
        </w:tc>
        <w:tc>
          <w:tcPr>
            <w:tcW w:w="416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8"/>
                <w:szCs w:val="18"/>
                <w:color w:val="auto"/>
              </w:rPr>
              <w:t>4,030</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416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366,985</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91"/>
        </w:trPr>
        <w:tc>
          <w:tcPr>
            <w:tcW w:w="3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160" w:type="dxa"/>
            <w:vAlign w:val="bottom"/>
          </w:tcPr>
          <w:p>
            <w:pPr>
              <w:jc w:val="right"/>
              <w:ind w:right="2972"/>
              <w:spacing w:after="0"/>
              <w:rPr>
                <w:sz w:val="20"/>
                <w:szCs w:val="20"/>
                <w:color w:val="auto"/>
              </w:rPr>
            </w:pPr>
            <w:r>
              <w:rPr>
                <w:rFonts w:ascii="Times New Roman" w:cs="Times New Roman" w:eastAsia="Times New Roman" w:hAnsi="Times New Roman"/>
                <w:sz w:val="18"/>
                <w:szCs w:val="18"/>
                <w:color w:val="auto"/>
              </w:rPr>
              <w:t>61</w:t>
            </w: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Share based payments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p>
      <w:pPr>
        <w:spacing w:after="0" w:line="248"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The overall weighted average fair value of share options granted by the Company during the year ended 31 December 2013 was $12.17 based on the following grants: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20" w:type="dxa"/>
            <w:vAlign w:val="bottom"/>
            <w:gridSpan w:val="2"/>
          </w:tcPr>
          <w:p>
            <w:pPr>
              <w:jc w:val="right"/>
              <w:ind w:right="1452"/>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354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3"/>
        </w:trPr>
        <w:tc>
          <w:tcPr>
            <w:tcW w:w="3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54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2"/>
        </w:trPr>
        <w:tc>
          <w:tcPr>
            <w:tcW w:w="5320" w:type="dxa"/>
            <w:vAlign w:val="bottom"/>
            <w:gridSpan w:val="2"/>
            <w:shd w:val="clear" w:color="auto" w:fill="CCEEFF"/>
          </w:tcPr>
          <w:p>
            <w:pPr>
              <w:jc w:val="right"/>
              <w:ind w:right="1452"/>
              <w:spacing w:after="0"/>
              <w:rPr>
                <w:sz w:val="20"/>
                <w:szCs w:val="20"/>
                <w:color w:val="auto"/>
              </w:rPr>
            </w:pPr>
            <w:r>
              <w:rPr>
                <w:rFonts w:ascii="Times New Roman" w:cs="Times New Roman" w:eastAsia="Times New Roman" w:hAnsi="Times New Roman"/>
                <w:sz w:val="18"/>
                <w:szCs w:val="18"/>
                <w:color w:val="auto"/>
              </w:rPr>
              <w:t>1 Mar 13</w:t>
            </w:r>
          </w:p>
        </w:tc>
        <w:tc>
          <w:tcPr>
            <w:tcW w:w="354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12,450</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100" w:type="dxa"/>
            <w:vAlign w:val="bottom"/>
          </w:tcPr>
          <w:p>
            <w:pPr>
              <w:jc w:val="right"/>
              <w:ind w:right="1452"/>
              <w:spacing w:after="0"/>
              <w:rPr>
                <w:sz w:val="20"/>
                <w:szCs w:val="20"/>
                <w:color w:val="auto"/>
              </w:rPr>
            </w:pPr>
            <w:r>
              <w:rPr>
                <w:rFonts w:ascii="Times New Roman" w:cs="Times New Roman" w:eastAsia="Times New Roman" w:hAnsi="Times New Roman"/>
                <w:sz w:val="18"/>
                <w:szCs w:val="18"/>
                <w:color w:val="auto"/>
                <w:w w:val="97"/>
              </w:rPr>
              <w:t>May 13</w:t>
            </w:r>
          </w:p>
        </w:tc>
        <w:tc>
          <w:tcPr>
            <w:tcW w:w="354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200,203</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100" w:type="dxa"/>
            <w:vAlign w:val="bottom"/>
            <w:shd w:val="clear" w:color="auto" w:fill="CCEEFF"/>
          </w:tcPr>
          <w:p>
            <w:pPr>
              <w:jc w:val="right"/>
              <w:ind w:right="1452"/>
              <w:spacing w:after="0"/>
              <w:rPr>
                <w:sz w:val="20"/>
                <w:szCs w:val="20"/>
                <w:color w:val="auto"/>
              </w:rPr>
            </w:pPr>
            <w:r>
              <w:rPr>
                <w:rFonts w:ascii="Times New Roman" w:cs="Times New Roman" w:eastAsia="Times New Roman" w:hAnsi="Times New Roman"/>
                <w:sz w:val="18"/>
                <w:szCs w:val="18"/>
                <w:color w:val="auto"/>
                <w:w w:val="97"/>
              </w:rPr>
              <w:t>June 13</w:t>
            </w:r>
          </w:p>
        </w:tc>
        <w:tc>
          <w:tcPr>
            <w:tcW w:w="354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40,997</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tcBorders>
              <w:bottom w:val="single" w:sz="8" w:color="auto"/>
            </w:tcBorders>
            <w:gridSpan w:val="2"/>
          </w:tcPr>
          <w:p>
            <w:pPr>
              <w:jc w:val="right"/>
              <w:ind w:right="1452"/>
              <w:spacing w:after="0"/>
              <w:rPr>
                <w:sz w:val="20"/>
                <w:szCs w:val="20"/>
                <w:color w:val="auto"/>
              </w:rPr>
            </w:pPr>
            <w:r>
              <w:rPr>
                <w:rFonts w:ascii="Times New Roman" w:cs="Times New Roman" w:eastAsia="Times New Roman" w:hAnsi="Times New Roman"/>
                <w:sz w:val="18"/>
                <w:szCs w:val="18"/>
                <w:color w:val="auto"/>
              </w:rPr>
              <w:t>5 Dec 13</w:t>
            </w:r>
          </w:p>
        </w:tc>
        <w:tc>
          <w:tcPr>
            <w:tcW w:w="354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8"/>
                <w:szCs w:val="18"/>
                <w:color w:val="auto"/>
              </w:rPr>
              <w:t>11,300</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220" w:type="dxa"/>
            <w:vAlign w:val="bottom"/>
            <w:tcBorders>
              <w:bottom w:val="single" w:sz="8" w:color="auto"/>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spacing w:after="0"/>
              <w:rPr>
                <w:sz w:val="21"/>
                <w:szCs w:val="21"/>
                <w:color w:val="auto"/>
              </w:rPr>
            </w:pPr>
          </w:p>
        </w:tc>
        <w:tc>
          <w:tcPr>
            <w:tcW w:w="354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264,950</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share options – Assumptions</w:t>
      </w:r>
    </w:p>
    <w:p>
      <w:pPr>
        <w:spacing w:after="0" w:line="24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fair values of options granted during the year ended 31 December 2014 and the year ended 31 December 2013 were calculated using a binomial option-pricing-model, using the following assumptions: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40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 price</w:t>
            </w:r>
          </w:p>
        </w:tc>
        <w:tc>
          <w:tcPr>
            <w:tcW w:w="40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$45.82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40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$45.82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(1)</w:t>
            </w:r>
          </w:p>
        </w:tc>
        <w:tc>
          <w:tcPr>
            <w:tcW w:w="40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30%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0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(2)</w:t>
            </w:r>
          </w:p>
        </w:tc>
        <w:tc>
          <w:tcPr>
            <w:tcW w:w="40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Rate of forced early exercise</w:t>
            </w:r>
          </w:p>
        </w:tc>
        <w:tc>
          <w:tcPr>
            <w:tcW w:w="40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10% p.a.</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p.a.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gain for voluntary early exercise</w:t>
            </w:r>
          </w:p>
        </w:tc>
        <w:tc>
          <w:tcPr>
            <w:tcW w:w="40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25% of exercise price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of exercise price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Rate of voluntary early exercise at minimum gain</w:t>
            </w:r>
          </w:p>
        </w:tc>
        <w:tc>
          <w:tcPr>
            <w:tcW w:w="4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75% per annum</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per annum</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7"/>
              </w:rPr>
              <w:t>Expected volatility has been determined based upon the volatility of the Company’s share price over a period which is commensurate with</w:t>
            </w:r>
          </w:p>
        </w:tc>
      </w:tr>
      <w:tr>
        <w:trPr>
          <w:trHeight w:val="21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w:t>
            </w:r>
          </w:p>
        </w:tc>
        <w:tc>
          <w:tcPr>
            <w:tcW w:w="9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expected term of the options granted.</w:t>
            </w:r>
          </w:p>
        </w:tc>
      </w:tr>
      <w:tr>
        <w:trPr>
          <w:trHeight w:val="23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is dependent on the grant date.</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21 July 2008 the Company adopted the 2008 Employees Restricted Share Unit Plan (the “2008 RSU Plan”) pursuant to which the Compensation and Organisation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The shares are awarded at zero cost and vest over a service period. Awards under the 2008 RSU Plan may be settled in cash or shares at the option of the Company.</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23 April 2013 the Company adopted the 2013 Employees Restricted Share Unit Plan (the “2013 RSU Plan”) pursuant to which the Compensation and Organisation Committee of the Company’s Board of Directors may select any employee, or any director holding a salaried office or employment with the Company, or a Subsidiary to receive Restricted Share Units (“RSUs”) and/or Performance Share Units (“PSUs”) under the plan. An aggregate of 1.6 million ordinary shares have been reserved for issuance under the 2013 RSU Plan. The shares are awarded at zero cost and vest over a service period. Awards under the 2013 RSU Plan may be settled in cash or shares at the option of the Company.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Share based payments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Company has awarded RSUs and PSUs to certain key individuals of the Group. The fair value of RSU’s are based on the share price at the date of grant, with the expense spread over the vesting period. The following table summarises RSU and PSU activity for the year ended December 31, 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RSU</w:t>
            </w:r>
          </w:p>
        </w:tc>
        <w:tc>
          <w:tcPr>
            <w:tcW w:w="3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PSU</w:t>
            </w:r>
          </w:p>
        </w:tc>
        <w:tc>
          <w:tcPr>
            <w:tcW w:w="32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2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Fair</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Pr>
          <w:p>
            <w:pPr>
              <w:spacing w:after="0"/>
              <w:rPr>
                <w:sz w:val="20"/>
                <w:szCs w:val="20"/>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31 December 2013</w:t>
            </w:r>
          </w:p>
        </w:tc>
        <w:tc>
          <w:tcPr>
            <w:tcW w:w="2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846,459</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27.05</w:t>
            </w:r>
          </w:p>
        </w:tc>
        <w:tc>
          <w:tcPr>
            <w:tcW w:w="13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353,244</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33.04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Awarded</w:t>
            </w:r>
          </w:p>
        </w:tc>
        <w:tc>
          <w:tcPr>
            <w:tcW w:w="2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521,926</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41.84</w:t>
            </w:r>
          </w:p>
        </w:tc>
        <w:tc>
          <w:tcPr>
            <w:tcW w:w="1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346,108</w:t>
            </w:r>
          </w:p>
        </w:tc>
        <w:tc>
          <w:tcPr>
            <w:tcW w:w="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Shares Vested</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(233,726)</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21.11</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(95,663)</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32.68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(30,181)</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31 December 2014</w:t>
            </w:r>
          </w:p>
        </w:tc>
        <w:tc>
          <w:tcPr>
            <w:tcW w:w="2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1,038,996</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35.19</w:t>
            </w:r>
          </w:p>
        </w:tc>
        <w:tc>
          <w:tcPr>
            <w:tcW w:w="13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669,171</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40"/>
        <w:spacing w:after="0" w:line="304" w:lineRule="auto"/>
        <w:rPr>
          <w:sz w:val="20"/>
          <w:szCs w:val="20"/>
          <w:color w:val="auto"/>
        </w:rPr>
      </w:pPr>
      <w:r>
        <w:rPr>
          <w:rFonts w:ascii="Times New Roman" w:cs="Times New Roman" w:eastAsia="Times New Roman" w:hAnsi="Times New Roman"/>
          <w:sz w:val="17"/>
          <w:szCs w:val="17"/>
          <w:color w:val="auto"/>
        </w:rPr>
        <w:t>The PSUs vest based on service and specified EPS targets over the period 2013 – 2016 and 2014 – 2017. Since 2013, the Company has awarded a total of 337,738 PSUs (net of forfeitures). Further PSU’s up to a total of 331,433 PSU’s may also be awarded depending upon actual EPS outturn from 2013 to 2017.</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payment expense</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Operating profit for the year ended 31 December 2014 is stated after charging $22.4 million in respect of share based payment expense. Share based payment expense has been allocated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4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4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4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64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12,320</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7,567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6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10,039</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22,359</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13,734</w:t>
            </w: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44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rPr>
              <w:t>63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64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Property, Plant and Equipment</w:t>
            </w: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furniture &amp;</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Laboratory</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Motor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Land</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fixtures</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3"/>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$’000</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1"/>
        </w:trPr>
        <w:tc>
          <w:tcPr>
            <w:tcW w:w="278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2014</w:t>
            </w:r>
          </w:p>
        </w:tc>
        <w:tc>
          <w:tcPr>
            <w:tcW w:w="7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4,029</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78,107</w:t>
            </w:r>
          </w:p>
        </w:tc>
        <w:tc>
          <w:tcPr>
            <w:tcW w:w="1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33,175</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85,898</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61,873</w:t>
            </w:r>
          </w:p>
        </w:tc>
        <w:tc>
          <w:tcPr>
            <w:tcW w:w="12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21,718</w:t>
            </w:r>
          </w:p>
        </w:tc>
        <w:tc>
          <w:tcPr>
            <w:tcW w:w="11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29</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284,829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1,965</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316</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5,391</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9,248</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1,878</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18,798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7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(1,485)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(6,552)</w:t>
            </w: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Arising on acquisition</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556</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1,902</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317</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796</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(9,136)</w:t>
            </w: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(1,951)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(314)</w:t>
            </w: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2014</w:t>
            </w: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4,428</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70,936</w:t>
            </w: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30,611</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87,583</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56,866</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17,526</w:t>
            </w:r>
          </w:p>
        </w:tc>
        <w:tc>
          <w:tcPr>
            <w:tcW w:w="11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267,970</w:t>
            </w:r>
          </w:p>
        </w:tc>
        <w:tc>
          <w:tcPr>
            <w:tcW w:w="0" w:type="dxa"/>
            <w:vAlign w:val="bottom"/>
          </w:tcPr>
          <w:p>
            <w:pPr>
              <w:spacing w:after="0"/>
              <w:rPr>
                <w:sz w:val="1"/>
                <w:szCs w:val="1"/>
                <w:color w:val="auto"/>
              </w:rPr>
            </w:pPr>
          </w:p>
        </w:tc>
      </w:tr>
      <w:tr>
        <w:trPr>
          <w:trHeight w:val="4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2014</w:t>
            </w:r>
          </w:p>
        </w:tc>
        <w:tc>
          <w:tcPr>
            <w:tcW w:w="7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13,200</w:t>
            </w:r>
          </w:p>
        </w:tc>
        <w:tc>
          <w:tcPr>
            <w:tcW w:w="1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19,448</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70,344</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44,915</w:t>
            </w:r>
          </w:p>
        </w:tc>
        <w:tc>
          <w:tcPr>
            <w:tcW w:w="12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16,281</w:t>
            </w:r>
          </w:p>
        </w:tc>
        <w:tc>
          <w:tcPr>
            <w:tcW w:w="11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164,205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Charge for year</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1,912</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4,454</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4,952</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11,707</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113</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Eliminated on disposal</w:t>
            </w:r>
          </w:p>
        </w:tc>
        <w:tc>
          <w:tcPr>
            <w:tcW w:w="7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(6,513)</w:t>
            </w: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(1,584)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(136)</w:t>
            </w: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vMerge w:val="continue"/>
          </w:tcPr>
          <w:p>
            <w:pPr>
              <w:spacing w:after="0"/>
              <w:rPr>
                <w:sz w:val="19"/>
                <w:szCs w:val="19"/>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31 December 2014</w:t>
            </w: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13,853</w:t>
            </w:r>
          </w:p>
        </w:tc>
        <w:tc>
          <w:tcPr>
            <w:tcW w:w="1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20,895</w:t>
            </w:r>
          </w:p>
        </w:tc>
        <w:tc>
          <w:tcPr>
            <w:tcW w:w="10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70,399</w:t>
            </w: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43,241</w:t>
            </w:r>
          </w:p>
        </w:tc>
        <w:tc>
          <w:tcPr>
            <w:tcW w:w="12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9,745</w:t>
            </w:r>
          </w:p>
        </w:tc>
        <w:tc>
          <w:tcPr>
            <w:tcW w:w="1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8</w:t>
            </w: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158,141</w:t>
            </w:r>
          </w:p>
        </w:tc>
        <w:tc>
          <w:tcPr>
            <w:tcW w:w="0" w:type="dxa"/>
            <w:vAlign w:val="bottom"/>
          </w:tcPr>
          <w:p>
            <w:pPr>
              <w:spacing w:after="0"/>
              <w:rPr>
                <w:sz w:val="1"/>
                <w:szCs w:val="1"/>
                <w:color w:val="auto"/>
              </w:rPr>
            </w:pPr>
          </w:p>
        </w:tc>
      </w:tr>
      <w:tr>
        <w:trPr>
          <w:trHeight w:val="425"/>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2014</w:t>
            </w: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4,428</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57,083</w:t>
            </w: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9,716</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17,184</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13,625</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7,781</w:t>
            </w:r>
          </w:p>
        </w:tc>
        <w:tc>
          <w:tcPr>
            <w:tcW w:w="11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12</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109,829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December 2013</w:t>
            </w: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4,029</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64,907</w:t>
            </w: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13,727</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15,554</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16,958</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5,437</w:t>
            </w:r>
          </w:p>
        </w:tc>
        <w:tc>
          <w:tcPr>
            <w:tcW w:w="11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120,624</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480"/>
        <w:spacing w:after="0" w:line="272" w:lineRule="auto"/>
        <w:rPr>
          <w:sz w:val="20"/>
          <w:szCs w:val="20"/>
          <w:color w:val="auto"/>
        </w:rPr>
      </w:pPr>
      <w:r>
        <w:rPr>
          <w:rFonts w:ascii="Times New Roman" w:cs="Times New Roman" w:eastAsia="Times New Roman" w:hAnsi="Times New Roman"/>
          <w:sz w:val="21"/>
          <w:szCs w:val="21"/>
          <w:color w:val="auto"/>
        </w:rPr>
        <w:t>Depreciation expense of $23.1 million (31 December 2013: $24.2 million) has been charged in “other operating expenses” in the income statement.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Property, Plant and Equipment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i w:val="1"/>
          <w:iCs w:val="1"/>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furniture &amp;</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Laboratory</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Motor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Land</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fixtures</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3"/>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$’000</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1"/>
        </w:trPr>
        <w:tc>
          <w:tcPr>
            <w:tcW w:w="248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2013</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4,155</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74,614</w:t>
            </w:r>
          </w:p>
        </w:tc>
        <w:tc>
          <w:tcPr>
            <w:tcW w:w="1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28,285</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79,713</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61,942</w:t>
            </w:r>
          </w:p>
        </w:tc>
        <w:tc>
          <w:tcPr>
            <w:tcW w:w="12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24,812</w:t>
            </w:r>
          </w:p>
        </w:tc>
        <w:tc>
          <w:tcPr>
            <w:tcW w:w="11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42</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273,563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220</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7,544</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7,701</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466</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2,109</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18,040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(2,712)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(5,258)</w:t>
            </w: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Arising on acquisition</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112</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96</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(126)</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3,273</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(54)</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349</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537</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55</w:t>
            </w:r>
          </w:p>
        </w:tc>
        <w:tc>
          <w:tcPr>
            <w:tcW w:w="11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2013</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4,029</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78,107</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33,175</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85,898</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61,873</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21,718</w:t>
            </w:r>
          </w:p>
        </w:tc>
        <w:tc>
          <w:tcPr>
            <w:tcW w:w="11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29</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284,829</w:t>
            </w:r>
          </w:p>
        </w:tc>
        <w:tc>
          <w:tcPr>
            <w:tcW w:w="0" w:type="dxa"/>
            <w:vAlign w:val="bottom"/>
          </w:tcPr>
          <w:p>
            <w:pPr>
              <w:spacing w:after="0"/>
              <w:rPr>
                <w:sz w:val="1"/>
                <w:szCs w:val="1"/>
                <w:color w:val="auto"/>
              </w:rPr>
            </w:pPr>
          </w:p>
        </w:tc>
      </w:tr>
      <w:tr>
        <w:trPr>
          <w:trHeight w:val="424"/>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2013</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10,783</w:t>
            </w:r>
          </w:p>
        </w:tc>
        <w:tc>
          <w:tcPr>
            <w:tcW w:w="1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19,679</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60,747</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39,625</w:t>
            </w:r>
          </w:p>
        </w:tc>
        <w:tc>
          <w:tcPr>
            <w:tcW w:w="12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17,272</w:t>
            </w:r>
          </w:p>
        </w:tc>
        <w:tc>
          <w:tcPr>
            <w:tcW w:w="11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29</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148,135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Charge for year</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1,896</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2,420</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11,043</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5,739</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3,097</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24,196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Eliminated on disposal</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(2,436)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(4,138)</w:t>
            </w: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521</w:t>
            </w:r>
          </w:p>
        </w:tc>
        <w:tc>
          <w:tcPr>
            <w:tcW w:w="1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(215)</w:t>
            </w:r>
          </w:p>
        </w:tc>
        <w:tc>
          <w:tcPr>
            <w:tcW w:w="10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317</w:t>
            </w: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478</w:t>
            </w:r>
          </w:p>
        </w:tc>
        <w:tc>
          <w:tcPr>
            <w:tcW w:w="12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vMerge w:val="continue"/>
          </w:tcPr>
          <w:p>
            <w:pPr>
              <w:spacing w:after="0"/>
              <w:rPr>
                <w:sz w:val="19"/>
                <w:szCs w:val="19"/>
                <w:color w:val="auto"/>
              </w:rPr>
            </w:pPr>
          </w:p>
        </w:tc>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31 December 2013</w:t>
            </w: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13,200</w:t>
            </w:r>
          </w:p>
        </w:tc>
        <w:tc>
          <w:tcPr>
            <w:tcW w:w="1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19,448</w:t>
            </w:r>
          </w:p>
        </w:tc>
        <w:tc>
          <w:tcPr>
            <w:tcW w:w="10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70,344</w:t>
            </w: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44,915</w:t>
            </w:r>
          </w:p>
        </w:tc>
        <w:tc>
          <w:tcPr>
            <w:tcW w:w="12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16,281</w:t>
            </w:r>
          </w:p>
        </w:tc>
        <w:tc>
          <w:tcPr>
            <w:tcW w:w="1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17</w:t>
            </w: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164,205</w:t>
            </w:r>
          </w:p>
        </w:tc>
        <w:tc>
          <w:tcPr>
            <w:tcW w:w="0" w:type="dxa"/>
            <w:vAlign w:val="bottom"/>
          </w:tcPr>
          <w:p>
            <w:pPr>
              <w:spacing w:after="0"/>
              <w:rPr>
                <w:sz w:val="1"/>
                <w:szCs w:val="1"/>
                <w:color w:val="auto"/>
              </w:rPr>
            </w:pPr>
          </w:p>
        </w:tc>
      </w:tr>
      <w:tr>
        <w:trPr>
          <w:trHeight w:val="425"/>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2013</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4,029</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64,907</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13,727</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15,554</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16,958</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5,437</w:t>
            </w:r>
          </w:p>
        </w:tc>
        <w:tc>
          <w:tcPr>
            <w:tcW w:w="11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12</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120,624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December 2012</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4,155</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63,831</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8,606</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18,966</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22,317</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7,540</w:t>
            </w:r>
          </w:p>
        </w:tc>
        <w:tc>
          <w:tcPr>
            <w:tcW w:w="11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125,428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of $24.2 million (31 December 2012: $21.8 million) has been charged in ‘other operating expenses’ in the income statement.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1"/>
          <w:szCs w:val="21"/>
          <w:color w:val="auto"/>
        </w:rPr>
        <w:t xml:space="preserve">Notes to Consolidated Financial Statements </w:t>
      </w:r>
      <w:r>
        <w:rPr>
          <w:rFonts w:ascii="Times New Roman" w:cs="Times New Roman" w:eastAsia="Times New Roman" w:hAnsi="Times New Roman"/>
          <w:sz w:val="21"/>
          <w:szCs w:val="21"/>
          <w:i w:val="1"/>
          <w:iCs w:val="1"/>
          <w:color w:val="auto"/>
        </w:rPr>
        <w:t>(continued)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Intangible assets – goodwill and other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Volunteer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Order</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11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Non-</w:t>
            </w: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List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Backlog</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Tradename</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Competes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3"/>
        </w:trPr>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$’000</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$’000</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2"/>
        </w:trPr>
        <w:tc>
          <w:tcPr>
            <w:tcW w:w="186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2014</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117,915</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39,799</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1,325</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4,652</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10,817</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1,314</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493</w:t>
            </w: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371,532</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547,847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13,982</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Arising on acquisition</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3,353</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21,400</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7,900</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121,946</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154,599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Foreign exchange</w:t>
            </w:r>
          </w:p>
        </w:tc>
        <w:tc>
          <w:tcPr>
            <w:tcW w:w="1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(1,314)</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(15,408)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December 2014</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134,158</w:t>
            </w: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59,885</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1,325</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12,368</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9,522</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1,157</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491</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478,070</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696,976</w:t>
            </w:r>
          </w:p>
        </w:tc>
        <w:tc>
          <w:tcPr>
            <w:tcW w:w="0" w:type="dxa"/>
            <w:vAlign w:val="bottom"/>
          </w:tcPr>
          <w:p>
            <w:pPr>
              <w:spacing w:after="0"/>
              <w:rPr>
                <w:sz w:val="1"/>
                <w:szCs w:val="1"/>
                <w:color w:val="auto"/>
              </w:rPr>
            </w:pPr>
          </w:p>
        </w:tc>
      </w:tr>
      <w:tr>
        <w:trPr>
          <w:trHeight w:val="425"/>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Amortisation</w:t>
            </w: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2014</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77,709</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16,856</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1,275</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4,374</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3,546</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718</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277</w:t>
            </w: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104,755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Amortised in the year</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19,062</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7,009</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1,447</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1,402</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284</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29,404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Foreign exchange</w:t>
            </w:r>
          </w:p>
        </w:tc>
        <w:tc>
          <w:tcPr>
            <w:tcW w:w="1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movement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(775)</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2014</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95,810</w:t>
            </w: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23,090</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1,325</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5,639</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4,395</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886</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423</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131,568</w:t>
            </w:r>
          </w:p>
        </w:tc>
        <w:tc>
          <w:tcPr>
            <w:tcW w:w="0" w:type="dxa"/>
            <w:vAlign w:val="bottom"/>
          </w:tcPr>
          <w:p>
            <w:pPr>
              <w:spacing w:after="0"/>
              <w:rPr>
                <w:sz w:val="1"/>
                <w:szCs w:val="1"/>
                <w:color w:val="auto"/>
              </w:rPr>
            </w:pPr>
          </w:p>
        </w:tc>
      </w:tr>
      <w:tr>
        <w:trPr>
          <w:trHeight w:val="425"/>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1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2014</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38,348</w:t>
            </w: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36,795</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6,729</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5,127</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271</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68</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478,070</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565,408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1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December 2013</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40,206</w:t>
            </w: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22,943</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278</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7,271</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596</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371,532</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443,092</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Amortisation expense of $29.4 million (31 December 2013: $22.3 million) has been charged in ‘other operating expenses’ in the income statement.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Intangible assets – goodwill and other </w:t>
      </w:r>
      <w:r>
        <w:rPr>
          <w:rFonts w:ascii="Times New Roman" w:cs="Times New Roman" w:eastAsia="Times New Roman" w:hAnsi="Times New Roman"/>
          <w:sz w:val="18"/>
          <w:szCs w:val="18"/>
          <w:b w:val="1"/>
          <w:bCs w:val="1"/>
          <w:i w:val="1"/>
          <w:iCs w:val="1"/>
          <w:color w:val="auto"/>
        </w:rPr>
        <w:t>(continued)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Volunteer</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Order</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11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Non-</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List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Backlog</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Tradename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Competes</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3"/>
        </w:trPr>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$’000</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$’000</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$’000</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2"/>
        </w:trPr>
        <w:tc>
          <w:tcPr>
            <w:tcW w:w="19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2013</w:t>
            </w: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104,823</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36,103</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1,325</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3,984</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10,384</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1,261</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490</w:t>
            </w: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329,451</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487,821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11,448</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Arising on acquisition</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3,300</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600</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36,922</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40,868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Foreign exchange</w:t>
            </w:r>
          </w:p>
        </w:tc>
        <w:tc>
          <w:tcPr>
            <w:tcW w:w="1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2,819</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396</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68</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433</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5,159</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8,931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December 2013</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117,915</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39,799</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1,325</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4,652</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10,817</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1,314</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493</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371,532</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547,847</w:t>
            </w:r>
          </w:p>
        </w:tc>
        <w:tc>
          <w:tcPr>
            <w:tcW w:w="0" w:type="dxa"/>
            <w:vAlign w:val="bottom"/>
          </w:tcPr>
          <w:p>
            <w:pPr>
              <w:spacing w:after="0"/>
              <w:rPr>
                <w:sz w:val="1"/>
                <w:szCs w:val="1"/>
                <w:color w:val="auto"/>
              </w:rPr>
            </w:pPr>
          </w:p>
        </w:tc>
      </w:tr>
      <w:tr>
        <w:trPr>
          <w:trHeight w:val="425"/>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Amortisation</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2013</w:t>
            </w: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61,877</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11,810</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1,058</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3,678</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2,019</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408</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80,976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Amortised in the year</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14,779</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4,873</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217</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634</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1,385</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Foreign exchange</w:t>
            </w: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movement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1,847</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173</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2013</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77,709</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16,856</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1,275</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4,374</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3,546</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718</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277</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104,755</w:t>
            </w:r>
          </w:p>
        </w:tc>
        <w:tc>
          <w:tcPr>
            <w:tcW w:w="0" w:type="dxa"/>
            <w:vAlign w:val="bottom"/>
          </w:tcPr>
          <w:p>
            <w:pPr>
              <w:spacing w:after="0"/>
              <w:rPr>
                <w:sz w:val="1"/>
                <w:szCs w:val="1"/>
                <w:color w:val="auto"/>
              </w:rPr>
            </w:pPr>
          </w:p>
        </w:tc>
      </w:tr>
      <w:tr>
        <w:trPr>
          <w:trHeight w:val="425"/>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1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2013</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40,206</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22,943</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50</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278</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7,271</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596</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216</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371,532</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443,092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1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December 2012</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42,946</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24,293</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267</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306</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8,365</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853</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364</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329,451</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406,845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Amortisation expense of $22.3 million (31 December 2012: $21.0 million) has been charged in ‘other operating expenses’ in the income statement.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ind w:right="7420" w:firstLine="6"/>
        <w:spacing w:after="0" w:line="523" w:lineRule="auto"/>
        <w:tabs>
          <w:tab w:leader="none" w:pos="26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Intangible assets – goodwill and other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Impairment review of goodwill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generating units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Goodwill acquired through business combinations has been allocated to individual cash-generating units (“CGU’s”) that are expected to benefit from the combination. The CGU’s identified represent the lowest level within the Group at which goodwill is monitored and are not larger than the operating segments determined in accordance with IFRS 8 </w:t>
      </w:r>
      <w:r>
        <w:rPr>
          <w:rFonts w:ascii="Times New Roman" w:cs="Times New Roman" w:eastAsia="Times New Roman" w:hAnsi="Times New Roman"/>
          <w:sz w:val="18"/>
          <w:szCs w:val="18"/>
          <w:i w:val="1"/>
          <w:iCs w:val="1"/>
          <w:color w:val="auto"/>
        </w:rPr>
        <w:t>Operating Segments</w:t>
      </w:r>
      <w:r>
        <w:rPr>
          <w:rFonts w:ascii="Times New Roman" w:cs="Times New Roman" w:eastAsia="Times New Roman" w:hAnsi="Times New Roman"/>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The Group has identified one CGU in accordance with the provisions of IAS 36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as follows:</w:t>
            </w: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9"/>
        </w:trPr>
        <w:tc>
          <w:tcPr>
            <w:tcW w:w="7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r>
      <w:tr>
        <w:trPr>
          <w:trHeight w:val="212"/>
        </w:trPr>
        <w:tc>
          <w:tcPr>
            <w:tcW w:w="70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r>
      <w:tr>
        <w:trPr>
          <w:trHeight w:val="233"/>
        </w:trPr>
        <w:tc>
          <w:tcPr>
            <w:tcW w:w="70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r>
      <w:tr>
        <w:trPr>
          <w:trHeight w:val="410"/>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Goodwill</w:t>
            </w:r>
          </w:p>
        </w:tc>
        <w:tc>
          <w:tcPr>
            <w:tcW w:w="7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8"/>
        </w:trPr>
        <w:tc>
          <w:tcPr>
            <w:tcW w:w="84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research</w:t>
            </w:r>
          </w:p>
        </w:tc>
        <w:tc>
          <w:tcPr>
            <w:tcW w:w="16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478,070</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371,532</w:t>
            </w:r>
          </w:p>
        </w:tc>
      </w:tr>
      <w:tr>
        <w:trPr>
          <w:trHeight w:val="212"/>
        </w:trPr>
        <w:tc>
          <w:tcPr>
            <w:tcW w:w="70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2"/>
        </w:trPr>
        <w:tc>
          <w:tcPr>
            <w:tcW w:w="700" w:type="dxa"/>
            <w:vAlign w:val="bottom"/>
            <w:tcBorders>
              <w:bottom w:val="single" w:sz="8" w:color="auto"/>
            </w:tcBorders>
            <w:shd w:val="clear" w:color="auto" w:fill="CCEEFF"/>
          </w:tcPr>
          <w:p>
            <w:pPr>
              <w:spacing w:after="0"/>
              <w:rPr>
                <w:sz w:val="21"/>
                <w:szCs w:val="21"/>
                <w:color w:val="auto"/>
              </w:rPr>
            </w:pPr>
          </w:p>
        </w:tc>
        <w:tc>
          <w:tcPr>
            <w:tcW w:w="77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478,070</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371,532</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testing methodology and results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subject to impairment testing on an annual basis or more frequently if facts or circumstances warrant such a review.</w:t>
      </w:r>
    </w:p>
    <w:p>
      <w:pPr>
        <w:spacing w:after="0" w:line="2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recoverable amount of the CGU is determined using a value-in-use computation based upon discounted net present value cash flow projections for the CGU. The cash flow projections are for a period of five years forward together with a terminal value calculated in accordance with the Gordon’s terminal value model. In calculating the terminal value a long-term growth rate of 2% has been applied to the estimated maintainable cash flow in the terminal year.</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estimates of future cash flows are based upon current budgets and strategic plans and are reflective of anticipated growth rates within the CRO industry, expected growth in the Group’s market share and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Intangible assets – goodwill and other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applied in determining the the five year projected cash flows of the Clinical Research CGU at 31 December 2014: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40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December</w:t>
            </w:r>
          </w:p>
        </w:tc>
      </w:tr>
      <w:tr>
        <w:trPr>
          <w:trHeight w:val="233"/>
        </w:trPr>
        <w:tc>
          <w:tcPr>
            <w:tcW w:w="6040" w:type="dxa"/>
            <w:vAlign w:val="bottom"/>
          </w:tcPr>
          <w:p>
            <w:pPr>
              <w:spacing w:after="0"/>
              <w:rPr>
                <w:sz w:val="20"/>
                <w:szCs w:val="20"/>
                <w:color w:val="auto"/>
              </w:rPr>
            </w:pPr>
          </w:p>
        </w:tc>
        <w:tc>
          <w:tcPr>
            <w:tcW w:w="40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1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revenue growth rate</w:t>
            </w:r>
          </w:p>
        </w:tc>
        <w:tc>
          <w:tcPr>
            <w:tcW w:w="40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growth rate for operating costs</w:t>
            </w:r>
          </w:p>
        </w:tc>
        <w:tc>
          <w:tcPr>
            <w:tcW w:w="40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effective tax rate</w:t>
            </w:r>
          </w:p>
        </w:tc>
        <w:tc>
          <w:tcPr>
            <w:tcW w:w="40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movement in creditors</w:t>
            </w:r>
          </w:p>
        </w:tc>
        <w:tc>
          <w:tcPr>
            <w:tcW w:w="40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movement in debtors based on DSO*</w:t>
            </w:r>
          </w:p>
        </w:tc>
        <w:tc>
          <w:tcPr>
            <w:tcW w:w="40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45 days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days</w:t>
            </w:r>
          </w:p>
        </w:tc>
      </w:tr>
      <w:tr>
        <w:trPr>
          <w:trHeight w:val="212"/>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Expected capital expenditure growth rate</w:t>
            </w:r>
          </w:p>
        </w:tc>
        <w:tc>
          <w:tcPr>
            <w:tcW w:w="40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7%</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jc w:val="both"/>
        <w:spacing w:after="0" w:line="253" w:lineRule="auto"/>
        <w:rPr>
          <w:sz w:val="20"/>
          <w:szCs w:val="20"/>
          <w:color w:val="auto"/>
        </w:rPr>
      </w:pPr>
      <w:r>
        <w:rPr>
          <w:rFonts w:ascii="Times New Roman" w:cs="Times New Roman" w:eastAsia="Times New Roman" w:hAnsi="Times New Roman"/>
          <w:sz w:val="18"/>
          <w:szCs w:val="18"/>
          <w:color w:val="auto"/>
        </w:rPr>
        <w:t>*Days sales outstanding (DSO) is a a measure of the number of days in the period that the company takes to collect revenue. DSO is calculated based on trade debtors less payments on account divided by gross revenue multiplied by number of days in the period.</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Expected revenue growth and the expected growth in operating costs are determined based upon the expected growth rates used in preparing the Group’s budgets and strategic plans. In estimating budgeted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information costs and other costs are relatively fixed and are therefore projected based upon a lower growth rate. An expected long term average tax rate of 16% has been applied in determining the projected after tax cash flows.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Working capital investment needs are determined based upon anticipated increases in the Group’s debtors and creditors. Debtors are expected to increase in line with increases in the Group’s DSO. DSO is generally a function of both the timing of contract fee instalments over a study or trial duration and credit terms afforded to individual customers. The DSO used in conducting the impairment review is reflective of current and anticipated trends in the Group’s DSO. Expected long term DSO’s for the Group are anticipated to be in the range of 40 to 50 days. Creditors’ are expected to increase in line with operating costs. Capital expenditure is expected to increase in line with the Group’s projected capital expenditure investment targets.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discount rate of 8% (2013:9%) has been applied to the projected cash flows of the CGU in determining its value-in-use. This rate is reflective of both the time value of money and risks specific to the CGU. The discount rate is based upon the Group’s weighted average cost of capital which has been determined by applying the Group’s long term optimal capital structure to its costs of debt and cost of equity. The Group’s cost of debt has been calculated by applying an appropriate margin over the risk free interest rate. The Group’s cost of equity has been calculated using the capital asset pricing model and includes an appropriate equity risk premium over the available risk free interest rate.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Intangible assets – goodwill and other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excess of the value-in-use of the CGU at 31 December 2014, based on the assumptions above, has been calculated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9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9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39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$’m</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$’m</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Value-in use (present value of future cash flows)</w:t>
            </w:r>
          </w:p>
        </w:tc>
        <w:tc>
          <w:tcPr>
            <w:tcW w:w="3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5,217</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Carrying amount of the Clinical Research CGU</w:t>
            </w:r>
          </w:p>
        </w:tc>
        <w:tc>
          <w:tcPr>
            <w:tcW w:w="39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(973)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6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of value-in-use over carrying value</w:t>
            </w:r>
          </w:p>
        </w:tc>
        <w:tc>
          <w:tcPr>
            <w:tcW w:w="39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4,244</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sensitivity analysis to determine if reasonable changes in key assumptions could lead to an impairment was conducted at 31 December 2014 using the following revised assumptions: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42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December</w:t>
            </w:r>
          </w:p>
        </w:tc>
      </w:tr>
      <w:tr>
        <w:trPr>
          <w:trHeight w:val="212"/>
        </w:trPr>
        <w:tc>
          <w:tcPr>
            <w:tcW w:w="5820" w:type="dxa"/>
            <w:vAlign w:val="bottom"/>
          </w:tcPr>
          <w:p>
            <w:pPr>
              <w:spacing w:after="0"/>
              <w:rPr>
                <w:sz w:val="18"/>
                <w:szCs w:val="18"/>
                <w:color w:val="auto"/>
              </w:rPr>
            </w:pPr>
          </w:p>
        </w:tc>
        <w:tc>
          <w:tcPr>
            <w:tcW w:w="42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12"/>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Expected revenue growth rate</w:t>
            </w:r>
          </w:p>
        </w:tc>
        <w:tc>
          <w:tcPr>
            <w:tcW w:w="42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Expected growth rate for operating costs</w:t>
            </w:r>
          </w:p>
        </w:tc>
        <w:tc>
          <w:tcPr>
            <w:tcW w:w="42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2"/>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Expected capital expenditure growth rate</w:t>
            </w:r>
          </w:p>
        </w:tc>
        <w:tc>
          <w:tcPr>
            <w:tcW w:w="42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3"/>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2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13%</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*All other inputs remained constant.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revised excess of the value-in-use of the CGU at 31 December 2014, using the alternative assumptions above, has been calculated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36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36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36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$’m</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$’m</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Revised value-in use (present value of future cash flows)</w:t>
            </w:r>
          </w:p>
        </w:tc>
        <w:tc>
          <w:tcPr>
            <w:tcW w:w="36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2,330</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Carrying amount of the Clinical Research CGU</w:t>
            </w:r>
          </w:p>
        </w:tc>
        <w:tc>
          <w:tcPr>
            <w:tcW w:w="3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(973)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Revised excess of value-in-use over carrying value</w:t>
            </w:r>
          </w:p>
        </w:tc>
        <w:tc>
          <w:tcPr>
            <w:tcW w:w="36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1,357</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the excess of the recoverable amount over the carrying value of the cash generating unit was maintained despite changes in key assumptons, management have concluded that no reasonable change in key assumptions would result in an impairment of the CGU.</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Business Combinations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acquisitions below have been accounted for as business combinations in accordance with the revised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ind w:left="420" w:hanging="414"/>
        <w:spacing w:after="0"/>
        <w:tabs>
          <w:tab w:leader="none" w:pos="4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Acquisitions of Aptiv Solutions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7 May 2014, the Company acquired 100% of the common stock of Aptiv Solutions (“Aptiv”), a global biopharmaceutical and medical device development services company and leader in adaptive clinical trials for a cash consideration of $143.5 million including certain payments to be made on behalf of the company on completion totalling $22.4 million.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2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acquisition of Aptiv Solutions has been accounted for as a business combination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following table summarises the preliminary estimated fair values of the assets acquired and the liabilities assumed: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12"/>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3"/>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4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2"/>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3,571</w:t>
            </w:r>
          </w:p>
        </w:tc>
        <w:tc>
          <w:tcPr>
            <w:tcW w:w="1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3,571</w:t>
            </w:r>
          </w:p>
        </w:tc>
      </w:tr>
      <w:tr>
        <w:trPr>
          <w:trHeight w:val="212"/>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121,946</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121,946</w:t>
            </w:r>
          </w:p>
        </w:tc>
      </w:tr>
      <w:tr>
        <w:trPr>
          <w:trHeight w:val="212"/>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3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21,400</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21,400</w:t>
            </w:r>
          </w:p>
        </w:tc>
      </w:tr>
      <w:tr>
        <w:trPr>
          <w:trHeight w:val="212"/>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order backlog</w:t>
            </w:r>
          </w:p>
        </w:tc>
        <w:tc>
          <w:tcPr>
            <w:tcW w:w="3460" w:type="dxa"/>
            <w:vAlign w:val="bottom"/>
          </w:tcPr>
          <w:p>
            <w:pPr>
              <w:spacing w:after="0"/>
              <w:rPr>
                <w:sz w:val="18"/>
                <w:szCs w:val="18"/>
                <w:color w:val="auto"/>
              </w:rPr>
            </w:pPr>
          </w:p>
        </w:tc>
        <w:tc>
          <w:tcPr>
            <w:tcW w:w="1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7,900</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7,900</w:t>
            </w:r>
          </w:p>
        </w:tc>
      </w:tr>
      <w:tr>
        <w:trPr>
          <w:trHeight w:val="212"/>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computer software</w:t>
            </w:r>
          </w:p>
        </w:tc>
        <w:tc>
          <w:tcPr>
            <w:tcW w:w="3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3,353</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3,353</w:t>
            </w:r>
          </w:p>
        </w:tc>
      </w:tr>
      <w:tr>
        <w:trPr>
          <w:trHeight w:val="212"/>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3,527</w:t>
            </w:r>
          </w:p>
        </w:tc>
        <w:tc>
          <w:tcPr>
            <w:tcW w:w="1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3,527</w:t>
            </w:r>
          </w:p>
        </w:tc>
      </w:tr>
      <w:tr>
        <w:trPr>
          <w:trHeight w:val="212"/>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25,091</w:t>
            </w:r>
          </w:p>
        </w:tc>
        <w:tc>
          <w:tcPr>
            <w:tcW w:w="1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25,091</w:t>
            </w:r>
          </w:p>
        </w:tc>
      </w:tr>
      <w:tr>
        <w:trPr>
          <w:trHeight w:val="212"/>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3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21,154</w:t>
            </w:r>
          </w:p>
        </w:tc>
        <w:tc>
          <w:tcPr>
            <w:tcW w:w="1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21,154</w:t>
            </w:r>
          </w:p>
        </w:tc>
      </w:tr>
      <w:tr>
        <w:trPr>
          <w:trHeight w:val="212"/>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5,254</w:t>
            </w:r>
          </w:p>
        </w:tc>
        <w:tc>
          <w:tcPr>
            <w:tcW w:w="1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5,254</w:t>
            </w:r>
          </w:p>
        </w:tc>
      </w:tr>
      <w:tr>
        <w:trPr>
          <w:trHeight w:val="212"/>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2,911</w:t>
            </w:r>
          </w:p>
        </w:tc>
        <w:tc>
          <w:tcPr>
            <w:tcW w:w="1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2,911</w:t>
            </w:r>
          </w:p>
        </w:tc>
      </w:tr>
      <w:tr>
        <w:trPr>
          <w:trHeight w:val="212"/>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(9,565)</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w:t>
            </w:r>
          </w:p>
        </w:tc>
      </w:tr>
      <w:tr>
        <w:trPr>
          <w:trHeight w:val="212"/>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(29,903)</w:t>
            </w:r>
          </w:p>
        </w:tc>
        <w:tc>
          <w:tcPr>
            <w:tcW w:w="1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(29,903)</w:t>
            </w:r>
          </w:p>
        </w:tc>
      </w:tr>
      <w:tr>
        <w:trPr>
          <w:trHeight w:val="212"/>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account</w:t>
            </w:r>
          </w:p>
        </w:tc>
        <w:tc>
          <w:tcPr>
            <w:tcW w:w="3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(31,094)</w:t>
            </w:r>
          </w:p>
        </w:tc>
        <w:tc>
          <w:tcPr>
            <w:tcW w:w="1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(31,094)</w:t>
            </w:r>
          </w:p>
        </w:tc>
      </w:tr>
      <w:tr>
        <w:trPr>
          <w:trHeight w:val="219"/>
        </w:trPr>
        <w:tc>
          <w:tcPr>
            <w:tcW w:w="20" w:type="dxa"/>
            <w:vAlign w:val="bottom"/>
          </w:tcPr>
          <w:p>
            <w:pPr>
              <w:spacing w:after="0"/>
              <w:rPr>
                <w:sz w:val="19"/>
                <w:szCs w:val="19"/>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3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(24,444)</w:t>
            </w:r>
          </w:p>
        </w:tc>
        <w:tc>
          <w:tcPr>
            <w:tcW w:w="1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(24,444)</w:t>
            </w:r>
          </w:p>
        </w:tc>
      </w:tr>
      <w:tr>
        <w:trPr>
          <w:trHeight w:val="252"/>
        </w:trPr>
        <w:tc>
          <w:tcPr>
            <w:tcW w:w="20" w:type="dxa"/>
            <w:vAlign w:val="bottom"/>
          </w:tcPr>
          <w:p>
            <w:pPr>
              <w:spacing w:after="0"/>
              <w:rPr>
                <w:sz w:val="21"/>
                <w:szCs w:val="21"/>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34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121,101</w:t>
            </w:r>
          </w:p>
        </w:tc>
      </w:tr>
      <w:tr>
        <w:trPr>
          <w:trHeight w:val="205"/>
        </w:trPr>
        <w:tc>
          <w:tcPr>
            <w:tcW w:w="20" w:type="dxa"/>
            <w:vAlign w:val="bottom"/>
          </w:tcPr>
          <w:p>
            <w:pPr>
              <w:spacing w:after="0"/>
              <w:rPr>
                <w:sz w:val="17"/>
                <w:szCs w:val="17"/>
                <w:color w:val="auto"/>
              </w:rPr>
            </w:pPr>
          </w:p>
        </w:tc>
        <w:tc>
          <w:tcPr>
            <w:tcW w:w="54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Cash consideration</w:t>
            </w:r>
          </w:p>
        </w:tc>
        <w:tc>
          <w:tcPr>
            <w:tcW w:w="3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143,500</w:t>
            </w:r>
          </w:p>
        </w:tc>
      </w:tr>
      <w:tr>
        <w:trPr>
          <w:trHeight w:val="219"/>
        </w:trPr>
        <w:tc>
          <w:tcPr>
            <w:tcW w:w="2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cash consideration****</w:t>
            </w:r>
          </w:p>
        </w:tc>
        <w:tc>
          <w:tcPr>
            <w:tcW w:w="3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(22,399)</w:t>
            </w:r>
          </w:p>
        </w:tc>
      </w:tr>
      <w:tr>
        <w:trPr>
          <w:trHeight w:val="212"/>
        </w:trPr>
        <w:tc>
          <w:tcPr>
            <w:tcW w:w="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purchase consideration</w:t>
            </w:r>
          </w:p>
        </w:tc>
        <w:tc>
          <w:tcPr>
            <w:tcW w:w="3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121,101</w:t>
            </w:r>
          </w:p>
        </w:tc>
      </w:tr>
      <w:tr>
        <w:trPr>
          <w:trHeight w:val="20"/>
        </w:trPr>
        <w:tc>
          <w:tcPr>
            <w:tcW w:w="2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580" w:hanging="574"/>
        <w:spacing w:after="0"/>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acquisition of an established workforce with experience in clinical trial consulting and regulatory support for drugs, medical</w:t>
      </w:r>
    </w:p>
    <w:p>
      <w:pPr>
        <w:spacing w:after="0" w:line="24" w:lineRule="exact"/>
        <w:rPr>
          <w:sz w:val="20"/>
          <w:szCs w:val="20"/>
          <w:color w:val="auto"/>
        </w:rPr>
      </w:pPr>
    </w:p>
    <w:p>
      <w:pPr>
        <w:ind w:left="580"/>
        <w:spacing w:after="0" w:line="245" w:lineRule="auto"/>
        <w:rPr>
          <w:sz w:val="20"/>
          <w:szCs w:val="20"/>
          <w:color w:val="auto"/>
        </w:rPr>
      </w:pPr>
      <w:r>
        <w:rPr>
          <w:rFonts w:ascii="Times New Roman" w:cs="Times New Roman" w:eastAsia="Times New Roman" w:hAnsi="Times New Roman"/>
          <w:sz w:val="18"/>
          <w:szCs w:val="18"/>
          <w:color w:val="auto"/>
        </w:rPr>
        <w:t>devices and diagnostics with a specific focus on strategy to increase product development efficiency and productivity. Goodwill related to the US portion of the business acquired is tax deductible. The Company is completing the purchase price allocation which will result in an element of the purchase price currently recorded as goodwill being ascribed to separately identifiable intangible assets.</w:t>
      </w:r>
    </w:p>
    <w:p>
      <w:pPr>
        <w:spacing w:after="0" w:line="3" w:lineRule="exact"/>
        <w:rPr>
          <w:sz w:val="20"/>
          <w:szCs w:val="20"/>
          <w:color w:val="auto"/>
        </w:rPr>
      </w:pPr>
    </w:p>
    <w:p>
      <w:pPr>
        <w:ind w:left="580" w:hanging="574"/>
        <w:spacing w:after="0" w:line="245" w:lineRule="auto"/>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included a provisional assessment of uncertain tax benefits relating to certain historic net operating losses carryforwards. This is currently under review and will be finalised within the 12 month period from the date of acquisition.</w:t>
      </w:r>
    </w:p>
    <w:p>
      <w:pPr>
        <w:spacing w:after="0" w:line="1" w:lineRule="exact"/>
        <w:rPr>
          <w:rFonts w:ascii="Times New Roman" w:cs="Times New Roman" w:eastAsia="Times New Roman" w:hAnsi="Times New Roman"/>
          <w:sz w:val="18"/>
          <w:szCs w:val="18"/>
          <w:color w:val="auto"/>
        </w:rPr>
      </w:pPr>
    </w:p>
    <w:p>
      <w:pPr>
        <w:jc w:val="both"/>
        <w:ind w:left="580" w:hanging="574"/>
        <w:spacing w:after="0" w:line="260" w:lineRule="auto"/>
        <w:tabs>
          <w:tab w:leader="none" w:pos="5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An estimate of the liability at the date of acquisition is included within non-current other liabilities.</w:t>
      </w:r>
    </w:p>
    <w:p>
      <w:pPr>
        <w:spacing w:after="0" w:line="1" w:lineRule="exact"/>
        <w:rPr>
          <w:rFonts w:ascii="Times New Roman" w:cs="Times New Roman" w:eastAsia="Times New Roman" w:hAnsi="Times New Roman"/>
          <w:sz w:val="17"/>
          <w:szCs w:val="17"/>
          <w:color w:val="auto"/>
        </w:rPr>
      </w:pPr>
    </w:p>
    <w:p>
      <w:pPr>
        <w:ind w:left="580" w:hanging="574"/>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cash consideration represent certain one-time liabilities identified at the acquisition date.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Business Combinations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carrying values of accounts receivable, unbilled revenue and other current assets above are carried at amortised cost and assumed to be approximate to their fair values due to the short term nature of these balances. There is no evidence that the Group will not be able to collect all amounts due.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proforma effect of Aptiv Solutions acquisition if completed on 1 January 2013 would have resulted in net revenue and profit for the financial years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and December 31, 2014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6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6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6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6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1,543,820</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1,451,682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26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175,066</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106,103</w:t>
            </w:r>
          </w:p>
        </w:tc>
        <w:tc>
          <w:tcPr>
            <w:tcW w:w="0" w:type="dxa"/>
            <w:vAlign w:val="bottom"/>
          </w:tcPr>
          <w:p>
            <w:pPr>
              <w:spacing w:after="0"/>
              <w:rPr>
                <w:sz w:val="1"/>
                <w:szCs w:val="1"/>
                <w:color w:val="auto"/>
              </w:rPr>
            </w:pPr>
          </w:p>
        </w:tc>
      </w:tr>
      <w:tr>
        <w:trPr>
          <w:trHeight w:val="445"/>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 Acquisition of Clinical Trial Services Division of Cross Country Healthcare, Inc.</w:t>
            </w: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15 February 2013 the Company acquired the clinical trial services division of Cross Country Healthcare Inc. for an initial cash consideration of $51.9 million.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have been combined with ICON’s functional service provision (“FSP”) division, DOCS, creating a leader in global resourcing and FSP, while AKOS will enhance the services offered by ICON’s medical and safety services team.</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acquisition agreement also provided for certain working capital targets to be achieved by the clinical trial services division of Cross Country Healthcare, Inc on completion. In October 2013 the Company received $0.2 million on completion of this review.</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Business Combinations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The acquisition of the clinical trial services division of Cross Country Healthcare, Inc has been accounted for as a business combination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following table summarises the fair values of the assets acquired and the liabilities assumed: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3"/>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4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2"/>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293</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293</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240" w:type="dxa"/>
            <w:vAlign w:val="bottom"/>
          </w:tcPr>
          <w:p>
            <w:pPr>
              <w:spacing w:after="0"/>
              <w:rPr>
                <w:sz w:val="18"/>
                <w:szCs w:val="18"/>
                <w:color w:val="auto"/>
              </w:rPr>
            </w:pPr>
          </w:p>
        </w:tc>
        <w:tc>
          <w:tcPr>
            <w:tcW w:w="34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36,922</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36,922</w:t>
            </w:r>
          </w:p>
        </w:tc>
      </w:tr>
      <w:tr>
        <w:trPr>
          <w:trHeight w:val="212"/>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Intangible asset</w:t>
            </w:r>
          </w:p>
        </w:tc>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computer software</w:t>
            </w:r>
          </w:p>
        </w:tc>
        <w:tc>
          <w:tcPr>
            <w:tcW w:w="34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46</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9"/>
              </w:rPr>
              <w:t>Intangible asset</w:t>
            </w:r>
          </w:p>
        </w:tc>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customer relationships</w:t>
            </w:r>
          </w:p>
        </w:tc>
        <w:tc>
          <w:tcPr>
            <w:tcW w:w="34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3,300</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3,300</w:t>
            </w:r>
          </w:p>
        </w:tc>
      </w:tr>
      <w:tr>
        <w:trPr>
          <w:trHeight w:val="212"/>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Intangible asset</w:t>
            </w:r>
          </w:p>
        </w:tc>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order backlog</w:t>
            </w:r>
          </w:p>
        </w:tc>
        <w:tc>
          <w:tcPr>
            <w:tcW w:w="34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600</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600</w:t>
            </w:r>
          </w:p>
        </w:tc>
      </w:tr>
      <w:tr>
        <w:trPr>
          <w:trHeight w:val="212"/>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1,039</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1,039</w:t>
            </w:r>
          </w:p>
        </w:tc>
      </w:tr>
      <w:tr>
        <w:trPr>
          <w:trHeight w:val="212"/>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9,200</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9,200</w:t>
            </w:r>
          </w:p>
        </w:tc>
      </w:tr>
      <w:tr>
        <w:trPr>
          <w:trHeight w:val="212"/>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34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2,128</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2,128</w:t>
            </w:r>
          </w:p>
        </w:tc>
      </w:tr>
      <w:tr>
        <w:trPr>
          <w:trHeight w:val="212"/>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4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465</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465</w:t>
            </w:r>
          </w:p>
        </w:tc>
      </w:tr>
      <w:tr>
        <w:trPr>
          <w:trHeight w:val="212"/>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(2,285)</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19"/>
        </w:trPr>
        <w:tc>
          <w:tcPr>
            <w:tcW w:w="20" w:type="dxa"/>
            <w:vAlign w:val="bottom"/>
          </w:tcPr>
          <w:p>
            <w:pPr>
              <w:spacing w:after="0"/>
              <w:rPr>
                <w:sz w:val="19"/>
                <w:szCs w:val="19"/>
                <w:color w:val="auto"/>
              </w:rPr>
            </w:pPr>
          </w:p>
        </w:tc>
        <w:tc>
          <w:tcPr>
            <w:tcW w:w="5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3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2"/>
        </w:trPr>
        <w:tc>
          <w:tcPr>
            <w:tcW w:w="20" w:type="dxa"/>
            <w:vAlign w:val="bottom"/>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4240" w:type="dxa"/>
            <w:vAlign w:val="bottom"/>
            <w:tcBorders>
              <w:bottom w:val="single" w:sz="8" w:color="auto"/>
            </w:tcBorders>
            <w:shd w:val="clear" w:color="auto" w:fill="CCEEFF"/>
          </w:tcPr>
          <w:p>
            <w:pPr>
              <w:spacing w:after="0"/>
              <w:rPr>
                <w:sz w:val="21"/>
                <w:szCs w:val="21"/>
                <w:color w:val="auto"/>
              </w:rPr>
            </w:pPr>
          </w:p>
        </w:tc>
        <w:tc>
          <w:tcPr>
            <w:tcW w:w="34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51,698</w:t>
            </w:r>
          </w:p>
        </w:tc>
      </w:tr>
    </w:tbl>
    <w:p>
      <w:pPr>
        <w:spacing w:after="0" w:line="220" w:lineRule="exact"/>
        <w:rPr>
          <w:sz w:val="20"/>
          <w:szCs w:val="20"/>
          <w:color w:val="auto"/>
        </w:rPr>
      </w:pPr>
    </w:p>
    <w:p>
      <w:pPr>
        <w:ind w:right="200"/>
        <w:spacing w:after="0" w:line="304" w:lineRule="auto"/>
        <w:rPr>
          <w:sz w:val="20"/>
          <w:szCs w:val="20"/>
          <w:color w:val="auto"/>
        </w:rPr>
      </w:pPr>
      <w:r>
        <w:rPr>
          <w:rFonts w:ascii="Times New Roman" w:cs="Times New Roman" w:eastAsia="Times New Roman" w:hAnsi="Times New Roman"/>
          <w:sz w:val="17"/>
          <w:szCs w:val="17"/>
          <w:color w:val="auto"/>
        </w:rPr>
        <w:t>Goodwill represents the acquisition of an established workforce with experience in the clinical research industry, thereby allowing the Company to enhance its capabilities in global resourcing and FSP and also medical and safety services. Goodwill related to the US portion of the business acquired is tax deductible.</w:t>
      </w:r>
    </w:p>
    <w:p>
      <w:pPr>
        <w:spacing w:after="0" w:line="16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carrying values of accounts receivable, unbilled revenue and other current assets above are carried at amortised cost and assumed to be approximate to their fair values due to the short term nature of these balances. There is no evidence that the Group will not be able to collect all amounts due.</w:t>
      </w:r>
    </w:p>
    <w:p>
      <w:pPr>
        <w:spacing w:after="0" w:line="19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The proforma effect of the clinical trial services division of Cross Country Healthcare, Inc acquisition if completed on 1 January 2012 would have resulted in net revenue and profit for the financial years ended December 31, 2012 and December 31, 2013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7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1,343,996</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1,182,734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67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107,379</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61,648</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72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rPr>
              <w:t>73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67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Business Combinations </w:t>
      </w:r>
      <w:r>
        <w:rPr>
          <w:rFonts w:ascii="Times New Roman" w:cs="Times New Roman" w:eastAsia="Times New Roman" w:hAnsi="Times New Roman"/>
          <w:sz w:val="18"/>
          <w:szCs w:val="18"/>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Prior period acquisition of PriceSpective</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28 February 2012 the Company acquired 100% of the common stock of PriceSpective LLC (PriceSpective) strategy consulting company for an initial cash consideration of $37.1 million. Headquartered in Philadelphia, and with offices in London, Los Angeles, San Diego, Raleigh and Boston, PriceSpective is a premier consultancy that has a strong reputation for excellence in strategic pricing, market access, Health Economics and Outcomes Research (“HEOR”), due diligence support and payer engagement services. Since PriceSpective’s incorporation in 2003, it has developed strategies for dozens of new product launches, and hundreds of development and in-market products, across 40+ disease areas. Further consideration of up to $15.0 million was payable if certain performance milestones were achieved in respect of periods up to 31 December 2012. On 13 August 2012 the Company paid $5.0 million in relation to performance milestones for the year ended 31 December 2011. On 29 May 2013 the Company paid $10.0 million in relation to the remaining performance milestones for the year ended 31 December 2012.</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acquisition of PriceSpective has been accounted for as a business combination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following table summarises the fair values of the assets acquired and the liabilities assumed: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3"/>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2"/>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256</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256</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420" w:type="dxa"/>
            <w:vAlign w:val="bottom"/>
          </w:tcPr>
          <w:p>
            <w:pPr>
              <w:spacing w:after="0"/>
              <w:rPr>
                <w:sz w:val="18"/>
                <w:szCs w:val="18"/>
                <w:color w:val="auto"/>
              </w:rPr>
            </w:pP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42,247</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42,247</w:t>
            </w:r>
          </w:p>
        </w:tc>
      </w:tr>
      <w:tr>
        <w:trPr>
          <w:trHeight w:val="212"/>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Intangible asset</w:t>
            </w:r>
          </w:p>
        </w:tc>
        <w:tc>
          <w:tcPr>
            <w:tcW w:w="4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customer relationships</w:t>
            </w:r>
          </w:p>
        </w:tc>
        <w:tc>
          <w:tcPr>
            <w:tcW w:w="3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10,237</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10,237</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9"/>
              </w:rPr>
              <w:t>Intangible asset</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order backlog</w:t>
            </w: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405</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405</w:t>
            </w:r>
          </w:p>
        </w:tc>
      </w:tr>
      <w:tr>
        <w:trPr>
          <w:trHeight w:val="212"/>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 non-compete arrangements -</w:t>
            </w:r>
          </w:p>
        </w:tc>
        <w:tc>
          <w:tcPr>
            <w:tcW w:w="3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392</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392</w:t>
            </w:r>
          </w:p>
        </w:tc>
      </w:tr>
      <w:tr>
        <w:trPr>
          <w:trHeight w:val="212"/>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2,311</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2,311</w:t>
            </w:r>
          </w:p>
        </w:tc>
      </w:tr>
      <w:tr>
        <w:trPr>
          <w:trHeight w:val="212"/>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2,662</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2,662</w:t>
            </w:r>
          </w:p>
        </w:tc>
      </w:tr>
      <w:tr>
        <w:trPr>
          <w:trHeight w:val="212"/>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1,140</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1,140</w:t>
            </w:r>
          </w:p>
        </w:tc>
      </w:tr>
      <w:tr>
        <w:trPr>
          <w:trHeight w:val="212"/>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236</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236</w:t>
            </w:r>
          </w:p>
        </w:tc>
      </w:tr>
      <w:tr>
        <w:trPr>
          <w:trHeight w:val="219"/>
        </w:trPr>
        <w:tc>
          <w:tcPr>
            <w:tcW w:w="20" w:type="dxa"/>
            <w:vAlign w:val="bottom"/>
          </w:tcPr>
          <w:p>
            <w:pPr>
              <w:spacing w:after="0"/>
              <w:rPr>
                <w:sz w:val="19"/>
                <w:szCs w:val="19"/>
                <w:color w:val="auto"/>
              </w:rPr>
            </w:pPr>
          </w:p>
        </w:tc>
        <w:tc>
          <w:tcPr>
            <w:tcW w:w="5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(7,788)</w:t>
            </w: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r>
      <w:tr>
        <w:trPr>
          <w:trHeight w:val="252"/>
        </w:trPr>
        <w:tc>
          <w:tcPr>
            <w:tcW w:w="20" w:type="dxa"/>
            <w:vAlign w:val="bottom"/>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4420" w:type="dxa"/>
            <w:vAlign w:val="bottom"/>
            <w:tcBorders>
              <w:bottom w:val="single" w:sz="8" w:color="auto"/>
            </w:tcBorders>
            <w:shd w:val="clear" w:color="auto" w:fill="CCEEFF"/>
          </w:tcPr>
          <w:p>
            <w:pPr>
              <w:spacing w:after="0"/>
              <w:rPr>
                <w:sz w:val="21"/>
                <w:szCs w:val="21"/>
                <w:color w:val="auto"/>
              </w:rPr>
            </w:pPr>
          </w:p>
        </w:tc>
        <w:tc>
          <w:tcPr>
            <w:tcW w:w="33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52,098</w:t>
            </w:r>
          </w:p>
        </w:tc>
      </w:tr>
    </w:tbl>
    <w:p>
      <w:pPr>
        <w:spacing w:after="0" w:line="194"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Goodwill represents the acquisition of an established workforce with experience in strategic pricing, market access, HEOR, due diligence support and payer engagement services. Goodwill related to the US portion of the business acquired is tax deductible.</w:t>
      </w:r>
    </w:p>
    <w:p>
      <w:pPr>
        <w:spacing w:after="0" w:line="19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carrying values of accounts receivable, unbilled revenue and other current assets above are carried at amortised cost and assumed to be approximate to their fair values due to the short term nature of these balances. There is no evidence that the Group will not be able to collect all amounts due.</w:t>
      </w:r>
    </w:p>
    <w:p>
      <w:pPr>
        <w:spacing w:after="0" w:line="190"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The proforma effect of the PriceSpective acquisition if completed on 1 January 2011 would have resulted in net revenue and profit for the financial years ended 31 December 2011 and 31 December 2012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7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7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1,118,410</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964,388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67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58,857</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21,713</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72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rPr>
              <w:t>74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67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Business Combinations </w:t>
      </w:r>
      <w:r>
        <w:rPr>
          <w:rFonts w:ascii="Times New Roman" w:cs="Times New Roman" w:eastAsia="Times New Roman" w:hAnsi="Times New Roman"/>
          <w:sz w:val="18"/>
          <w:szCs w:val="18"/>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Prior Period acquisition of BeijingWits Medical</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15 February 2012 the Company acquired 100% of the common stock of BeijingWits Medical Consulting Co. Limited (BeijingWits Medical), a leading Chinese CRO, for an initial cash consideration of $9.0 million. BeijingWits Medical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Company’s service capabilities in the region, BeijingWits Medical also strengthened the Company’s presence through the addition of over 100 highly qualified and experienced professionals in Beijing, Shanghai, Chengdu, Guangzhou, Wuhan and Hong Kong. Further consideration of up to $7.0 million was payable if certain performance milestones were achieved in respect of periods up to 31 December 2013. On 13 June 2013 the Company paid $3.8 million in relation to performance milestones for the year ended 31 December 2012. On November 7, 2014 the Company paid $3.2 million in relation to performance milestones for the year ended December 31, 2013.</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acquisition of BeijingWits has been accounted for as a business combination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following table summarises the fair values of the assets acquired and the liabilities assumed: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5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5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3"/>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5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$’000</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2"/>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172</w:t>
            </w:r>
          </w:p>
        </w:tc>
        <w:tc>
          <w:tcPr>
            <w:tcW w:w="1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420" w:type="dxa"/>
            <w:vAlign w:val="bottom"/>
          </w:tcPr>
          <w:p>
            <w:pPr>
              <w:spacing w:after="0"/>
              <w:rPr>
                <w:sz w:val="18"/>
                <w:szCs w:val="18"/>
                <w:color w:val="auto"/>
              </w:rPr>
            </w:pP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13,512</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13,512</w:t>
            </w:r>
          </w:p>
        </w:tc>
      </w:tr>
      <w:tr>
        <w:trPr>
          <w:trHeight w:val="212"/>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Intangible asset</w:t>
            </w:r>
          </w:p>
        </w:tc>
        <w:tc>
          <w:tcPr>
            <w:tcW w:w="4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customer relationships</w:t>
            </w:r>
          </w:p>
        </w:tc>
        <w:tc>
          <w:tcPr>
            <w:tcW w:w="3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1,761</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1,761</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9"/>
              </w:rPr>
              <w:t>Intangible asset</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order backlog</w:t>
            </w: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376</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376</w:t>
            </w:r>
          </w:p>
        </w:tc>
      </w:tr>
      <w:tr>
        <w:trPr>
          <w:trHeight w:val="212"/>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 non-compete arrangements -</w:t>
            </w:r>
          </w:p>
        </w:tc>
        <w:tc>
          <w:tcPr>
            <w:tcW w:w="3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97</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w:t>
            </w:r>
          </w:p>
        </w:tc>
      </w:tr>
      <w:tr>
        <w:trPr>
          <w:trHeight w:val="212"/>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587</w:t>
            </w:r>
          </w:p>
        </w:tc>
        <w:tc>
          <w:tcPr>
            <w:tcW w:w="1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587</w:t>
            </w:r>
          </w:p>
        </w:tc>
      </w:tr>
      <w:tr>
        <w:trPr>
          <w:trHeight w:val="212"/>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657</w:t>
            </w:r>
          </w:p>
        </w:tc>
        <w:tc>
          <w:tcPr>
            <w:tcW w:w="1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657</w:t>
            </w:r>
          </w:p>
        </w:tc>
      </w:tr>
      <w:tr>
        <w:trPr>
          <w:trHeight w:val="212"/>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176</w:t>
            </w:r>
          </w:p>
        </w:tc>
        <w:tc>
          <w:tcPr>
            <w:tcW w:w="1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176</w:t>
            </w:r>
          </w:p>
        </w:tc>
      </w:tr>
      <w:tr>
        <w:trPr>
          <w:trHeight w:val="212"/>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228</w:t>
            </w:r>
          </w:p>
        </w:tc>
        <w:tc>
          <w:tcPr>
            <w:tcW w:w="1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r>
      <w:tr>
        <w:trPr>
          <w:trHeight w:val="212"/>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(559)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19"/>
        </w:trPr>
        <w:tc>
          <w:tcPr>
            <w:tcW w:w="20" w:type="dxa"/>
            <w:vAlign w:val="bottom"/>
          </w:tcPr>
          <w:p>
            <w:pPr>
              <w:spacing w:after="0"/>
              <w:rPr>
                <w:sz w:val="19"/>
                <w:szCs w:val="19"/>
                <w:color w:val="auto"/>
              </w:rPr>
            </w:pPr>
          </w:p>
        </w:tc>
        <w:tc>
          <w:tcPr>
            <w:tcW w:w="55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(1,007)</w:t>
            </w:r>
          </w:p>
        </w:tc>
        <w:tc>
          <w:tcPr>
            <w:tcW w:w="1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12"/>
        </w:trPr>
        <w:tc>
          <w:tcPr>
            <w:tcW w:w="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44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16,000</w:t>
            </w: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Goodwill represents the acquisition of an established workforce with experience in clinical trial execution and regulatory processes in China. Goodwill is not tax deductible.</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carrying values of accounts receivable, unbilled revenue and other current assets in the above table are carried at amortised cost and assumed to be approximate to their fair values due to the short term nature of these balances. There is no evidence that the Group will not be able to collect all amounts due.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Business Combinations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proforma effect of the BeijingWits acquisition if completed on 1 January 2011 would have resulted in net revenue and profit for the financial years ended 31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2011 and 31 December 2012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8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8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8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8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8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1,115,355</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948,942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48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58,275</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18,899</w:t>
            </w:r>
          </w:p>
        </w:tc>
        <w:tc>
          <w:tcPr>
            <w:tcW w:w="0" w:type="dxa"/>
            <w:vAlign w:val="bottom"/>
          </w:tcPr>
          <w:p>
            <w:pPr>
              <w:spacing w:after="0"/>
              <w:rPr>
                <w:sz w:val="1"/>
                <w:szCs w:val="1"/>
                <w:color w:val="auto"/>
              </w:rPr>
            </w:pPr>
          </w:p>
        </w:tc>
      </w:tr>
      <w:tr>
        <w:trPr>
          <w:trHeight w:val="44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Inventories</w:t>
            </w:r>
          </w:p>
        </w:tc>
        <w:tc>
          <w:tcPr>
            <w:tcW w:w="4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8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8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8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inventories</w:t>
            </w:r>
          </w:p>
        </w:tc>
        <w:tc>
          <w:tcPr>
            <w:tcW w:w="48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1,664</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The cost of inventories is recognised as an expense and included in direct costs in the income statement. $22.6 million (2013: $29.6 million) was charged in the income statement for the year ended 31 December 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15. Accounts receivable</w:t>
            </w:r>
          </w:p>
        </w:tc>
        <w:tc>
          <w:tcPr>
            <w:tcW w:w="4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2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42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42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2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376,414</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345,729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amounts provided for doubtful debts</w:t>
            </w:r>
          </w:p>
        </w:tc>
        <w:tc>
          <w:tcPr>
            <w:tcW w:w="4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(5,458)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2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370,956</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342,581</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provision for impairment is recognised where there is objective evidence that the Group will not be able to collect all amounts due according to the original terms of the receivable. At 31 December 2014, the Group maintained an impairment provision of $5.5 million (2013: $3.1 million). Movement on the accounts receivable impairment provision during the year was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7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7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Accounts receivable impairment provision</w:t>
            </w:r>
          </w:p>
        </w:tc>
        <w:tc>
          <w:tcPr>
            <w:tcW w:w="27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7440" w:type="dxa"/>
            <w:vAlign w:val="bottom"/>
            <w:gridSpan w:val="2"/>
            <w:vMerge w:val="continue"/>
          </w:tcPr>
          <w:p>
            <w:pPr>
              <w:spacing w:after="0"/>
              <w:rPr>
                <w:sz w:val="18"/>
                <w:szCs w:val="18"/>
                <w:color w:val="auto"/>
              </w:rPr>
            </w:pP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start of year</w:t>
            </w:r>
          </w:p>
        </w:tc>
        <w:tc>
          <w:tcPr>
            <w:tcW w:w="27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3,148</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Amounts used during the year</w:t>
            </w:r>
          </w:p>
        </w:tc>
        <w:tc>
          <w:tcPr>
            <w:tcW w:w="27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(502)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provided for during the year</w:t>
            </w:r>
          </w:p>
        </w:tc>
        <w:tc>
          <w:tcPr>
            <w:tcW w:w="27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2,874</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Amounts released during the year</w:t>
            </w:r>
          </w:p>
        </w:tc>
        <w:tc>
          <w:tcPr>
            <w:tcW w:w="2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7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5,458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41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receivables are due within twelve months of the year ended 31 December 2014.</w:t>
            </w:r>
          </w:p>
        </w:tc>
        <w:tc>
          <w:tcPr>
            <w:tcW w:w="2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7"/>
        </w:trPr>
        <w:tc>
          <w:tcPr>
            <w:tcW w:w="7440" w:type="dxa"/>
            <w:vAlign w:val="bottom"/>
            <w:gridSpan w:val="2"/>
          </w:tcPr>
          <w:p>
            <w:pPr>
              <w:jc w:val="right"/>
              <w:ind w:right="1552"/>
              <w:spacing w:after="0"/>
              <w:rPr>
                <w:sz w:val="20"/>
                <w:szCs w:val="20"/>
                <w:color w:val="auto"/>
              </w:rPr>
            </w:pPr>
            <w:r>
              <w:rPr>
                <w:rFonts w:ascii="Times New Roman" w:cs="Times New Roman" w:eastAsia="Times New Roman" w:hAnsi="Times New Roman"/>
                <w:sz w:val="18"/>
                <w:szCs w:val="18"/>
                <w:color w:val="auto"/>
              </w:rPr>
              <w:t>76</w:t>
            </w:r>
          </w:p>
        </w:tc>
        <w:tc>
          <w:tcPr>
            <w:tcW w:w="2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Accounts receivable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analysis of Group’s accounts receivable balances at 31 December 2014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500" w:type="dxa"/>
            <w:vAlign w:val="bottom"/>
          </w:tcPr>
          <w:p>
            <w:pPr>
              <w:spacing w:after="0"/>
              <w:rPr>
                <w:sz w:val="18"/>
                <w:szCs w:val="18"/>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Net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Gross</w:t>
            </w:r>
          </w:p>
        </w:tc>
        <w:tc>
          <w:tcPr>
            <w:tcW w:w="14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500" w:type="dxa"/>
            <w:vAlign w:val="bottom"/>
          </w:tcPr>
          <w:p>
            <w:pPr>
              <w:spacing w:after="0"/>
              <w:rPr>
                <w:sz w:val="18"/>
                <w:szCs w:val="18"/>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accounts</w:t>
            </w:r>
          </w:p>
        </w:tc>
        <w:tc>
          <w:tcPr>
            <w:tcW w:w="14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accounts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receivable</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Impairment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receivable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2013</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2013</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past due</w:t>
            </w:r>
          </w:p>
        </w:tc>
        <w:tc>
          <w:tcPr>
            <w:tcW w:w="13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291,265</w:t>
            </w:r>
          </w:p>
        </w:tc>
        <w:tc>
          <w:tcPr>
            <w:tcW w:w="15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(252)</w:t>
            </w:r>
          </w:p>
        </w:tc>
        <w:tc>
          <w:tcPr>
            <w:tcW w:w="1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291,013</w:t>
            </w: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275,246</w:t>
            </w:r>
          </w:p>
        </w:tc>
        <w:tc>
          <w:tcPr>
            <w:tcW w:w="14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275,235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Past due 0 to 30 days</w:t>
            </w: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40,079</w:t>
            </w:r>
          </w:p>
        </w:tc>
        <w:tc>
          <w:tcPr>
            <w:tcW w:w="15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(65)</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40,014</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36,947</w:t>
            </w: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(738)</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36,209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Past due 31 to 60 days</w:t>
            </w:r>
          </w:p>
        </w:tc>
        <w:tc>
          <w:tcPr>
            <w:tcW w:w="13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12,401</w:t>
            </w:r>
          </w:p>
        </w:tc>
        <w:tc>
          <w:tcPr>
            <w:tcW w:w="15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(626)</w:t>
            </w:r>
          </w:p>
        </w:tc>
        <w:tc>
          <w:tcPr>
            <w:tcW w:w="1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11,775</w:t>
            </w: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2,956</w:t>
            </w:r>
          </w:p>
        </w:tc>
        <w:tc>
          <w:tcPr>
            <w:tcW w:w="14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(238)</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Past due 61+ days</w:t>
            </w:r>
          </w:p>
        </w:tc>
        <w:tc>
          <w:tcPr>
            <w:tcW w:w="1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32,669</w:t>
            </w:r>
          </w:p>
        </w:tc>
        <w:tc>
          <w:tcPr>
            <w:tcW w:w="15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(4,515)</w:t>
            </w:r>
          </w:p>
        </w:tc>
        <w:tc>
          <w:tcPr>
            <w:tcW w:w="14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28,154</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30,580</w:t>
            </w: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(2,161)</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28,419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376,414</w:t>
            </w:r>
          </w:p>
        </w:tc>
        <w:tc>
          <w:tcPr>
            <w:tcW w:w="15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(5,458)</w:t>
            </w:r>
          </w:p>
        </w:tc>
        <w:tc>
          <w:tcPr>
            <w:tcW w:w="14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370,956</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345,729</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(3,148)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342,581</w:t>
            </w:r>
          </w:p>
        </w:tc>
        <w:tc>
          <w:tcPr>
            <w:tcW w:w="0" w:type="dxa"/>
            <w:vAlign w:val="bottom"/>
          </w:tcPr>
          <w:p>
            <w:pPr>
              <w:spacing w:after="0"/>
              <w:rPr>
                <w:sz w:val="1"/>
                <w:szCs w:val="1"/>
                <w:color w:val="auto"/>
              </w:rPr>
            </w:pPr>
          </w:p>
        </w:tc>
      </w:tr>
      <w:tr>
        <w:trPr>
          <w:trHeight w:val="445"/>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carrying amounts of the Group’s accounts receivables are denominated in the following currencies:</w:t>
            </w: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334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w:t>
            </w:r>
          </w:p>
        </w:tc>
        <w:tc>
          <w:tcPr>
            <w:tcW w:w="1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286,746</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117,029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Euro</w:t>
            </w: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61,273</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208,848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Sterling</w:t>
            </w:r>
          </w:p>
        </w:tc>
        <w:tc>
          <w:tcPr>
            <w:tcW w:w="1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11,943</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8,768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currencies</w:t>
            </w:r>
          </w:p>
        </w:tc>
        <w:tc>
          <w:tcPr>
            <w:tcW w:w="1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10,994</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370,956</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342,581</w:t>
            </w:r>
          </w:p>
        </w:tc>
        <w:tc>
          <w:tcPr>
            <w:tcW w:w="0" w:type="dxa"/>
            <w:vAlign w:val="bottom"/>
          </w:tcPr>
          <w:p>
            <w:pPr>
              <w:spacing w:after="0"/>
              <w:rPr>
                <w:sz w:val="1"/>
                <w:szCs w:val="1"/>
                <w:color w:val="auto"/>
              </w:rPr>
            </w:pPr>
          </w:p>
        </w:tc>
      </w:tr>
      <w:tr>
        <w:trPr>
          <w:trHeight w:val="445"/>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Other assets</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other assets</w:t>
            </w: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334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deposits</w:t>
            </w:r>
          </w:p>
        </w:tc>
        <w:tc>
          <w:tcPr>
            <w:tcW w:w="1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8,484</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employee savings scheme assets</w:t>
            </w:r>
          </w:p>
        </w:tc>
        <w:tc>
          <w:tcPr>
            <w:tcW w:w="1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8,605</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17,089</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12,307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Lease deposits paid in respect of certain premises leased by the Group are refundable on expiry of the related leases. Discounting of the non-current element has not been applied because the discount would be immaterial. However, discounting may apply in the future if the non-current element becomes significant such that the discounting impact would be material.</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16. Other assets </w:t>
            </w:r>
            <w:r>
              <w:rPr>
                <w:rFonts w:ascii="Times New Roman" w:cs="Times New Roman" w:eastAsia="Times New Roman" w:hAnsi="Times New Roman"/>
                <w:sz w:val="18"/>
                <w:szCs w:val="18"/>
                <w:b w:val="1"/>
                <w:bCs w:val="1"/>
                <w:i w:val="1"/>
                <w:iCs w:val="1"/>
                <w:color w:val="auto"/>
              </w:rPr>
              <w:t>(continued)</w:t>
            </w:r>
          </w:p>
        </w:tc>
        <w:tc>
          <w:tcPr>
            <w:tcW w:w="3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8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8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38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6360" w:type="dxa"/>
            <w:vAlign w:val="bottom"/>
            <w:gridSpan w:val="2"/>
            <w:vMerge w:val="continue"/>
          </w:tcPr>
          <w:p>
            <w:pPr>
              <w:spacing w:after="0"/>
              <w:rPr>
                <w:sz w:val="18"/>
                <w:szCs w:val="18"/>
                <w:color w:val="auto"/>
              </w:rPr>
            </w:pPr>
          </w:p>
        </w:tc>
        <w:tc>
          <w:tcPr>
            <w:tcW w:w="3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prepayments</w:t>
            </w:r>
          </w:p>
        </w:tc>
        <w:tc>
          <w:tcPr>
            <w:tcW w:w="3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414</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Facility and information system related prepayments</w:t>
            </w:r>
          </w:p>
        </w:tc>
        <w:tc>
          <w:tcPr>
            <w:tcW w:w="38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14,511</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overhead prepayments</w:t>
            </w:r>
          </w:p>
        </w:tc>
        <w:tc>
          <w:tcPr>
            <w:tcW w:w="3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9,841</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recoverable</w:t>
            </w:r>
          </w:p>
        </w:tc>
        <w:tc>
          <w:tcPr>
            <w:tcW w:w="38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9,636</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8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4,384</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6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38,786</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31,306</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Other current assets do not contain any impaired assets. The maximum exposure to credit risk at the reporting date is the carrying value of each receivable. The Group does not hold any collateral as security.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Current asset investments</w:t>
            </w:r>
          </w:p>
        </w:tc>
        <w:tc>
          <w:tcPr>
            <w:tcW w:w="4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1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1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41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start of year</w:t>
            </w:r>
          </w:p>
        </w:tc>
        <w:tc>
          <w:tcPr>
            <w:tcW w:w="41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138,317</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76,183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41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61,328</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172,168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4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(102,565)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Unrealised capital (loss)/gain - investments</w:t>
            </w:r>
          </w:p>
        </w:tc>
        <w:tc>
          <w:tcPr>
            <w:tcW w:w="4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end of year</w:t>
            </w:r>
          </w:p>
        </w:tc>
        <w:tc>
          <w:tcPr>
            <w:tcW w:w="41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97,100</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138,317</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Current asset investments are reported at fair value, with unrealised gains or losses recorded in other comprehensive income. During the year ended 31 December 2014 an unrealised gain of $0.02 million (2013: unrealised loss of $0.2 million) was recorded. Current asset investments comprise highly liquid investments with maturities of greater than three months and minimum “A-” rated fixed and floating rate securities.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Cash and cash equivalents</w:t>
            </w:r>
          </w:p>
        </w:tc>
        <w:tc>
          <w:tcPr>
            <w:tcW w:w="6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2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2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2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bank and in hand</w:t>
            </w:r>
          </w:p>
        </w:tc>
        <w:tc>
          <w:tcPr>
            <w:tcW w:w="6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59,905</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52,830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6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58,995</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129,689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118,900</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182,519</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22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rPr>
              <w:t>78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Accrued and other liabilities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4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4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other liabilities</w:t>
            </w:r>
          </w:p>
        </w:tc>
        <w:tc>
          <w:tcPr>
            <w:tcW w:w="4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6140" w:type="dxa"/>
            <w:vAlign w:val="bottom"/>
            <w:gridSpan w:val="2"/>
            <w:vMerge w:val="continue"/>
          </w:tcPr>
          <w:p>
            <w:pPr>
              <w:spacing w:after="0"/>
              <w:rPr>
                <w:sz w:val="18"/>
                <w:szCs w:val="18"/>
                <w:color w:val="auto"/>
              </w:rPr>
            </w:pPr>
          </w:p>
        </w:tc>
        <w:tc>
          <w:tcPr>
            <w:tcW w:w="4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liabilities</w:t>
            </w:r>
          </w:p>
        </w:tc>
        <w:tc>
          <w:tcPr>
            <w:tcW w:w="4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1,059</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government grants (note 21)</w:t>
            </w:r>
          </w:p>
        </w:tc>
        <w:tc>
          <w:tcPr>
            <w:tcW w:w="4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1,116</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benefit plan net obligation (note 9)</w:t>
            </w:r>
          </w:p>
        </w:tc>
        <w:tc>
          <w:tcPr>
            <w:tcW w:w="4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7,466</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employee savings scheme liabilities</w:t>
            </w:r>
          </w:p>
        </w:tc>
        <w:tc>
          <w:tcPr>
            <w:tcW w:w="4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4,654</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14,295</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12,557</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Personnel related liabilities and deferred employee savings scheme liabilities are payable between 1 and 2 years from the reporting date </w:t>
      </w:r>
      <w:r>
        <w:rPr>
          <w:rFonts w:ascii="Times New Roman" w:cs="Times New Roman" w:eastAsia="Times New Roman" w:hAnsi="Times New Roman"/>
          <w:sz w:val="18"/>
          <w:szCs w:val="18"/>
          <w:i w:val="1"/>
          <w:iCs w:val="1"/>
          <w:color w:val="auto"/>
        </w:rPr>
        <w:t>(see note</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25)</w:t>
      </w:r>
      <w:r>
        <w:rPr>
          <w:rFonts w:ascii="Times New Roman" w:cs="Times New Roman" w:eastAsia="Times New Roman" w:hAnsi="Times New Roman"/>
          <w:sz w:val="18"/>
          <w:szCs w:val="18"/>
          <w:color w:val="auto"/>
        </w:rPr>
        <w:t>. Discounting of the non-current element has not been applied because the discount would be immaterial. However, discounting may apply in the future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non-current element becomes significant such that the discounting impact would be material.</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6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6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accrued and other liabilities</w:t>
            </w:r>
          </w:p>
        </w:tc>
        <w:tc>
          <w:tcPr>
            <w:tcW w:w="56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4560" w:type="dxa"/>
            <w:vAlign w:val="bottom"/>
            <w:gridSpan w:val="2"/>
            <w:vMerge w:val="continue"/>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liabilities</w:t>
            </w:r>
          </w:p>
        </w:tc>
        <w:tc>
          <w:tcPr>
            <w:tcW w:w="5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167,362</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138,639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Facility and information system related liabilities</w:t>
            </w:r>
          </w:p>
        </w:tc>
        <w:tc>
          <w:tcPr>
            <w:tcW w:w="56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19,862</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overhead liabilities</w:t>
            </w:r>
          </w:p>
        </w:tc>
        <w:tc>
          <w:tcPr>
            <w:tcW w:w="5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33,422</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31,034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6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26,632</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government grants (note 21)</w:t>
            </w:r>
          </w:p>
        </w:tc>
        <w:tc>
          <w:tcPr>
            <w:tcW w:w="56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110</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247,388</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189,167</w:t>
            </w:r>
          </w:p>
        </w:tc>
        <w:tc>
          <w:tcPr>
            <w:tcW w:w="0" w:type="dxa"/>
            <w:vAlign w:val="bottom"/>
          </w:tcPr>
          <w:p>
            <w:pPr>
              <w:spacing w:after="0"/>
              <w:rPr>
                <w:sz w:val="1"/>
                <w:szCs w:val="1"/>
                <w:color w:val="auto"/>
              </w:rPr>
            </w:pPr>
          </w:p>
        </w:tc>
      </w:tr>
      <w:tr>
        <w:trPr>
          <w:trHeight w:val="445"/>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 Provisions</w:t>
            </w:r>
          </w:p>
        </w:tc>
        <w:tc>
          <w:tcPr>
            <w:tcW w:w="5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6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6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provisions</w:t>
            </w:r>
          </w:p>
        </w:tc>
        <w:tc>
          <w:tcPr>
            <w:tcW w:w="56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4560" w:type="dxa"/>
            <w:vAlign w:val="bottom"/>
            <w:gridSpan w:val="2"/>
            <w:vMerge w:val="continue"/>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provision (note 7)</w:t>
            </w:r>
          </w:p>
        </w:tc>
        <w:tc>
          <w:tcPr>
            <w:tcW w:w="5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3,704</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Acquisition consideration payable (note 13)</w:t>
            </w:r>
          </w:p>
        </w:tc>
        <w:tc>
          <w:tcPr>
            <w:tcW w:w="5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3,704</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5,675</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60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rPr>
              <w:t>79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56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21. Deferred government grants</w:t>
            </w:r>
          </w:p>
        </w:tc>
        <w:tc>
          <w:tcPr>
            <w:tcW w:w="4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5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45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5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beginning of year</w:t>
            </w:r>
          </w:p>
        </w:tc>
        <w:tc>
          <w:tcPr>
            <w:tcW w:w="45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1,599</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45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Amortised during the year</w:t>
            </w:r>
          </w:p>
        </w:tc>
        <w:tc>
          <w:tcPr>
            <w:tcW w:w="45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(213)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4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(160)</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end of year</w:t>
            </w:r>
          </w:p>
        </w:tc>
        <w:tc>
          <w:tcPr>
            <w:tcW w:w="45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1,226</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5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110</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w:t>
            </w:r>
          </w:p>
        </w:tc>
        <w:tc>
          <w:tcPr>
            <w:tcW w:w="45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1,116</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5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1,226</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Bank credit lines and loan facilities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30, 2014 the Company entered into a five year committed multi currency revolving credit facility for $100.0 million with Citibank, JP Morgan, Santander and Barclays Bank. Each bank subject to the agreement has committed $25 million to the facility, with equal terms and conditions in place with all institutions. The facility bears interest at LIBOR plus a margin and includes certain composite guarantees, indemnities and pledges in favor of the banks. Amounts available to the Group under the facility amounted to $100.0 million at 31 December 2014.</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23. Share capital</w:t>
            </w:r>
          </w:p>
        </w:tc>
        <w:tc>
          <w:tcPr>
            <w:tcW w:w="3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Group and Company</w:t>
            </w:r>
          </w:p>
        </w:tc>
        <w:tc>
          <w:tcPr>
            <w:tcW w:w="3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Authorised share capital:</w:t>
            </w:r>
          </w:p>
        </w:tc>
        <w:tc>
          <w:tcPr>
            <w:tcW w:w="42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No. of Ordinary Shares</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of par value €0.06</w:t>
            </w:r>
          </w:p>
        </w:tc>
        <w:tc>
          <w:tcPr>
            <w:tcW w:w="30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0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30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Allotted, called up and fully paid</w:t>
            </w:r>
          </w:p>
        </w:tc>
        <w:tc>
          <w:tcPr>
            <w:tcW w:w="30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2"/>
        </w:trPr>
        <w:tc>
          <w:tcPr>
            <w:tcW w:w="7160" w:type="dxa"/>
            <w:vAlign w:val="bottom"/>
            <w:gridSpan w:val="2"/>
            <w:vMerge w:val="continue"/>
          </w:tcPr>
          <w:p>
            <w:pPr>
              <w:spacing w:after="0"/>
              <w:rPr>
                <w:sz w:val="18"/>
                <w:szCs w:val="18"/>
                <w:color w:val="auto"/>
              </w:rPr>
            </w:pPr>
          </w:p>
        </w:tc>
        <w:tc>
          <w:tcPr>
            <w:tcW w:w="3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60,106,780 (31 December 2013: 61,587,257) ordinary shares of €0.06 each</w:t>
            </w:r>
          </w:p>
        </w:tc>
        <w:tc>
          <w:tcPr>
            <w:tcW w:w="30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5,037</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r>
        <w:trPr>
          <w:trHeight w:val="42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Issued, fully paid share capital</w:t>
            </w:r>
          </w:p>
        </w:tc>
        <w:tc>
          <w:tcPr>
            <w:tcW w:w="3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beginning of year</w:t>
            </w:r>
          </w:p>
        </w:tc>
        <w:tc>
          <w:tcPr>
            <w:tcW w:w="30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5,168</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Employee share options exercised</w:t>
            </w:r>
          </w:p>
        </w:tc>
        <w:tc>
          <w:tcPr>
            <w:tcW w:w="30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30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(205)</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end of year</w:t>
            </w:r>
          </w:p>
        </w:tc>
        <w:tc>
          <w:tcPr>
            <w:tcW w:w="30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5,037</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0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During the year ended 31 December 2014 926,407 options were exercised by employees at an average exercise price of $24.02 per share for total proceeds of $22.3 million. During the year ended 31 December 2014 233,726 ordinary shares were issued in respect of certain RSU’s previously awarded by the Company.</w:t>
      </w:r>
    </w:p>
    <w:p>
      <w:pPr>
        <w:spacing w:after="0" w:line="16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During the year ended 31 December 2013 1,249,759 options were exercised by employees at an average exercise price of $21.60 per share for total proceeds of $27.0 million. During the year ended 31 December 2013 50,000 ordinary shares were issued in respect of certain RSUs previously awarded by the Company.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23. Share capital </w:t>
      </w:r>
      <w:r>
        <w:rPr>
          <w:rFonts w:ascii="Times New Roman" w:cs="Times New Roman" w:eastAsia="Times New Roman" w:hAnsi="Times New Roman"/>
          <w:sz w:val="18"/>
          <w:szCs w:val="18"/>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programme</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27 October 2011 the Company announced its intention to commence a share repurchase program of up to $50 million. On 22 November 2011 the Company entered into two separate share repurchase plans of up to $10 million each, covering the periods 23 November 2011 to 31 December 2011 and 1 January 2012 to 20 February 2012 respectively. On 21 February 2012 the Company entered into a further share repurchase plan of up to $20 million, covering the period 22 February 2012 to 22 April 2012. On 27 April 2012 the Company entered into a fourth share repurchase plan of up to $20 million, covering the period 27 April 2012 to 18 July 2012. On 30 July 2012 the Company entered into a fifth share repurchase plan of up to $10 million, covering the period 30 July 2012 to 26 October 2012. On 19 September 2014 the Company announced that it had completed a $40 million redemption of the Company’s ordinary shares and that it had entered into a further program under which the Company can acquire up to an additional $100 million of its outstanding ordinary shares (by way of redemption), in accordance with United States securities laws through open market share acquisitions.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2014 2,640,610 ordinary shares were repurchased by the Company for a total consideration of $140.0 million. There were no share repurchases completed during 2013. During the year ended 31 December 2012 738,341 ordinary shares were repurchased by the Company for a total consideration of $15.6 million. All ordinary shares repurchased by the Company were cancelled, and the nominal value of these shares transferred to a capital redemption reserve fund as required under Irish Company Law.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24. Capital and reserves</w:t>
            </w:r>
          </w:p>
        </w:tc>
        <w:tc>
          <w:tcPr>
            <w:tcW w:w="5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8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8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58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 reserve</w:t>
            </w:r>
          </w:p>
        </w:tc>
        <w:tc>
          <w:tcPr>
            <w:tcW w:w="5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70,178</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Capital redemption reserve</w:t>
            </w:r>
          </w:p>
        </w:tc>
        <w:tc>
          <w:tcPr>
            <w:tcW w:w="58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305</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5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6,741</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58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(31,205)</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 investment – fair value reserve</w:t>
            </w:r>
          </w:p>
        </w:tc>
        <w:tc>
          <w:tcPr>
            <w:tcW w:w="5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58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700,154</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659,817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746,193</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724,597</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800" w:type="dxa"/>
            <w:vAlign w:val="bottom"/>
          </w:tcPr>
          <w:p>
            <w:pPr>
              <w:jc w:val="right"/>
              <w:ind w:right="4312"/>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24. Capital and reserves </w:t>
      </w:r>
      <w:r>
        <w:rPr>
          <w:rFonts w:ascii="Times New Roman" w:cs="Times New Roman" w:eastAsia="Times New Roman" w:hAnsi="Times New Roman"/>
          <w:sz w:val="18"/>
          <w:szCs w:val="18"/>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payment reserve</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share based payment reserve is used to account for share-based payments. The fair value of share based payments is expensed to the income statement over the period the related services are received, with a corresponding increase in equity. At 31 December 2014 the Group has recognised a cumulative charge for share based payments of $104.5 million net of deferred tax (2013: $80.2 million). The Group has also recognised a cumulative charge of $15.6 million (2013: $13.2 million) in reserves for the current and deferred tax effects of the tax benefits relating to the exercise of employee share options in excess of related cumulative compensation expense. The Group has reclassified a cumulative credit of $49.9 million (2013: $41.0 million) to retained earnings in respect of exercised and expired share based awards.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redemption reserve</w:t>
      </w:r>
    </w:p>
    <w:p>
      <w:pPr>
        <w:spacing w:after="0" w:line="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capital redemption reserve comprises the nominal value of shares repurchased and cancelled by the Group and transferred from share capital to the capital redemption reserve fund as required under Irish Company Law. During the year ended 31 December 2014, 2,640,610 (31 December 2013: nil) ordinary shares were repurchased and cancelled by the Group.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reserves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Group has recognised a non-distributable reserve of $0.6 million in accordance with agreements made between the Group and Enterprise Ireland, an Irish government agency. The requirement for these non-distributable reserves will expire between the period 2014 and 2017. In 2005 the Group also recognised a capital contribution of $6.1 million being the fair value of outstanding ordinary shares transferred to Mr Peter Gray, formerly Vice Chairman of the Board of Directors and formerly Chief Executive Officer, by founding Directors, Dr. John Climax and Dr. Ronan Lambe.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reserve</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currency reserve comprises all foreign exchange differences arising from the translation of the financial statements of foreign currency denominated operations of the Group since 1 June 2004, the date of transition to IFRS. As at 31 December 2014, this amounted to a cumulative gain of $21.9 million (2013: $23.1 million). In addition the Group has recognised a cumulative gain for the currency impact of long term funding amounting to $10.2 million at 31 December 2014 (2013: loss of $20.0 million). This is offset by a cumulative charge of $0.9 million (2013: credit of $1.1 million) for the related tax on the currency impact on long term funding.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 investments – fair value reserve</w:t>
      </w:r>
    </w:p>
    <w:p>
      <w:pPr>
        <w:spacing w:after="0" w:line="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current asset investment – fair value reserve comprises unrealised fair value gains and losses on current asset investments held as available-for-sale. The Group has recognised a gain during the year ended 31 December 2014 of $0.02 million (2013: loss of $0.2 million). Unrealised gains and losses are released to the Consolidated Income Statement on disposal of the related asset.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Retained earnings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to the profit for the financial year the Group has also recognised the re-measurement of the defined benefit pension scheme in this reserve. In 2014, the Group recognised a re-measurement on the defined benefit pension scheme of $(4.1) million (31 December 2013: a re-measurement of $1.4 million). The Group has also recognised a credit of $8.9 million (2013: $11.1 million) in respect of exercised and expired share based awards that have been transferred from the Option Reserve.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Financial Instruments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have overall responsibility for the establishment and oversight of the Group’s risk management framework. The Group is exposed to various financial risks in the normal course of its business. The principle financial risks to which it is exposed include credit risks related to the creditworthiness of its customers and counterparties with which it invests surplus cash funds, liquidity risk associated with the availability of sufficient capital resources, foreign currency risks, including both translation and transaction risk, and interest rate risk.</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Financial Instruments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Group’s exposure to credit risk arises predominately in respect of the creditworthiness of its customers in relation to amounts due from them for the value of work performed and the creditworthiness of counterparties with which it invests surplus cash balances.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Credit risk pertaining to customers is managed by ensuring strict credit procedures are in place, in particular through evaluation of all new customers and ongoing account monitoring. The Group earns revenues from contracts with its customers based upon certain activities and performance specifications. Contract terms may range from several weeks to several years depending on the nature of the work to be performed. Such contracts are generally either fixed price or units-based. In most cases, a small portion of the contract fee is paid at the time the study or trial is started. The balance of the contract fee is generally payable in instalments over the study or trial duration and may be based on the achievement of certain performance targets or "milestones" or, based on units delivered, or on a fixed monthly payment schedule. For instance, instalment payments may be based on patient enrolment or delivery of the database. Where customers request changes in the scope of a trial or in the services to be provided, a change order or amendment is issued which may result either in an increase or decrease in the contract value. The Group also contracts on a "fee-for-service" or "time and materials" basis.</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course of the study, the Group will generally incur expenses which are fully reimbursable by customers. Reimbursable expenses are typically estimated and budgeted within the contract and invoiced on a monthly basis. Reimbursable expenses include payments to investigators, travel and accommodation costs and various other direct costs incurred in the course of the clinical trial which are fully reimbursable by the customer.</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customer's decision to de-emphasise a particular trial or inadequate patient enrollment or investigator recruitment.</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Group’s top five customers accounted for approximately 53% of net revenue during the years ended 31 December 2014 and 31 December 2013. During the year ended 31 December 2014 31% of the Group’s net revenues were derived from its top customer. With the exception of this customer no customer contributed more than 10% of net revenues during the period. During the year ended 31 December 2013 26% of the Group’s net revenues were derived from its top customer with 10% of net revenues being derived from the Group’s second largest customer. With the exception of these two customers no customer contributed more than 10% of net revenues during this period.</w:t>
      </w:r>
    </w:p>
    <w:p>
      <w:pPr>
        <w:spacing w:after="0" w:line="20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maximum exposure of credit risk pertaining to customers is the carrying value of accounts receivable and unbilled revenue balances. The carrying value of accounts receivable and unbilled revenue balances, by geographic region, at 31 December 2014 was as follows: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25. Financial Instruments </w:t>
            </w:r>
            <w:r>
              <w:rPr>
                <w:rFonts w:ascii="Times New Roman" w:cs="Times New Roman" w:eastAsia="Times New Roman" w:hAnsi="Times New Roman"/>
                <w:sz w:val="18"/>
                <w:szCs w:val="18"/>
                <w:b w:val="1"/>
                <w:bCs w:val="1"/>
                <w:i w:val="1"/>
                <w:iCs w:val="1"/>
                <w:color w:val="auto"/>
              </w:rPr>
              <w:t>(continued)</w:t>
            </w:r>
          </w:p>
        </w:tc>
        <w:tc>
          <w:tcPr>
            <w:tcW w:w="2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2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262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Unbilled Revenue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9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 December</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9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2013</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9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$’000</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241,155</w:t>
            </w: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221,356</w:t>
            </w:r>
          </w:p>
        </w:tc>
        <w:tc>
          <w:tcPr>
            <w:tcW w:w="1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58,599</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58,596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9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124,159</w:t>
            </w: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117,546</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80,403</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53,256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5,642</w:t>
            </w: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3,679</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7,161</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370,956</w:t>
            </w: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342,581</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146,163</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113,239</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Credit risk exposure also arises due to the investment of Group surplus cash in various financial instruments. The Group’s treasury function actively manages cash resources and invests surplus cash balances with various financial institutions in accordance with strict credit risk management policies and controls as specified by the Group’s Board of Directors. Credit risk in relation to these balances is managed through on-going monitoring of the credit quality ensuring that funds are invested as per agreed investment guidelines. These balances are classified as cash and cash equivalents or current asset investments depending on the maturity of the related investment. Invested cash comprises of cash and cash equivalents with a maturity of three months or less and credit quality is set at a minimum credit rating of BB+ for overnight maturities and a minimum of A- for any bank deposits greater than overnight and up to three months. Current asset investments comprise investments with maturities of greater than three months. The minimum ratings required for each class of investment are as follows: bank deposits (A-), money market funds (AAA), liquidity funds (AAA) and fixed rate corporate bonds or floating rate notes (A- non-financial, AA- financial).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Liquid and Capital Resources</w:t>
            </w:r>
          </w:p>
        </w:tc>
        <w:tc>
          <w:tcPr>
            <w:tcW w:w="2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Group’s liquid and capital resources at 31 December 2014 were as follows:</w:t>
            </w:r>
          </w:p>
        </w:tc>
        <w:tc>
          <w:tcPr>
            <w:tcW w:w="2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8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8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28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 investments (note 17)</w:t>
            </w:r>
          </w:p>
        </w:tc>
        <w:tc>
          <w:tcPr>
            <w:tcW w:w="2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97,100</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138,317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(note 18)</w:t>
            </w:r>
          </w:p>
        </w:tc>
        <w:tc>
          <w:tcPr>
            <w:tcW w:w="28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118,900</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182,519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liquid resources</w:t>
            </w:r>
          </w:p>
        </w:tc>
        <w:tc>
          <w:tcPr>
            <w:tcW w:w="28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216,000</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320,836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2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973,195</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929,550</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Financial Instruments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primary objectives in managing its liquid and capital resources are as follows:</w:t>
      </w:r>
    </w:p>
    <w:p>
      <w:pPr>
        <w:spacing w:after="0" w:line="32" w:lineRule="exact"/>
        <w:rPr>
          <w:sz w:val="20"/>
          <w:szCs w:val="20"/>
          <w:color w:val="auto"/>
        </w:rPr>
      </w:pPr>
    </w:p>
    <w:p>
      <w:pPr>
        <w:ind w:left="900" w:hanging="25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adequate resources to fund its continued operations,</w:t>
      </w:r>
    </w:p>
    <w:p>
      <w:pPr>
        <w:spacing w:after="0" w:line="31"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availability of sufficient resources to sustain future development and growth of the business,</w:t>
      </w:r>
    </w:p>
    <w:p>
      <w:pPr>
        <w:spacing w:after="0" w:line="31"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sufficient resources to mitigate risks and unforeseen events which may arise.</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facility is set out in note 22 </w:t>
      </w:r>
      <w:r>
        <w:rPr>
          <w:rFonts w:ascii="Times New Roman" w:cs="Times New Roman" w:eastAsia="Times New Roman" w:hAnsi="Times New Roman"/>
          <w:sz w:val="18"/>
          <w:szCs w:val="18"/>
          <w:i w:val="1"/>
          <w:iCs w:val="1"/>
          <w:color w:val="auto"/>
        </w:rPr>
        <w:t>Bank Credit Lines and Loan Facilities.</w:t>
      </w:r>
      <w:r>
        <w:rPr>
          <w:rFonts w:ascii="Times New Roman" w:cs="Times New Roman" w:eastAsia="Times New Roman" w:hAnsi="Times New Roman"/>
          <w:sz w:val="18"/>
          <w:szCs w:val="18"/>
          <w:color w:val="auto"/>
        </w:rPr>
        <w:t xml:space="preserve"> There were no funds drawn under this facility at 31 December 2014. The Group may raise additional finance through the issuance of ordinary shares or debt as required.</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31 December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5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6 months</w:t>
            </w: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Cashflows</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14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6-12 months</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1-2 years</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2-5 years</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5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Non-current</w:t>
            </w:r>
          </w:p>
        </w:tc>
        <w:tc>
          <w:tcPr>
            <w:tcW w:w="2000" w:type="dxa"/>
            <w:vAlign w:val="bottom"/>
            <w:shd w:val="clear" w:color="auto" w:fill="CCEEFF"/>
          </w:tcPr>
          <w:p>
            <w:pPr>
              <w:jc w:val="right"/>
              <w:ind w:right="1452"/>
              <w:spacing w:after="0" w:line="194" w:lineRule="exact"/>
              <w:rPr>
                <w:sz w:val="20"/>
                <w:szCs w:val="20"/>
                <w:color w:val="auto"/>
              </w:rPr>
            </w:pPr>
            <w:r>
              <w:rPr>
                <w:rFonts w:ascii="Times New Roman" w:cs="Times New Roman" w:eastAsia="Times New Roman" w:hAnsi="Times New Roman"/>
                <w:sz w:val="18"/>
                <w:szCs w:val="18"/>
                <w:color w:val="auto"/>
              </w:rPr>
              <w:t>other</w:t>
            </w:r>
          </w:p>
        </w:tc>
        <w:tc>
          <w:tcPr>
            <w:tcW w:w="15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(5,713)</w:t>
            </w:r>
          </w:p>
        </w:tc>
        <w:tc>
          <w:tcPr>
            <w:tcW w:w="15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(5,713)</w:t>
            </w:r>
          </w:p>
        </w:tc>
        <w:tc>
          <w:tcPr>
            <w:tcW w:w="12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(5,713)</w:t>
            </w:r>
          </w:p>
        </w:tc>
        <w:tc>
          <w:tcPr>
            <w:tcW w:w="12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(2,793)</w:t>
            </w:r>
          </w:p>
        </w:tc>
        <w:tc>
          <w:tcPr>
            <w:tcW w:w="15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(2,793)</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(2,793)</w:t>
            </w:r>
          </w:p>
        </w:tc>
        <w:tc>
          <w:tcPr>
            <w:tcW w:w="1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Accrued and</w:t>
            </w:r>
          </w:p>
        </w:tc>
        <w:tc>
          <w:tcPr>
            <w:tcW w:w="20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(247,279)</w:t>
            </w:r>
          </w:p>
        </w:tc>
        <w:tc>
          <w:tcPr>
            <w:tcW w:w="15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(247,279)</w:t>
            </w: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(247,279)</w:t>
            </w:r>
          </w:p>
        </w:tc>
        <w:tc>
          <w:tcPr>
            <w:tcW w:w="1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Provisions</w:t>
            </w:r>
          </w:p>
        </w:tc>
        <w:tc>
          <w:tcPr>
            <w:tcW w:w="2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(3,704)</w:t>
            </w:r>
          </w:p>
        </w:tc>
        <w:tc>
          <w:tcPr>
            <w:tcW w:w="15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(3,704)</w:t>
            </w:r>
          </w:p>
        </w:tc>
        <w:tc>
          <w:tcPr>
            <w:tcW w:w="1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(1,134)</w:t>
            </w:r>
          </w:p>
        </w:tc>
        <w:tc>
          <w:tcPr>
            <w:tcW w:w="14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(602)</w:t>
            </w: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(475)</w:t>
            </w:r>
          </w:p>
        </w:tc>
        <w:tc>
          <w:tcPr>
            <w:tcW w:w="12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(502)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(259,489)</w:t>
            </w:r>
          </w:p>
        </w:tc>
        <w:tc>
          <w:tcPr>
            <w:tcW w:w="15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(259,489)</w:t>
            </w: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(251,206)</w:t>
            </w:r>
          </w:p>
        </w:tc>
        <w:tc>
          <w:tcPr>
            <w:tcW w:w="14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(602)</w:t>
            </w: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(6,188)</w:t>
            </w:r>
          </w:p>
        </w:tc>
        <w:tc>
          <w:tcPr>
            <w:tcW w:w="12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(502)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0" w:type="dxa"/>
            <w:vAlign w:val="bottom"/>
          </w:tcPr>
          <w:p>
            <w:pPr>
              <w:spacing w:after="0"/>
              <w:rPr>
                <w:sz w:val="1"/>
                <w:szCs w:val="1"/>
                <w:color w:val="auto"/>
              </w:rPr>
            </w:pPr>
          </w:p>
        </w:tc>
      </w:tr>
      <w:tr>
        <w:trPr>
          <w:trHeight w:val="445"/>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Year ended 31 December 2013</w:t>
            </w: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5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6 months</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Cashflows</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14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6-12 months</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1-2 years</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2-5 years</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5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Non-current other</w:t>
            </w:r>
          </w:p>
        </w:tc>
        <w:tc>
          <w:tcPr>
            <w:tcW w:w="20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w:t>
            </w:r>
          </w:p>
        </w:tc>
        <w:tc>
          <w:tcPr>
            <w:tcW w:w="2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(7,662)</w:t>
            </w:r>
          </w:p>
        </w:tc>
        <w:tc>
          <w:tcPr>
            <w:tcW w:w="15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(7,662)</w:t>
            </w:r>
          </w:p>
        </w:tc>
        <w:tc>
          <w:tcPr>
            <w:tcW w:w="12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(7,662)</w:t>
            </w:r>
          </w:p>
        </w:tc>
        <w:tc>
          <w:tcPr>
            <w:tcW w:w="12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(4,597)</w:t>
            </w:r>
          </w:p>
        </w:tc>
        <w:tc>
          <w:tcPr>
            <w:tcW w:w="15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(4,597)</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(4,597)</w:t>
            </w:r>
          </w:p>
        </w:tc>
        <w:tc>
          <w:tcPr>
            <w:tcW w:w="1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Accrued and</w:t>
            </w:r>
          </w:p>
        </w:tc>
        <w:tc>
          <w:tcPr>
            <w:tcW w:w="20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(188,927)</w:t>
            </w:r>
          </w:p>
        </w:tc>
        <w:tc>
          <w:tcPr>
            <w:tcW w:w="15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(188,927)</w:t>
            </w: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(188,927)</w:t>
            </w:r>
          </w:p>
        </w:tc>
        <w:tc>
          <w:tcPr>
            <w:tcW w:w="1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Provisions</w:t>
            </w:r>
          </w:p>
        </w:tc>
        <w:tc>
          <w:tcPr>
            <w:tcW w:w="2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(5,675)</w:t>
            </w:r>
          </w:p>
        </w:tc>
        <w:tc>
          <w:tcPr>
            <w:tcW w:w="15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(5,675)</w:t>
            </w:r>
          </w:p>
        </w:tc>
        <w:tc>
          <w:tcPr>
            <w:tcW w:w="1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(2,430)</w:t>
            </w:r>
          </w:p>
        </w:tc>
        <w:tc>
          <w:tcPr>
            <w:tcW w:w="14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(3,245)</w:t>
            </w:r>
          </w:p>
        </w:tc>
        <w:tc>
          <w:tcPr>
            <w:tcW w:w="13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(206,861)</w:t>
            </w:r>
          </w:p>
        </w:tc>
        <w:tc>
          <w:tcPr>
            <w:tcW w:w="15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(206,861)</w:t>
            </w: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(195,954)</w:t>
            </w:r>
          </w:p>
        </w:tc>
        <w:tc>
          <w:tcPr>
            <w:tcW w:w="14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(3,245)</w:t>
            </w: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(7,662)</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reclassifications have been made to prior year comparatives to be consistent with the current year presentation.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Non-current other liabilities above excludes retirement plan net benefit obligation (2014: $7.5 million and 2013: $3.5 million) and deferred government grants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$1.1 million and 2013: $1.4 million). Accrued and other liabilities excludes deferred government grants (2014: $0.1 million and 2013: $0.2 million).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Financial Instruments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is subject to a number of foreign currency risks given the global nature of its operations. The principal foreign currency risks to which the business is subject includes both foreign currency translation risk and foreign currency transaction risk. Although domiciled in Ireland, the Group reports its results in U.S. dollars. As a consequence the results of non-U.S. based operations, when translated into U.S. dollars, could be affected by fluctuations in exchange rates between the U.S. dollar and the currencies of those operations.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is also subject to foreign currency transaction exposures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on, among other things, which of the Group’s offices provide staff for the contract and the location of investigator sites.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its foreign currency exposures and usually negotiates currency fluctuation clauses in its contracts which allow for price negotiation if certain exchange rate triggers occur.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the Group’s transaction risk in relation to financial assets and liabilities at 31 December 2014: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3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U.S. Dollar</w:t>
            </w: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Sterling</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Euro</w:t>
            </w:r>
          </w:p>
        </w:tc>
        <w:tc>
          <w:tcPr>
            <w:tcW w:w="13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3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3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3,708</w:t>
            </w:r>
          </w:p>
        </w:tc>
        <w:tc>
          <w:tcPr>
            <w:tcW w:w="14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6,554</w:t>
            </w:r>
          </w:p>
        </w:tc>
        <w:tc>
          <w:tcPr>
            <w:tcW w:w="13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54,079</w:t>
            </w:r>
          </w:p>
        </w:tc>
        <w:tc>
          <w:tcPr>
            <w:tcW w:w="13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7,143</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71,484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revenue/payments on account</w:t>
            </w:r>
          </w:p>
        </w:tc>
        <w:tc>
          <w:tcPr>
            <w:tcW w:w="23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(1,018)</w:t>
            </w:r>
          </w:p>
        </w:tc>
        <w:tc>
          <w:tcPr>
            <w:tcW w:w="14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(2,756)</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(23,311)</w:t>
            </w: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(283)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1,312</w:t>
            </w:r>
          </w:p>
        </w:tc>
        <w:tc>
          <w:tcPr>
            <w:tcW w:w="14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409</w:t>
            </w:r>
          </w:p>
        </w:tc>
        <w:tc>
          <w:tcPr>
            <w:tcW w:w="13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4,721</w:t>
            </w:r>
          </w:p>
        </w:tc>
        <w:tc>
          <w:tcPr>
            <w:tcW w:w="13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409</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3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1,335</w:t>
            </w: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737</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16,660</w:t>
            </w:r>
          </w:p>
        </w:tc>
        <w:tc>
          <w:tcPr>
            <w:tcW w:w="13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180</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62</w:t>
            </w:r>
          </w:p>
        </w:tc>
        <w:tc>
          <w:tcPr>
            <w:tcW w:w="14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3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(708)</w:t>
            </w:r>
          </w:p>
        </w:tc>
        <w:tc>
          <w:tcPr>
            <w:tcW w:w="14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(671)</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(5,711)</w:t>
            </w: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(596)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3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(1,492)</w:t>
            </w:r>
          </w:p>
        </w:tc>
        <w:tc>
          <w:tcPr>
            <w:tcW w:w="14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(799)</w:t>
            </w:r>
          </w:p>
        </w:tc>
        <w:tc>
          <w:tcPr>
            <w:tcW w:w="13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(37,789)</w:t>
            </w:r>
          </w:p>
        </w:tc>
        <w:tc>
          <w:tcPr>
            <w:tcW w:w="13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(2,030)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other liabilities</w:t>
            </w:r>
          </w:p>
        </w:tc>
        <w:tc>
          <w:tcPr>
            <w:tcW w:w="23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(1,154)</w:t>
            </w:r>
          </w:p>
        </w:tc>
        <w:tc>
          <w:tcPr>
            <w:tcW w:w="13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payable</w:t>
            </w:r>
          </w:p>
        </w:tc>
        <w:tc>
          <w:tcPr>
            <w:tcW w:w="2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(10,187)</w:t>
            </w:r>
          </w:p>
        </w:tc>
        <w:tc>
          <w:tcPr>
            <w:tcW w:w="1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Intergroup transactions</w:t>
            </w:r>
          </w:p>
        </w:tc>
        <w:tc>
          <w:tcPr>
            <w:tcW w:w="23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(36,002)</w:t>
            </w:r>
          </w:p>
        </w:tc>
        <w:tc>
          <w:tcPr>
            <w:tcW w:w="14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(10,982)</w:t>
            </w:r>
          </w:p>
        </w:tc>
        <w:tc>
          <w:tcPr>
            <w:tcW w:w="13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(25,106)</w:t>
            </w: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(16,093)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Transaction Risk</w:t>
            </w:r>
          </w:p>
        </w:tc>
        <w:tc>
          <w:tcPr>
            <w:tcW w:w="23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(32,803)</w:t>
            </w:r>
          </w:p>
        </w:tc>
        <w:tc>
          <w:tcPr>
            <w:tcW w:w="14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(7,508)</w:t>
            </w:r>
          </w:p>
        </w:tc>
        <w:tc>
          <w:tcPr>
            <w:tcW w:w="13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(27,798)</w:t>
            </w:r>
          </w:p>
        </w:tc>
        <w:tc>
          <w:tcPr>
            <w:tcW w:w="13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(11,265)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(79,374)</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Foreign exchange gains and losses recognised on the above balances are recorded in “other operating expenses”. The total foreign exchange gain incurred during the year ending 31 December 2014 amounted to $5.9 million (2013: $1.2 million gain).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Financial Instruments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the Group’s transaction risk in relation to financial assets and liabilities at 31 December 2013: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U.S. Dollar</w:t>
            </w: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Sterling</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Euro</w:t>
            </w:r>
          </w:p>
        </w:tc>
        <w:tc>
          <w:tcPr>
            <w:tcW w:w="13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3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3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3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148,750</w:t>
            </w:r>
          </w:p>
        </w:tc>
        <w:tc>
          <w:tcPr>
            <w:tcW w:w="14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2,704</w:t>
            </w:r>
          </w:p>
        </w:tc>
        <w:tc>
          <w:tcPr>
            <w:tcW w:w="13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1,808</w:t>
            </w:r>
          </w:p>
        </w:tc>
        <w:tc>
          <w:tcPr>
            <w:tcW w:w="13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984</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154,246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 /(payments) on account</w:t>
            </w:r>
          </w:p>
        </w:tc>
        <w:tc>
          <w:tcPr>
            <w:tcW w:w="23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(132,462)</w:t>
            </w:r>
          </w:p>
        </w:tc>
        <w:tc>
          <w:tcPr>
            <w:tcW w:w="14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(2,395)</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1,766</w:t>
            </w:r>
          </w:p>
        </w:tc>
        <w:tc>
          <w:tcPr>
            <w:tcW w:w="13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887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130,947</w:t>
            </w:r>
          </w:p>
        </w:tc>
        <w:tc>
          <w:tcPr>
            <w:tcW w:w="14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8,115</w:t>
            </w:r>
          </w:p>
        </w:tc>
        <w:tc>
          <w:tcPr>
            <w:tcW w:w="13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811</w:t>
            </w:r>
          </w:p>
        </w:tc>
        <w:tc>
          <w:tcPr>
            <w:tcW w:w="13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1,279</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141,152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3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947</w:t>
            </w: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573</w:t>
            </w:r>
          </w:p>
        </w:tc>
        <w:tc>
          <w:tcPr>
            <w:tcW w:w="13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47</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3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62</w:t>
            </w:r>
          </w:p>
        </w:tc>
        <w:tc>
          <w:tcPr>
            <w:tcW w:w="14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3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(544)</w:t>
            </w:r>
          </w:p>
        </w:tc>
        <w:tc>
          <w:tcPr>
            <w:tcW w:w="14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(42)</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(141)</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(541)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3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(5,865)</w:t>
            </w:r>
          </w:p>
        </w:tc>
        <w:tc>
          <w:tcPr>
            <w:tcW w:w="14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(57)</w:t>
            </w:r>
          </w:p>
        </w:tc>
        <w:tc>
          <w:tcPr>
            <w:tcW w:w="13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(239)</w:t>
            </w:r>
          </w:p>
        </w:tc>
        <w:tc>
          <w:tcPr>
            <w:tcW w:w="13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(143)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Current tax payable</w:t>
            </w:r>
          </w:p>
        </w:tc>
        <w:tc>
          <w:tcPr>
            <w:tcW w:w="23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8</w:t>
            </w: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232</w:t>
            </w:r>
          </w:p>
        </w:tc>
        <w:tc>
          <w:tcPr>
            <w:tcW w:w="13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Intergroup transactions</w:t>
            </w:r>
          </w:p>
        </w:tc>
        <w:tc>
          <w:tcPr>
            <w:tcW w:w="23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(17,710)</w:t>
            </w:r>
          </w:p>
        </w:tc>
        <w:tc>
          <w:tcPr>
            <w:tcW w:w="14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(2,236)</w:t>
            </w:r>
          </w:p>
        </w:tc>
        <w:tc>
          <w:tcPr>
            <w:tcW w:w="13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(15,109)</w:t>
            </w:r>
          </w:p>
        </w:tc>
        <w:tc>
          <w:tcPr>
            <w:tcW w:w="13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(21,745)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Transaction Risk</w:t>
            </w:r>
          </w:p>
        </w:tc>
        <w:tc>
          <w:tcPr>
            <w:tcW w:w="230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124,133</w:t>
            </w:r>
          </w:p>
        </w:tc>
        <w:tc>
          <w:tcPr>
            <w:tcW w:w="14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6,113</w:t>
            </w:r>
          </w:p>
        </w:tc>
        <w:tc>
          <w:tcPr>
            <w:tcW w:w="13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(10,299)</w:t>
            </w:r>
          </w:p>
        </w:tc>
        <w:tc>
          <w:tcPr>
            <w:tcW w:w="13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(19,213)</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100,734</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Foreign exchange gains and losses recognised on the above balances are recorded in “other operating expenses”. The total foreign exchange gain incurred during the year ending 31 December 2013 amounted to $1.2 million (2012: $1.2 million gain).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significant exchange rates applied during the year:</w:t>
            </w:r>
          </w:p>
        </w:tc>
        <w:tc>
          <w:tcPr>
            <w:tcW w:w="2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3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Average Rate</w:t>
            </w:r>
          </w:p>
        </w:tc>
        <w:tc>
          <w:tcPr>
            <w:tcW w:w="1080" w:type="dxa"/>
            <w:vAlign w:val="bottom"/>
          </w:tcPr>
          <w:p>
            <w:pPr>
              <w:spacing w:after="0"/>
              <w:rPr>
                <w:sz w:val="24"/>
                <w:szCs w:val="24"/>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Closing Rate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30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2013</w:t>
            </w:r>
          </w:p>
        </w:tc>
        <w:tc>
          <w:tcPr>
            <w:tcW w:w="164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1:$</w:t>
            </w:r>
          </w:p>
        </w:tc>
        <w:tc>
          <w:tcPr>
            <w:tcW w:w="230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1.3361</w:t>
            </w:r>
          </w:p>
        </w:tc>
        <w:tc>
          <w:tcPr>
            <w:tcW w:w="10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1.3254</w:t>
            </w:r>
          </w:p>
        </w:tc>
        <w:tc>
          <w:tcPr>
            <w:tcW w:w="164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1.2098</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1.3743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Pound Sterling 1:$</w:t>
            </w:r>
          </w:p>
        </w:tc>
        <w:tc>
          <w:tcPr>
            <w:tcW w:w="230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1.6548</w:t>
            </w:r>
          </w:p>
        </w:tc>
        <w:tc>
          <w:tcPr>
            <w:tcW w:w="10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1.5653</w:t>
            </w:r>
          </w:p>
        </w:tc>
        <w:tc>
          <w:tcPr>
            <w:tcW w:w="164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1.5577</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1.6557</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simultaneous ten percent strengthening or weakening of the US Dollar, Euro and Sterling against all other currencies (which remained constant) would have increased or decreased profit and equity by $6.19 million (31 December 2013 $11.26 million) as a consequence of the retranslation of foreign currency denominated financial assets and liabilities at those dates. This change in profit and equity is excluding the effect of foreign currency denominated long term loans.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Group is exposed to interest rate risk in respect of its cash and cash equivalents, current asset investments and amounts drawn under negotiated facilities which are subject to variable rates of interest. The Group’s treasury function actively manages its available cash resources and invests significant cash balances in various financial instruments to try to ensure optimum returns for the Group’s surplus cash balances. Financial instruments are classified either as cash and cash equivalents or current asset investments depending upon the maturity of the related investment. Funds may be invested in the form of floating rate notes and medium term minimum “A-” rated corporate securities. The Group may be subject to interest rate risk in respect of interest rate changes on amounts invested. The Group manages interest rate risk in respect of these balances by monitoring the composition of the Group’s investment portfolio on an ongoing basis having regard to current market interest rates and future trends.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Financial Instruments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to interest rate risk on surplus cash balances invested, the Group may also be subject to interest rate risk on amounts drawn under negotiated facilities which are subject to variable rates of interest. Details of the Group’s negotiated facility is set out in note 22 </w:t>
      </w:r>
      <w:r>
        <w:rPr>
          <w:rFonts w:ascii="Times New Roman" w:cs="Times New Roman" w:eastAsia="Times New Roman" w:hAnsi="Times New Roman"/>
          <w:sz w:val="18"/>
          <w:szCs w:val="18"/>
          <w:i w:val="1"/>
          <w:iCs w:val="1"/>
          <w:color w:val="auto"/>
        </w:rPr>
        <w:t>Bank Credit Lines and Loan Facilities</w:t>
      </w:r>
      <w:r>
        <w:rPr>
          <w:rFonts w:ascii="Times New Roman" w:cs="Times New Roman" w:eastAsia="Times New Roman" w:hAnsi="Times New Roman"/>
          <w:sz w:val="18"/>
          <w:szCs w:val="18"/>
          <w:color w:val="auto"/>
        </w:rPr>
        <w:t>. There were no amounts drawn down under this at 31 December 2014 or at 31 December 2013. The Group manages interest rate risk in respect of amounts under negotiated facilities through ongoing monitoring of actual and forecast cash balances, reviewing existing and future cash requirements of the business and by reviewing existing levels of borrowings having regard to current market interest rates and future trends.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sensitivity analysis below represents the revised amount following the hypothetical change in our interest income and interest expense based on an immediate 1% movement in market interest rates.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9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22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2013</w:t>
            </w:r>
          </w:p>
        </w:tc>
        <w:tc>
          <w:tcPr>
            <w:tcW w:w="176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22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$’000</w:t>
            </w: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$’000</w:t>
            </w:r>
          </w:p>
        </w:tc>
        <w:tc>
          <w:tcPr>
            <w:tcW w:w="176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$’000</w:t>
            </w: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820" w:type="dxa"/>
            <w:vAlign w:val="bottom"/>
            <w:gridSpan w:val="2"/>
          </w:tcPr>
          <w:p>
            <w:pPr>
              <w:spacing w:after="0"/>
              <w:rPr>
                <w:sz w:val="18"/>
                <w:szCs w:val="18"/>
                <w:color w:val="auto"/>
              </w:rPr>
            </w:pPr>
          </w:p>
        </w:tc>
        <w:tc>
          <w:tcPr>
            <w:tcW w:w="4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8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w:t>
            </w:r>
          </w:p>
        </w:tc>
        <w:tc>
          <w:tcPr>
            <w:tcW w:w="42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1,151</w:t>
            </w:r>
          </w:p>
        </w:tc>
        <w:tc>
          <w:tcPr>
            <w:tcW w:w="9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986</w:t>
            </w:r>
          </w:p>
        </w:tc>
        <w:tc>
          <w:tcPr>
            <w:tcW w:w="176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1"/>
              </w:rPr>
              <w:t>1%</w:t>
            </w:r>
          </w:p>
        </w:tc>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w:t>
            </w:r>
          </w:p>
        </w:tc>
        <w:tc>
          <w:tcPr>
            <w:tcW w:w="42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3,800</w:t>
            </w:r>
          </w:p>
        </w:tc>
        <w:tc>
          <w:tcPr>
            <w:tcW w:w="9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3,214</w:t>
            </w:r>
          </w:p>
        </w:tc>
        <w:tc>
          <w:tcPr>
            <w:tcW w:w="176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1"/>
              </w:rPr>
              <w:t>1%</w:t>
            </w:r>
          </w:p>
        </w:tc>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w:t>
            </w:r>
          </w:p>
        </w:tc>
        <w:tc>
          <w:tcPr>
            <w:tcW w:w="42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Interest expense included in note 4 relates to commitment fees on bank overdraft and credit facilities and non-cash finance charges relating to acquisition contingent consideration and therefore is not included in the above sensitivity analysis. The above analysis assumes that all other variables remain constant.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Values</w:t>
      </w:r>
    </w:p>
    <w:p>
      <w:pPr>
        <w:spacing w:after="0" w:line="2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Certain 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8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Inputs are based upon unadjusted quoted prices for identical instruments traded in active markets.</w:t>
      </w:r>
    </w:p>
    <w:p>
      <w:pPr>
        <w:spacing w:after="0" w:line="217" w:lineRule="exact"/>
        <w:rPr>
          <w:sz w:val="20"/>
          <w:szCs w:val="20"/>
          <w:color w:val="auto"/>
        </w:rPr>
      </w:pPr>
    </w:p>
    <w:p>
      <w:pPr>
        <w:jc w:val="both"/>
        <w:ind w:left="820" w:hanging="808"/>
        <w:spacing w:after="0" w:line="260" w:lineRule="auto"/>
        <w:tabs>
          <w:tab w:leader="none" w:pos="800" w:val="left"/>
        </w:tabs>
        <w:rPr>
          <w:sz w:val="20"/>
          <w:szCs w:val="20"/>
          <w:color w:val="auto"/>
        </w:rPr>
      </w:pPr>
      <w:r>
        <w:rPr>
          <w:rFonts w:ascii="Times New Roman" w:cs="Times New Roman" w:eastAsia="Times New Roman" w:hAnsi="Times New Roman"/>
          <w:sz w:val="18"/>
          <w:szCs w:val="18"/>
          <w:color w:val="auto"/>
        </w:rPr>
        <w:t>Level 2:</w:t>
        <w:tab/>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6" w:lineRule="exact"/>
        <w:rPr>
          <w:sz w:val="20"/>
          <w:szCs w:val="20"/>
          <w:color w:val="auto"/>
        </w:rPr>
      </w:pPr>
    </w:p>
    <w:p>
      <w:pPr>
        <w:ind w:left="820" w:right="20" w:hanging="808"/>
        <w:spacing w:after="0" w:line="274" w:lineRule="auto"/>
        <w:tabs>
          <w:tab w:leader="none" w:pos="800" w:val="left"/>
        </w:tabs>
        <w:rPr>
          <w:sz w:val="20"/>
          <w:szCs w:val="20"/>
          <w:color w:val="auto"/>
        </w:rPr>
      </w:pPr>
      <w:r>
        <w:rPr>
          <w:rFonts w:ascii="Times New Roman" w:cs="Times New Roman" w:eastAsia="Times New Roman" w:hAnsi="Times New Roman"/>
          <w:sz w:val="18"/>
          <w:szCs w:val="18"/>
          <w:color w:val="auto"/>
        </w:rPr>
        <w:t>Level 3:</w:t>
        <w:tab/>
        <w:t>Inputs are generally unobservable and typically reflect management’s estimates of assumptions that market participants would use in pricing the asset or liability.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Financial Instruments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financial assets together with the carrying amounts shown in the Statement of Financial Position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spacing w:after="0"/>
              <w:rPr>
                <w:sz w:val="18"/>
                <w:szCs w:val="18"/>
                <w:color w:val="auto"/>
              </w:rPr>
            </w:pPr>
          </w:p>
        </w:tc>
        <w:tc>
          <w:tcPr>
            <w:tcW w:w="3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 December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33"/>
        </w:trPr>
        <w:tc>
          <w:tcPr>
            <w:tcW w:w="4020" w:type="dxa"/>
            <w:vAlign w:val="bottom"/>
          </w:tcPr>
          <w:p>
            <w:pPr>
              <w:spacing w:after="0"/>
              <w:rPr>
                <w:sz w:val="20"/>
                <w:szCs w:val="20"/>
                <w:color w:val="auto"/>
              </w:rPr>
            </w:pPr>
          </w:p>
        </w:tc>
        <w:tc>
          <w:tcPr>
            <w:tcW w:w="3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2013</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403"/>
        </w:trPr>
        <w:tc>
          <w:tcPr>
            <w:tcW w:w="4020" w:type="dxa"/>
            <w:vAlign w:val="bottom"/>
          </w:tcPr>
          <w:p>
            <w:pPr>
              <w:spacing w:after="0"/>
              <w:rPr>
                <w:sz w:val="24"/>
                <w:szCs w:val="24"/>
                <w:color w:val="auto"/>
              </w:rPr>
            </w:pPr>
          </w:p>
        </w:tc>
        <w:tc>
          <w:tcPr>
            <w:tcW w:w="3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Fair</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Carrying</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3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Amount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6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33"/>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4020" w:type="dxa"/>
            <w:vAlign w:val="bottom"/>
            <w:vMerge w:val="continue"/>
          </w:tcPr>
          <w:p>
            <w:pPr>
              <w:spacing w:after="0"/>
              <w:rPr>
                <w:sz w:val="18"/>
                <w:szCs w:val="18"/>
                <w:color w:val="auto"/>
              </w:rPr>
            </w:pPr>
          </w:p>
        </w:tc>
        <w:tc>
          <w:tcPr>
            <w:tcW w:w="3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 investments</w:t>
            </w:r>
          </w:p>
        </w:tc>
        <w:tc>
          <w:tcPr>
            <w:tcW w:w="34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97,100</w:t>
            </w:r>
          </w:p>
        </w:tc>
        <w:tc>
          <w:tcPr>
            <w:tcW w:w="14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97,100</w:t>
            </w:r>
          </w:p>
        </w:tc>
        <w:tc>
          <w:tcPr>
            <w:tcW w:w="13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138,317</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138,317</w:t>
            </w: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20" w:type="dxa"/>
            <w:vAlign w:val="bottom"/>
            <w:tcBorders>
              <w:bottom w:val="single" w:sz="8" w:color="auto"/>
            </w:tcBorders>
            <w:shd w:val="clear" w:color="auto" w:fill="CCEEFF"/>
          </w:tcPr>
          <w:p>
            <w:pPr>
              <w:spacing w:after="0"/>
              <w:rPr>
                <w:sz w:val="21"/>
                <w:szCs w:val="21"/>
                <w:color w:val="auto"/>
              </w:rPr>
            </w:pPr>
          </w:p>
        </w:tc>
        <w:tc>
          <w:tcPr>
            <w:tcW w:w="34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97,100</w:t>
            </w:r>
          </w:p>
        </w:tc>
        <w:tc>
          <w:tcPr>
            <w:tcW w:w="14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97,100</w:t>
            </w:r>
          </w:p>
        </w:tc>
        <w:tc>
          <w:tcPr>
            <w:tcW w:w="13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138,317</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138,317</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carrying values of accounts receivable (less impairment provision), unbilled revenue, other current assets, cash and cash equivalents and other non-current assets are carried at amortised cost and assumed to be approximate to their fair values due to the short term nature of these balances. As such their fair values have not been disclosed.</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Current asset investments are stated at fair value, with any resultant gain or loss recognised in the statement of comprehensive income. The fair value of current asset investments is their market price at the financial year end date. They are measured on the basis of level 1 inputs.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financial liabilities, together with the carrying amounts shown in the Statement of Financial Position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spacing w:after="0"/>
              <w:rPr>
                <w:sz w:val="18"/>
                <w:szCs w:val="18"/>
                <w:color w:val="auto"/>
              </w:rPr>
            </w:pPr>
          </w:p>
        </w:tc>
        <w:tc>
          <w:tcPr>
            <w:tcW w:w="3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r>
      <w:tr>
        <w:trPr>
          <w:trHeight w:val="212"/>
        </w:trPr>
        <w:tc>
          <w:tcPr>
            <w:tcW w:w="4020" w:type="dxa"/>
            <w:vAlign w:val="bottom"/>
          </w:tcPr>
          <w:p>
            <w:pPr>
              <w:spacing w:after="0"/>
              <w:rPr>
                <w:sz w:val="18"/>
                <w:szCs w:val="18"/>
                <w:color w:val="auto"/>
              </w:rPr>
            </w:pPr>
          </w:p>
        </w:tc>
        <w:tc>
          <w:tcPr>
            <w:tcW w:w="3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2013</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r>
      <w:tr>
        <w:trPr>
          <w:trHeight w:val="212"/>
        </w:trPr>
        <w:tc>
          <w:tcPr>
            <w:tcW w:w="4020" w:type="dxa"/>
            <w:vAlign w:val="bottom"/>
          </w:tcPr>
          <w:p>
            <w:pPr>
              <w:spacing w:after="0"/>
              <w:rPr>
                <w:sz w:val="18"/>
                <w:szCs w:val="18"/>
                <w:color w:val="auto"/>
              </w:rPr>
            </w:pPr>
          </w:p>
        </w:tc>
        <w:tc>
          <w:tcPr>
            <w:tcW w:w="3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Fair</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Carrying</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Fair</w:t>
            </w:r>
          </w:p>
        </w:tc>
      </w:tr>
      <w:tr>
        <w:trPr>
          <w:trHeight w:val="212"/>
        </w:trPr>
        <w:tc>
          <w:tcPr>
            <w:tcW w:w="4020" w:type="dxa"/>
            <w:vAlign w:val="bottom"/>
          </w:tcPr>
          <w:p>
            <w:pPr>
              <w:spacing w:after="0"/>
              <w:rPr>
                <w:sz w:val="18"/>
                <w:szCs w:val="18"/>
                <w:color w:val="auto"/>
              </w:rPr>
            </w:pPr>
          </w:p>
        </w:tc>
        <w:tc>
          <w:tcPr>
            <w:tcW w:w="3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Amount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Value</w:t>
            </w:r>
          </w:p>
        </w:tc>
      </w:tr>
      <w:tr>
        <w:trPr>
          <w:trHeight w:val="212"/>
        </w:trPr>
        <w:tc>
          <w:tcPr>
            <w:tcW w:w="4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8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Level 3</w:t>
            </w:r>
          </w:p>
        </w:tc>
      </w:tr>
      <w:tr>
        <w:trPr>
          <w:trHeight w:val="233"/>
        </w:trPr>
        <w:tc>
          <w:tcPr>
            <w:tcW w:w="4020" w:type="dxa"/>
            <w:vAlign w:val="bottom"/>
          </w:tcPr>
          <w:p>
            <w:pPr>
              <w:spacing w:after="0"/>
              <w:rPr>
                <w:sz w:val="20"/>
                <w:szCs w:val="20"/>
                <w:color w:val="auto"/>
              </w:rPr>
            </w:pPr>
          </w:p>
        </w:tc>
        <w:tc>
          <w:tcPr>
            <w:tcW w:w="3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r>
      <w:tr>
        <w:trPr>
          <w:trHeight w:val="423"/>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9"/>
        </w:trPr>
        <w:tc>
          <w:tcPr>
            <w:tcW w:w="4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(3,245)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r>
      <w:tr>
        <w:trPr>
          <w:trHeight w:val="212"/>
        </w:trPr>
        <w:tc>
          <w:tcPr>
            <w:tcW w:w="4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2"/>
        </w:trPr>
        <w:tc>
          <w:tcPr>
            <w:tcW w:w="4020" w:type="dxa"/>
            <w:vAlign w:val="bottom"/>
            <w:tcBorders>
              <w:bottom w:val="single" w:sz="8" w:color="auto"/>
            </w:tcBorders>
            <w:shd w:val="clear" w:color="auto" w:fill="CCEEFF"/>
          </w:tcPr>
          <w:p>
            <w:pPr>
              <w:spacing w:after="0"/>
              <w:rPr>
                <w:sz w:val="21"/>
                <w:szCs w:val="21"/>
                <w:color w:val="auto"/>
              </w:rPr>
            </w:pPr>
          </w:p>
        </w:tc>
        <w:tc>
          <w:tcPr>
            <w:tcW w:w="34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(3,245)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r>
    </w:tbl>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carrying values of accounts payable, accrued and other liabilities and provisions (excluding contingent consideration) and other non-current liabilities, non-current provisions (excluding contingent consideration) are carried at amortised cost and assumed to be approximate to their fair values due to the short term nature of these balances. As such their fair values have not been disclosed.</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25. Financial Instruments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continued)</w:t>
            </w: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a reconciliation from the opening balances to the closing balances for Level 3 fair values:</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Contingent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Contingent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Consideration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3,245</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46,506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 included in OCI</w:t>
            </w: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fair value</w:t>
            </w: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Assumed in a business combination</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made during the year</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(3,245)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8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valuation techniques used in measuring Level 3 fair values, as well as significant unobservable inputs used:</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7"/>
        </w:trPr>
        <w:tc>
          <w:tcPr>
            <w:tcW w:w="2860" w:type="dxa"/>
            <w:vAlign w:val="bottom"/>
            <w:tcBorders>
              <w:left w:val="single" w:sz="8" w:color="auto"/>
            </w:tcBorders>
            <w:shd w:val="clear" w:color="auto" w:fill="000000"/>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282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520" w:type="dxa"/>
            <w:vAlign w:val="bottom"/>
            <w:tcBorders>
              <w:right w:val="single" w:sz="8" w:color="auto"/>
            </w:tcBorders>
            <w:shd w:val="clear" w:color="auto" w:fill="000000"/>
          </w:tcPr>
          <w:p>
            <w:pPr>
              <w:spacing w:after="0"/>
              <w:rPr>
                <w:sz w:val="2"/>
                <w:szCs w:val="2"/>
                <w:color w:val="auto"/>
              </w:rPr>
            </w:pPr>
          </w:p>
        </w:tc>
        <w:tc>
          <w:tcPr>
            <w:tcW w:w="2840" w:type="dxa"/>
            <w:vAlign w:val="bottom"/>
            <w:tcBorders>
              <w:right w:val="single" w:sz="8" w:color="auto"/>
            </w:tcBorders>
            <w:shd w:val="clear" w:color="auto" w:fill="000000"/>
          </w:tcPr>
          <w:p>
            <w:pPr>
              <w:spacing w:after="0"/>
              <w:rPr>
                <w:sz w:val="2"/>
                <w:szCs w:val="2"/>
                <w:color w:val="auto"/>
              </w:rPr>
            </w:pPr>
          </w:p>
        </w:tc>
      </w:tr>
      <w:tr>
        <w:trPr>
          <w:trHeight w:val="192"/>
        </w:trPr>
        <w:tc>
          <w:tcPr>
            <w:tcW w:w="2860" w:type="dxa"/>
            <w:vAlign w:val="bottom"/>
            <w:tcBorders>
              <w:left w:val="single" w:sz="8" w:color="auto"/>
            </w:tcBorders>
          </w:tcPr>
          <w:p>
            <w:pPr>
              <w:ind w:left="40"/>
              <w:spacing w:after="0" w:line="192" w:lineRule="exact"/>
              <w:rPr>
                <w:sz w:val="20"/>
                <w:szCs w:val="20"/>
                <w:color w:val="auto"/>
              </w:rPr>
            </w:pPr>
            <w:r>
              <w:rPr>
                <w:rFonts w:ascii="Times New Roman" w:cs="Times New Roman" w:eastAsia="Times New Roman" w:hAnsi="Times New Roman"/>
                <w:sz w:val="18"/>
                <w:szCs w:val="18"/>
                <w:b w:val="1"/>
                <w:bCs w:val="1"/>
                <w:color w:val="auto"/>
              </w:rPr>
              <w:t>Type</w:t>
            </w:r>
          </w:p>
        </w:tc>
        <w:tc>
          <w:tcPr>
            <w:tcW w:w="6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Valuation Technique</w:t>
            </w:r>
          </w:p>
        </w:tc>
        <w:tc>
          <w:tcPr>
            <w:tcW w:w="2860" w:type="dxa"/>
            <w:vAlign w:val="bottom"/>
            <w:tcBorders>
              <w:right w:val="single" w:sz="8" w:color="auto"/>
            </w:tcBorders>
            <w:gridSpan w:val="3"/>
          </w:tcPr>
          <w:p>
            <w:pPr>
              <w:jc w:val="right"/>
              <w:ind w:right="352"/>
              <w:spacing w:after="0" w:line="192" w:lineRule="exact"/>
              <w:rPr>
                <w:sz w:val="20"/>
                <w:szCs w:val="20"/>
                <w:color w:val="auto"/>
              </w:rPr>
            </w:pPr>
            <w:r>
              <w:rPr>
                <w:rFonts w:ascii="Times New Roman" w:cs="Times New Roman" w:eastAsia="Times New Roman" w:hAnsi="Times New Roman"/>
                <w:sz w:val="18"/>
                <w:szCs w:val="18"/>
                <w:b w:val="1"/>
                <w:bCs w:val="1"/>
                <w:color w:val="auto"/>
                <w:w w:val="96"/>
              </w:rPr>
              <w:t>Significant Unobservable Inputs</w:t>
            </w:r>
          </w:p>
        </w:tc>
        <w:tc>
          <w:tcPr>
            <w:tcW w:w="2840" w:type="dxa"/>
            <w:vAlign w:val="bottom"/>
            <w:tcBorders>
              <w:right w:val="single" w:sz="8" w:color="auto"/>
            </w:tcBorders>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Inter-relationship between</w:t>
            </w:r>
          </w:p>
        </w:tc>
      </w:tr>
      <w:tr>
        <w:trPr>
          <w:trHeight w:val="212"/>
        </w:trPr>
        <w:tc>
          <w:tcPr>
            <w:tcW w:w="28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significant unobservable inputs</w:t>
            </w:r>
          </w:p>
        </w:tc>
      </w:tr>
      <w:tr>
        <w:trPr>
          <w:trHeight w:val="256"/>
        </w:trPr>
        <w:tc>
          <w:tcPr>
            <w:tcW w:w="2860" w:type="dxa"/>
            <w:vAlign w:val="bottom"/>
            <w:tcBorders>
              <w:left w:val="single" w:sz="8" w:color="auto"/>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and fair value measurement</w:t>
            </w:r>
          </w:p>
        </w:tc>
      </w:tr>
      <w:tr>
        <w:trPr>
          <w:trHeight w:val="177"/>
        </w:trPr>
        <w:tc>
          <w:tcPr>
            <w:tcW w:w="2860" w:type="dxa"/>
            <w:vAlign w:val="bottom"/>
            <w:tcBorders>
              <w:lef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Contingent Consideration</w:t>
            </w:r>
          </w:p>
        </w:tc>
        <w:tc>
          <w:tcPr>
            <w:tcW w:w="60" w:type="dxa"/>
            <w:vAlign w:val="bottom"/>
            <w:tcBorders>
              <w:right w:val="single" w:sz="8" w:color="auto"/>
            </w:tcBorders>
            <w:shd w:val="clear" w:color="auto" w:fill="000000"/>
          </w:tcPr>
          <w:p>
            <w:pPr>
              <w:spacing w:after="0"/>
              <w:rPr>
                <w:sz w:val="15"/>
                <w:szCs w:val="15"/>
                <w:color w:val="auto"/>
              </w:rPr>
            </w:pPr>
          </w:p>
        </w:tc>
        <w:tc>
          <w:tcPr>
            <w:tcW w:w="282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The valuation model considers the</w:t>
            </w:r>
          </w:p>
        </w:tc>
        <w:tc>
          <w:tcPr>
            <w:tcW w:w="20" w:type="dxa"/>
            <w:vAlign w:val="bottom"/>
            <w:shd w:val="clear" w:color="auto" w:fill="000000"/>
          </w:tcPr>
          <w:p>
            <w:pPr>
              <w:spacing w:after="0"/>
              <w:rPr>
                <w:sz w:val="15"/>
                <w:szCs w:val="15"/>
                <w:color w:val="auto"/>
              </w:rPr>
            </w:pPr>
          </w:p>
        </w:tc>
        <w:tc>
          <w:tcPr>
            <w:tcW w:w="1320" w:type="dxa"/>
            <w:vAlign w:val="bottom"/>
          </w:tcPr>
          <w:p>
            <w:pPr>
              <w:jc w:val="center"/>
              <w:ind w:left="632"/>
              <w:spacing w:after="0" w:line="177" w:lineRule="exact"/>
              <w:rPr>
                <w:sz w:val="20"/>
                <w:szCs w:val="20"/>
                <w:color w:val="auto"/>
              </w:rPr>
            </w:pPr>
            <w:r>
              <w:rPr>
                <w:rFonts w:ascii="Times New Roman" w:cs="Times New Roman" w:eastAsia="Times New Roman" w:hAnsi="Times New Roman"/>
                <w:sz w:val="18"/>
                <w:szCs w:val="18"/>
                <w:color w:val="auto"/>
                <w:w w:val="95"/>
              </w:rPr>
              <w:t>(1)</w:t>
            </w:r>
          </w:p>
        </w:tc>
        <w:tc>
          <w:tcPr>
            <w:tcW w:w="1520" w:type="dxa"/>
            <w:vAlign w:val="bottom"/>
            <w:tcBorders>
              <w:right w:val="single" w:sz="8" w:color="auto"/>
            </w:tcBorders>
          </w:tcPr>
          <w:p>
            <w:pPr>
              <w:jc w:val="right"/>
              <w:ind w:right="372"/>
              <w:spacing w:after="0" w:line="177" w:lineRule="exact"/>
              <w:rPr>
                <w:sz w:val="20"/>
                <w:szCs w:val="20"/>
                <w:color w:val="auto"/>
              </w:rPr>
            </w:pPr>
            <w:r>
              <w:rPr>
                <w:rFonts w:ascii="Times New Roman" w:cs="Times New Roman" w:eastAsia="Times New Roman" w:hAnsi="Times New Roman"/>
                <w:sz w:val="18"/>
                <w:szCs w:val="18"/>
                <w:color w:val="auto"/>
                <w:w w:val="95"/>
              </w:rPr>
              <w:t>Forecast future</w:t>
            </w:r>
          </w:p>
        </w:tc>
        <w:tc>
          <w:tcPr>
            <w:tcW w:w="284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The estimated fair value would</w:t>
            </w:r>
          </w:p>
        </w:tc>
      </w:tr>
      <w:tr>
        <w:trPr>
          <w:trHeight w:val="212"/>
        </w:trPr>
        <w:tc>
          <w:tcPr>
            <w:tcW w:w="28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shd w:val="clear" w:color="auto" w:fill="000000"/>
          </w:tcPr>
          <w:p>
            <w:pPr>
              <w:spacing w:after="0"/>
              <w:rPr>
                <w:sz w:val="18"/>
                <w:szCs w:val="18"/>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estimated future cashflows of the</w:t>
            </w:r>
          </w:p>
        </w:tc>
        <w:tc>
          <w:tcPr>
            <w:tcW w:w="20" w:type="dxa"/>
            <w:vAlign w:val="bottom"/>
            <w:shd w:val="clear" w:color="auto" w:fill="000000"/>
          </w:tcPr>
          <w:p>
            <w:pPr>
              <w:spacing w:after="0"/>
              <w:rPr>
                <w:sz w:val="18"/>
                <w:szCs w:val="18"/>
                <w:color w:val="auto"/>
              </w:rPr>
            </w:pPr>
          </w:p>
        </w:tc>
        <w:tc>
          <w:tcPr>
            <w:tcW w:w="13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cashflows</w:t>
            </w:r>
          </w:p>
        </w:tc>
        <w:tc>
          <w:tcPr>
            <w:tcW w:w="152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(decrease) if the forecasted</w:t>
            </w:r>
          </w:p>
        </w:tc>
      </w:tr>
      <w:tr>
        <w:trPr>
          <w:trHeight w:val="212"/>
        </w:trPr>
        <w:tc>
          <w:tcPr>
            <w:tcW w:w="28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shd w:val="clear" w:color="auto" w:fill="000000"/>
          </w:tcPr>
          <w:p>
            <w:pPr>
              <w:spacing w:after="0"/>
              <w:rPr>
                <w:sz w:val="18"/>
                <w:szCs w:val="18"/>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entity.</w:t>
            </w:r>
          </w:p>
        </w:tc>
        <w:tc>
          <w:tcPr>
            <w:tcW w:w="20" w:type="dxa"/>
            <w:vAlign w:val="bottom"/>
            <w:shd w:val="clear" w:color="auto" w:fill="000000"/>
          </w:tcPr>
          <w:p>
            <w:pPr>
              <w:spacing w:after="0"/>
              <w:rPr>
                <w:sz w:val="18"/>
                <w:szCs w:val="18"/>
                <w:color w:val="auto"/>
              </w:rPr>
            </w:pPr>
          </w:p>
        </w:tc>
        <w:tc>
          <w:tcPr>
            <w:tcW w:w="132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5"/>
              </w:rPr>
              <w:t>(2)</w:t>
            </w:r>
          </w:p>
        </w:tc>
        <w:tc>
          <w:tcPr>
            <w:tcW w:w="1520" w:type="dxa"/>
            <w:vAlign w:val="bottom"/>
            <w:tcBorders>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96"/>
              </w:rPr>
              <w:t>Forecast annual</w:t>
            </w: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future cashflows were higher (lower)</w:t>
            </w:r>
          </w:p>
        </w:tc>
      </w:tr>
      <w:tr>
        <w:trPr>
          <w:trHeight w:val="237"/>
        </w:trPr>
        <w:tc>
          <w:tcPr>
            <w:tcW w:w="28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840" w:type="dxa"/>
            <w:vAlign w:val="bottom"/>
            <w:tcBorders>
              <w:bottom w:val="single" w:sz="8" w:color="auto"/>
              <w:right w:val="single" w:sz="8" w:color="auto"/>
            </w:tcBorders>
            <w:gridSpan w:val="2"/>
          </w:tcPr>
          <w:p>
            <w:pPr>
              <w:jc w:val="center"/>
              <w:ind w:right="752"/>
              <w:spacing w:after="0"/>
              <w:rPr>
                <w:sz w:val="20"/>
                <w:szCs w:val="20"/>
                <w:color w:val="auto"/>
              </w:rPr>
            </w:pPr>
            <w:r>
              <w:rPr>
                <w:rFonts w:ascii="Times New Roman" w:cs="Times New Roman" w:eastAsia="Times New Roman" w:hAnsi="Times New Roman"/>
                <w:sz w:val="18"/>
                <w:szCs w:val="18"/>
                <w:color w:val="auto"/>
                <w:w w:val="96"/>
              </w:rPr>
              <w:t>growth rate</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 if the entity missed agreed targets.</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Lease commitments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Group has several non-cancellable operating leases, primarily for facilities, that expire over the next 10 years. These leases generally contain renewal options and require the Group to pay all executory costs such as maintenance and insurance. Future minimum rental commitments for operating leases with non-cancellable terms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6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43,122</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36,070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Between one and two years</w:t>
            </w:r>
          </w:p>
        </w:tc>
        <w:tc>
          <w:tcPr>
            <w:tcW w:w="6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34,733</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two and three years</w:t>
            </w:r>
          </w:p>
        </w:tc>
        <w:tc>
          <w:tcPr>
            <w:tcW w:w="6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24,096</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Between three and four years</w:t>
            </w:r>
          </w:p>
        </w:tc>
        <w:tc>
          <w:tcPr>
            <w:tcW w:w="6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19,049</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four and five years</w:t>
            </w:r>
          </w:p>
        </w:tc>
        <w:tc>
          <w:tcPr>
            <w:tcW w:w="6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14,000</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More than five years</w:t>
            </w:r>
          </w:p>
        </w:tc>
        <w:tc>
          <w:tcPr>
            <w:tcW w:w="6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54,824</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40,224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189,824</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163,819</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30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rPr>
              <w:t>91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63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Commitments and contingencies</w:t>
      </w:r>
    </w:p>
    <w:p>
      <w:pPr>
        <w:spacing w:after="0" w:line="224" w:lineRule="exact"/>
        <w:rPr>
          <w:sz w:val="20"/>
          <w:szCs w:val="20"/>
          <w:color w:val="auto"/>
        </w:rPr>
      </w:pPr>
    </w:p>
    <w:p>
      <w:pPr>
        <w:ind w:left="420" w:hanging="414"/>
        <w:spacing w:after="0"/>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capital commitments for the purchase of property, plant and equipment were authorised by the Group at 31 December 2014: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Contracted for</w:t>
            </w:r>
          </w:p>
        </w:tc>
        <w:tc>
          <w:tcPr>
            <w:tcW w:w="5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16,789</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Not-contracted for</w:t>
            </w:r>
          </w:p>
        </w:tc>
        <w:tc>
          <w:tcPr>
            <w:tcW w:w="5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3,609</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20,398</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18,058</w:t>
            </w:r>
          </w:p>
        </w:tc>
        <w:tc>
          <w:tcPr>
            <w:tcW w:w="0" w:type="dxa"/>
            <w:vAlign w:val="bottom"/>
          </w:tcPr>
          <w:p>
            <w:pPr>
              <w:spacing w:after="0"/>
              <w:rPr>
                <w:sz w:val="1"/>
                <w:szCs w:val="1"/>
                <w:color w:val="auto"/>
              </w:rPr>
            </w:pPr>
          </w:p>
        </w:tc>
      </w:tr>
      <w:tr>
        <w:trPr>
          <w:trHeight w:val="418"/>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Guarantees</w:t>
            </w:r>
          </w:p>
        </w:tc>
        <w:tc>
          <w:tcPr>
            <w:tcW w:w="5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Where the Group enters into financial guarantee contracts to guarantee the indebtedness of other companies within the Group, the Group considers these to be insurance arrangements and accounts for them as such. The Group treats the guarantee contract as a contingent liability until such time as it becomes probable that the Group will be required to make a payment under that guarantee.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guaranteed the liabilities referred to in Section 5 (c) (ii) of the Companies (Amendment) Act, 1986 in respect of the financial year ending 31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2014 for the subsidiary companies listed below. These subsidiaries are availing of the exemption under Section 17 of the Companies (Amendment)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1986 not to file statutory financial statements.</w:t>
      </w:r>
    </w:p>
    <w:p>
      <w:pPr>
        <w:spacing w:after="0" w:line="224" w:lineRule="exact"/>
        <w:rPr>
          <w:sz w:val="20"/>
          <w:szCs w:val="20"/>
          <w:color w:val="auto"/>
        </w:rPr>
      </w:pPr>
    </w:p>
    <w:p>
      <w:pPr>
        <w:ind w:left="640" w:hanging="389"/>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 Clinical Research Limited</w:t>
      </w:r>
    </w:p>
    <w:p>
      <w:pPr>
        <w:spacing w:after="0" w:line="24"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 Clinical Research Property Holdings (Ireland) Limited</w:t>
      </w:r>
    </w:p>
    <w:p>
      <w:pPr>
        <w:spacing w:after="0" w:line="5"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 Clinical Research Property Development (Ireland) Limited</w:t>
      </w:r>
    </w:p>
    <w:p>
      <w:pPr>
        <w:spacing w:after="0" w:line="5"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 Clinical Property Holdings Limited</w:t>
      </w:r>
    </w:p>
    <w:p>
      <w:pPr>
        <w:spacing w:after="0" w:line="5"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 Clinical Property Development Limited</w:t>
      </w:r>
    </w:p>
    <w:p>
      <w:pPr>
        <w:spacing w:after="0" w:line="5"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 Holdings Clinical Research International Limited</w:t>
      </w:r>
    </w:p>
    <w:p>
      <w:pPr>
        <w:spacing w:after="0" w:line="5"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Timpani</w:t>
      </w:r>
    </w:p>
    <w:p>
      <w:pPr>
        <w:spacing w:after="0" w:line="5"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 Clinical International</w:t>
      </w:r>
    </w:p>
    <w:p>
      <w:pPr>
        <w:spacing w:after="0" w:line="5"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Firecrest Clinical Limited</w:t>
      </w:r>
    </w:p>
    <w:p>
      <w:pPr>
        <w:spacing w:after="0" w:line="5"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 Holdings</w:t>
      </w:r>
    </w:p>
    <w:p>
      <w:pPr>
        <w:spacing w:after="0" w:line="224" w:lineRule="exact"/>
        <w:rPr>
          <w:rFonts w:ascii="Times New Roman" w:cs="Times New Roman" w:eastAsia="Times New Roman" w:hAnsi="Times New Roman"/>
          <w:sz w:val="18"/>
          <w:szCs w:val="18"/>
          <w:color w:val="auto"/>
        </w:rPr>
      </w:pPr>
    </w:p>
    <w:p>
      <w:pPr>
        <w:ind w:left="420" w:hanging="414"/>
        <w:spacing w:after="0"/>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Group contractual obligations and commercial commitments as at 31 December 2014: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0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50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 to 3</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 to 5</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4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50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4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5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50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189,824</w:t>
            </w:r>
          </w:p>
        </w:tc>
        <w:tc>
          <w:tcPr>
            <w:tcW w:w="1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43,122</w:t>
            </w:r>
          </w:p>
        </w:tc>
        <w:tc>
          <w:tcPr>
            <w:tcW w:w="150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58,829</w:t>
            </w:r>
          </w:p>
        </w:tc>
        <w:tc>
          <w:tcPr>
            <w:tcW w:w="10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33,049</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54,824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2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20,398</w:t>
            </w:r>
          </w:p>
        </w:tc>
        <w:tc>
          <w:tcPr>
            <w:tcW w:w="15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20,398</w:t>
            </w:r>
          </w:p>
        </w:tc>
        <w:tc>
          <w:tcPr>
            <w:tcW w:w="15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210,222</w:t>
            </w:r>
          </w:p>
        </w:tc>
        <w:tc>
          <w:tcPr>
            <w:tcW w:w="15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63,520</w:t>
            </w:r>
          </w:p>
        </w:tc>
        <w:tc>
          <w:tcPr>
            <w:tcW w:w="150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58,829</w:t>
            </w: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33,049</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54,824</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92</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27. Commitments and contingencies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expects to spend approximately $45 to $50 million in the next 12 months on further investments in information technology, the expansion of existing facilities and the addition of new offices.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Litigation</w:t>
      </w:r>
    </w:p>
    <w:p>
      <w:pPr>
        <w:spacing w:after="0" w:line="24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The Group is not party to any litigation or other legal proceedings that the Group believes could reasonably be expected to have a material adverse effect on the Group’s business, results of operations and financial position.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Related Parties</w:t>
      </w:r>
    </w:p>
    <w:p>
      <w:pPr>
        <w:spacing w:after="0" w:line="244" w:lineRule="exact"/>
        <w:rPr>
          <w:sz w:val="20"/>
          <w:szCs w:val="20"/>
          <w:color w:val="auto"/>
        </w:rPr>
      </w:pPr>
    </w:p>
    <w:p>
      <w:pPr>
        <w:ind w:left="380" w:hanging="374"/>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 with Directors and Executive Officer</w:t>
      </w:r>
    </w:p>
    <w:p>
      <w:pPr>
        <w:spacing w:after="0" w:line="246" w:lineRule="exact"/>
        <w:rPr>
          <w:sz w:val="20"/>
          <w:szCs w:val="20"/>
          <w:color w:val="auto"/>
        </w:rPr>
      </w:pPr>
    </w:p>
    <w:p>
      <w:pPr>
        <w:ind w:right="600"/>
        <w:spacing w:after="0" w:line="274" w:lineRule="auto"/>
        <w:rPr>
          <w:sz w:val="20"/>
          <w:szCs w:val="20"/>
          <w:color w:val="auto"/>
        </w:rPr>
      </w:pPr>
      <w:r>
        <w:rPr>
          <w:rFonts w:ascii="Times New Roman" w:cs="Times New Roman" w:eastAsia="Times New Roman" w:hAnsi="Times New Roman"/>
          <w:sz w:val="18"/>
          <w:szCs w:val="18"/>
          <w:color w:val="auto"/>
        </w:rPr>
        <w:t>The total compensation of the Directors and Executive Officers (key management remuneration) for the years ended 31 December 2014 and 2013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8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8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8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8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fees</w:t>
            </w:r>
          </w:p>
        </w:tc>
        <w:tc>
          <w:tcPr>
            <w:tcW w:w="48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3,527</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Bonus</w:t>
            </w:r>
          </w:p>
        </w:tc>
        <w:tc>
          <w:tcPr>
            <w:tcW w:w="48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9,051</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benefits</w:t>
            </w:r>
          </w:p>
        </w:tc>
        <w:tc>
          <w:tcPr>
            <w:tcW w:w="48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107</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Pension contributions</w:t>
            </w:r>
          </w:p>
        </w:tc>
        <w:tc>
          <w:tcPr>
            <w:tcW w:w="48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383</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payments</w:t>
            </w:r>
          </w:p>
        </w:tc>
        <w:tc>
          <w:tcPr>
            <w:tcW w:w="48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10,073</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5,771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23,141</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ordinary shares, shares options, RSUs and PSUs held by the Directors and Executive Officers are set out in note 8.</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29. Related Parties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Details of transactions entered into by Directors and Key Executive Officer in shares and shares options of the Company during the year ended 31 December 2014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options exercised</w:t>
            </w:r>
          </w:p>
        </w:tc>
        <w:tc>
          <w:tcPr>
            <w:tcW w:w="3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9"/>
              </w:rPr>
              <w:t>price on date</w:t>
            </w:r>
          </w:p>
        </w:tc>
        <w:tc>
          <w:tcPr>
            <w:tcW w:w="0" w:type="dxa"/>
            <w:vAlign w:val="bottom"/>
          </w:tcPr>
          <w:p>
            <w:pPr>
              <w:spacing w:after="0"/>
              <w:rPr>
                <w:sz w:val="1"/>
                <w:szCs w:val="1"/>
                <w:color w:val="auto"/>
              </w:rPr>
            </w:pPr>
          </w:p>
        </w:tc>
      </w:tr>
      <w:tr>
        <w:trPr>
          <w:trHeight w:val="23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share options</w:t>
            </w:r>
          </w:p>
        </w:tc>
        <w:tc>
          <w:tcPr>
            <w:tcW w:w="3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of exercise</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Lynch*</w:t>
            </w:r>
          </w:p>
        </w:tc>
        <w:tc>
          <w:tcPr>
            <w:tcW w:w="3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6,000</w:t>
            </w:r>
          </w:p>
        </w:tc>
        <w:tc>
          <w:tcPr>
            <w:tcW w:w="3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John Climax**</w:t>
            </w:r>
          </w:p>
        </w:tc>
        <w:tc>
          <w:tcPr>
            <w:tcW w:w="3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12,000</w:t>
            </w:r>
          </w:p>
        </w:tc>
        <w:tc>
          <w:tcPr>
            <w:tcW w:w="3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Ciaran Murray**</w:t>
            </w:r>
          </w:p>
        </w:tc>
        <w:tc>
          <w:tcPr>
            <w:tcW w:w="3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113,600</w:t>
            </w:r>
          </w:p>
        </w:tc>
        <w:tc>
          <w:tcPr>
            <w:tcW w:w="3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Cutler**</w:t>
            </w:r>
          </w:p>
        </w:tc>
        <w:tc>
          <w:tcPr>
            <w:tcW w:w="3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15,000</w:t>
            </w:r>
          </w:p>
        </w:tc>
        <w:tc>
          <w:tcPr>
            <w:tcW w:w="3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53.19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Dermot Kelleher**</w:t>
            </w:r>
          </w:p>
        </w:tc>
        <w:tc>
          <w:tcPr>
            <w:tcW w:w="3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8,000</w:t>
            </w:r>
          </w:p>
        </w:tc>
        <w:tc>
          <w:tcPr>
            <w:tcW w:w="3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Ronan Lambe**</w:t>
            </w:r>
          </w:p>
        </w:tc>
        <w:tc>
          <w:tcPr>
            <w:tcW w:w="3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3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399"/>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Options exercised and shares held.</w:t>
            </w:r>
          </w:p>
        </w:tc>
        <w:tc>
          <w:tcPr>
            <w:tcW w:w="3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Options exercised and resulting shares sold.</w:t>
            </w:r>
          </w:p>
        </w:tc>
        <w:tc>
          <w:tcPr>
            <w:tcW w:w="3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3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Sold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Lynch</w:t>
            </w:r>
          </w:p>
        </w:tc>
        <w:tc>
          <w:tcPr>
            <w:tcW w:w="32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46.18</w:t>
            </w:r>
          </w:p>
        </w:tc>
        <w:tc>
          <w:tcPr>
            <w:tcW w:w="0" w:type="dxa"/>
            <w:vAlign w:val="bottom"/>
          </w:tcPr>
          <w:p>
            <w:pPr>
              <w:spacing w:after="0"/>
              <w:rPr>
                <w:sz w:val="1"/>
                <w:szCs w:val="1"/>
                <w:color w:val="auto"/>
              </w:rPr>
            </w:pPr>
          </w:p>
        </w:tc>
      </w:tr>
      <w:tr>
        <w:trPr>
          <w:trHeight w:val="445"/>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RSUs vested and sold</w:t>
            </w:r>
          </w:p>
        </w:tc>
        <w:tc>
          <w:tcPr>
            <w:tcW w:w="3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Sold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Cutler</w:t>
            </w:r>
          </w:p>
        </w:tc>
        <w:tc>
          <w:tcPr>
            <w:tcW w:w="3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47,415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3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Ciaran Murray</w:t>
            </w:r>
          </w:p>
        </w:tc>
        <w:tc>
          <w:tcPr>
            <w:tcW w:w="32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49.77</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i w:val="1"/>
          <w:iCs w:val="1"/>
          <w:color w:val="auto"/>
        </w:rPr>
        <w:t>Other Related Party Transactions</w:t>
      </w:r>
    </w:p>
    <w:p>
      <w:pPr>
        <w:spacing w:after="0" w:line="24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 19 July 2012, Mr. Peter Gray retired as a Director and employee of the Company. The Company subsequently entered into an agreement with Integritum Limited, a company controlled by Mr. Gray, for the provision of consultancy services for a period of two years from 1 August 2012, at an agreed fee of €265,000 ($350,000) per annum.</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Subsequent Events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MediMedia Pharma Solotions.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27, 2015 the Company acquired MediMedia Pharma Solutions for a total cash consideration of $120.0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summarises the Company’s provisional estimates of the fair values of the assets acquired and liabilities assumed:</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 February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88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account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9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anticipated that goodwill arising from the acquisition of the MediMedia Managed Markets will comprise an established workforce with experience in the provision of strategic payer-validated market access solutions while the acquisition of Complete Healthcare Communications will comprise an established workforce with significant communication experience working with medical affairs, commercial and brand development teams within the life science industry. Other intangible assets are expected to comprise customer relationships.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Subsidiary Undertakings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31 December 2014 the Group had the following principal subsidiary undertakings: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w:t>
            </w:r>
          </w:p>
        </w:tc>
        <w:tc>
          <w:tcPr>
            <w:tcW w:w="356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Proportion held by Group</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Limited</w:t>
            </w:r>
          </w:p>
        </w:tc>
        <w:tc>
          <w:tcPr>
            <w:tcW w:w="3580" w:type="dxa"/>
            <w:vAlign w:val="bottom"/>
            <w:shd w:val="clear" w:color="auto" w:fill="CCEEFF"/>
          </w:tcPr>
          <w:p>
            <w:pPr>
              <w:ind w:left="300"/>
              <w:spacing w:after="0" w:line="194" w:lineRule="exact"/>
              <w:rPr>
                <w:sz w:val="20"/>
                <w:szCs w:val="20"/>
                <w:color w:val="auto"/>
              </w:rPr>
            </w:pPr>
            <w:r>
              <w:rPr>
                <w:rFonts w:ascii="Times New Roman" w:cs="Times New Roman" w:eastAsia="Times New Roman" w:hAnsi="Times New Roman"/>
                <w:sz w:val="18"/>
                <w:szCs w:val="18"/>
                <w:color w:val="auto"/>
              </w:rPr>
              <w:t>South County Business Park</w:t>
            </w:r>
          </w:p>
        </w:tc>
        <w:tc>
          <w:tcPr>
            <w:tcW w:w="3560" w:type="dxa"/>
            <w:vAlign w:val="bottom"/>
            <w:shd w:val="clear" w:color="auto" w:fill="CCEEFF"/>
          </w:tcPr>
          <w:p>
            <w:pPr>
              <w:ind w:left="12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Leopardstown</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Dublin 18</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Republic of Ireland</w:t>
            </w: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Holdings</w:t>
            </w:r>
          </w:p>
        </w:tc>
        <w:tc>
          <w:tcPr>
            <w:tcW w:w="3580" w:type="dxa"/>
            <w:vAlign w:val="bottom"/>
            <w:shd w:val="clear" w:color="auto" w:fill="CCEEFF"/>
          </w:tcPr>
          <w:p>
            <w:pPr>
              <w:ind w:left="300"/>
              <w:spacing w:after="0" w:line="194" w:lineRule="exact"/>
              <w:rPr>
                <w:sz w:val="20"/>
                <w:szCs w:val="20"/>
                <w:color w:val="auto"/>
              </w:rPr>
            </w:pPr>
            <w:r>
              <w:rPr>
                <w:rFonts w:ascii="Times New Roman" w:cs="Times New Roman" w:eastAsia="Times New Roman" w:hAnsi="Times New Roman"/>
                <w:sz w:val="18"/>
                <w:szCs w:val="18"/>
                <w:color w:val="auto"/>
              </w:rPr>
              <w:t>South County Business Park</w:t>
            </w:r>
          </w:p>
        </w:tc>
        <w:tc>
          <w:tcPr>
            <w:tcW w:w="3560" w:type="dxa"/>
            <w:vAlign w:val="bottom"/>
            <w:shd w:val="clear" w:color="auto" w:fill="CCEEFF"/>
          </w:tcPr>
          <w:p>
            <w:pPr>
              <w:ind w:left="12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Leopardstown</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Dublin 18</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Republic of Ireland</w:t>
            </w: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Holdings Clinical Research International Limited</w:t>
            </w:r>
          </w:p>
        </w:tc>
        <w:tc>
          <w:tcPr>
            <w:tcW w:w="3580" w:type="dxa"/>
            <w:vAlign w:val="bottom"/>
            <w:shd w:val="clear" w:color="auto" w:fill="CCEEFF"/>
          </w:tcPr>
          <w:p>
            <w:pPr>
              <w:ind w:left="300"/>
              <w:spacing w:after="0" w:line="194" w:lineRule="exact"/>
              <w:rPr>
                <w:sz w:val="20"/>
                <w:szCs w:val="20"/>
                <w:color w:val="auto"/>
              </w:rPr>
            </w:pPr>
            <w:r>
              <w:rPr>
                <w:rFonts w:ascii="Times New Roman" w:cs="Times New Roman" w:eastAsia="Times New Roman" w:hAnsi="Times New Roman"/>
                <w:sz w:val="18"/>
                <w:szCs w:val="18"/>
                <w:color w:val="auto"/>
              </w:rPr>
              <w:t>South County Business Park</w:t>
            </w:r>
          </w:p>
        </w:tc>
        <w:tc>
          <w:tcPr>
            <w:tcW w:w="3560" w:type="dxa"/>
            <w:vAlign w:val="bottom"/>
            <w:shd w:val="clear" w:color="auto" w:fill="CCEEFF"/>
          </w:tcPr>
          <w:p>
            <w:pPr>
              <w:ind w:left="12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Leopardstown</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Dublin 18</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Republic of Ireland</w:t>
            </w: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Resourcing Limited</w:t>
            </w:r>
          </w:p>
        </w:tc>
        <w:tc>
          <w:tcPr>
            <w:tcW w:w="3580" w:type="dxa"/>
            <w:vAlign w:val="bottom"/>
            <w:shd w:val="clear" w:color="auto" w:fill="CCEEFF"/>
          </w:tcPr>
          <w:p>
            <w:pPr>
              <w:ind w:left="300"/>
              <w:spacing w:after="0" w:line="194" w:lineRule="exact"/>
              <w:rPr>
                <w:sz w:val="20"/>
                <w:szCs w:val="20"/>
                <w:color w:val="auto"/>
              </w:rPr>
            </w:pPr>
            <w:r>
              <w:rPr>
                <w:rFonts w:ascii="Times New Roman" w:cs="Times New Roman" w:eastAsia="Times New Roman" w:hAnsi="Times New Roman"/>
                <w:sz w:val="18"/>
                <w:szCs w:val="18"/>
                <w:color w:val="auto"/>
              </w:rPr>
              <w:t>South County Business Park</w:t>
            </w:r>
          </w:p>
        </w:tc>
        <w:tc>
          <w:tcPr>
            <w:tcW w:w="3560" w:type="dxa"/>
            <w:vAlign w:val="bottom"/>
            <w:shd w:val="clear" w:color="auto" w:fill="CCEEFF"/>
          </w:tcPr>
          <w:p>
            <w:pPr>
              <w:ind w:left="12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Leopardstown</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Dublin 18</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Republic of Ireland</w:t>
            </w: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International</w:t>
            </w:r>
          </w:p>
        </w:tc>
        <w:tc>
          <w:tcPr>
            <w:tcW w:w="3580" w:type="dxa"/>
            <w:vAlign w:val="bottom"/>
            <w:shd w:val="clear" w:color="auto" w:fill="CCEEFF"/>
          </w:tcPr>
          <w:p>
            <w:pPr>
              <w:ind w:left="300"/>
              <w:spacing w:after="0" w:line="194" w:lineRule="exact"/>
              <w:rPr>
                <w:sz w:val="20"/>
                <w:szCs w:val="20"/>
                <w:color w:val="auto"/>
              </w:rPr>
            </w:pPr>
            <w:r>
              <w:rPr>
                <w:rFonts w:ascii="Times New Roman" w:cs="Times New Roman" w:eastAsia="Times New Roman" w:hAnsi="Times New Roman"/>
                <w:sz w:val="18"/>
                <w:szCs w:val="18"/>
                <w:color w:val="auto"/>
              </w:rPr>
              <w:t>South County Business Park</w:t>
            </w:r>
          </w:p>
        </w:tc>
        <w:tc>
          <w:tcPr>
            <w:tcW w:w="3560" w:type="dxa"/>
            <w:vAlign w:val="bottom"/>
            <w:shd w:val="clear" w:color="auto" w:fill="CCEEFF"/>
          </w:tcPr>
          <w:p>
            <w:pPr>
              <w:ind w:left="12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Leopardstown</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Dublin 18</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Republic of Ireland</w:t>
            </w: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Development Solutions, LLC</w:t>
            </w:r>
          </w:p>
        </w:tc>
        <w:tc>
          <w:tcPr>
            <w:tcW w:w="3580" w:type="dxa"/>
            <w:vAlign w:val="bottom"/>
            <w:shd w:val="clear" w:color="auto" w:fill="CCEEFF"/>
          </w:tcPr>
          <w:p>
            <w:pPr>
              <w:ind w:left="300"/>
              <w:spacing w:after="0" w:line="194" w:lineRule="exact"/>
              <w:rPr>
                <w:sz w:val="20"/>
                <w:szCs w:val="20"/>
                <w:color w:val="auto"/>
              </w:rPr>
            </w:pPr>
            <w:r>
              <w:rPr>
                <w:rFonts w:ascii="Times New Roman" w:cs="Times New Roman" w:eastAsia="Times New Roman" w:hAnsi="Times New Roman"/>
                <w:sz w:val="18"/>
                <w:szCs w:val="18"/>
                <w:color w:val="auto"/>
              </w:rPr>
              <w:t>7740 Milestone Parkway,</w:t>
            </w:r>
          </w:p>
        </w:tc>
        <w:tc>
          <w:tcPr>
            <w:tcW w:w="3560" w:type="dxa"/>
            <w:vAlign w:val="bottom"/>
            <w:shd w:val="clear" w:color="auto" w:fill="CCEEFF"/>
          </w:tcPr>
          <w:p>
            <w:pPr>
              <w:ind w:left="12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Suite 150, Hanover,</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MD 21076</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U.S.A.</w:t>
            </w: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LLC.</w:t>
            </w:r>
          </w:p>
        </w:tc>
        <w:tc>
          <w:tcPr>
            <w:tcW w:w="3580" w:type="dxa"/>
            <w:vAlign w:val="bottom"/>
            <w:shd w:val="clear" w:color="auto" w:fill="CCEEFF"/>
          </w:tcPr>
          <w:p>
            <w:pPr>
              <w:ind w:left="300"/>
              <w:spacing w:after="0" w:line="194" w:lineRule="exact"/>
              <w:rPr>
                <w:sz w:val="20"/>
                <w:szCs w:val="20"/>
                <w:color w:val="auto"/>
              </w:rPr>
            </w:pPr>
            <w:r>
              <w:rPr>
                <w:rFonts w:ascii="Times New Roman" w:cs="Times New Roman" w:eastAsia="Times New Roman" w:hAnsi="Times New Roman"/>
                <w:sz w:val="18"/>
                <w:szCs w:val="18"/>
                <w:color w:val="auto"/>
              </w:rPr>
              <w:t>2100 Pennbrook Parkway</w:t>
            </w:r>
          </w:p>
        </w:tc>
        <w:tc>
          <w:tcPr>
            <w:tcW w:w="3560" w:type="dxa"/>
            <w:vAlign w:val="bottom"/>
            <w:shd w:val="clear" w:color="auto" w:fill="CCEEFF"/>
          </w:tcPr>
          <w:p>
            <w:pPr>
              <w:ind w:left="12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North Wales,</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 19454</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U.S.A.</w:t>
            </w: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Laboratory Services, Inc</w:t>
            </w:r>
          </w:p>
        </w:tc>
        <w:tc>
          <w:tcPr>
            <w:tcW w:w="3580" w:type="dxa"/>
            <w:vAlign w:val="bottom"/>
            <w:shd w:val="clear" w:color="auto" w:fill="CCEEFF"/>
          </w:tcPr>
          <w:p>
            <w:pPr>
              <w:ind w:left="300"/>
              <w:spacing w:after="0" w:line="194" w:lineRule="exact"/>
              <w:rPr>
                <w:sz w:val="20"/>
                <w:szCs w:val="20"/>
                <w:color w:val="auto"/>
              </w:rPr>
            </w:pPr>
            <w:r>
              <w:rPr>
                <w:rFonts w:ascii="Times New Roman" w:cs="Times New Roman" w:eastAsia="Times New Roman" w:hAnsi="Times New Roman"/>
                <w:sz w:val="18"/>
                <w:szCs w:val="18"/>
                <w:color w:val="auto"/>
              </w:rPr>
              <w:t>123 Smith Street,</w:t>
            </w:r>
          </w:p>
        </w:tc>
        <w:tc>
          <w:tcPr>
            <w:tcW w:w="3560" w:type="dxa"/>
            <w:vAlign w:val="bottom"/>
            <w:shd w:val="clear" w:color="auto" w:fill="CCEEFF"/>
          </w:tcPr>
          <w:p>
            <w:pPr>
              <w:ind w:left="12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Farmingdale,</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NY 11735</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U.S.A.</w:t>
            </w: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Beacon Bioscience, Inc</w:t>
            </w:r>
          </w:p>
        </w:tc>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2800 Kelly Road,</w:t>
            </w:r>
          </w:p>
        </w:tc>
        <w:tc>
          <w:tcPr>
            <w:tcW w:w="3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Suite 200,</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Warrington,</w:t>
            </w: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-403860</wp:posOffset>
            </wp:positionV>
            <wp:extent cx="7249160" cy="673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9160" cy="673735"/>
                    </a:xfrm>
                    <a:prstGeom prst="rect">
                      <a:avLst/>
                    </a:prstGeom>
                    <a:noFill/>
                  </pic:spPr>
                </pic:pic>
              </a:graphicData>
            </a:graphic>
          </wp:anchor>
        </w:drawing>
      </w:r>
    </w:p>
    <w:p>
      <w:pPr>
        <w:ind w:left="4580"/>
        <w:spacing w:after="0"/>
        <w:rPr>
          <w:sz w:val="20"/>
          <w:szCs w:val="20"/>
          <w:color w:val="auto"/>
        </w:rPr>
      </w:pPr>
      <w:r>
        <w:rPr>
          <w:rFonts w:ascii="Times New Roman" w:cs="Times New Roman" w:eastAsia="Times New Roman" w:hAnsi="Times New Roman"/>
          <w:sz w:val="18"/>
          <w:szCs w:val="18"/>
          <w:color w:val="auto"/>
        </w:rPr>
        <w:t>PA 18976</w:t>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U.S.A.</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31. Subsidiary Undertakings </w:t>
            </w:r>
            <w:r>
              <w:rPr>
                <w:rFonts w:ascii="Times New Roman" w:cs="Times New Roman" w:eastAsia="Times New Roman" w:hAnsi="Times New Roman"/>
                <w:sz w:val="18"/>
                <w:szCs w:val="18"/>
                <w:b w:val="1"/>
                <w:bCs w:val="1"/>
                <w:i w:val="1"/>
                <w:iCs w:val="1"/>
                <w:color w:val="auto"/>
              </w:rPr>
              <w:t>(continued)</w:t>
            </w:r>
          </w:p>
        </w:tc>
        <w:tc>
          <w:tcPr>
            <w:tcW w:w="4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41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w:t>
            </w:r>
          </w:p>
        </w:tc>
        <w:tc>
          <w:tcPr>
            <w:tcW w:w="340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i w:val="1"/>
                <w:iCs w:val="1"/>
                <w:color w:val="auto"/>
              </w:rPr>
              <w:t>Proportion held by Group</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Early Phase Services, LLC</w:t>
            </w:r>
          </w:p>
        </w:tc>
        <w:tc>
          <w:tcPr>
            <w:tcW w:w="4100" w:type="dxa"/>
            <w:vAlign w:val="bottom"/>
            <w:shd w:val="clear" w:color="auto" w:fill="CCEEFF"/>
          </w:tcPr>
          <w:p>
            <w:pPr>
              <w:ind w:left="660"/>
              <w:spacing w:after="0" w:line="194" w:lineRule="exact"/>
              <w:rPr>
                <w:sz w:val="20"/>
                <w:szCs w:val="20"/>
                <w:color w:val="auto"/>
              </w:rPr>
            </w:pPr>
            <w:r>
              <w:rPr>
                <w:rFonts w:ascii="Times New Roman" w:cs="Times New Roman" w:eastAsia="Times New Roman" w:hAnsi="Times New Roman"/>
                <w:sz w:val="18"/>
                <w:szCs w:val="18"/>
                <w:color w:val="auto"/>
              </w:rPr>
              <w:t>8307 Gault Lane,</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San Antonio,</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TX 78209-1015</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U.S.A.</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PriceSpective, LLC</w:t>
            </w:r>
          </w:p>
        </w:tc>
        <w:tc>
          <w:tcPr>
            <w:tcW w:w="4100" w:type="dxa"/>
            <w:vAlign w:val="bottom"/>
            <w:shd w:val="clear" w:color="auto" w:fill="CCEEFF"/>
          </w:tcPr>
          <w:p>
            <w:pPr>
              <w:ind w:left="660"/>
              <w:spacing w:after="0" w:line="194" w:lineRule="exact"/>
              <w:rPr>
                <w:sz w:val="20"/>
                <w:szCs w:val="20"/>
                <w:color w:val="auto"/>
              </w:rPr>
            </w:pPr>
            <w:r>
              <w:rPr>
                <w:rFonts w:ascii="Times New Roman" w:cs="Times New Roman" w:eastAsia="Times New Roman" w:hAnsi="Times New Roman"/>
                <w:sz w:val="18"/>
                <w:szCs w:val="18"/>
                <w:color w:val="auto"/>
              </w:rPr>
              <w:t>2100 Pennbrook Parkway,</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North Wales,</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 19454</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Global, Inc.</w:t>
            </w:r>
          </w:p>
        </w:tc>
        <w:tc>
          <w:tcPr>
            <w:tcW w:w="4100" w:type="dxa"/>
            <w:vAlign w:val="bottom"/>
            <w:shd w:val="clear" w:color="auto" w:fill="CCEEFF"/>
          </w:tcPr>
          <w:p>
            <w:pPr>
              <w:ind w:left="660"/>
              <w:spacing w:after="0" w:line="194" w:lineRule="exact"/>
              <w:rPr>
                <w:sz w:val="20"/>
                <w:szCs w:val="20"/>
                <w:color w:val="auto"/>
              </w:rPr>
            </w:pPr>
            <w:r>
              <w:rPr>
                <w:rFonts w:ascii="Times New Roman" w:cs="Times New Roman" w:eastAsia="Times New Roman" w:hAnsi="Times New Roman"/>
                <w:sz w:val="18"/>
                <w:szCs w:val="18"/>
                <w:color w:val="auto"/>
              </w:rPr>
              <w:t>2100 Pennbrook Parkway,</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North Wales,</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 19454</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US Holdings Inc</w:t>
            </w:r>
          </w:p>
        </w:tc>
        <w:tc>
          <w:tcPr>
            <w:tcW w:w="4100" w:type="dxa"/>
            <w:vAlign w:val="bottom"/>
            <w:shd w:val="clear" w:color="auto" w:fill="CCEEFF"/>
          </w:tcPr>
          <w:p>
            <w:pPr>
              <w:ind w:left="660"/>
              <w:spacing w:after="0" w:line="194" w:lineRule="exact"/>
              <w:rPr>
                <w:sz w:val="20"/>
                <w:szCs w:val="20"/>
                <w:color w:val="auto"/>
              </w:rPr>
            </w:pPr>
            <w:r>
              <w:rPr>
                <w:rFonts w:ascii="Times New Roman" w:cs="Times New Roman" w:eastAsia="Times New Roman" w:hAnsi="Times New Roman"/>
                <w:sz w:val="18"/>
                <w:szCs w:val="18"/>
                <w:color w:val="auto"/>
              </w:rPr>
              <w:t>2100 Pennbrook Parkway,</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North Wales,</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 19454</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U.S.A.</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International Belgium N.V</w:t>
            </w:r>
          </w:p>
        </w:tc>
        <w:tc>
          <w:tcPr>
            <w:tcW w:w="4100" w:type="dxa"/>
            <w:vAlign w:val="bottom"/>
            <w:shd w:val="clear" w:color="auto" w:fill="CCEEFF"/>
          </w:tcPr>
          <w:p>
            <w:pPr>
              <w:ind w:left="660"/>
              <w:spacing w:after="0" w:line="194" w:lineRule="exact"/>
              <w:rPr>
                <w:sz w:val="20"/>
                <w:szCs w:val="20"/>
                <w:color w:val="auto"/>
              </w:rPr>
            </w:pPr>
            <w:r>
              <w:rPr>
                <w:rFonts w:ascii="Times New Roman" w:cs="Times New Roman" w:eastAsia="Times New Roman" w:hAnsi="Times New Roman"/>
                <w:sz w:val="18"/>
                <w:szCs w:val="18"/>
                <w:color w:val="auto"/>
              </w:rPr>
              <w:t>Pegasuslaan 5</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1831 Diegem</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Belgium</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EOOD</w:t>
            </w:r>
          </w:p>
        </w:tc>
        <w:tc>
          <w:tcPr>
            <w:tcW w:w="4100" w:type="dxa"/>
            <w:vAlign w:val="bottom"/>
            <w:shd w:val="clear" w:color="auto" w:fill="CCEEFF"/>
          </w:tcPr>
          <w:p>
            <w:pPr>
              <w:ind w:left="660"/>
              <w:spacing w:after="0" w:line="194" w:lineRule="exact"/>
              <w:rPr>
                <w:sz w:val="20"/>
                <w:szCs w:val="20"/>
                <w:color w:val="auto"/>
              </w:rPr>
            </w:pPr>
            <w:r>
              <w:rPr>
                <w:rFonts w:ascii="Times New Roman" w:cs="Times New Roman" w:eastAsia="Times New Roman" w:hAnsi="Times New Roman"/>
                <w:sz w:val="18"/>
                <w:szCs w:val="18"/>
                <w:color w:val="auto"/>
              </w:rPr>
              <w:t>2A, Saborna Str.,</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4th floor, Sofia – 1000,</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Republic of Bulgaria</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Research Ltd. (Ispitivanja ICON d.o.o)</w:t>
            </w:r>
          </w:p>
        </w:tc>
        <w:tc>
          <w:tcPr>
            <w:tcW w:w="4100" w:type="dxa"/>
            <w:vAlign w:val="bottom"/>
            <w:shd w:val="clear" w:color="auto" w:fill="CCEEFF"/>
          </w:tcPr>
          <w:p>
            <w:pPr>
              <w:ind w:left="660"/>
              <w:spacing w:after="0" w:line="194" w:lineRule="exact"/>
              <w:rPr>
                <w:sz w:val="20"/>
                <w:szCs w:val="20"/>
                <w:color w:val="auto"/>
              </w:rPr>
            </w:pPr>
            <w:r>
              <w:rPr>
                <w:rFonts w:ascii="Times New Roman" w:cs="Times New Roman" w:eastAsia="Times New Roman" w:hAnsi="Times New Roman"/>
                <w:sz w:val="18"/>
                <w:szCs w:val="18"/>
                <w:color w:val="auto"/>
              </w:rPr>
              <w:t>Radnicka cesta 80,</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10000 Zagreb,</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Croatia</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s.r.o.</w:t>
            </w:r>
          </w:p>
        </w:tc>
        <w:tc>
          <w:tcPr>
            <w:tcW w:w="4100" w:type="dxa"/>
            <w:vAlign w:val="bottom"/>
            <w:shd w:val="clear" w:color="auto" w:fill="CCEEFF"/>
          </w:tcPr>
          <w:p>
            <w:pPr>
              <w:ind w:left="660"/>
              <w:spacing w:after="0" w:line="194" w:lineRule="exact"/>
              <w:rPr>
                <w:sz w:val="20"/>
                <w:szCs w:val="20"/>
                <w:color w:val="auto"/>
              </w:rPr>
            </w:pPr>
            <w:r>
              <w:rPr>
                <w:rFonts w:ascii="Times New Roman" w:cs="Times New Roman" w:eastAsia="Times New Roman" w:hAnsi="Times New Roman"/>
                <w:sz w:val="18"/>
                <w:szCs w:val="18"/>
                <w:color w:val="auto"/>
              </w:rPr>
              <w:t>Praha 4 - Chodov,</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V parku 2335/20,</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PSČ 148 00</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Czech Republic</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International Nordic Countries A/S</w:t>
            </w:r>
          </w:p>
        </w:tc>
        <w:tc>
          <w:tcPr>
            <w:tcW w:w="4100" w:type="dxa"/>
            <w:vAlign w:val="bottom"/>
            <w:shd w:val="clear" w:color="auto" w:fill="CCEEFF"/>
          </w:tcPr>
          <w:p>
            <w:pPr>
              <w:ind w:left="660"/>
              <w:spacing w:after="0" w:line="194" w:lineRule="exact"/>
              <w:rPr>
                <w:sz w:val="20"/>
                <w:szCs w:val="20"/>
                <w:color w:val="auto"/>
              </w:rPr>
            </w:pPr>
            <w:r>
              <w:rPr>
                <w:rFonts w:ascii="Times New Roman" w:cs="Times New Roman" w:eastAsia="Times New Roman" w:hAnsi="Times New Roman"/>
                <w:sz w:val="18"/>
                <w:szCs w:val="18"/>
                <w:color w:val="auto"/>
              </w:rPr>
              <w:t>Havnegade 29</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1058 København K</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Denmark</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International Finland Oy</w:t>
            </w:r>
          </w:p>
        </w:tc>
        <w:tc>
          <w:tcPr>
            <w:tcW w:w="4100" w:type="dxa"/>
            <w:vAlign w:val="bottom"/>
            <w:shd w:val="clear" w:color="auto" w:fill="CCEEFF"/>
          </w:tcPr>
          <w:p>
            <w:pPr>
              <w:ind w:left="660"/>
              <w:spacing w:after="0" w:line="194" w:lineRule="exact"/>
              <w:rPr>
                <w:sz w:val="20"/>
                <w:szCs w:val="20"/>
                <w:color w:val="auto"/>
              </w:rPr>
            </w:pPr>
            <w:r>
              <w:rPr>
                <w:rFonts w:ascii="Times New Roman" w:cs="Times New Roman" w:eastAsia="Times New Roman" w:hAnsi="Times New Roman"/>
                <w:sz w:val="18"/>
                <w:szCs w:val="18"/>
                <w:color w:val="auto"/>
              </w:rPr>
              <w:t>Mannerheimintie 12 B 5th Floor</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FIN-00100 Helsinki</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Finland</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S.A.R.L.</w:t>
            </w:r>
          </w:p>
        </w:tc>
        <w:tc>
          <w:tcPr>
            <w:tcW w:w="4100" w:type="dxa"/>
            <w:vAlign w:val="bottom"/>
            <w:shd w:val="clear" w:color="auto" w:fill="CCEEFF"/>
          </w:tcPr>
          <w:p>
            <w:pPr>
              <w:ind w:left="660"/>
              <w:spacing w:after="0" w:line="194" w:lineRule="exact"/>
              <w:rPr>
                <w:sz w:val="20"/>
                <w:szCs w:val="20"/>
                <w:color w:val="auto"/>
              </w:rPr>
            </w:pPr>
            <w:r>
              <w:rPr>
                <w:rFonts w:ascii="Times New Roman" w:cs="Times New Roman" w:eastAsia="Times New Roman" w:hAnsi="Times New Roman"/>
                <w:sz w:val="18"/>
                <w:szCs w:val="18"/>
                <w:color w:val="auto"/>
              </w:rPr>
              <w:t>55 Avenue des Champs Pierreux</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 Capitole Building</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92000 Nanterre</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France</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1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97</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31. Subsidiary Undertakings </w:t>
            </w:r>
            <w:r>
              <w:rPr>
                <w:rFonts w:ascii="Times New Roman" w:cs="Times New Roman" w:eastAsia="Times New Roman" w:hAnsi="Times New Roman"/>
                <w:sz w:val="18"/>
                <w:szCs w:val="18"/>
                <w:b w:val="1"/>
                <w:bCs w:val="1"/>
                <w:i w:val="1"/>
                <w:iCs w:val="1"/>
                <w:color w:val="auto"/>
              </w:rPr>
              <w:t>(continued)</w:t>
            </w:r>
          </w:p>
        </w:tc>
        <w:tc>
          <w:tcPr>
            <w:tcW w:w="38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3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w:t>
            </w:r>
          </w:p>
        </w:tc>
        <w:tc>
          <w:tcPr>
            <w:tcW w:w="340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i w:val="1"/>
                <w:iCs w:val="1"/>
                <w:color w:val="auto"/>
              </w:rPr>
              <w:t>Proportion held by Group</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International France S.A.S.</w:t>
            </w:r>
          </w:p>
        </w:tc>
        <w:tc>
          <w:tcPr>
            <w:tcW w:w="382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55 Avenue des Champs Pierreux</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 Capitole Building</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92000 Nanterre</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France</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GmbH</w:t>
            </w:r>
          </w:p>
        </w:tc>
        <w:tc>
          <w:tcPr>
            <w:tcW w:w="382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Heinrich-Hertz-Straße 26</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63225</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Langen</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Hessen</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International Germany GmbH</w:t>
            </w:r>
          </w:p>
        </w:tc>
        <w:tc>
          <w:tcPr>
            <w:tcW w:w="382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Theresienhöhe 28</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80339 München</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Klinikai Kutató Korlátolt Felelősségű Társaság</w:t>
            </w:r>
          </w:p>
        </w:tc>
        <w:tc>
          <w:tcPr>
            <w:tcW w:w="382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1037 Budapest,</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(ICON Clinical Research Limited Liability Company)</w:t>
            </w: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Szépvölgyi út 39.</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Hungary</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Israel Limited</w:t>
            </w:r>
          </w:p>
        </w:tc>
        <w:tc>
          <w:tcPr>
            <w:tcW w:w="382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6 Haba'al Shem Tov Street,</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Lod,</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Zip Code 71289,</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Northern Industrial Area,</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Israel</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Italia S.R.L.</w:t>
            </w:r>
          </w:p>
        </w:tc>
        <w:tc>
          <w:tcPr>
            <w:tcW w:w="382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Via Benigno Crespi, 23</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20159 Milano</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Italy</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Investments Limited</w:t>
            </w:r>
          </w:p>
        </w:tc>
        <w:tc>
          <w:tcPr>
            <w:tcW w:w="382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PO Box 76,</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Kleinwort Benson House,</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Wests Centre,</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 Helier,</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JE4 8PQ</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Jersey</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International BV</w:t>
            </w:r>
          </w:p>
        </w:tc>
        <w:tc>
          <w:tcPr>
            <w:tcW w:w="382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Handelsweg 53</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1181 ZA Amstelveen</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Netherlands</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Insourcing BV</w:t>
            </w:r>
          </w:p>
        </w:tc>
        <w:tc>
          <w:tcPr>
            <w:tcW w:w="382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Handelsweg 53</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1181 ZA Amstelveen</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Netherlands</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International Poland Sp.zo.o.</w:t>
            </w:r>
          </w:p>
        </w:tc>
        <w:tc>
          <w:tcPr>
            <w:tcW w:w="382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Ul. Grojecka 5</w:t>
            </w:r>
          </w:p>
        </w:tc>
        <w:tc>
          <w:tcPr>
            <w:tcW w:w="3400" w:type="dxa"/>
            <w:vAlign w:val="bottom"/>
            <w:shd w:val="clear" w:color="auto" w:fill="CCEEFF"/>
          </w:tcPr>
          <w:p>
            <w:pPr>
              <w:ind w:left="11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02-019 Warsaw</w:t>
            </w: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Poland</w:t>
            </w:r>
          </w:p>
        </w:tc>
        <w:tc>
          <w:tcPr>
            <w:tcW w:w="3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98</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31. Subsidiary Undertakings </w:t>
            </w:r>
            <w:r>
              <w:rPr>
                <w:rFonts w:ascii="Times New Roman" w:cs="Times New Roman" w:eastAsia="Times New Roman" w:hAnsi="Times New Roman"/>
                <w:sz w:val="18"/>
                <w:szCs w:val="18"/>
                <w:b w:val="1"/>
                <w:bCs w:val="1"/>
                <w:i w:val="1"/>
                <w:iCs w:val="1"/>
                <w:color w:val="auto"/>
              </w:rPr>
              <w:t>(continued)</w:t>
            </w:r>
          </w:p>
        </w:tc>
        <w:tc>
          <w:tcPr>
            <w:tcW w:w="38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w:t>
            </w:r>
          </w:p>
        </w:tc>
        <w:tc>
          <w:tcPr>
            <w:tcW w:w="3160" w:type="dxa"/>
            <w:vAlign w:val="bottom"/>
          </w:tcPr>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Proportion held by Group</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Sp.zo.o.</w:t>
            </w:r>
          </w:p>
        </w:tc>
        <w:tc>
          <w:tcPr>
            <w:tcW w:w="386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Al. Jerozolimskie 56C,</w:t>
            </w:r>
          </w:p>
        </w:tc>
        <w:tc>
          <w:tcPr>
            <w:tcW w:w="3160" w:type="dxa"/>
            <w:vAlign w:val="bottom"/>
            <w:shd w:val="clear" w:color="auto" w:fill="CCEEFF"/>
          </w:tcPr>
          <w:p>
            <w:pPr>
              <w:ind w:left="8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00-803,</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Warsaw</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Poland</w:t>
            </w:r>
          </w:p>
        </w:tc>
        <w:tc>
          <w:tcPr>
            <w:tcW w:w="3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S.R.L</w:t>
            </w:r>
          </w:p>
        </w:tc>
        <w:tc>
          <w:tcPr>
            <w:tcW w:w="386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Calea Floreasca,</w:t>
            </w:r>
          </w:p>
        </w:tc>
        <w:tc>
          <w:tcPr>
            <w:tcW w:w="3160" w:type="dxa"/>
            <w:vAlign w:val="bottom"/>
            <w:shd w:val="clear" w:color="auto" w:fill="CCEEFF"/>
          </w:tcPr>
          <w:p>
            <w:pPr>
              <w:ind w:left="8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Nr 133-137,</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Et. 3,</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Bucuruesti,</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Sector 1,</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Romania</w:t>
            </w:r>
          </w:p>
        </w:tc>
        <w:tc>
          <w:tcPr>
            <w:tcW w:w="3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d.o.o. Beograd</w:t>
            </w:r>
          </w:p>
        </w:tc>
        <w:tc>
          <w:tcPr>
            <w:tcW w:w="3860" w:type="dxa"/>
            <w:vAlign w:val="bottom"/>
            <w:shd w:val="clear" w:color="auto" w:fill="CCEEFF"/>
          </w:tcPr>
          <w:p>
            <w:pPr>
              <w:ind w:left="180"/>
              <w:spacing w:after="0" w:line="193" w:lineRule="exact"/>
              <w:rPr>
                <w:sz w:val="20"/>
                <w:szCs w:val="20"/>
                <w:color w:val="auto"/>
              </w:rPr>
            </w:pPr>
            <w:r>
              <w:rPr>
                <w:rFonts w:ascii="Times New Roman" w:cs="Times New Roman" w:eastAsia="Times New Roman" w:hAnsi="Times New Roman"/>
                <w:sz w:val="16"/>
                <w:szCs w:val="16"/>
                <w:color w:val="auto"/>
              </w:rPr>
              <w:t>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6"/>
                <w:szCs w:val="16"/>
                <w:color w:val="auto"/>
              </w:rPr>
              <w:t xml:space="preserve"> Floor,</w:t>
            </w:r>
          </w:p>
        </w:tc>
        <w:tc>
          <w:tcPr>
            <w:tcW w:w="3160" w:type="dxa"/>
            <w:vAlign w:val="bottom"/>
            <w:shd w:val="clear" w:color="auto" w:fill="CCEEFF"/>
          </w:tcPr>
          <w:p>
            <w:pPr>
              <w:ind w:left="8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Zorana Djindjica 64a,</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11070 Belgrade,</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Serbia</w:t>
            </w:r>
          </w:p>
        </w:tc>
        <w:tc>
          <w:tcPr>
            <w:tcW w:w="3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Slovakia, s.r.o.</w:t>
            </w:r>
          </w:p>
        </w:tc>
        <w:tc>
          <w:tcPr>
            <w:tcW w:w="386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Suché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 1, 811 03</w:t>
            </w:r>
          </w:p>
        </w:tc>
        <w:tc>
          <w:tcPr>
            <w:tcW w:w="3160" w:type="dxa"/>
            <w:vAlign w:val="bottom"/>
            <w:shd w:val="clear" w:color="auto" w:fill="CCEEFF"/>
          </w:tcPr>
          <w:p>
            <w:pPr>
              <w:ind w:left="8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Bratislava</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Slovak Republic</w:t>
            </w:r>
          </w:p>
        </w:tc>
        <w:tc>
          <w:tcPr>
            <w:tcW w:w="3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Espana, S.L.</w:t>
            </w:r>
          </w:p>
        </w:tc>
        <w:tc>
          <w:tcPr>
            <w:tcW w:w="386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Calle Josep Pla</w:t>
            </w:r>
          </w:p>
        </w:tc>
        <w:tc>
          <w:tcPr>
            <w:tcW w:w="3160" w:type="dxa"/>
            <w:vAlign w:val="bottom"/>
            <w:shd w:val="clear" w:color="auto" w:fill="CCEEFF"/>
          </w:tcPr>
          <w:p>
            <w:pPr>
              <w:ind w:left="8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Numero 2, Torre Diagonal Mar</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Piso 11, Modulo 1</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Barcelona</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Spain</w:t>
            </w:r>
          </w:p>
        </w:tc>
        <w:tc>
          <w:tcPr>
            <w:tcW w:w="3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International Sweden AB</w:t>
            </w:r>
          </w:p>
        </w:tc>
        <w:tc>
          <w:tcPr>
            <w:tcW w:w="386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Gustav III:s Boulevard 34, 5th floor</w:t>
            </w:r>
          </w:p>
        </w:tc>
        <w:tc>
          <w:tcPr>
            <w:tcW w:w="3160" w:type="dxa"/>
            <w:vAlign w:val="bottom"/>
            <w:shd w:val="clear" w:color="auto" w:fill="CCEEFF"/>
          </w:tcPr>
          <w:p>
            <w:pPr>
              <w:ind w:left="8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SE-169 73 Solna</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Sweden</w:t>
            </w:r>
          </w:p>
        </w:tc>
        <w:tc>
          <w:tcPr>
            <w:tcW w:w="3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Medical Imaging AG</w:t>
            </w:r>
          </w:p>
        </w:tc>
        <w:tc>
          <w:tcPr>
            <w:tcW w:w="386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Gewerbestrasse 24</w:t>
            </w:r>
          </w:p>
        </w:tc>
        <w:tc>
          <w:tcPr>
            <w:tcW w:w="3160" w:type="dxa"/>
            <w:vAlign w:val="bottom"/>
            <w:shd w:val="clear" w:color="auto" w:fill="CCEEFF"/>
          </w:tcPr>
          <w:p>
            <w:pPr>
              <w:ind w:left="8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4123 Allschwil</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3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International Switzerland GmbH</w:t>
            </w:r>
          </w:p>
        </w:tc>
        <w:tc>
          <w:tcPr>
            <w:tcW w:w="386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Bahnhofstrasse 98/100,</w:t>
            </w:r>
          </w:p>
        </w:tc>
        <w:tc>
          <w:tcPr>
            <w:tcW w:w="3160" w:type="dxa"/>
            <w:vAlign w:val="bottom"/>
            <w:shd w:val="clear" w:color="auto" w:fill="CCEEFF"/>
          </w:tcPr>
          <w:p>
            <w:pPr>
              <w:ind w:left="8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CH-8001 Zürich,</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3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Ankara Klinik Arastirma Dis Ticaret Anonim Sirketi</w:t>
            </w:r>
          </w:p>
        </w:tc>
        <w:tc>
          <w:tcPr>
            <w:tcW w:w="386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Beştepe Mahallesi Dumlupınar Bulvarı,</w:t>
            </w:r>
          </w:p>
        </w:tc>
        <w:tc>
          <w:tcPr>
            <w:tcW w:w="3160" w:type="dxa"/>
            <w:vAlign w:val="bottom"/>
            <w:shd w:val="clear" w:color="auto" w:fill="CCEEFF"/>
          </w:tcPr>
          <w:p>
            <w:pPr>
              <w:ind w:left="8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6/1211 06520</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Yenimahalle / Ankara</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Turkey</w:t>
            </w:r>
          </w:p>
        </w:tc>
        <w:tc>
          <w:tcPr>
            <w:tcW w:w="3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LLC</w:t>
            </w:r>
          </w:p>
        </w:tc>
        <w:tc>
          <w:tcPr>
            <w:tcW w:w="386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4th Floor,</w:t>
            </w:r>
          </w:p>
        </w:tc>
        <w:tc>
          <w:tcPr>
            <w:tcW w:w="3160" w:type="dxa"/>
            <w:vAlign w:val="bottom"/>
            <w:shd w:val="clear" w:color="auto" w:fill="CCEEFF"/>
          </w:tcPr>
          <w:p>
            <w:pPr>
              <w:ind w:left="88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 Poleva 24,</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Kiev,</w:t>
            </w: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Ukraine, 03056</w:t>
            </w:r>
          </w:p>
        </w:tc>
        <w:tc>
          <w:tcPr>
            <w:tcW w:w="3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8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99</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31. Subsidiary Undertakings </w:t>
            </w:r>
            <w:r>
              <w:rPr>
                <w:rFonts w:ascii="Times New Roman" w:cs="Times New Roman" w:eastAsia="Times New Roman" w:hAnsi="Times New Roman"/>
                <w:sz w:val="18"/>
                <w:szCs w:val="18"/>
                <w:b w:val="1"/>
                <w:bCs w:val="1"/>
                <w:i w:val="1"/>
                <w:iCs w:val="1"/>
                <w:color w:val="auto"/>
              </w:rPr>
              <w:t>(continued)</w:t>
            </w:r>
          </w:p>
        </w:tc>
        <w:tc>
          <w:tcPr>
            <w:tcW w:w="43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43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w:t>
            </w:r>
          </w:p>
        </w:tc>
        <w:tc>
          <w:tcPr>
            <w:tcW w:w="33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Proportion held by Group</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Development Solutions Limited</w:t>
            </w:r>
          </w:p>
        </w:tc>
        <w:tc>
          <w:tcPr>
            <w:tcW w:w="4300" w:type="dxa"/>
            <w:vAlign w:val="bottom"/>
            <w:shd w:val="clear" w:color="auto" w:fill="CCEEFF"/>
          </w:tcPr>
          <w:p>
            <w:pPr>
              <w:ind w:left="760"/>
              <w:spacing w:after="0" w:line="194" w:lineRule="exact"/>
              <w:rPr>
                <w:sz w:val="20"/>
                <w:szCs w:val="20"/>
                <w:color w:val="auto"/>
              </w:rPr>
            </w:pPr>
            <w:r>
              <w:rPr>
                <w:rFonts w:ascii="Times New Roman" w:cs="Times New Roman" w:eastAsia="Times New Roman" w:hAnsi="Times New Roman"/>
                <w:sz w:val="18"/>
                <w:szCs w:val="18"/>
                <w:color w:val="auto"/>
              </w:rPr>
              <w:t>Concept House,</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 Stoneycroft Rise,</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Chandlers Ford,</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Eastleigh,</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Hampshire,</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SO53 3LD</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United Kingdom</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DOCS International UK Limited</w:t>
            </w:r>
          </w:p>
        </w:tc>
        <w:tc>
          <w:tcPr>
            <w:tcW w:w="4300" w:type="dxa"/>
            <w:vAlign w:val="bottom"/>
            <w:shd w:val="clear" w:color="auto" w:fill="CCEEFF"/>
          </w:tcPr>
          <w:p>
            <w:pPr>
              <w:ind w:left="760"/>
              <w:spacing w:after="0" w:line="194" w:lineRule="exact"/>
              <w:rPr>
                <w:sz w:val="20"/>
                <w:szCs w:val="20"/>
                <w:color w:val="auto"/>
              </w:rPr>
            </w:pPr>
            <w:r>
              <w:rPr>
                <w:rFonts w:ascii="Times New Roman" w:cs="Times New Roman" w:eastAsia="Times New Roman" w:hAnsi="Times New Roman"/>
                <w:sz w:val="18"/>
                <w:szCs w:val="18"/>
                <w:color w:val="auto"/>
              </w:rPr>
              <w:t>Concept House,</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 Stoneycroft Rise</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Chandlers Ford,</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Eastleigh,</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Hampshire,</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SO53 3LD</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United Kingdom</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(U.K.) Limited</w:t>
            </w:r>
          </w:p>
        </w:tc>
        <w:tc>
          <w:tcPr>
            <w:tcW w:w="4300" w:type="dxa"/>
            <w:vAlign w:val="bottom"/>
            <w:shd w:val="clear" w:color="auto" w:fill="CCEEFF"/>
          </w:tcPr>
          <w:p>
            <w:pPr>
              <w:ind w:left="760"/>
              <w:spacing w:after="0" w:line="194" w:lineRule="exact"/>
              <w:rPr>
                <w:sz w:val="20"/>
                <w:szCs w:val="20"/>
                <w:color w:val="auto"/>
              </w:rPr>
            </w:pPr>
            <w:r>
              <w:rPr>
                <w:rFonts w:ascii="Times New Roman" w:cs="Times New Roman" w:eastAsia="Times New Roman" w:hAnsi="Times New Roman"/>
                <w:sz w:val="18"/>
                <w:szCs w:val="18"/>
                <w:color w:val="auto"/>
              </w:rPr>
              <w:t>Concept House,</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 Stoneycroft Rise,</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Chandlers Ford,</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Eastleigh,</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Hampshire,</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SO53 3LD,</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United Kingdom</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S.A.</w:t>
            </w:r>
          </w:p>
        </w:tc>
        <w:tc>
          <w:tcPr>
            <w:tcW w:w="4300" w:type="dxa"/>
            <w:vAlign w:val="bottom"/>
            <w:shd w:val="clear" w:color="auto" w:fill="CCEEFF"/>
          </w:tcPr>
          <w:p>
            <w:pPr>
              <w:ind w:left="760"/>
              <w:spacing w:after="0" w:line="194" w:lineRule="exact"/>
              <w:rPr>
                <w:sz w:val="20"/>
                <w:szCs w:val="20"/>
                <w:color w:val="auto"/>
              </w:rPr>
            </w:pPr>
            <w:r>
              <w:rPr>
                <w:rFonts w:ascii="Times New Roman" w:cs="Times New Roman" w:eastAsia="Times New Roman" w:hAnsi="Times New Roman"/>
                <w:sz w:val="18"/>
                <w:szCs w:val="18"/>
                <w:color w:val="auto"/>
              </w:rPr>
              <w:t>Avenida Leandro N. Alem 1110,</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Piso 13°,</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Ciudad Autónoma de Buenos Aires</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Argentina</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Pesquisas Clinicas LTDA</w:t>
            </w:r>
          </w:p>
        </w:tc>
        <w:tc>
          <w:tcPr>
            <w:tcW w:w="4300" w:type="dxa"/>
            <w:vAlign w:val="bottom"/>
            <w:shd w:val="clear" w:color="auto" w:fill="CCEEFF"/>
          </w:tcPr>
          <w:p>
            <w:pPr>
              <w:ind w:left="760"/>
              <w:spacing w:after="0" w:line="194" w:lineRule="exact"/>
              <w:rPr>
                <w:sz w:val="20"/>
                <w:szCs w:val="20"/>
                <w:color w:val="auto"/>
              </w:rPr>
            </w:pPr>
            <w:r>
              <w:rPr>
                <w:rFonts w:ascii="Times New Roman" w:cs="Times New Roman" w:eastAsia="Times New Roman" w:hAnsi="Times New Roman"/>
                <w:sz w:val="18"/>
                <w:szCs w:val="18"/>
                <w:color w:val="auto"/>
              </w:rPr>
              <w:t>Av. Ibirapuera 2332,</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Torre II 4º Andar,</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São Paulo,</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SP Brazil</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(Canada) Inc.</w:t>
            </w:r>
          </w:p>
        </w:tc>
        <w:tc>
          <w:tcPr>
            <w:tcW w:w="4300" w:type="dxa"/>
            <w:vAlign w:val="bottom"/>
            <w:shd w:val="clear" w:color="auto" w:fill="CCEEFF"/>
          </w:tcPr>
          <w:p>
            <w:pPr>
              <w:ind w:left="760"/>
              <w:spacing w:after="0" w:line="194" w:lineRule="exact"/>
              <w:rPr>
                <w:sz w:val="20"/>
                <w:szCs w:val="20"/>
                <w:color w:val="auto"/>
              </w:rPr>
            </w:pPr>
            <w:r>
              <w:rPr>
                <w:rFonts w:ascii="Times New Roman" w:cs="Times New Roman" w:eastAsia="Times New Roman" w:hAnsi="Times New Roman"/>
                <w:sz w:val="18"/>
                <w:szCs w:val="18"/>
                <w:color w:val="auto"/>
              </w:rPr>
              <w:t>7405 Trans-Canada Highway,</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Suite 300 Saint-Laurent,</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Quebec H4T 1Z2</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Canada</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Oxford Outcomes Limited</w:t>
            </w:r>
          </w:p>
        </w:tc>
        <w:tc>
          <w:tcPr>
            <w:tcW w:w="4300" w:type="dxa"/>
            <w:vAlign w:val="bottom"/>
            <w:shd w:val="clear" w:color="auto" w:fill="CCEEFF"/>
          </w:tcPr>
          <w:p>
            <w:pPr>
              <w:ind w:left="760"/>
              <w:spacing w:after="0" w:line="194" w:lineRule="exact"/>
              <w:rPr>
                <w:sz w:val="20"/>
                <w:szCs w:val="20"/>
                <w:color w:val="auto"/>
              </w:rPr>
            </w:pPr>
            <w:r>
              <w:rPr>
                <w:rFonts w:ascii="Times New Roman" w:cs="Times New Roman" w:eastAsia="Times New Roman" w:hAnsi="Times New Roman"/>
                <w:sz w:val="18"/>
                <w:szCs w:val="18"/>
                <w:color w:val="auto"/>
              </w:rPr>
              <w:t>19th Floor</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885 West Georgia Street</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Vancouver BC V6C 3H4</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Canada</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Chile Limitada</w:t>
            </w:r>
          </w:p>
        </w:tc>
        <w:tc>
          <w:tcPr>
            <w:tcW w:w="4300" w:type="dxa"/>
            <w:vAlign w:val="bottom"/>
            <w:shd w:val="clear" w:color="auto" w:fill="CCEEFF"/>
          </w:tcPr>
          <w:p>
            <w:pPr>
              <w:ind w:left="760"/>
              <w:spacing w:after="0" w:line="194" w:lineRule="exact"/>
              <w:rPr>
                <w:sz w:val="20"/>
                <w:szCs w:val="20"/>
                <w:color w:val="auto"/>
              </w:rPr>
            </w:pPr>
            <w:r>
              <w:rPr>
                <w:rFonts w:ascii="Times New Roman" w:cs="Times New Roman" w:eastAsia="Times New Roman" w:hAnsi="Times New Roman"/>
                <w:sz w:val="18"/>
                <w:szCs w:val="18"/>
                <w:color w:val="auto"/>
              </w:rPr>
              <w:t>Huerfanos 770</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Piso 4</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Oficina 402</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Santiago</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Chile</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3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100</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31. Subsidiary Undertakings </w:t>
            </w:r>
            <w:r>
              <w:rPr>
                <w:rFonts w:ascii="Times New Roman" w:cs="Times New Roman" w:eastAsia="Times New Roman" w:hAnsi="Times New Roman"/>
                <w:sz w:val="18"/>
                <w:szCs w:val="18"/>
                <w:b w:val="1"/>
                <w:bCs w:val="1"/>
                <w:i w:val="1"/>
                <w:iCs w:val="1"/>
                <w:color w:val="auto"/>
              </w:rPr>
              <w:t>(continued)</w:t>
            </w:r>
          </w:p>
        </w:tc>
        <w:tc>
          <w:tcPr>
            <w:tcW w:w="39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w:t>
            </w:r>
          </w:p>
        </w:tc>
        <w:tc>
          <w:tcPr>
            <w:tcW w:w="3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i w:val="1"/>
                <w:iCs w:val="1"/>
                <w:color w:val="auto"/>
              </w:rPr>
              <w:t>Proportion held by Group</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México, S.A. de C.V.</w:t>
            </w:r>
          </w:p>
        </w:tc>
        <w:tc>
          <w:tcPr>
            <w:tcW w:w="3940" w:type="dxa"/>
            <w:vAlign w:val="bottom"/>
            <w:shd w:val="clear" w:color="auto" w:fill="CCEEFF"/>
          </w:tcPr>
          <w:p>
            <w:pPr>
              <w:ind w:left="420"/>
              <w:spacing w:after="0" w:line="194" w:lineRule="exact"/>
              <w:rPr>
                <w:sz w:val="20"/>
                <w:szCs w:val="20"/>
                <w:color w:val="auto"/>
              </w:rPr>
            </w:pPr>
            <w:r>
              <w:rPr>
                <w:rFonts w:ascii="Times New Roman" w:cs="Times New Roman" w:eastAsia="Times New Roman" w:hAnsi="Times New Roman"/>
                <w:sz w:val="18"/>
                <w:szCs w:val="18"/>
                <w:color w:val="auto"/>
              </w:rPr>
              <w:t>Barranca del Muerto 329 3rd Floor</w:t>
            </w:r>
          </w:p>
        </w:tc>
        <w:tc>
          <w:tcPr>
            <w:tcW w:w="3320" w:type="dxa"/>
            <w:vAlign w:val="bottom"/>
            <w:shd w:val="clear" w:color="auto" w:fill="CCEEFF"/>
          </w:tcPr>
          <w:p>
            <w:pPr>
              <w:ind w:left="104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Col. San Jose Insugentes</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03900 Mexico D.F.</w:t>
            </w:r>
          </w:p>
        </w:tc>
        <w:tc>
          <w:tcPr>
            <w:tcW w:w="3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Peru S.A</w:t>
            </w:r>
          </w:p>
        </w:tc>
        <w:tc>
          <w:tcPr>
            <w:tcW w:w="3940" w:type="dxa"/>
            <w:vAlign w:val="bottom"/>
            <w:shd w:val="clear" w:color="auto" w:fill="CCEEFF"/>
          </w:tcPr>
          <w:p>
            <w:pPr>
              <w:ind w:left="420"/>
              <w:spacing w:after="0" w:line="194" w:lineRule="exact"/>
              <w:rPr>
                <w:sz w:val="20"/>
                <w:szCs w:val="20"/>
                <w:color w:val="auto"/>
              </w:rPr>
            </w:pPr>
            <w:r>
              <w:rPr>
                <w:rFonts w:ascii="Times New Roman" w:cs="Times New Roman" w:eastAsia="Times New Roman" w:hAnsi="Times New Roman"/>
                <w:sz w:val="18"/>
                <w:szCs w:val="18"/>
                <w:color w:val="auto"/>
              </w:rPr>
              <w:t>Av. 28 de Julio 150,</w:t>
            </w:r>
          </w:p>
        </w:tc>
        <w:tc>
          <w:tcPr>
            <w:tcW w:w="3320" w:type="dxa"/>
            <w:vAlign w:val="bottom"/>
            <w:shd w:val="clear" w:color="auto" w:fill="CCEEFF"/>
          </w:tcPr>
          <w:p>
            <w:pPr>
              <w:ind w:left="104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Piso 6,</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Miraflores,</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Lima 18,</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Peru</w:t>
            </w:r>
          </w:p>
        </w:tc>
        <w:tc>
          <w:tcPr>
            <w:tcW w:w="3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PTY Limited</w:t>
            </w:r>
          </w:p>
        </w:tc>
        <w:tc>
          <w:tcPr>
            <w:tcW w:w="3940" w:type="dxa"/>
            <w:vAlign w:val="bottom"/>
            <w:shd w:val="clear" w:color="auto" w:fill="CCEEFF"/>
          </w:tcPr>
          <w:p>
            <w:pPr>
              <w:ind w:left="420"/>
              <w:spacing w:after="0" w:line="194" w:lineRule="exact"/>
              <w:rPr>
                <w:sz w:val="20"/>
                <w:szCs w:val="20"/>
                <w:color w:val="auto"/>
              </w:rPr>
            </w:pPr>
            <w:r>
              <w:rPr>
                <w:rFonts w:ascii="Times New Roman" w:cs="Times New Roman" w:eastAsia="Times New Roman" w:hAnsi="Times New Roman"/>
                <w:sz w:val="18"/>
                <w:szCs w:val="18"/>
                <w:color w:val="auto"/>
              </w:rPr>
              <w:t>Suite 201,</w:t>
            </w:r>
          </w:p>
        </w:tc>
        <w:tc>
          <w:tcPr>
            <w:tcW w:w="3320" w:type="dxa"/>
            <w:vAlign w:val="bottom"/>
            <w:shd w:val="clear" w:color="auto" w:fill="CCEEFF"/>
          </w:tcPr>
          <w:p>
            <w:pPr>
              <w:ind w:left="104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Level 2, 2-4 Lyon Park Road,</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North Ryde,</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NSW 2113</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Australia</w:t>
            </w:r>
          </w:p>
        </w:tc>
        <w:tc>
          <w:tcPr>
            <w:tcW w:w="3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Aptiv Solutions (Australia) PTY Ltd</w:t>
            </w:r>
          </w:p>
        </w:tc>
        <w:tc>
          <w:tcPr>
            <w:tcW w:w="3940" w:type="dxa"/>
            <w:vAlign w:val="bottom"/>
            <w:shd w:val="clear" w:color="auto" w:fill="CCEEFF"/>
          </w:tcPr>
          <w:p>
            <w:pPr>
              <w:ind w:left="420"/>
              <w:spacing w:after="0" w:line="194" w:lineRule="exact"/>
              <w:rPr>
                <w:sz w:val="20"/>
                <w:szCs w:val="20"/>
                <w:color w:val="auto"/>
              </w:rPr>
            </w:pPr>
            <w:r>
              <w:rPr>
                <w:rFonts w:ascii="Times New Roman" w:cs="Times New Roman" w:eastAsia="Times New Roman" w:hAnsi="Times New Roman"/>
                <w:sz w:val="18"/>
                <w:szCs w:val="18"/>
                <w:color w:val="auto"/>
              </w:rPr>
              <w:t>SCHWEIZER KOBRAS</w:t>
            </w:r>
          </w:p>
        </w:tc>
        <w:tc>
          <w:tcPr>
            <w:tcW w:w="3320" w:type="dxa"/>
            <w:vAlign w:val="bottom"/>
            <w:shd w:val="clear" w:color="auto" w:fill="CCEEFF"/>
          </w:tcPr>
          <w:p>
            <w:pPr>
              <w:ind w:left="104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Level 5,</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23-25 O'Connell Street,</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Sydney NSW 2000,</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Australia</w:t>
            </w:r>
          </w:p>
        </w:tc>
        <w:tc>
          <w:tcPr>
            <w:tcW w:w="3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Austria GmbH</w:t>
            </w:r>
          </w:p>
        </w:tc>
        <w:tc>
          <w:tcPr>
            <w:tcW w:w="3940" w:type="dxa"/>
            <w:vAlign w:val="bottom"/>
            <w:shd w:val="clear" w:color="auto" w:fill="CCEEFF"/>
          </w:tcPr>
          <w:p>
            <w:pPr>
              <w:ind w:left="420"/>
              <w:spacing w:after="0" w:line="194" w:lineRule="exact"/>
              <w:rPr>
                <w:sz w:val="20"/>
                <w:szCs w:val="20"/>
                <w:color w:val="auto"/>
              </w:rPr>
            </w:pPr>
            <w:r>
              <w:rPr>
                <w:rFonts w:ascii="Times New Roman" w:cs="Times New Roman" w:eastAsia="Times New Roman" w:hAnsi="Times New Roman"/>
                <w:sz w:val="18"/>
                <w:szCs w:val="18"/>
                <w:color w:val="auto"/>
              </w:rPr>
              <w:t>Pyrkergasse 10/6</w:t>
            </w:r>
          </w:p>
        </w:tc>
        <w:tc>
          <w:tcPr>
            <w:tcW w:w="3320" w:type="dxa"/>
            <w:vAlign w:val="bottom"/>
            <w:shd w:val="clear" w:color="auto" w:fill="CCEEFF"/>
          </w:tcPr>
          <w:p>
            <w:pPr>
              <w:ind w:left="104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1190 Vienna</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Austria</w:t>
            </w:r>
          </w:p>
        </w:tc>
        <w:tc>
          <w:tcPr>
            <w:tcW w:w="3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(Beijing) Co., Limited</w:t>
            </w:r>
          </w:p>
        </w:tc>
        <w:tc>
          <w:tcPr>
            <w:tcW w:w="3940" w:type="dxa"/>
            <w:vAlign w:val="bottom"/>
            <w:shd w:val="clear" w:color="auto" w:fill="CCEEFF"/>
          </w:tcPr>
          <w:p>
            <w:pPr>
              <w:ind w:left="420"/>
              <w:spacing w:after="0" w:line="194" w:lineRule="exact"/>
              <w:rPr>
                <w:sz w:val="20"/>
                <w:szCs w:val="20"/>
                <w:color w:val="auto"/>
              </w:rPr>
            </w:pPr>
            <w:r>
              <w:rPr>
                <w:rFonts w:ascii="Times New Roman" w:cs="Times New Roman" w:eastAsia="Times New Roman" w:hAnsi="Times New Roman"/>
                <w:sz w:val="18"/>
                <w:szCs w:val="18"/>
                <w:color w:val="auto"/>
              </w:rPr>
              <w:t>Room B1101,</w:t>
            </w:r>
          </w:p>
        </w:tc>
        <w:tc>
          <w:tcPr>
            <w:tcW w:w="3320" w:type="dxa"/>
            <w:vAlign w:val="bottom"/>
            <w:shd w:val="clear" w:color="auto" w:fill="CCEEFF"/>
          </w:tcPr>
          <w:p>
            <w:pPr>
              <w:ind w:left="104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Tower No. 1,</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line="212" w:lineRule="exact"/>
              <w:rPr>
                <w:sz w:val="20"/>
                <w:szCs w:val="20"/>
                <w:color w:val="auto"/>
              </w:rPr>
            </w:pPr>
            <w:r>
              <w:rPr>
                <w:rFonts w:ascii="Times New Roman" w:cs="Times New Roman" w:eastAsia="Times New Roman" w:hAnsi="Times New Roman"/>
                <w:sz w:val="18"/>
                <w:szCs w:val="18"/>
                <w:color w:val="auto"/>
              </w:rPr>
              <w:t>No. 36 North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Ring Road East,</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Dong Cheng District,</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Beijing,</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China</w:t>
            </w:r>
          </w:p>
        </w:tc>
        <w:tc>
          <w:tcPr>
            <w:tcW w:w="3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(Beijing No.2) Co., Limited</w:t>
            </w:r>
          </w:p>
        </w:tc>
        <w:tc>
          <w:tcPr>
            <w:tcW w:w="3940" w:type="dxa"/>
            <w:vAlign w:val="bottom"/>
            <w:shd w:val="clear" w:color="auto" w:fill="CCEEFF"/>
          </w:tcPr>
          <w:p>
            <w:pPr>
              <w:ind w:left="420"/>
              <w:spacing w:after="0" w:line="194" w:lineRule="exact"/>
              <w:rPr>
                <w:sz w:val="20"/>
                <w:szCs w:val="20"/>
                <w:color w:val="auto"/>
              </w:rPr>
            </w:pPr>
            <w:r>
              <w:rPr>
                <w:rFonts w:ascii="Times New Roman" w:cs="Times New Roman" w:eastAsia="Times New Roman" w:hAnsi="Times New Roman"/>
                <w:sz w:val="18"/>
                <w:szCs w:val="18"/>
                <w:color w:val="auto"/>
              </w:rPr>
              <w:t>Room 335,</w:t>
            </w:r>
          </w:p>
        </w:tc>
        <w:tc>
          <w:tcPr>
            <w:tcW w:w="3320" w:type="dxa"/>
            <w:vAlign w:val="bottom"/>
            <w:shd w:val="clear" w:color="auto" w:fill="CCEEFF"/>
          </w:tcPr>
          <w:p>
            <w:pPr>
              <w:ind w:left="104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No.8, An Ning Zhuang East Road,</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Haidian District,</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Beijing,</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China</w:t>
            </w:r>
          </w:p>
        </w:tc>
        <w:tc>
          <w:tcPr>
            <w:tcW w:w="3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Aptiv Solutions</w:t>
            </w:r>
          </w:p>
        </w:tc>
        <w:tc>
          <w:tcPr>
            <w:tcW w:w="3940" w:type="dxa"/>
            <w:vAlign w:val="bottom"/>
            <w:shd w:val="clear" w:color="auto" w:fill="CCEEFF"/>
          </w:tcPr>
          <w:p>
            <w:pPr>
              <w:ind w:left="420"/>
              <w:spacing w:after="0" w:line="194" w:lineRule="exact"/>
              <w:rPr>
                <w:sz w:val="20"/>
                <w:szCs w:val="20"/>
                <w:color w:val="auto"/>
              </w:rPr>
            </w:pPr>
            <w:r>
              <w:rPr>
                <w:rFonts w:ascii="Times New Roman" w:cs="Times New Roman" w:eastAsia="Times New Roman" w:hAnsi="Times New Roman"/>
                <w:sz w:val="18"/>
                <w:szCs w:val="18"/>
                <w:color w:val="auto"/>
              </w:rPr>
              <w:t>5 Rue de Talus</w:t>
            </w:r>
          </w:p>
        </w:tc>
        <w:tc>
          <w:tcPr>
            <w:tcW w:w="3320" w:type="dxa"/>
            <w:vAlign w:val="bottom"/>
            <w:shd w:val="clear" w:color="auto" w:fill="CCEEFF"/>
          </w:tcPr>
          <w:p>
            <w:pPr>
              <w:ind w:left="104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67400 Illkirch-Graffenstaden</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478 619 950 RCS Strasbourg</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France</w:t>
            </w:r>
          </w:p>
        </w:tc>
        <w:tc>
          <w:tcPr>
            <w:tcW w:w="3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Aptiv Solutions GmbH</w:t>
            </w:r>
          </w:p>
        </w:tc>
        <w:tc>
          <w:tcPr>
            <w:tcW w:w="3940" w:type="dxa"/>
            <w:vAlign w:val="bottom"/>
            <w:shd w:val="clear" w:color="auto" w:fill="CCEEFF"/>
          </w:tcPr>
          <w:p>
            <w:pPr>
              <w:ind w:left="420"/>
              <w:spacing w:after="0" w:line="194" w:lineRule="exact"/>
              <w:rPr>
                <w:sz w:val="20"/>
                <w:szCs w:val="20"/>
                <w:color w:val="auto"/>
              </w:rPr>
            </w:pPr>
            <w:r>
              <w:rPr>
                <w:rFonts w:ascii="Times New Roman" w:cs="Times New Roman" w:eastAsia="Times New Roman" w:hAnsi="Times New Roman"/>
                <w:sz w:val="18"/>
                <w:szCs w:val="18"/>
                <w:color w:val="auto"/>
              </w:rPr>
              <w:t>Robert-Perthel-Str. 77a,</w:t>
            </w:r>
          </w:p>
        </w:tc>
        <w:tc>
          <w:tcPr>
            <w:tcW w:w="3320" w:type="dxa"/>
            <w:vAlign w:val="bottom"/>
            <w:shd w:val="clear" w:color="auto" w:fill="CCEEFF"/>
          </w:tcPr>
          <w:p>
            <w:pPr>
              <w:ind w:left="104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50739 Koeln,</w:t>
            </w: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Germany</w:t>
            </w:r>
          </w:p>
        </w:tc>
        <w:tc>
          <w:tcPr>
            <w:tcW w:w="3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9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101</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31. Subsidiary Undertakings </w:t>
            </w:r>
            <w:r>
              <w:rPr>
                <w:rFonts w:ascii="Times New Roman" w:cs="Times New Roman" w:eastAsia="Times New Roman" w:hAnsi="Times New Roman"/>
                <w:sz w:val="18"/>
                <w:szCs w:val="18"/>
                <w:b w:val="1"/>
                <w:bCs w:val="1"/>
                <w:i w:val="1"/>
                <w:iCs w:val="1"/>
                <w:color w:val="auto"/>
              </w:rPr>
              <w:t>(continued)</w:t>
            </w:r>
          </w:p>
        </w:tc>
        <w:tc>
          <w:tcPr>
            <w:tcW w:w="41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41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w:t>
            </w:r>
          </w:p>
        </w:tc>
        <w:tc>
          <w:tcPr>
            <w:tcW w:w="32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i w:val="1"/>
                <w:iCs w:val="1"/>
                <w:color w:val="auto"/>
              </w:rPr>
              <w:t>Proportion held by Group</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India Private Limited</w:t>
            </w:r>
          </w:p>
        </w:tc>
        <w:tc>
          <w:tcPr>
            <w:tcW w:w="4140" w:type="dxa"/>
            <w:vAlign w:val="bottom"/>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auto"/>
              </w:rPr>
              <w:t>RMZ Millenia Business Park,</w:t>
            </w:r>
          </w:p>
        </w:tc>
        <w:tc>
          <w:tcPr>
            <w:tcW w:w="3200" w:type="dxa"/>
            <w:vAlign w:val="bottom"/>
            <w:shd w:val="clear" w:color="auto" w:fill="CCEEFF"/>
          </w:tcPr>
          <w:p>
            <w:pPr>
              <w:ind w:left="9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Block 3A - 2nd Floor,</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#143 Dr. MGR Road,</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Kandanchavady,</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Chennai,</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Tamil Nadu,</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India 600 096</w:t>
            </w: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Korea Yuhan Hoesa</w:t>
            </w:r>
          </w:p>
        </w:tc>
        <w:tc>
          <w:tcPr>
            <w:tcW w:w="4140" w:type="dxa"/>
            <w:vAlign w:val="bottom"/>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auto"/>
              </w:rPr>
              <w:t>18th Floor</w:t>
            </w:r>
          </w:p>
        </w:tc>
        <w:tc>
          <w:tcPr>
            <w:tcW w:w="3200" w:type="dxa"/>
            <w:vAlign w:val="bottom"/>
            <w:shd w:val="clear" w:color="auto" w:fill="CCEEFF"/>
          </w:tcPr>
          <w:p>
            <w:pPr>
              <w:ind w:left="9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Capital Tower</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142, Teheran-ro</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Gangnam-gu</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Seoul</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135-924</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Republic of Korea</w:t>
            </w: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Hong Kong Limited</w:t>
            </w:r>
          </w:p>
        </w:tc>
        <w:tc>
          <w:tcPr>
            <w:tcW w:w="4140" w:type="dxa"/>
            <w:vAlign w:val="bottom"/>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auto"/>
              </w:rPr>
              <w:t>Unit 3606, 36th/F</w:t>
            </w:r>
          </w:p>
        </w:tc>
        <w:tc>
          <w:tcPr>
            <w:tcW w:w="3200" w:type="dxa"/>
            <w:vAlign w:val="bottom"/>
            <w:shd w:val="clear" w:color="auto" w:fill="CCEEFF"/>
          </w:tcPr>
          <w:p>
            <w:pPr>
              <w:ind w:left="9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Skyline Tower, 39 Wang Kwong Road</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Kowloon Bay, Kowloon</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Hong Kong</w:t>
            </w: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CRO Malaysia SDN. BHD.</w:t>
            </w:r>
          </w:p>
        </w:tc>
        <w:tc>
          <w:tcPr>
            <w:tcW w:w="4140" w:type="dxa"/>
            <w:vAlign w:val="bottom"/>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auto"/>
              </w:rPr>
              <w:t>Level 10, 1 Sentral, Jalan Travers,</w:t>
            </w:r>
          </w:p>
        </w:tc>
        <w:tc>
          <w:tcPr>
            <w:tcW w:w="3200" w:type="dxa"/>
            <w:vAlign w:val="bottom"/>
            <w:shd w:val="clear" w:color="auto" w:fill="CCEEFF"/>
          </w:tcPr>
          <w:p>
            <w:pPr>
              <w:ind w:left="9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Kuala Lumpur Sentral,</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P.O. Box 10192,</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50706 Kuala Lumpur</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Malaysia</w:t>
            </w: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(Rus) LLC</w:t>
            </w:r>
          </w:p>
        </w:tc>
        <w:tc>
          <w:tcPr>
            <w:tcW w:w="4140" w:type="dxa"/>
            <w:vAlign w:val="bottom"/>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auto"/>
              </w:rPr>
              <w:t>24D Smolnaya Street,</w:t>
            </w:r>
          </w:p>
        </w:tc>
        <w:tc>
          <w:tcPr>
            <w:tcW w:w="3200" w:type="dxa"/>
            <w:vAlign w:val="bottom"/>
            <w:shd w:val="clear" w:color="auto" w:fill="CCEEFF"/>
          </w:tcPr>
          <w:p>
            <w:pPr>
              <w:ind w:left="9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Moscow, 125445,</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Russian Federation</w:t>
            </w: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(Switzerland) GbmH</w:t>
            </w:r>
          </w:p>
        </w:tc>
        <w:tc>
          <w:tcPr>
            <w:tcW w:w="4140" w:type="dxa"/>
            <w:vAlign w:val="bottom"/>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auto"/>
              </w:rPr>
              <w:t>Gewerbestrasse 24</w:t>
            </w:r>
          </w:p>
        </w:tc>
        <w:tc>
          <w:tcPr>
            <w:tcW w:w="3200" w:type="dxa"/>
            <w:vAlign w:val="bottom"/>
            <w:shd w:val="clear" w:color="auto" w:fill="CCEEFF"/>
          </w:tcPr>
          <w:p>
            <w:pPr>
              <w:ind w:left="9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4123 Allschwil</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Switzerland</w:t>
            </w: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(New Zealand) Limited</w:t>
            </w:r>
          </w:p>
        </w:tc>
        <w:tc>
          <w:tcPr>
            <w:tcW w:w="4140" w:type="dxa"/>
            <w:vAlign w:val="bottom"/>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auto"/>
              </w:rPr>
              <w:t>Plaza Level,</w:t>
            </w:r>
          </w:p>
        </w:tc>
        <w:tc>
          <w:tcPr>
            <w:tcW w:w="3200" w:type="dxa"/>
            <w:vAlign w:val="bottom"/>
            <w:shd w:val="clear" w:color="auto" w:fill="CCEEFF"/>
          </w:tcPr>
          <w:p>
            <w:pPr>
              <w:ind w:left="9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AXA Centre,</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 Shortland Street,</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Auckland,</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New Zealand 1010</w:t>
            </w: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Services Philippines, Inc.</w:t>
            </w:r>
          </w:p>
        </w:tc>
        <w:tc>
          <w:tcPr>
            <w:tcW w:w="4140" w:type="dxa"/>
            <w:vAlign w:val="bottom"/>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auto"/>
              </w:rPr>
              <w:t>24th Floor Salcedo Towers,</w:t>
            </w:r>
          </w:p>
        </w:tc>
        <w:tc>
          <w:tcPr>
            <w:tcW w:w="3200" w:type="dxa"/>
            <w:vAlign w:val="bottom"/>
            <w:shd w:val="clear" w:color="auto" w:fill="CCEEFF"/>
          </w:tcPr>
          <w:p>
            <w:pPr>
              <w:ind w:left="9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169 H.V. Dela Costa Street,</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Salcedo Village,</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Makati City,</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Philippines 1227</w:t>
            </w: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(Pte) Limited</w:t>
            </w:r>
          </w:p>
        </w:tc>
        <w:tc>
          <w:tcPr>
            <w:tcW w:w="4140" w:type="dxa"/>
            <w:vAlign w:val="bottom"/>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auto"/>
              </w:rPr>
              <w:t>24 Raffles Place #24-03</w:t>
            </w:r>
          </w:p>
        </w:tc>
        <w:tc>
          <w:tcPr>
            <w:tcW w:w="3200" w:type="dxa"/>
            <w:vAlign w:val="bottom"/>
            <w:shd w:val="clear" w:color="auto" w:fill="CCEEFF"/>
          </w:tcPr>
          <w:p>
            <w:pPr>
              <w:ind w:left="9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Clifford Centre</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Singapore 048621</w:t>
            </w: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1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102</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31. Subsidiary Undertakings </w:t>
            </w:r>
            <w:r>
              <w:rPr>
                <w:rFonts w:ascii="Times New Roman" w:cs="Times New Roman" w:eastAsia="Times New Roman" w:hAnsi="Times New Roman"/>
                <w:sz w:val="18"/>
                <w:szCs w:val="18"/>
                <w:b w:val="1"/>
                <w:bCs w:val="1"/>
                <w:i w:val="1"/>
                <w:iCs w:val="1"/>
                <w:color w:val="auto"/>
              </w:rPr>
              <w:t>(continued)</w:t>
            </w:r>
          </w:p>
        </w:tc>
        <w:tc>
          <w:tcPr>
            <w:tcW w:w="4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42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w:t>
            </w:r>
          </w:p>
        </w:tc>
        <w:tc>
          <w:tcPr>
            <w:tcW w:w="33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Proportion held by Group</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(Thailand) Limited</w:t>
            </w:r>
          </w:p>
        </w:tc>
        <w:tc>
          <w:tcPr>
            <w:tcW w:w="4260" w:type="dxa"/>
            <w:vAlign w:val="bottom"/>
            <w:shd w:val="clear" w:color="auto" w:fill="CCEEFF"/>
          </w:tcPr>
          <w:p>
            <w:pPr>
              <w:ind w:left="720"/>
              <w:spacing w:after="0" w:line="194" w:lineRule="exact"/>
              <w:rPr>
                <w:sz w:val="20"/>
                <w:szCs w:val="20"/>
                <w:color w:val="auto"/>
              </w:rPr>
            </w:pPr>
            <w:r>
              <w:rPr>
                <w:rFonts w:ascii="Times New Roman" w:cs="Times New Roman" w:eastAsia="Times New Roman" w:hAnsi="Times New Roman"/>
                <w:sz w:val="18"/>
                <w:szCs w:val="18"/>
                <w:color w:val="auto"/>
              </w:rPr>
              <w:t>1 Empire Tower,</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24th Floor,</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Unit No. 2408,</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South Sathorn Road,</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Yannawa,</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Sathorn,</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Bangkok, 10120</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Thailand</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Clinical Research Taiwan Limited</w:t>
            </w:r>
          </w:p>
        </w:tc>
        <w:tc>
          <w:tcPr>
            <w:tcW w:w="4260" w:type="dxa"/>
            <w:vAlign w:val="bottom"/>
            <w:shd w:val="clear" w:color="auto" w:fill="CCEEFF"/>
          </w:tcPr>
          <w:p>
            <w:pPr>
              <w:ind w:left="720"/>
              <w:spacing w:after="0" w:line="194" w:lineRule="exact"/>
              <w:rPr>
                <w:sz w:val="20"/>
                <w:szCs w:val="20"/>
                <w:color w:val="auto"/>
              </w:rPr>
            </w:pPr>
            <w:r>
              <w:rPr>
                <w:rFonts w:ascii="Times New Roman" w:cs="Times New Roman" w:eastAsia="Times New Roman" w:hAnsi="Times New Roman"/>
                <w:sz w:val="18"/>
                <w:szCs w:val="18"/>
                <w:color w:val="auto"/>
              </w:rPr>
              <w:t>2F, No. 96, Sec 1,</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Chien Kou North Road,</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Taipei 10495,</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Taiwan, R.O.C.</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ICON Japan K.K.</w:t>
            </w:r>
          </w:p>
        </w:tc>
        <w:tc>
          <w:tcPr>
            <w:tcW w:w="4260" w:type="dxa"/>
            <w:vAlign w:val="bottom"/>
            <w:shd w:val="clear" w:color="auto" w:fill="CCEEFF"/>
          </w:tcPr>
          <w:p>
            <w:pPr>
              <w:ind w:left="720"/>
              <w:spacing w:after="0" w:line="194" w:lineRule="exact"/>
              <w:rPr>
                <w:sz w:val="20"/>
                <w:szCs w:val="20"/>
                <w:color w:val="auto"/>
              </w:rPr>
            </w:pPr>
            <w:r>
              <w:rPr>
                <w:rFonts w:ascii="Times New Roman" w:cs="Times New Roman" w:eastAsia="Times New Roman" w:hAnsi="Times New Roman"/>
                <w:sz w:val="18"/>
                <w:szCs w:val="18"/>
                <w:color w:val="auto"/>
              </w:rPr>
              <w:t>6F-7F MD Kanda Building,</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9-1 Kanda Mitoyocho,</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Chiyoda-ku,</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Tokyo 101-0053,</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Japan</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Niphix K.K.</w:t>
            </w:r>
          </w:p>
        </w:tc>
        <w:tc>
          <w:tcPr>
            <w:tcW w:w="4260" w:type="dxa"/>
            <w:vAlign w:val="bottom"/>
            <w:shd w:val="clear" w:color="auto" w:fill="CCEEFF"/>
          </w:tcPr>
          <w:p>
            <w:pPr>
              <w:ind w:left="720"/>
              <w:spacing w:after="0" w:line="194" w:lineRule="exact"/>
              <w:rPr>
                <w:sz w:val="20"/>
                <w:szCs w:val="20"/>
                <w:color w:val="auto"/>
              </w:rPr>
            </w:pPr>
            <w:r>
              <w:rPr>
                <w:rFonts w:ascii="Times New Roman" w:cs="Times New Roman" w:eastAsia="Times New Roman" w:hAnsi="Times New Roman"/>
                <w:sz w:val="18"/>
                <w:szCs w:val="18"/>
                <w:color w:val="auto"/>
              </w:rPr>
              <w:t>21-7 Kabutocho,</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Nihonbashi,</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Chuo-ku,</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Tokyo 103-0026</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Japan</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Aptiv Solutions Ukraine LLC</w:t>
            </w:r>
          </w:p>
        </w:tc>
        <w:tc>
          <w:tcPr>
            <w:tcW w:w="4260" w:type="dxa"/>
            <w:vAlign w:val="bottom"/>
            <w:shd w:val="clear" w:color="auto" w:fill="CCEEFF"/>
          </w:tcPr>
          <w:p>
            <w:pPr>
              <w:ind w:left="720"/>
              <w:spacing w:after="0" w:line="194" w:lineRule="exact"/>
              <w:rPr>
                <w:sz w:val="20"/>
                <w:szCs w:val="20"/>
                <w:color w:val="auto"/>
              </w:rPr>
            </w:pPr>
            <w:r>
              <w:rPr>
                <w:rFonts w:ascii="Times New Roman" w:cs="Times New Roman" w:eastAsia="Times New Roman" w:hAnsi="Times New Roman"/>
                <w:sz w:val="18"/>
                <w:szCs w:val="18"/>
                <w:color w:val="auto"/>
              </w:rPr>
              <w:t>4th Floor,</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 Poleva 24,</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Kiev,</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Ukraine, 03056</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Aptiv Solutions (UK) Ltd</w:t>
            </w:r>
          </w:p>
        </w:tc>
        <w:tc>
          <w:tcPr>
            <w:tcW w:w="4260" w:type="dxa"/>
            <w:vAlign w:val="bottom"/>
            <w:shd w:val="clear" w:color="auto" w:fill="CCEEFF"/>
          </w:tcPr>
          <w:p>
            <w:pPr>
              <w:ind w:left="720"/>
              <w:spacing w:after="0" w:line="194" w:lineRule="exact"/>
              <w:rPr>
                <w:sz w:val="20"/>
                <w:szCs w:val="20"/>
                <w:color w:val="auto"/>
              </w:rPr>
            </w:pPr>
            <w:r>
              <w:rPr>
                <w:rFonts w:ascii="Times New Roman" w:cs="Times New Roman" w:eastAsia="Times New Roman" w:hAnsi="Times New Roman"/>
                <w:sz w:val="18"/>
                <w:szCs w:val="18"/>
                <w:color w:val="auto"/>
              </w:rPr>
              <w:t>100 Park Drive,</w:t>
            </w:r>
          </w:p>
        </w:tc>
        <w:tc>
          <w:tcPr>
            <w:tcW w:w="3300" w:type="dxa"/>
            <w:vAlign w:val="bottom"/>
            <w:shd w:val="clear" w:color="auto" w:fill="CCEEFF"/>
          </w:tcPr>
          <w:p>
            <w:pPr>
              <w:ind w:left="1020"/>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Milton Park</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4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Abingdon, Oxfordshire, OX14 4RY</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Addplan Inc</w:t>
            </w:r>
          </w:p>
        </w:tc>
        <w:tc>
          <w:tcPr>
            <w:tcW w:w="4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2100 Pennbrook Parkway</w:t>
            </w:r>
          </w:p>
        </w:tc>
        <w:tc>
          <w:tcPr>
            <w:tcW w:w="3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North Wales</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-269240</wp:posOffset>
            </wp:positionV>
            <wp:extent cx="7249160" cy="5391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9160" cy="539115"/>
                    </a:xfrm>
                    <a:prstGeom prst="rect">
                      <a:avLst/>
                    </a:prstGeom>
                    <a:noFill/>
                  </pic:spPr>
                </pic:pic>
              </a:graphicData>
            </a:graphic>
          </wp:anchor>
        </w:drawing>
      </w:r>
    </w:p>
    <w:p>
      <w:pPr>
        <w:ind w:left="4580"/>
        <w:spacing w:after="0"/>
        <w:rPr>
          <w:sz w:val="20"/>
          <w:szCs w:val="20"/>
          <w:color w:val="auto"/>
        </w:rPr>
      </w:pPr>
      <w:r>
        <w:rPr>
          <w:rFonts w:ascii="Times New Roman" w:cs="Times New Roman" w:eastAsia="Times New Roman" w:hAnsi="Times New Roman"/>
          <w:sz w:val="18"/>
          <w:szCs w:val="18"/>
          <w:color w:val="auto"/>
        </w:rPr>
        <w:t>Montgomery County PA 19454</w:t>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United States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held directly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Approval of financial statements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approved these financial statements on 23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April 2015.</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1"/>
          <w:szCs w:val="21"/>
          <w:color w:val="auto"/>
        </w:rPr>
        <w:t>Company Statement of Financial Position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31 December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40" w:type="dxa"/>
            <w:vAlign w:val="bottom"/>
          </w:tcPr>
          <w:p>
            <w:pPr>
              <w:jc w:val="center"/>
              <w:ind w:left="4012"/>
              <w:spacing w:after="0"/>
              <w:rPr>
                <w:sz w:val="20"/>
                <w:szCs w:val="20"/>
                <w:color w:val="auto"/>
              </w:rPr>
            </w:pPr>
            <w:r>
              <w:rPr>
                <w:rFonts w:ascii="Times New Roman" w:cs="Times New Roman" w:eastAsia="Times New Roman" w:hAnsi="Times New Roman"/>
                <w:sz w:val="18"/>
                <w:szCs w:val="18"/>
                <w:b w:val="1"/>
                <w:bCs w:val="1"/>
                <w:i w:val="1"/>
                <w:iCs w:val="1"/>
                <w:color w:val="auto"/>
                <w:w w:val="97"/>
              </w:rPr>
              <w:t>Note</w:t>
            </w: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40" w:type="dxa"/>
            <w:vAlign w:val="bottom"/>
          </w:tcPr>
          <w:p>
            <w:pPr>
              <w:spacing w:after="0"/>
              <w:rPr>
                <w:sz w:val="20"/>
                <w:szCs w:val="20"/>
                <w:color w:val="auto"/>
              </w:rPr>
            </w:pP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1"/>
        </w:trPr>
        <w:tc>
          <w:tcPr>
            <w:tcW w:w="2280" w:type="dxa"/>
            <w:vAlign w:val="bottom"/>
            <w:gridSpan w:val="2"/>
            <w:vMerge w:val="continue"/>
          </w:tcPr>
          <w:p>
            <w:pPr>
              <w:spacing w:after="0"/>
              <w:rPr>
                <w:sz w:val="16"/>
                <w:szCs w:val="16"/>
                <w:color w:val="auto"/>
              </w:rPr>
            </w:pPr>
          </w:p>
        </w:tc>
        <w:tc>
          <w:tcPr>
            <w:tcW w:w="56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56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640" w:type="dxa"/>
            <w:vAlign w:val="bottom"/>
            <w:shd w:val="clear" w:color="auto" w:fill="CCEEFF"/>
          </w:tcPr>
          <w:p>
            <w:pPr>
              <w:jc w:val="center"/>
              <w:ind w:left="4012"/>
              <w:spacing w:after="0"/>
              <w:rPr>
                <w:sz w:val="20"/>
                <w:szCs w:val="20"/>
                <w:color w:val="auto"/>
              </w:rPr>
            </w:pPr>
            <w:r>
              <w:rPr>
                <w:rFonts w:ascii="Times New Roman" w:cs="Times New Roman" w:eastAsia="Times New Roman" w:hAnsi="Times New Roman"/>
                <w:sz w:val="18"/>
                <w:szCs w:val="18"/>
                <w:i w:val="1"/>
                <w:iCs w:val="1"/>
                <w:color w:val="auto"/>
              </w:rPr>
              <w:t>1</w:t>
            </w: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614</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640" w:type="dxa"/>
            <w:vAlign w:val="bottom"/>
          </w:tcPr>
          <w:p>
            <w:pPr>
              <w:jc w:val="center"/>
              <w:ind w:left="4012"/>
              <w:spacing w:after="0"/>
              <w:rPr>
                <w:sz w:val="20"/>
                <w:szCs w:val="20"/>
                <w:color w:val="auto"/>
              </w:rPr>
            </w:pPr>
            <w:r>
              <w:rPr>
                <w:rFonts w:ascii="Times New Roman" w:cs="Times New Roman" w:eastAsia="Times New Roman" w:hAnsi="Times New Roman"/>
                <w:sz w:val="18"/>
                <w:szCs w:val="18"/>
                <w:i w:val="1"/>
                <w:iCs w:val="1"/>
                <w:color w:val="auto"/>
              </w:rPr>
              <w:t>2</w:t>
            </w: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197</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5640" w:type="dxa"/>
            <w:vAlign w:val="bottom"/>
            <w:shd w:val="clear" w:color="auto" w:fill="CCEEFF"/>
          </w:tcPr>
          <w:p>
            <w:pPr>
              <w:jc w:val="center"/>
              <w:ind w:left="4012"/>
              <w:spacing w:after="0"/>
              <w:rPr>
                <w:sz w:val="20"/>
                <w:szCs w:val="20"/>
                <w:color w:val="auto"/>
              </w:rPr>
            </w:pPr>
            <w:r>
              <w:rPr>
                <w:rFonts w:ascii="Times New Roman" w:cs="Times New Roman" w:eastAsia="Times New Roman" w:hAnsi="Times New Roman"/>
                <w:sz w:val="18"/>
                <w:szCs w:val="18"/>
                <w:i w:val="1"/>
                <w:iCs w:val="1"/>
                <w:color w:val="auto"/>
              </w:rPr>
              <w:t>3</w:t>
            </w: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468,124</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524,810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5640" w:type="dxa"/>
            <w:vAlign w:val="bottom"/>
            <w:tcBorders>
              <w:bottom w:val="single" w:sz="8" w:color="auto"/>
            </w:tcBorders>
          </w:tcPr>
          <w:p>
            <w:pPr>
              <w:jc w:val="center"/>
              <w:ind w:left="4012"/>
              <w:spacing w:after="0"/>
              <w:rPr>
                <w:sz w:val="20"/>
                <w:szCs w:val="20"/>
                <w:color w:val="auto"/>
              </w:rPr>
            </w:pPr>
            <w:r>
              <w:rPr>
                <w:rFonts w:ascii="Times New Roman" w:cs="Times New Roman" w:eastAsia="Times New Roman" w:hAnsi="Times New Roman"/>
                <w:sz w:val="18"/>
                <w:szCs w:val="18"/>
                <w:i w:val="1"/>
                <w:iCs w:val="1"/>
                <w:color w:val="auto"/>
              </w:rPr>
              <w:t>4</w:t>
            </w:r>
          </w:p>
        </w:tc>
        <w:tc>
          <w:tcPr>
            <w:tcW w:w="2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410</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56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469,345</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526,757</w:t>
            </w:r>
          </w:p>
        </w:tc>
        <w:tc>
          <w:tcPr>
            <w:tcW w:w="0" w:type="dxa"/>
            <w:vAlign w:val="bottom"/>
          </w:tcPr>
          <w:p>
            <w:pPr>
              <w:spacing w:after="0"/>
              <w:rPr>
                <w:sz w:val="1"/>
                <w:szCs w:val="1"/>
                <w:color w:val="auto"/>
              </w:rPr>
            </w:pPr>
          </w:p>
        </w:tc>
      </w:tr>
      <w:tr>
        <w:trPr>
          <w:trHeight w:val="42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640" w:type="dxa"/>
            <w:vAlign w:val="bottom"/>
            <w:shd w:val="clear" w:color="auto" w:fill="CCEEFF"/>
          </w:tcPr>
          <w:p>
            <w:pPr>
              <w:jc w:val="center"/>
              <w:ind w:left="4012"/>
              <w:spacing w:after="0"/>
              <w:rPr>
                <w:sz w:val="20"/>
                <w:szCs w:val="20"/>
                <w:color w:val="auto"/>
              </w:rPr>
            </w:pPr>
            <w:r>
              <w:rPr>
                <w:rFonts w:ascii="Times New Roman" w:cs="Times New Roman" w:eastAsia="Times New Roman" w:hAnsi="Times New Roman"/>
                <w:sz w:val="18"/>
                <w:szCs w:val="18"/>
                <w:i w:val="1"/>
                <w:iCs w:val="1"/>
                <w:color w:val="auto"/>
              </w:rPr>
              <w:t>5</w:t>
            </w: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2,951</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subsidiary undertakings</w:t>
            </w: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148,272</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137,072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 receivable</w:t>
            </w:r>
          </w:p>
        </w:tc>
        <w:tc>
          <w:tcPr>
            <w:tcW w:w="564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151</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4,516</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3,833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56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155,890</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143,806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64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625,235</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670,563</w:t>
            </w:r>
          </w:p>
        </w:tc>
        <w:tc>
          <w:tcPr>
            <w:tcW w:w="0" w:type="dxa"/>
            <w:vAlign w:val="bottom"/>
          </w:tcPr>
          <w:p>
            <w:pPr>
              <w:spacing w:after="0"/>
              <w:rPr>
                <w:sz w:val="1"/>
                <w:szCs w:val="1"/>
                <w:color w:val="auto"/>
              </w:rPr>
            </w:pPr>
          </w:p>
        </w:tc>
      </w:tr>
      <w:tr>
        <w:trPr>
          <w:trHeight w:val="41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564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5,037</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5640" w:type="dxa"/>
            <w:vAlign w:val="bottom"/>
          </w:tcPr>
          <w:p>
            <w:pPr>
              <w:spacing w:after="0"/>
              <w:rPr>
                <w:sz w:val="18"/>
                <w:szCs w:val="18"/>
                <w:color w:val="auto"/>
              </w:rPr>
            </w:pP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221,965</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199,785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redemption reserve</w:t>
            </w:r>
          </w:p>
        </w:tc>
        <w:tc>
          <w:tcPr>
            <w:tcW w:w="564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305</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 reserve</w:t>
            </w:r>
          </w:p>
        </w:tc>
        <w:tc>
          <w:tcPr>
            <w:tcW w:w="5640" w:type="dxa"/>
            <w:vAlign w:val="bottom"/>
          </w:tcPr>
          <w:p>
            <w:pPr>
              <w:spacing w:after="0"/>
              <w:rPr>
                <w:sz w:val="18"/>
                <w:szCs w:val="18"/>
                <w:color w:val="auto"/>
              </w:rPr>
            </w:pP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58,614</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44,785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564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6,071</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Functional currency translation reserve</w:t>
            </w:r>
          </w:p>
        </w:tc>
        <w:tc>
          <w:tcPr>
            <w:tcW w:w="20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(59,038)</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25,885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56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368,553</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365,282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Attributable to equity holders</w:t>
            </w:r>
          </w:p>
        </w:tc>
        <w:tc>
          <w:tcPr>
            <w:tcW w:w="56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601,507</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647,076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56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601,507</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647,076</w:t>
            </w:r>
          </w:p>
        </w:tc>
        <w:tc>
          <w:tcPr>
            <w:tcW w:w="0" w:type="dxa"/>
            <w:vAlign w:val="bottom"/>
          </w:tcPr>
          <w:p>
            <w:pPr>
              <w:spacing w:after="0"/>
              <w:rPr>
                <w:sz w:val="1"/>
                <w:szCs w:val="1"/>
                <w:color w:val="auto"/>
              </w:rPr>
            </w:pPr>
          </w:p>
        </w:tc>
      </w:tr>
      <w:tr>
        <w:trPr>
          <w:trHeight w:val="40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56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5640" w:type="dxa"/>
            <w:vAlign w:val="bottom"/>
            <w:tcBorders>
              <w:bottom w:val="single" w:sz="8" w:color="auto"/>
            </w:tcBorders>
            <w:shd w:val="clear" w:color="auto" w:fill="CCEEFF"/>
          </w:tcPr>
          <w:p>
            <w:pPr>
              <w:jc w:val="center"/>
              <w:ind w:left="4012"/>
              <w:spacing w:after="0"/>
              <w:rPr>
                <w:sz w:val="20"/>
                <w:szCs w:val="20"/>
                <w:color w:val="auto"/>
              </w:rPr>
            </w:pPr>
            <w:r>
              <w:rPr>
                <w:rFonts w:ascii="Times New Roman" w:cs="Times New Roman" w:eastAsia="Times New Roman" w:hAnsi="Times New Roman"/>
                <w:sz w:val="18"/>
                <w:szCs w:val="18"/>
                <w:i w:val="1"/>
                <w:iCs w:val="1"/>
                <w:color w:val="auto"/>
              </w:rPr>
              <w:t>6</w:t>
            </w:r>
          </w:p>
        </w:tc>
        <w:tc>
          <w:tcPr>
            <w:tcW w:w="2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56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42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64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27</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5640" w:type="dxa"/>
            <w:vAlign w:val="bottom"/>
          </w:tcPr>
          <w:p>
            <w:pPr>
              <w:jc w:val="center"/>
              <w:ind w:left="4012"/>
              <w:spacing w:after="0"/>
              <w:rPr>
                <w:sz w:val="20"/>
                <w:szCs w:val="20"/>
                <w:color w:val="auto"/>
              </w:rPr>
            </w:pPr>
            <w:r>
              <w:rPr>
                <w:rFonts w:ascii="Times New Roman" w:cs="Times New Roman" w:eastAsia="Times New Roman" w:hAnsi="Times New Roman"/>
                <w:sz w:val="18"/>
                <w:szCs w:val="18"/>
                <w:i w:val="1"/>
                <w:iCs w:val="1"/>
                <w:color w:val="auto"/>
              </w:rPr>
              <w:t>6</w:t>
            </w: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23,701</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 payable</w:t>
            </w:r>
          </w:p>
        </w:tc>
        <w:tc>
          <w:tcPr>
            <w:tcW w:w="56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6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23,728</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20,622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19"/>
                <w:szCs w:val="19"/>
                <w:color w:val="auto"/>
              </w:rPr>
            </w:pPr>
          </w:p>
        </w:tc>
        <w:tc>
          <w:tcPr>
            <w:tcW w:w="56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6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23,728</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23,487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19"/>
                <w:szCs w:val="19"/>
                <w:color w:val="auto"/>
              </w:rPr>
            </w:pPr>
          </w:p>
        </w:tc>
        <w:tc>
          <w:tcPr>
            <w:tcW w:w="56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56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625,235</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670,563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On behalf of the Board</w:t>
            </w:r>
          </w:p>
        </w:tc>
        <w:tc>
          <w:tcPr>
            <w:tcW w:w="5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Declan McKeon</w:t>
            </w: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Ciaran Murray</w:t>
            </w:r>
          </w:p>
        </w:tc>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640" w:type="dxa"/>
            <w:vAlign w:val="bottom"/>
          </w:tcPr>
          <w:p>
            <w:pPr>
              <w:jc w:val="right"/>
              <w:ind w:right="1992"/>
              <w:spacing w:after="0"/>
              <w:rPr>
                <w:sz w:val="20"/>
                <w:szCs w:val="20"/>
                <w:color w:val="auto"/>
              </w:rPr>
            </w:pPr>
            <w:r>
              <w:rPr>
                <w:rFonts w:ascii="Times New Roman" w:cs="Times New Roman" w:eastAsia="Times New Roman" w:hAnsi="Times New Roman"/>
                <w:sz w:val="18"/>
                <w:szCs w:val="18"/>
                <w:color w:val="auto"/>
              </w:rPr>
              <w:t>104</w:t>
            </w:r>
          </w:p>
        </w:tc>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564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1"/>
          <w:szCs w:val="21"/>
          <w:color w:val="auto"/>
        </w:rPr>
        <w:t>Company Statement of Changes in Equity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4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0" w:type="dxa"/>
            <w:vAlign w:val="bottom"/>
          </w:tcPr>
          <w:p>
            <w:pPr>
              <w:jc w:val="right"/>
              <w:ind w:right="49"/>
              <w:spacing w:after="0" w:line="128"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tcPr>
          <w:p>
            <w:pPr>
              <w:jc w:val="right"/>
              <w:ind w:right="189"/>
              <w:spacing w:after="0" w:line="128" w:lineRule="exact"/>
              <w:rPr>
                <w:sz w:val="20"/>
                <w:szCs w:val="20"/>
                <w:color w:val="auto"/>
              </w:rPr>
            </w:pPr>
            <w:r>
              <w:rPr>
                <w:rFonts w:ascii="Times New Roman" w:cs="Times New Roman" w:eastAsia="Times New Roman" w:hAnsi="Times New Roman"/>
                <w:sz w:val="14"/>
                <w:szCs w:val="14"/>
                <w:b w:val="1"/>
                <w:bCs w:val="1"/>
                <w:color w:val="auto"/>
              </w:rPr>
              <w:t>Share Based</w:t>
            </w:r>
          </w:p>
        </w:tc>
        <w:tc>
          <w:tcPr>
            <w:tcW w:w="9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0" w:type="dxa"/>
            <w:vAlign w:val="bottom"/>
          </w:tcPr>
          <w:p>
            <w:pPr>
              <w:jc w:val="right"/>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120" w:type="dxa"/>
            <w:vAlign w:val="bottom"/>
          </w:tcPr>
          <w:p>
            <w:pPr>
              <w:jc w:val="right"/>
              <w:ind w:right="189"/>
              <w:spacing w:after="0" w:line="146" w:lineRule="exact"/>
              <w:rPr>
                <w:sz w:val="20"/>
                <w:szCs w:val="20"/>
                <w:color w:val="auto"/>
              </w:rPr>
            </w:pPr>
            <w:r>
              <w:rPr>
                <w:rFonts w:ascii="Times New Roman" w:cs="Times New Roman" w:eastAsia="Times New Roman" w:hAnsi="Times New Roman"/>
                <w:sz w:val="14"/>
                <w:szCs w:val="14"/>
                <w:b w:val="1"/>
                <w:bCs w:val="1"/>
                <w:color w:val="auto"/>
              </w:rPr>
              <w:t>Payment</w:t>
            </w:r>
          </w:p>
        </w:tc>
        <w:tc>
          <w:tcPr>
            <w:tcW w:w="9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$’000</w:t>
            </w:r>
          </w:p>
        </w:tc>
        <w:tc>
          <w:tcPr>
            <w:tcW w:w="9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$’000</w:t>
            </w:r>
          </w:p>
        </w:tc>
        <w:tc>
          <w:tcPr>
            <w:tcW w:w="9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$’000</w:t>
            </w:r>
          </w:p>
        </w:tc>
        <w:tc>
          <w:tcPr>
            <w:tcW w:w="10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$’000</w:t>
            </w:r>
          </w:p>
        </w:tc>
        <w:tc>
          <w:tcPr>
            <w:tcW w:w="9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$’000</w:t>
            </w: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740" w:type="dxa"/>
            <w:vAlign w:val="bottom"/>
            <w:tcBorders>
              <w:bottom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Balance at 1 January 2014</w:t>
            </w:r>
          </w:p>
        </w:tc>
        <w:tc>
          <w:tcPr>
            <w:tcW w:w="104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b w:val="1"/>
                <w:bCs w:val="1"/>
                <w:color w:val="auto"/>
              </w:rPr>
              <w:t>61,587,257</w:t>
            </w:r>
          </w:p>
        </w:tc>
        <w:tc>
          <w:tcPr>
            <w:tcW w:w="88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5,168</w:t>
            </w:r>
          </w:p>
        </w:tc>
        <w:tc>
          <w:tcPr>
            <w:tcW w:w="90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b w:val="1"/>
                <w:bCs w:val="1"/>
                <w:color w:val="auto"/>
              </w:rPr>
              <w:t>199,785</w:t>
            </w:r>
          </w:p>
        </w:tc>
        <w:tc>
          <w:tcPr>
            <w:tcW w:w="1000" w:type="dxa"/>
            <w:vAlign w:val="bottom"/>
            <w:tcBorders>
              <w:bottom w:val="single" w:sz="8" w:color="auto"/>
            </w:tcBorders>
            <w:shd w:val="clear" w:color="auto" w:fill="CCEEFF"/>
          </w:tcPr>
          <w:p>
            <w:pPr>
              <w:jc w:val="right"/>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100</w:t>
            </w:r>
          </w:p>
        </w:tc>
        <w:tc>
          <w:tcPr>
            <w:tcW w:w="112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b w:val="1"/>
                <w:bCs w:val="1"/>
                <w:color w:val="auto"/>
              </w:rPr>
              <w:t>44,785</w:t>
            </w:r>
          </w:p>
        </w:tc>
        <w:tc>
          <w:tcPr>
            <w:tcW w:w="9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6,071</w:t>
            </w:r>
          </w:p>
        </w:tc>
        <w:tc>
          <w:tcPr>
            <w:tcW w:w="1040" w:type="dxa"/>
            <w:vAlign w:val="bottom"/>
            <w:tcBorders>
              <w:bottom w:val="single" w:sz="8" w:color="auto"/>
            </w:tcBorders>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b w:val="1"/>
                <w:bCs w:val="1"/>
                <w:color w:val="auto"/>
              </w:rPr>
              <w:t>25,885</w:t>
            </w:r>
          </w:p>
        </w:tc>
        <w:tc>
          <w:tcPr>
            <w:tcW w:w="96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365,282</w:t>
            </w:r>
          </w:p>
        </w:tc>
        <w:tc>
          <w:tcPr>
            <w:tcW w:w="780" w:type="dxa"/>
            <w:vAlign w:val="bottom"/>
            <w:tcBorders>
              <w:bottom w:val="single" w:sz="8" w:color="auto"/>
            </w:tcBorders>
            <w:shd w:val="clear" w:color="auto" w:fill="CCEEFF"/>
          </w:tcPr>
          <w:p>
            <w:pPr>
              <w:jc w:val="right"/>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647,076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Total comprehensive income for the year</w:t>
            </w: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Profit for the year</w:t>
            </w:r>
          </w:p>
        </w:tc>
        <w:tc>
          <w:tcPr>
            <w:tcW w:w="1040" w:type="dxa"/>
            <w:vAlign w:val="bottom"/>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135,437</w:t>
            </w:r>
          </w:p>
        </w:tc>
        <w:tc>
          <w:tcPr>
            <w:tcW w:w="780" w:type="dxa"/>
            <w:vAlign w:val="bottom"/>
            <w:shd w:val="clear" w:color="auto" w:fill="CCEEFF"/>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135,437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40" w:type="dxa"/>
            <w:vAlign w:val="bottom"/>
            <w:tcBorders>
              <w:bottom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(84,923)</w:t>
            </w:r>
          </w:p>
        </w:tc>
        <w:tc>
          <w:tcPr>
            <w:tcW w:w="96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(84,923)</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740" w:type="dxa"/>
            <w:vAlign w:val="bottom"/>
            <w:tcBorders>
              <w:bottom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104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(84,923)</w:t>
            </w:r>
          </w:p>
        </w:tc>
        <w:tc>
          <w:tcPr>
            <w:tcW w:w="96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135,437</w:t>
            </w:r>
          </w:p>
        </w:tc>
        <w:tc>
          <w:tcPr>
            <w:tcW w:w="780" w:type="dxa"/>
            <w:vAlign w:val="bottom"/>
            <w:tcBorders>
              <w:bottom w:val="single" w:sz="8" w:color="auto"/>
            </w:tcBorders>
            <w:shd w:val="clear" w:color="auto" w:fill="CCEEFF"/>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50,514</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740" w:type="dxa"/>
            <w:vAlign w:val="bottom"/>
            <w:tcBorders>
              <w:bottom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Total comprehensive income for the year</w:t>
            </w:r>
          </w:p>
        </w:tc>
        <w:tc>
          <w:tcPr>
            <w:tcW w:w="104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(84,923)</w:t>
            </w:r>
          </w:p>
        </w:tc>
        <w:tc>
          <w:tcPr>
            <w:tcW w:w="96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135,427</w:t>
            </w:r>
          </w:p>
        </w:tc>
        <w:tc>
          <w:tcPr>
            <w:tcW w:w="780" w:type="dxa"/>
            <w:vAlign w:val="bottom"/>
            <w:tcBorders>
              <w:bottom w:val="single" w:sz="8" w:color="auto"/>
            </w:tcBorders>
            <w:shd w:val="clear" w:color="auto" w:fill="CCEEFF"/>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50,514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Transactions with owners, recorded</w:t>
            </w: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directly in equity</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Share based payment</w:t>
            </w:r>
          </w:p>
        </w:tc>
        <w:tc>
          <w:tcPr>
            <w:tcW w:w="1040" w:type="dxa"/>
            <w:vAlign w:val="bottom"/>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22,725</w:t>
            </w:r>
          </w:p>
        </w:tc>
        <w:tc>
          <w:tcPr>
            <w:tcW w:w="940" w:type="dxa"/>
            <w:vAlign w:val="bottom"/>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22,725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Exercise of share options</w:t>
            </w:r>
          </w:p>
        </w:tc>
        <w:tc>
          <w:tcPr>
            <w:tcW w:w="1040" w:type="dxa"/>
            <w:vAlign w:val="bottom"/>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926,407</w:t>
            </w:r>
          </w:p>
        </w:tc>
        <w:tc>
          <w:tcPr>
            <w:tcW w:w="88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900" w:type="dxa"/>
            <w:vAlign w:val="bottom"/>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22,182</w:t>
            </w:r>
          </w:p>
        </w:tc>
        <w:tc>
          <w:tcPr>
            <w:tcW w:w="1000" w:type="dxa"/>
            <w:vAlign w:val="bottom"/>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22,256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Share issue costs</w:t>
            </w:r>
          </w:p>
        </w:tc>
        <w:tc>
          <w:tcPr>
            <w:tcW w:w="1040" w:type="dxa"/>
            <w:vAlign w:val="bottom"/>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(20)</w:t>
            </w:r>
          </w:p>
        </w:tc>
        <w:tc>
          <w:tcPr>
            <w:tcW w:w="1000" w:type="dxa"/>
            <w:vAlign w:val="bottom"/>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Issue of restricted share units</w:t>
            </w:r>
          </w:p>
        </w:tc>
        <w:tc>
          <w:tcPr>
            <w:tcW w:w="1040" w:type="dxa"/>
            <w:vAlign w:val="bottom"/>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233,726</w:t>
            </w:r>
          </w:p>
        </w:tc>
        <w:tc>
          <w:tcPr>
            <w:tcW w:w="88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18</w:t>
            </w:r>
          </w:p>
        </w:tc>
        <w:tc>
          <w:tcPr>
            <w:tcW w:w="1000" w:type="dxa"/>
            <w:vAlign w:val="bottom"/>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Repurchase of ordinary shares</w:t>
            </w:r>
          </w:p>
        </w:tc>
        <w:tc>
          <w:tcPr>
            <w:tcW w:w="1040" w:type="dxa"/>
            <w:vAlign w:val="bottom"/>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(2,640,610)</w:t>
            </w:r>
          </w:p>
        </w:tc>
        <w:tc>
          <w:tcPr>
            <w:tcW w:w="880" w:type="dxa"/>
            <w:vAlign w:val="bottom"/>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(205)</w:t>
            </w:r>
          </w:p>
        </w:tc>
        <w:tc>
          <w:tcPr>
            <w:tcW w:w="900" w:type="dxa"/>
            <w:vAlign w:val="bottom"/>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line="146" w:lineRule="exact"/>
              <w:rPr>
                <w:sz w:val="20"/>
                <w:szCs w:val="20"/>
                <w:color w:val="auto"/>
              </w:rPr>
            </w:pPr>
            <w:r>
              <w:rPr>
                <w:rFonts w:ascii="Times New Roman" w:cs="Times New Roman" w:eastAsia="Times New Roman" w:hAnsi="Times New Roman"/>
                <w:sz w:val="14"/>
                <w:szCs w:val="14"/>
                <w:color w:val="auto"/>
              </w:rPr>
              <w:t>205</w:t>
            </w:r>
          </w:p>
        </w:tc>
        <w:tc>
          <w:tcPr>
            <w:tcW w:w="1120" w:type="dxa"/>
            <w:vAlign w:val="bottom"/>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(140,030)</w:t>
            </w:r>
          </w:p>
        </w:tc>
        <w:tc>
          <w:tcPr>
            <w:tcW w:w="7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(140,030)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Share repurchase costs</w:t>
            </w:r>
          </w:p>
        </w:tc>
        <w:tc>
          <w:tcPr>
            <w:tcW w:w="1040" w:type="dxa"/>
            <w:vAlign w:val="bottom"/>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(1,032)</w:t>
            </w:r>
          </w:p>
        </w:tc>
        <w:tc>
          <w:tcPr>
            <w:tcW w:w="7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(1,032)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Transfer of exercised and expired share based</w:t>
            </w:r>
          </w:p>
        </w:tc>
        <w:tc>
          <w:tcPr>
            <w:tcW w:w="104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(8,896)</w:t>
            </w:r>
          </w:p>
        </w:tc>
        <w:tc>
          <w:tcPr>
            <w:tcW w:w="94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8,896</w:t>
            </w:r>
          </w:p>
        </w:tc>
        <w:tc>
          <w:tcPr>
            <w:tcW w:w="7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7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Total contributions by and distributions to</w:t>
            </w:r>
          </w:p>
        </w:tc>
        <w:tc>
          <w:tcPr>
            <w:tcW w:w="104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(131)</w:t>
            </w:r>
          </w:p>
        </w:tc>
        <w:tc>
          <w:tcPr>
            <w:tcW w:w="90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22,180</w:t>
            </w:r>
          </w:p>
        </w:tc>
        <w:tc>
          <w:tcPr>
            <w:tcW w:w="100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205</w:t>
            </w:r>
          </w:p>
        </w:tc>
        <w:tc>
          <w:tcPr>
            <w:tcW w:w="112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13,829</w:t>
            </w:r>
          </w:p>
        </w:tc>
        <w:tc>
          <w:tcPr>
            <w:tcW w:w="94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(132,166)</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(96,083)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w:t>
            </w: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740" w:type="dxa"/>
            <w:vAlign w:val="bottom"/>
            <w:tcBorders>
              <w:bottom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Total transactions with owners</w:t>
            </w:r>
          </w:p>
        </w:tc>
        <w:tc>
          <w:tcPr>
            <w:tcW w:w="104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(1,480,477)</w:t>
            </w:r>
          </w:p>
        </w:tc>
        <w:tc>
          <w:tcPr>
            <w:tcW w:w="88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(131)</w:t>
            </w:r>
          </w:p>
        </w:tc>
        <w:tc>
          <w:tcPr>
            <w:tcW w:w="90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22,180</w:t>
            </w:r>
          </w:p>
        </w:tc>
        <w:tc>
          <w:tcPr>
            <w:tcW w:w="1000" w:type="dxa"/>
            <w:vAlign w:val="bottom"/>
            <w:tcBorders>
              <w:bottom w:val="single" w:sz="8" w:color="auto"/>
            </w:tcBorders>
            <w:shd w:val="clear" w:color="auto" w:fill="CCEEFF"/>
          </w:tcPr>
          <w:p>
            <w:pPr>
              <w:jc w:val="right"/>
              <w:ind w:right="69"/>
              <w:spacing w:after="0" w:line="146" w:lineRule="exact"/>
              <w:rPr>
                <w:sz w:val="20"/>
                <w:szCs w:val="20"/>
                <w:color w:val="auto"/>
              </w:rPr>
            </w:pPr>
            <w:r>
              <w:rPr>
                <w:rFonts w:ascii="Times New Roman" w:cs="Times New Roman" w:eastAsia="Times New Roman" w:hAnsi="Times New Roman"/>
                <w:sz w:val="14"/>
                <w:szCs w:val="14"/>
                <w:color w:val="auto"/>
              </w:rPr>
              <w:t>205</w:t>
            </w:r>
          </w:p>
        </w:tc>
        <w:tc>
          <w:tcPr>
            <w:tcW w:w="112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13,829</w:t>
            </w:r>
          </w:p>
        </w:tc>
        <w:tc>
          <w:tcPr>
            <w:tcW w:w="9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(132,166)</w:t>
            </w:r>
          </w:p>
        </w:tc>
        <w:tc>
          <w:tcPr>
            <w:tcW w:w="78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(96,083)</w:t>
            </w:r>
          </w:p>
        </w:tc>
        <w:tc>
          <w:tcPr>
            <w:tcW w:w="0" w:type="dxa"/>
            <w:vAlign w:val="bottom"/>
          </w:tcPr>
          <w:p>
            <w:pPr>
              <w:spacing w:after="0"/>
              <w:rPr>
                <w:sz w:val="1"/>
                <w:szCs w:val="1"/>
                <w:color w:val="auto"/>
              </w:rPr>
            </w:pPr>
          </w:p>
        </w:tc>
      </w:tr>
      <w:tr>
        <w:trPr>
          <w:trHeight w:val="212"/>
        </w:trPr>
        <w:tc>
          <w:tcPr>
            <w:tcW w:w="27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31 December 2014</w:t>
            </w:r>
          </w:p>
        </w:tc>
        <w:tc>
          <w:tcPr>
            <w:tcW w:w="10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60,106,780</w:t>
            </w:r>
          </w:p>
        </w:tc>
        <w:tc>
          <w:tcPr>
            <w:tcW w:w="8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5,037</w:t>
            </w: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221,965</w:t>
            </w: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305</w:t>
            </w:r>
          </w:p>
        </w:tc>
        <w:tc>
          <w:tcPr>
            <w:tcW w:w="11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58,614</w:t>
            </w:r>
          </w:p>
        </w:tc>
        <w:tc>
          <w:tcPr>
            <w:tcW w:w="94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6,071</w:t>
            </w: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(59,038)</w:t>
            </w:r>
          </w:p>
        </w:tc>
        <w:tc>
          <w:tcPr>
            <w:tcW w:w="9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368,553</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601,507</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As permitted by section 148(8) of the Companies Act 1963, the Company has not presented a Company income statement. The profit for the 2014 financial year retained by the Company amounted to $135,437,000 (2013: profit $176,616,000)</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1"/>
          <w:szCs w:val="21"/>
          <w:color w:val="auto"/>
        </w:rPr>
        <w:t>Company Statement of Changes in Equity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2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Share Based</w:t>
            </w:r>
          </w:p>
        </w:tc>
        <w:tc>
          <w:tcPr>
            <w:tcW w:w="9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8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0" w:type="dxa"/>
            <w:vAlign w:val="bottom"/>
          </w:tcPr>
          <w:p>
            <w:pPr>
              <w:jc w:val="right"/>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120" w:type="dxa"/>
            <w:vAlign w:val="bottom"/>
          </w:tcPr>
          <w:p>
            <w:pPr>
              <w:jc w:val="right"/>
              <w:ind w:right="189"/>
              <w:spacing w:after="0" w:line="146" w:lineRule="exact"/>
              <w:rPr>
                <w:sz w:val="20"/>
                <w:szCs w:val="20"/>
                <w:color w:val="auto"/>
              </w:rPr>
            </w:pPr>
            <w:r>
              <w:rPr>
                <w:rFonts w:ascii="Times New Roman" w:cs="Times New Roman" w:eastAsia="Times New Roman" w:hAnsi="Times New Roman"/>
                <w:sz w:val="14"/>
                <w:szCs w:val="14"/>
                <w:b w:val="1"/>
                <w:bCs w:val="1"/>
                <w:color w:val="auto"/>
              </w:rPr>
              <w:t>Payment</w:t>
            </w:r>
          </w:p>
        </w:tc>
        <w:tc>
          <w:tcPr>
            <w:tcW w:w="9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$’000</w:t>
            </w:r>
          </w:p>
        </w:tc>
        <w:tc>
          <w:tcPr>
            <w:tcW w:w="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$’000</w:t>
            </w:r>
          </w:p>
        </w:tc>
        <w:tc>
          <w:tcPr>
            <w:tcW w:w="9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$’000</w:t>
            </w:r>
          </w:p>
        </w:tc>
        <w:tc>
          <w:tcPr>
            <w:tcW w:w="10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$’000</w:t>
            </w:r>
          </w:p>
        </w:tc>
        <w:tc>
          <w:tcPr>
            <w:tcW w:w="9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$’000</w:t>
            </w: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740" w:type="dxa"/>
            <w:vAlign w:val="bottom"/>
            <w:tcBorders>
              <w:bottom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Balance at 1 January 2013</w:t>
            </w:r>
          </w:p>
        </w:tc>
        <w:tc>
          <w:tcPr>
            <w:tcW w:w="1020" w:type="dxa"/>
            <w:vAlign w:val="bottom"/>
            <w:tcBorders>
              <w:bottom w:val="single" w:sz="8" w:color="auto"/>
            </w:tcBorders>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b w:val="1"/>
                <w:bCs w:val="1"/>
                <w:color w:val="auto"/>
              </w:rPr>
              <w:t>60,287,498</w:t>
            </w:r>
          </w:p>
        </w:tc>
        <w:tc>
          <w:tcPr>
            <w:tcW w:w="880" w:type="dxa"/>
            <w:vAlign w:val="bottom"/>
            <w:tcBorders>
              <w:bottom w:val="single" w:sz="8" w:color="auto"/>
            </w:tcBorders>
            <w:shd w:val="clear" w:color="auto" w:fill="CCEEFF"/>
          </w:tcPr>
          <w:p>
            <w:pPr>
              <w:jc w:val="right"/>
              <w:ind w:right="109"/>
              <w:spacing w:after="0" w:line="146" w:lineRule="exact"/>
              <w:rPr>
                <w:sz w:val="20"/>
                <w:szCs w:val="20"/>
                <w:color w:val="auto"/>
              </w:rPr>
            </w:pPr>
            <w:r>
              <w:rPr>
                <w:rFonts w:ascii="Times New Roman" w:cs="Times New Roman" w:eastAsia="Times New Roman" w:hAnsi="Times New Roman"/>
                <w:sz w:val="14"/>
                <w:szCs w:val="14"/>
                <w:b w:val="1"/>
                <w:bCs w:val="1"/>
                <w:color w:val="auto"/>
              </w:rPr>
              <w:t>5,067</w:t>
            </w:r>
          </w:p>
        </w:tc>
        <w:tc>
          <w:tcPr>
            <w:tcW w:w="92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b w:val="1"/>
                <w:bCs w:val="1"/>
                <w:color w:val="auto"/>
              </w:rPr>
              <w:t>172,963</w:t>
            </w:r>
          </w:p>
        </w:tc>
        <w:tc>
          <w:tcPr>
            <w:tcW w:w="1000" w:type="dxa"/>
            <w:vAlign w:val="bottom"/>
            <w:tcBorders>
              <w:bottom w:val="single" w:sz="8" w:color="auto"/>
            </w:tcBorders>
            <w:shd w:val="clear" w:color="auto" w:fill="CCEEFF"/>
          </w:tcPr>
          <w:p>
            <w:pPr>
              <w:jc w:val="right"/>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100</w:t>
            </w:r>
          </w:p>
        </w:tc>
        <w:tc>
          <w:tcPr>
            <w:tcW w:w="112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b w:val="1"/>
                <w:bCs w:val="1"/>
                <w:color w:val="auto"/>
              </w:rPr>
              <w:t>42,527</w:t>
            </w:r>
          </w:p>
        </w:tc>
        <w:tc>
          <w:tcPr>
            <w:tcW w:w="9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6,071</w:t>
            </w:r>
          </w:p>
        </w:tc>
        <w:tc>
          <w:tcPr>
            <w:tcW w:w="102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3,306</w:t>
            </w:r>
          </w:p>
        </w:tc>
        <w:tc>
          <w:tcPr>
            <w:tcW w:w="98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177,558</w:t>
            </w:r>
          </w:p>
        </w:tc>
        <w:tc>
          <w:tcPr>
            <w:tcW w:w="780" w:type="dxa"/>
            <w:vAlign w:val="bottom"/>
            <w:tcBorders>
              <w:bottom w:val="single" w:sz="8" w:color="auto"/>
            </w:tcBorders>
            <w:shd w:val="clear" w:color="auto" w:fill="CCEEFF"/>
          </w:tcPr>
          <w:p>
            <w:pPr>
              <w:jc w:val="right"/>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407,592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Total comprehensive income for the year</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Profit for the year</w:t>
            </w:r>
          </w:p>
        </w:tc>
        <w:tc>
          <w:tcPr>
            <w:tcW w:w="1020" w:type="dxa"/>
            <w:vAlign w:val="bottom"/>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176,616</w:t>
            </w:r>
          </w:p>
        </w:tc>
        <w:tc>
          <w:tcPr>
            <w:tcW w:w="780" w:type="dxa"/>
            <w:vAlign w:val="bottom"/>
            <w:shd w:val="clear" w:color="auto" w:fill="CCEEFF"/>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176,616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40" w:type="dxa"/>
            <w:vAlign w:val="bottom"/>
            <w:tcBorders>
              <w:bottom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20" w:type="dxa"/>
            <w:vAlign w:val="bottom"/>
            <w:tcBorders>
              <w:bottom w:val="single" w:sz="8" w:color="auto"/>
            </w:tcBorders>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0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22,579</w:t>
            </w:r>
          </w:p>
        </w:tc>
        <w:tc>
          <w:tcPr>
            <w:tcW w:w="98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22,579</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740" w:type="dxa"/>
            <w:vAlign w:val="bottom"/>
            <w:tcBorders>
              <w:bottom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1020" w:type="dxa"/>
            <w:vAlign w:val="bottom"/>
            <w:tcBorders>
              <w:bottom w:val="single" w:sz="8" w:color="auto"/>
            </w:tcBorders>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0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22,579</w:t>
            </w:r>
          </w:p>
        </w:tc>
        <w:tc>
          <w:tcPr>
            <w:tcW w:w="98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22,579</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740" w:type="dxa"/>
            <w:vAlign w:val="bottom"/>
            <w:tcBorders>
              <w:bottom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Total comprehensive income for the year</w:t>
            </w:r>
          </w:p>
        </w:tc>
        <w:tc>
          <w:tcPr>
            <w:tcW w:w="1020" w:type="dxa"/>
            <w:vAlign w:val="bottom"/>
            <w:tcBorders>
              <w:bottom w:val="single" w:sz="8" w:color="auto"/>
            </w:tcBorders>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0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22,579</w:t>
            </w:r>
          </w:p>
        </w:tc>
        <w:tc>
          <w:tcPr>
            <w:tcW w:w="98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176,616</w:t>
            </w:r>
          </w:p>
        </w:tc>
        <w:tc>
          <w:tcPr>
            <w:tcW w:w="780" w:type="dxa"/>
            <w:vAlign w:val="bottom"/>
            <w:tcBorders>
              <w:bottom w:val="single" w:sz="8" w:color="auto"/>
            </w:tcBorders>
            <w:shd w:val="clear" w:color="auto" w:fill="CCEEFF"/>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199,195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Transactions with owners, recorded</w:t>
            </w: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directly in equity</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Share based payment</w:t>
            </w:r>
          </w:p>
        </w:tc>
        <w:tc>
          <w:tcPr>
            <w:tcW w:w="1020" w:type="dxa"/>
            <w:vAlign w:val="bottom"/>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13,366</w:t>
            </w:r>
          </w:p>
        </w:tc>
        <w:tc>
          <w:tcPr>
            <w:tcW w:w="940" w:type="dxa"/>
            <w:vAlign w:val="bottom"/>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13,366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Exercise of share options</w:t>
            </w:r>
          </w:p>
        </w:tc>
        <w:tc>
          <w:tcPr>
            <w:tcW w:w="1020" w:type="dxa"/>
            <w:vAlign w:val="bottom"/>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1,249,759</w:t>
            </w:r>
          </w:p>
        </w:tc>
        <w:tc>
          <w:tcPr>
            <w:tcW w:w="880" w:type="dxa"/>
            <w:vAlign w:val="bottom"/>
          </w:tcPr>
          <w:p>
            <w:pPr>
              <w:jc w:val="right"/>
              <w:ind w:right="109"/>
              <w:spacing w:after="0" w:line="146" w:lineRule="exact"/>
              <w:rPr>
                <w:sz w:val="20"/>
                <w:szCs w:val="20"/>
                <w:color w:val="auto"/>
              </w:rPr>
            </w:pPr>
            <w:r>
              <w:rPr>
                <w:rFonts w:ascii="Times New Roman" w:cs="Times New Roman" w:eastAsia="Times New Roman" w:hAnsi="Times New Roman"/>
                <w:sz w:val="14"/>
                <w:szCs w:val="14"/>
                <w:color w:val="auto"/>
              </w:rPr>
              <w:t>101</w:t>
            </w:r>
          </w:p>
        </w:tc>
        <w:tc>
          <w:tcPr>
            <w:tcW w:w="920" w:type="dxa"/>
            <w:vAlign w:val="bottom"/>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26,888</w:t>
            </w:r>
          </w:p>
        </w:tc>
        <w:tc>
          <w:tcPr>
            <w:tcW w:w="1000" w:type="dxa"/>
            <w:vAlign w:val="bottom"/>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26,989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Share issue costs</w:t>
            </w:r>
          </w:p>
        </w:tc>
        <w:tc>
          <w:tcPr>
            <w:tcW w:w="1020" w:type="dxa"/>
            <w:vAlign w:val="bottom"/>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(70)</w:t>
            </w:r>
          </w:p>
        </w:tc>
        <w:tc>
          <w:tcPr>
            <w:tcW w:w="1000" w:type="dxa"/>
            <w:vAlign w:val="bottom"/>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Issue of restricted share units</w:t>
            </w:r>
          </w:p>
        </w:tc>
        <w:tc>
          <w:tcPr>
            <w:tcW w:w="1020" w:type="dxa"/>
            <w:vAlign w:val="bottom"/>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50,000</w:t>
            </w:r>
          </w:p>
        </w:tc>
        <w:tc>
          <w:tcPr>
            <w:tcW w:w="880" w:type="dxa"/>
            <w:vAlign w:val="bottom"/>
          </w:tcPr>
          <w:p>
            <w:pPr>
              <w:jc w:val="right"/>
              <w:ind w:right="10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4</w:t>
            </w:r>
          </w:p>
        </w:tc>
        <w:tc>
          <w:tcPr>
            <w:tcW w:w="1000" w:type="dxa"/>
            <w:vAlign w:val="bottom"/>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Transfer of exercised and expired share based</w:t>
            </w:r>
          </w:p>
        </w:tc>
        <w:tc>
          <w:tcPr>
            <w:tcW w:w="102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(11,108)</w:t>
            </w:r>
          </w:p>
        </w:tc>
        <w:tc>
          <w:tcPr>
            <w:tcW w:w="94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11,108</w:t>
            </w:r>
          </w:p>
        </w:tc>
        <w:tc>
          <w:tcPr>
            <w:tcW w:w="7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awards</w:t>
            </w: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7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Total contributions by and distributions to</w:t>
            </w:r>
          </w:p>
        </w:tc>
        <w:tc>
          <w:tcPr>
            <w:tcW w:w="102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1,299,759</w:t>
            </w:r>
          </w:p>
        </w:tc>
        <w:tc>
          <w:tcPr>
            <w:tcW w:w="88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101</w:t>
            </w:r>
          </w:p>
        </w:tc>
        <w:tc>
          <w:tcPr>
            <w:tcW w:w="92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26,822</w:t>
            </w:r>
          </w:p>
        </w:tc>
        <w:tc>
          <w:tcPr>
            <w:tcW w:w="10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2,258</w:t>
            </w:r>
          </w:p>
        </w:tc>
        <w:tc>
          <w:tcPr>
            <w:tcW w:w="94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11,108</w:t>
            </w:r>
          </w:p>
        </w:tc>
        <w:tc>
          <w:tcPr>
            <w:tcW w:w="7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40,289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w:t>
            </w: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740" w:type="dxa"/>
            <w:vAlign w:val="bottom"/>
            <w:tcBorders>
              <w:bottom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Total transactions with owners</w:t>
            </w:r>
          </w:p>
        </w:tc>
        <w:tc>
          <w:tcPr>
            <w:tcW w:w="1020" w:type="dxa"/>
            <w:vAlign w:val="bottom"/>
            <w:tcBorders>
              <w:bottom w:val="single" w:sz="8" w:color="auto"/>
            </w:tcBorders>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color w:val="auto"/>
              </w:rPr>
              <w:t>1,299,759</w:t>
            </w:r>
          </w:p>
        </w:tc>
        <w:tc>
          <w:tcPr>
            <w:tcW w:w="880" w:type="dxa"/>
            <w:vAlign w:val="bottom"/>
            <w:tcBorders>
              <w:bottom w:val="single" w:sz="8" w:color="auto"/>
            </w:tcBorders>
            <w:shd w:val="clear" w:color="auto" w:fill="CCEEFF"/>
          </w:tcPr>
          <w:p>
            <w:pPr>
              <w:jc w:val="right"/>
              <w:ind w:right="109"/>
              <w:spacing w:after="0" w:line="146" w:lineRule="exact"/>
              <w:rPr>
                <w:sz w:val="20"/>
                <w:szCs w:val="20"/>
                <w:color w:val="auto"/>
              </w:rPr>
            </w:pPr>
            <w:r>
              <w:rPr>
                <w:rFonts w:ascii="Times New Roman" w:cs="Times New Roman" w:eastAsia="Times New Roman" w:hAnsi="Times New Roman"/>
                <w:sz w:val="14"/>
                <w:szCs w:val="14"/>
                <w:color w:val="auto"/>
              </w:rPr>
              <w:t>101</w:t>
            </w:r>
          </w:p>
        </w:tc>
        <w:tc>
          <w:tcPr>
            <w:tcW w:w="92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26,822</w:t>
            </w:r>
          </w:p>
        </w:tc>
        <w:tc>
          <w:tcPr>
            <w:tcW w:w="1000" w:type="dxa"/>
            <w:vAlign w:val="bottom"/>
            <w:tcBorders>
              <w:bottom w:val="single" w:sz="8" w:color="auto"/>
            </w:tcBorders>
            <w:shd w:val="clear" w:color="auto" w:fill="CCEEFF"/>
          </w:tcPr>
          <w:p>
            <w:pPr>
              <w:jc w:val="right"/>
              <w:ind w:right="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color w:val="auto"/>
              </w:rPr>
              <w:t>2,258</w:t>
            </w:r>
          </w:p>
        </w:tc>
        <w:tc>
          <w:tcPr>
            <w:tcW w:w="9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11,108</w:t>
            </w:r>
          </w:p>
        </w:tc>
        <w:tc>
          <w:tcPr>
            <w:tcW w:w="780" w:type="dxa"/>
            <w:vAlign w:val="bottom"/>
            <w:tcBorders>
              <w:bottom w:val="single" w:sz="8" w:color="auto"/>
            </w:tcBorders>
            <w:shd w:val="clear" w:color="auto" w:fill="CCEEFF"/>
          </w:tcPr>
          <w:p>
            <w:pPr>
              <w:jc w:val="right"/>
              <w:ind w:right="29"/>
              <w:spacing w:after="0" w:line="146" w:lineRule="exact"/>
              <w:rPr>
                <w:sz w:val="20"/>
                <w:szCs w:val="20"/>
                <w:color w:val="auto"/>
              </w:rPr>
            </w:pPr>
            <w:r>
              <w:rPr>
                <w:rFonts w:ascii="Times New Roman" w:cs="Times New Roman" w:eastAsia="Times New Roman" w:hAnsi="Times New Roman"/>
                <w:sz w:val="14"/>
                <w:szCs w:val="14"/>
                <w:color w:val="auto"/>
              </w:rPr>
              <w:t>40,289</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740" w:type="dxa"/>
            <w:vAlign w:val="bottom"/>
            <w:tcBorders>
              <w:bottom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Balance at 31 December 2013</w:t>
            </w:r>
          </w:p>
        </w:tc>
        <w:tc>
          <w:tcPr>
            <w:tcW w:w="1020" w:type="dxa"/>
            <w:vAlign w:val="bottom"/>
            <w:tcBorders>
              <w:bottom w:val="single" w:sz="8" w:color="auto"/>
            </w:tcBorders>
            <w:shd w:val="clear" w:color="auto" w:fill="CCEEFF"/>
          </w:tcPr>
          <w:p>
            <w:pPr>
              <w:jc w:val="right"/>
              <w:ind w:right="169"/>
              <w:spacing w:after="0" w:line="146" w:lineRule="exact"/>
              <w:rPr>
                <w:sz w:val="20"/>
                <w:szCs w:val="20"/>
                <w:color w:val="auto"/>
              </w:rPr>
            </w:pPr>
            <w:r>
              <w:rPr>
                <w:rFonts w:ascii="Times New Roman" w:cs="Times New Roman" w:eastAsia="Times New Roman" w:hAnsi="Times New Roman"/>
                <w:sz w:val="14"/>
                <w:szCs w:val="14"/>
                <w:b w:val="1"/>
                <w:bCs w:val="1"/>
                <w:color w:val="auto"/>
              </w:rPr>
              <w:t>61,587,257</w:t>
            </w:r>
          </w:p>
        </w:tc>
        <w:tc>
          <w:tcPr>
            <w:tcW w:w="880" w:type="dxa"/>
            <w:vAlign w:val="bottom"/>
            <w:tcBorders>
              <w:bottom w:val="single" w:sz="8" w:color="auto"/>
            </w:tcBorders>
            <w:shd w:val="clear" w:color="auto" w:fill="CCEEFF"/>
          </w:tcPr>
          <w:p>
            <w:pPr>
              <w:jc w:val="right"/>
              <w:ind w:right="109"/>
              <w:spacing w:after="0" w:line="146" w:lineRule="exact"/>
              <w:rPr>
                <w:sz w:val="20"/>
                <w:szCs w:val="20"/>
                <w:color w:val="auto"/>
              </w:rPr>
            </w:pPr>
            <w:r>
              <w:rPr>
                <w:rFonts w:ascii="Times New Roman" w:cs="Times New Roman" w:eastAsia="Times New Roman" w:hAnsi="Times New Roman"/>
                <w:sz w:val="14"/>
                <w:szCs w:val="14"/>
                <w:b w:val="1"/>
                <w:bCs w:val="1"/>
                <w:color w:val="auto"/>
              </w:rPr>
              <w:t>5,168</w:t>
            </w:r>
          </w:p>
        </w:tc>
        <w:tc>
          <w:tcPr>
            <w:tcW w:w="920" w:type="dxa"/>
            <w:vAlign w:val="bottom"/>
            <w:tcBorders>
              <w:bottom w:val="single" w:sz="8" w:color="auto"/>
            </w:tcBorders>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b w:val="1"/>
                <w:bCs w:val="1"/>
                <w:color w:val="auto"/>
              </w:rPr>
              <w:t>199,785</w:t>
            </w:r>
          </w:p>
        </w:tc>
        <w:tc>
          <w:tcPr>
            <w:tcW w:w="1000" w:type="dxa"/>
            <w:vAlign w:val="bottom"/>
            <w:tcBorders>
              <w:bottom w:val="single" w:sz="8" w:color="auto"/>
            </w:tcBorders>
            <w:shd w:val="clear" w:color="auto" w:fill="CCEEFF"/>
          </w:tcPr>
          <w:p>
            <w:pPr>
              <w:jc w:val="right"/>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100</w:t>
            </w:r>
          </w:p>
        </w:tc>
        <w:tc>
          <w:tcPr>
            <w:tcW w:w="1120" w:type="dxa"/>
            <w:vAlign w:val="bottom"/>
            <w:tcBorders>
              <w:bottom w:val="single" w:sz="8" w:color="auto"/>
            </w:tcBorders>
            <w:shd w:val="clear" w:color="auto" w:fill="CCEEFF"/>
          </w:tcPr>
          <w:p>
            <w:pPr>
              <w:jc w:val="right"/>
              <w:ind w:right="189"/>
              <w:spacing w:after="0" w:line="146" w:lineRule="exact"/>
              <w:rPr>
                <w:sz w:val="20"/>
                <w:szCs w:val="20"/>
                <w:color w:val="auto"/>
              </w:rPr>
            </w:pPr>
            <w:r>
              <w:rPr>
                <w:rFonts w:ascii="Times New Roman" w:cs="Times New Roman" w:eastAsia="Times New Roman" w:hAnsi="Times New Roman"/>
                <w:sz w:val="14"/>
                <w:szCs w:val="14"/>
                <w:b w:val="1"/>
                <w:bCs w:val="1"/>
                <w:color w:val="auto"/>
              </w:rPr>
              <w:t>44,785</w:t>
            </w:r>
          </w:p>
        </w:tc>
        <w:tc>
          <w:tcPr>
            <w:tcW w:w="940" w:type="dxa"/>
            <w:vAlign w:val="bottom"/>
            <w:tcBorders>
              <w:bottom w:val="single" w:sz="8" w:color="auto"/>
            </w:tcBorders>
            <w:shd w:val="clear" w:color="auto" w:fill="CCEEFF"/>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6,071</w:t>
            </w:r>
          </w:p>
        </w:tc>
        <w:tc>
          <w:tcPr>
            <w:tcW w:w="102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25,885</w:t>
            </w:r>
          </w:p>
        </w:tc>
        <w:tc>
          <w:tcPr>
            <w:tcW w:w="980" w:type="dxa"/>
            <w:vAlign w:val="bottom"/>
            <w:tcBorders>
              <w:bottom w:val="single" w:sz="8" w:color="auto"/>
            </w:tcBorders>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365,282</w:t>
            </w:r>
          </w:p>
        </w:tc>
        <w:tc>
          <w:tcPr>
            <w:tcW w:w="780" w:type="dxa"/>
            <w:vAlign w:val="bottom"/>
            <w:tcBorders>
              <w:bottom w:val="single" w:sz="8" w:color="auto"/>
            </w:tcBorders>
            <w:shd w:val="clear" w:color="auto" w:fill="CCEEFF"/>
          </w:tcPr>
          <w:p>
            <w:pPr>
              <w:jc w:val="right"/>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647,076</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As permitted by section 148(8) of the Companies Act 1963, the Company has not presented a Company income statement. The profit for the 2013 financial year retained by the Company amounted to $176,616,000(2012: profit $1,034,000).</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1"/>
          <w:szCs w:val="21"/>
          <w:color w:val="auto"/>
        </w:rPr>
        <w:t>Company Statement of Cash Flows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300" w:type="dxa"/>
            <w:vAlign w:val="bottom"/>
          </w:tcPr>
          <w:p>
            <w:pPr>
              <w:jc w:val="center"/>
              <w:ind w:right="152"/>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w w:val="97"/>
              </w:rPr>
              <w:t>Note</w:t>
            </w:r>
          </w:p>
        </w:tc>
        <w:tc>
          <w:tcPr>
            <w:tcW w:w="2060" w:type="dxa"/>
            <w:vAlign w:val="bottom"/>
          </w:tcPr>
          <w:p>
            <w:pPr>
              <w:jc w:val="right"/>
              <w:ind w:right="372"/>
              <w:spacing w:after="0" w:line="195" w:lineRule="exact"/>
              <w:rPr>
                <w:sz w:val="20"/>
                <w:szCs w:val="20"/>
                <w:color w:val="auto"/>
              </w:rPr>
            </w:pPr>
            <w:r>
              <w:rPr>
                <w:rFonts w:ascii="Times New Roman" w:cs="Times New Roman" w:eastAsia="Times New Roman" w:hAnsi="Times New Roman"/>
                <w:sz w:val="18"/>
                <w:szCs w:val="18"/>
                <w:b w:val="1"/>
                <w:bCs w:val="1"/>
                <w:color w:val="auto"/>
              </w:rPr>
              <w:t>Year ended</w:t>
            </w:r>
          </w:p>
        </w:tc>
        <w:tc>
          <w:tcPr>
            <w:tcW w:w="1440" w:type="dxa"/>
            <w:vAlign w:val="bottom"/>
          </w:tcPr>
          <w:p>
            <w:pPr>
              <w:jc w:val="right"/>
              <w:ind w:right="12"/>
              <w:spacing w:after="0" w:line="195" w:lineRule="exact"/>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financial year</w:t>
            </w:r>
          </w:p>
        </w:tc>
        <w:tc>
          <w:tcPr>
            <w:tcW w:w="1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135,437</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176,616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generated from operating activities</w:t>
            </w:r>
          </w:p>
        </w:tc>
        <w:tc>
          <w:tcPr>
            <w:tcW w:w="1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0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i w:val="1"/>
                <w:iCs w:val="1"/>
                <w:color w:val="auto"/>
              </w:rPr>
              <w:t>1</w:t>
            </w: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423</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Amortisation of intangible assets</w:t>
            </w:r>
          </w:p>
        </w:tc>
        <w:tc>
          <w:tcPr>
            <w:tcW w:w="1300" w:type="dxa"/>
            <w:vAlign w:val="bottom"/>
          </w:tcPr>
          <w:p>
            <w:pPr>
              <w:jc w:val="center"/>
              <w:ind w:right="152"/>
              <w:spacing w:after="0"/>
              <w:rPr>
                <w:sz w:val="20"/>
                <w:szCs w:val="20"/>
                <w:color w:val="auto"/>
              </w:rPr>
            </w:pPr>
            <w:r>
              <w:rPr>
                <w:rFonts w:ascii="Times New Roman" w:cs="Times New Roman" w:eastAsia="Times New Roman" w:hAnsi="Times New Roman"/>
                <w:sz w:val="18"/>
                <w:szCs w:val="18"/>
                <w:i w:val="1"/>
                <w:iCs w:val="1"/>
                <w:color w:val="auto"/>
              </w:rPr>
              <w:t>2</w:t>
            </w: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186</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1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7,567</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intercompany loans</w:t>
            </w:r>
          </w:p>
        </w:tc>
        <w:tc>
          <w:tcPr>
            <w:tcW w:w="1300" w:type="dxa"/>
            <w:vAlign w:val="bottom"/>
          </w:tcPr>
          <w:p>
            <w:pPr>
              <w:jc w:val="center"/>
              <w:ind w:right="152"/>
              <w:spacing w:after="0"/>
              <w:rPr>
                <w:sz w:val="20"/>
                <w:szCs w:val="20"/>
                <w:color w:val="auto"/>
              </w:rPr>
            </w:pPr>
            <w:r>
              <w:rPr>
                <w:rFonts w:ascii="Times New Roman" w:cs="Times New Roman" w:eastAsia="Times New Roman" w:hAnsi="Times New Roman"/>
                <w:sz w:val="18"/>
                <w:szCs w:val="18"/>
                <w:i w:val="1"/>
                <w:iCs w:val="1"/>
                <w:color w:val="auto"/>
              </w:rPr>
              <w:t>3</w:t>
            </w: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976</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cash inflow before changes in working capital</w:t>
            </w:r>
          </w:p>
        </w:tc>
        <w:tc>
          <w:tcPr>
            <w:tcW w:w="1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144,589</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184,080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other current assets</w:t>
            </w:r>
          </w:p>
        </w:tc>
        <w:tc>
          <w:tcPr>
            <w:tcW w:w="1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(224)</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accounts payable and accrued and other liabilities</w:t>
            </w:r>
          </w:p>
        </w:tc>
        <w:tc>
          <w:tcPr>
            <w:tcW w:w="1300" w:type="dxa"/>
            <w:vAlign w:val="bottom"/>
          </w:tcPr>
          <w:p>
            <w:pPr>
              <w:spacing w:after="0"/>
              <w:rPr>
                <w:sz w:val="18"/>
                <w:szCs w:val="18"/>
                <w:color w:val="auto"/>
              </w:rPr>
            </w:pP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263</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income taxes payable</w:t>
            </w:r>
          </w:p>
        </w:tc>
        <w:tc>
          <w:tcPr>
            <w:tcW w:w="13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provided by operations</w:t>
            </w:r>
          </w:p>
        </w:tc>
        <w:tc>
          <w:tcPr>
            <w:tcW w:w="1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144,635</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193,166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on Group facility</w:t>
            </w:r>
          </w:p>
        </w:tc>
        <w:tc>
          <w:tcPr>
            <w:tcW w:w="1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(976)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inflow from operating activities</w:t>
            </w:r>
          </w:p>
        </w:tc>
        <w:tc>
          <w:tcPr>
            <w:tcW w:w="13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143,659</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190,045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computer software</w:t>
            </w:r>
          </w:p>
        </w:tc>
        <w:tc>
          <w:tcPr>
            <w:tcW w:w="1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(90)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300" w:type="dxa"/>
            <w:vAlign w:val="bottom"/>
          </w:tcPr>
          <w:p>
            <w:pPr>
              <w:spacing w:after="0"/>
              <w:rPr>
                <w:sz w:val="18"/>
                <w:szCs w:val="18"/>
                <w:color w:val="auto"/>
              </w:rPr>
            </w:pPr>
          </w:p>
        </w:tc>
        <w:tc>
          <w:tcPr>
            <w:tcW w:w="20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(106)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investment in subsidiaries</w:t>
            </w:r>
          </w:p>
        </w:tc>
        <w:tc>
          <w:tcPr>
            <w:tcW w:w="13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(13,283)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(132,102)</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by investing activities</w:t>
            </w:r>
          </w:p>
        </w:tc>
        <w:tc>
          <w:tcPr>
            <w:tcW w:w="1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(13,479)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(132,737)</w:t>
            </w:r>
          </w:p>
        </w:tc>
        <w:tc>
          <w:tcPr>
            <w:tcW w:w="0" w:type="dxa"/>
            <w:vAlign w:val="bottom"/>
          </w:tcPr>
          <w:p>
            <w:pPr>
              <w:spacing w:after="0"/>
              <w:rPr>
                <w:sz w:val="1"/>
                <w:szCs w:val="1"/>
                <w:color w:val="auto"/>
              </w:rPr>
            </w:pPr>
          </w:p>
        </w:tc>
      </w:tr>
      <w:tr>
        <w:trPr>
          <w:trHeight w:val="21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amounts due from subsidiary undertakings</w:t>
            </w:r>
          </w:p>
        </w:tc>
        <w:tc>
          <w:tcPr>
            <w:tcW w:w="1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(10,667)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300" w:type="dxa"/>
            <w:vAlign w:val="bottom"/>
          </w:tcPr>
          <w:p>
            <w:pPr>
              <w:spacing w:after="0"/>
              <w:rPr>
                <w:sz w:val="18"/>
                <w:szCs w:val="18"/>
                <w:color w:val="auto"/>
              </w:rPr>
            </w:pP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22,274</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300" w:type="dxa"/>
            <w:vAlign w:val="bottom"/>
          </w:tcPr>
          <w:p>
            <w:pPr>
              <w:spacing w:after="0"/>
              <w:rPr>
                <w:sz w:val="18"/>
                <w:szCs w:val="18"/>
                <w:color w:val="auto"/>
              </w:rPr>
            </w:pPr>
          </w:p>
        </w:tc>
        <w:tc>
          <w:tcPr>
            <w:tcW w:w="20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(140,030)</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costs</w:t>
            </w:r>
          </w:p>
        </w:tc>
        <w:tc>
          <w:tcPr>
            <w:tcW w:w="13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(1,032)</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(129,475)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3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705</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300" w:type="dxa"/>
            <w:vAlign w:val="bottom"/>
          </w:tcPr>
          <w:p>
            <w:pPr>
              <w:spacing w:after="0"/>
              <w:rPr>
                <w:sz w:val="18"/>
                <w:szCs w:val="18"/>
                <w:color w:val="auto"/>
              </w:rPr>
            </w:pPr>
          </w:p>
        </w:tc>
        <w:tc>
          <w:tcPr>
            <w:tcW w:w="20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(22)</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start of year</w:t>
            </w:r>
          </w:p>
        </w:tc>
        <w:tc>
          <w:tcPr>
            <w:tcW w:w="13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3,833</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1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4,516</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6620" w:type="dxa"/>
            <w:vAlign w:val="bottom"/>
            <w:gridSpan w:val="2"/>
          </w:tcPr>
          <w:p>
            <w:pPr>
              <w:jc w:val="right"/>
              <w:ind w:right="692"/>
              <w:spacing w:after="0"/>
              <w:rPr>
                <w:sz w:val="20"/>
                <w:szCs w:val="20"/>
                <w:color w:val="auto"/>
              </w:rPr>
            </w:pPr>
            <w:r>
              <w:rPr>
                <w:rFonts w:ascii="Times New Roman" w:cs="Times New Roman" w:eastAsia="Times New Roman" w:hAnsi="Times New Roman"/>
                <w:sz w:val="18"/>
                <w:szCs w:val="18"/>
                <w:color w:val="auto"/>
              </w:rPr>
              <w:t>107</w:t>
            </w:r>
          </w:p>
        </w:tc>
        <w:tc>
          <w:tcPr>
            <w:tcW w:w="1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1"/>
          <w:szCs w:val="21"/>
          <w:color w:val="auto"/>
        </w:rPr>
        <w:t>Notes to Company Financial Statements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Property, plant and equipment</w:t>
            </w:r>
          </w:p>
        </w:tc>
        <w:tc>
          <w:tcPr>
            <w:tcW w:w="3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furniture &amp;</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fixtures</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4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$’000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At 1 January 2014</w:t>
            </w:r>
          </w:p>
        </w:tc>
        <w:tc>
          <w:tcPr>
            <w:tcW w:w="34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980</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2,017</w:t>
            </w: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1,563</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3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85</w:t>
            </w:r>
          </w:p>
        </w:tc>
        <w:tc>
          <w:tcPr>
            <w:tcW w:w="1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currency movement</w:t>
            </w:r>
          </w:p>
        </w:tc>
        <w:tc>
          <w:tcPr>
            <w:tcW w:w="34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(130)</w:t>
            </w:r>
          </w:p>
        </w:tc>
        <w:tc>
          <w:tcPr>
            <w:tcW w:w="1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(268)</w:t>
            </w:r>
          </w:p>
        </w:tc>
        <w:tc>
          <w:tcPr>
            <w:tcW w:w="15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(196)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31 December 2014</w:t>
            </w:r>
          </w:p>
        </w:tc>
        <w:tc>
          <w:tcPr>
            <w:tcW w:w="3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852</w:t>
            </w:r>
          </w:p>
        </w:tc>
        <w:tc>
          <w:tcPr>
            <w:tcW w:w="13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1,834</w:t>
            </w:r>
          </w:p>
        </w:tc>
        <w:tc>
          <w:tcPr>
            <w:tcW w:w="1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1,370</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4,056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2014</w:t>
            </w:r>
          </w:p>
        </w:tc>
        <w:tc>
          <w:tcPr>
            <w:tcW w:w="3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817</w:t>
            </w:r>
          </w:p>
        </w:tc>
        <w:tc>
          <w:tcPr>
            <w:tcW w:w="1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1,636</w:t>
            </w:r>
          </w:p>
        </w:tc>
        <w:tc>
          <w:tcPr>
            <w:tcW w:w="1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1,059</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34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55</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194</w:t>
            </w: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174</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movement</w:t>
            </w:r>
          </w:p>
        </w:tc>
        <w:tc>
          <w:tcPr>
            <w:tcW w:w="34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(116)</w:t>
            </w: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(228)</w:t>
            </w:r>
          </w:p>
        </w:tc>
        <w:tc>
          <w:tcPr>
            <w:tcW w:w="15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(149)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2014</w:t>
            </w:r>
          </w:p>
        </w:tc>
        <w:tc>
          <w:tcPr>
            <w:tcW w:w="3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756</w:t>
            </w:r>
          </w:p>
        </w:tc>
        <w:tc>
          <w:tcPr>
            <w:tcW w:w="13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1,602</w:t>
            </w:r>
          </w:p>
        </w:tc>
        <w:tc>
          <w:tcPr>
            <w:tcW w:w="1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1,084</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3,442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31 December 2014</w:t>
            </w:r>
          </w:p>
        </w:tc>
        <w:tc>
          <w:tcPr>
            <w:tcW w:w="3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96</w:t>
            </w:r>
          </w:p>
        </w:tc>
        <w:tc>
          <w:tcPr>
            <w:tcW w:w="13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232</w:t>
            </w:r>
          </w:p>
        </w:tc>
        <w:tc>
          <w:tcPr>
            <w:tcW w:w="1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286</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 31 December 2013</w:t>
            </w:r>
          </w:p>
        </w:tc>
        <w:tc>
          <w:tcPr>
            <w:tcW w:w="3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163</w:t>
            </w:r>
          </w:p>
        </w:tc>
        <w:tc>
          <w:tcPr>
            <w:tcW w:w="13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381</w:t>
            </w:r>
          </w:p>
        </w:tc>
        <w:tc>
          <w:tcPr>
            <w:tcW w:w="1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504</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furniture &amp;</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improvement</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fixtures</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4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$’000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At 1 January 2013</w:t>
            </w:r>
          </w:p>
        </w:tc>
        <w:tc>
          <w:tcPr>
            <w:tcW w:w="34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806</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1,777</w:t>
            </w: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1,462</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3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150</w:t>
            </w:r>
          </w:p>
        </w:tc>
        <w:tc>
          <w:tcPr>
            <w:tcW w:w="1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182</w:t>
            </w:r>
          </w:p>
        </w:tc>
        <w:tc>
          <w:tcPr>
            <w:tcW w:w="1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53</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currency movement</w:t>
            </w:r>
          </w:p>
        </w:tc>
        <w:tc>
          <w:tcPr>
            <w:tcW w:w="3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58</w:t>
            </w:r>
          </w:p>
        </w:tc>
        <w:tc>
          <w:tcPr>
            <w:tcW w:w="1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31 December 2013</w:t>
            </w:r>
          </w:p>
        </w:tc>
        <w:tc>
          <w:tcPr>
            <w:tcW w:w="3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980</w:t>
            </w:r>
          </w:p>
        </w:tc>
        <w:tc>
          <w:tcPr>
            <w:tcW w:w="13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1,563</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4,560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2013</w:t>
            </w:r>
          </w:p>
        </w:tc>
        <w:tc>
          <w:tcPr>
            <w:tcW w:w="3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648</w:t>
            </w:r>
          </w:p>
        </w:tc>
        <w:tc>
          <w:tcPr>
            <w:tcW w:w="1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1,387</w:t>
            </w:r>
          </w:p>
        </w:tc>
        <w:tc>
          <w:tcPr>
            <w:tcW w:w="1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874</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34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151</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204</w:t>
            </w: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156</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movement</w:t>
            </w:r>
          </w:p>
        </w:tc>
        <w:tc>
          <w:tcPr>
            <w:tcW w:w="3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18</w:t>
            </w:r>
          </w:p>
        </w:tc>
        <w:tc>
          <w:tcPr>
            <w:tcW w:w="13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45</w:t>
            </w:r>
          </w:p>
        </w:tc>
        <w:tc>
          <w:tcPr>
            <w:tcW w:w="1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2013</w:t>
            </w:r>
          </w:p>
        </w:tc>
        <w:tc>
          <w:tcPr>
            <w:tcW w:w="3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817</w:t>
            </w:r>
          </w:p>
        </w:tc>
        <w:tc>
          <w:tcPr>
            <w:tcW w:w="13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1,636</w:t>
            </w:r>
          </w:p>
        </w:tc>
        <w:tc>
          <w:tcPr>
            <w:tcW w:w="1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1,059</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3,512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3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31 December 2013</w:t>
            </w:r>
          </w:p>
        </w:tc>
        <w:tc>
          <w:tcPr>
            <w:tcW w:w="3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163</w:t>
            </w:r>
          </w:p>
        </w:tc>
        <w:tc>
          <w:tcPr>
            <w:tcW w:w="13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381</w:t>
            </w:r>
          </w:p>
        </w:tc>
        <w:tc>
          <w:tcPr>
            <w:tcW w:w="1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504</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 31 December 2012</w:t>
            </w:r>
          </w:p>
        </w:tc>
        <w:tc>
          <w:tcPr>
            <w:tcW w:w="3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158</w:t>
            </w:r>
          </w:p>
        </w:tc>
        <w:tc>
          <w:tcPr>
            <w:tcW w:w="13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390</w:t>
            </w:r>
          </w:p>
        </w:tc>
        <w:tc>
          <w:tcPr>
            <w:tcW w:w="1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588</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8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108</w:t>
            </w: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1"/>
          <w:szCs w:val="21"/>
          <w:color w:val="auto"/>
        </w:rPr>
        <w:t xml:space="preserve">Notes to Company Financial Statements </w:t>
      </w:r>
      <w:r>
        <w:rPr>
          <w:rFonts w:ascii="Times New Roman" w:cs="Times New Roman" w:eastAsia="Times New Roman" w:hAnsi="Times New Roman"/>
          <w:sz w:val="17"/>
          <w:szCs w:val="17"/>
          <w:i w:val="1"/>
          <w:iCs w:val="1"/>
          <w:color w:val="auto"/>
        </w:rPr>
        <w:t>(continued)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Intangible assets</w:t>
            </w:r>
          </w:p>
        </w:tc>
        <w:tc>
          <w:tcPr>
            <w:tcW w:w="7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6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6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6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7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At 1 January 2013</w:t>
            </w:r>
          </w:p>
        </w:tc>
        <w:tc>
          <w:tcPr>
            <w:tcW w:w="7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7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December 2013</w:t>
            </w:r>
          </w:p>
        </w:tc>
        <w:tc>
          <w:tcPr>
            <w:tcW w:w="7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Eliminated on disposals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7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431"/>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31 December 2014</w:t>
            </w:r>
          </w:p>
        </w:tc>
        <w:tc>
          <w:tcPr>
            <w:tcW w:w="76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1,148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Amortisation</w:t>
            </w:r>
          </w:p>
        </w:tc>
        <w:tc>
          <w:tcPr>
            <w:tcW w:w="7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2013</w:t>
            </w:r>
          </w:p>
        </w:tc>
        <w:tc>
          <w:tcPr>
            <w:tcW w:w="7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Arising during the year</w:t>
            </w:r>
          </w:p>
        </w:tc>
        <w:tc>
          <w:tcPr>
            <w:tcW w:w="7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7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31"/>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31 December 2013</w:t>
            </w:r>
          </w:p>
        </w:tc>
        <w:tc>
          <w:tcPr>
            <w:tcW w:w="7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Arising during the year</w:t>
            </w:r>
          </w:p>
        </w:tc>
        <w:tc>
          <w:tcPr>
            <w:tcW w:w="7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7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431"/>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31 December 2014</w:t>
            </w:r>
          </w:p>
        </w:tc>
        <w:tc>
          <w:tcPr>
            <w:tcW w:w="76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7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2014</w:t>
            </w:r>
          </w:p>
        </w:tc>
        <w:tc>
          <w:tcPr>
            <w:tcW w:w="7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197</w:t>
            </w:r>
          </w:p>
        </w:tc>
        <w:tc>
          <w:tcPr>
            <w:tcW w:w="0" w:type="dxa"/>
            <w:vAlign w:val="bottom"/>
          </w:tcPr>
          <w:p>
            <w:pPr>
              <w:spacing w:after="0"/>
              <w:rPr>
                <w:sz w:val="1"/>
                <w:szCs w:val="1"/>
                <w:color w:val="auto"/>
              </w:rPr>
            </w:pPr>
          </w:p>
        </w:tc>
      </w:tr>
      <w:tr>
        <w:trPr>
          <w:trHeight w:val="205"/>
        </w:trPr>
        <w:tc>
          <w:tcPr>
            <w:tcW w:w="3820" w:type="dxa"/>
            <w:vAlign w:val="bottom"/>
            <w:gridSpan w:val="2"/>
          </w:tcPr>
          <w:p>
            <w:pPr>
              <w:spacing w:after="0"/>
              <w:rPr>
                <w:sz w:val="17"/>
                <w:szCs w:val="17"/>
                <w:color w:val="auto"/>
              </w:rPr>
            </w:pPr>
          </w:p>
        </w:tc>
        <w:tc>
          <w:tcPr>
            <w:tcW w:w="7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December 2013</w:t>
            </w:r>
          </w:p>
        </w:tc>
        <w:tc>
          <w:tcPr>
            <w:tcW w:w="7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600" w:type="dxa"/>
            <w:vAlign w:val="bottom"/>
          </w:tcPr>
          <w:p>
            <w:pPr>
              <w:jc w:val="right"/>
              <w:ind w:right="5492"/>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7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1"/>
          <w:szCs w:val="21"/>
          <w:color w:val="auto"/>
        </w:rPr>
        <w:t xml:space="preserve">Notes to Company Financial Statements </w:t>
      </w:r>
      <w:r>
        <w:rPr>
          <w:rFonts w:ascii="Times New Roman" w:cs="Times New Roman" w:eastAsia="Times New Roman" w:hAnsi="Times New Roman"/>
          <w:sz w:val="17"/>
          <w:szCs w:val="17"/>
          <w:i w:val="1"/>
          <w:iCs w:val="1"/>
          <w:color w:val="auto"/>
        </w:rPr>
        <w:t>(continued)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Investment in subsidiaries</w:t>
            </w:r>
          </w:p>
        </w:tc>
        <w:tc>
          <w:tcPr>
            <w:tcW w:w="3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0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Investment in</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Advances to</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0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0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Undertakings</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Undertakings</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0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1 January 2013</w:t>
            </w:r>
          </w:p>
        </w:tc>
        <w:tc>
          <w:tcPr>
            <w:tcW w:w="3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285,785</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77,198</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362,983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 on long term intercompany loans</w:t>
            </w:r>
          </w:p>
        </w:tc>
        <w:tc>
          <w:tcPr>
            <w:tcW w:w="3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695</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Additions (1)</w:t>
            </w:r>
          </w:p>
        </w:tc>
        <w:tc>
          <w:tcPr>
            <w:tcW w:w="3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278,793</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278,793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 / repayments (2)</w:t>
            </w:r>
          </w:p>
        </w:tc>
        <w:tc>
          <w:tcPr>
            <w:tcW w:w="3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(90,085)</w:t>
            </w:r>
          </w:p>
        </w:tc>
        <w:tc>
          <w:tcPr>
            <w:tcW w:w="15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(43,077)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3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7,951</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subscription payment from subsidiary companies</w:t>
            </w:r>
          </w:p>
        </w:tc>
        <w:tc>
          <w:tcPr>
            <w:tcW w:w="3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(13,529)</w:t>
            </w:r>
          </w:p>
        </w:tc>
        <w:tc>
          <w:tcPr>
            <w:tcW w:w="15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3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19,422</w:t>
            </w:r>
          </w:p>
        </w:tc>
        <w:tc>
          <w:tcPr>
            <w:tcW w:w="15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1,657</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21,079</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December 2013</w:t>
            </w:r>
          </w:p>
        </w:tc>
        <w:tc>
          <w:tcPr>
            <w:tcW w:w="30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488,337</w:t>
            </w:r>
          </w:p>
        </w:tc>
        <w:tc>
          <w:tcPr>
            <w:tcW w:w="156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36,473</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524,810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(3)</w:t>
            </w:r>
          </w:p>
        </w:tc>
        <w:tc>
          <w:tcPr>
            <w:tcW w:w="3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13,283</w:t>
            </w:r>
          </w:p>
        </w:tc>
        <w:tc>
          <w:tcPr>
            <w:tcW w:w="15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3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15,160</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subscription payment from subsidiary companies</w:t>
            </w:r>
          </w:p>
        </w:tc>
        <w:tc>
          <w:tcPr>
            <w:tcW w:w="3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(20,497)</w:t>
            </w:r>
          </w:p>
        </w:tc>
        <w:tc>
          <w:tcPr>
            <w:tcW w:w="15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30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(60,253)</w:t>
            </w:r>
          </w:p>
        </w:tc>
        <w:tc>
          <w:tcPr>
            <w:tcW w:w="15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(4,379)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(64,632)</w:t>
            </w: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2014</w:t>
            </w:r>
          </w:p>
        </w:tc>
        <w:tc>
          <w:tcPr>
            <w:tcW w:w="30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436,030</w:t>
            </w:r>
          </w:p>
        </w:tc>
        <w:tc>
          <w:tcPr>
            <w:tcW w:w="156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32,094</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468,124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80" w:right="120" w:hanging="360"/>
        <w:spacing w:after="0" w:line="260"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2013, the Company invested $81.8 million for “A” shares in ICON Holdings. In November 2013, following an internal Group restructuring, the Company made a capital contribution to ICON Holdings and ICON Clinical Research UK Limited of $42.6 million and $38.2 million respectively. The Company also made an investment in ICON Clinical International of $116.2 million.</w:t>
      </w:r>
    </w:p>
    <w:p>
      <w:pPr>
        <w:spacing w:after="0" w:line="175" w:lineRule="exact"/>
        <w:rPr>
          <w:rFonts w:ascii="Times New Roman" w:cs="Times New Roman" w:eastAsia="Times New Roman" w:hAnsi="Times New Roman"/>
          <w:sz w:val="18"/>
          <w:szCs w:val="18"/>
          <w:color w:val="auto"/>
        </w:rPr>
      </w:pPr>
    </w:p>
    <w:p>
      <w:pPr>
        <w:ind w:left="580" w:right="20" w:hanging="360"/>
        <w:spacing w:after="0" w:line="274"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2013, the Company received a repayment of $43.1 million in respect of long term advances. Also in December 2013, the Company redeemed shares in ICON Holdings amounting to $90.1 million.</w:t>
      </w:r>
    </w:p>
    <w:p>
      <w:pPr>
        <w:spacing w:after="0" w:line="163" w:lineRule="exact"/>
        <w:rPr>
          <w:rFonts w:ascii="Times New Roman" w:cs="Times New Roman" w:eastAsia="Times New Roman" w:hAnsi="Times New Roman"/>
          <w:sz w:val="18"/>
          <w:szCs w:val="18"/>
          <w:color w:val="auto"/>
        </w:rPr>
      </w:pPr>
    </w:p>
    <w:p>
      <w:pPr>
        <w:ind w:left="580" w:hanging="360"/>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2014, the Company made a capital contribution of $13.3 million to its subsidiary ICON Medical Imaging AG.</w:t>
      </w:r>
    </w:p>
    <w:p>
      <w:pPr>
        <w:spacing w:after="0" w:line="217" w:lineRule="exact"/>
        <w:rPr>
          <w:rFonts w:ascii="Times New Roman" w:cs="Times New Roman" w:eastAsia="Times New Roman" w:hAnsi="Times New Roman"/>
          <w:sz w:val="18"/>
          <w:szCs w:val="18"/>
          <w:color w:val="auto"/>
        </w:rPr>
      </w:pPr>
    </w:p>
    <w:p>
      <w:pPr>
        <w:ind w:left="580" w:hanging="360"/>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are satisfied that the fair value of invenstments in and loans to subsidiary undertakings is equal to or greate than their carrying value.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1"/>
          <w:szCs w:val="21"/>
          <w:color w:val="auto"/>
        </w:rPr>
        <w:t xml:space="preserve">Notes to Company Financial Statements </w:t>
      </w:r>
      <w:r>
        <w:rPr>
          <w:rFonts w:ascii="Times New Roman" w:cs="Times New Roman" w:eastAsia="Times New Roman" w:hAnsi="Times New Roman"/>
          <w:sz w:val="17"/>
          <w:szCs w:val="17"/>
          <w:i w:val="1"/>
          <w:iCs w:val="1"/>
          <w:color w:val="auto"/>
        </w:rPr>
        <w:t>(continued)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Deferred taxation</w:t>
            </w:r>
          </w:p>
        </w:tc>
        <w:tc>
          <w:tcPr>
            <w:tcW w:w="3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deferred tax asset at 31 December 2014 was as follows:</w:t>
            </w:r>
          </w:p>
        </w:tc>
        <w:tc>
          <w:tcPr>
            <w:tcW w:w="3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taxation assets</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374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274</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106</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374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subsidiaries</w:t>
            </w:r>
          </w:p>
        </w:tc>
        <w:tc>
          <w:tcPr>
            <w:tcW w:w="37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52</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taxation assets</w:t>
            </w:r>
          </w:p>
        </w:tc>
        <w:tc>
          <w:tcPr>
            <w:tcW w:w="37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432</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2"/>
        </w:trPr>
        <w:tc>
          <w:tcPr>
            <w:tcW w:w="5060" w:type="dxa"/>
            <w:vAlign w:val="bottom"/>
            <w:gridSpan w:val="2"/>
          </w:tcPr>
          <w:p>
            <w:pPr>
              <w:spacing w:after="0"/>
              <w:rPr>
                <w:sz w:val="18"/>
                <w:szCs w:val="18"/>
                <w:color w:val="auto"/>
              </w:rPr>
            </w:pPr>
          </w:p>
        </w:tc>
        <w:tc>
          <w:tcPr>
            <w:tcW w:w="3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taxation liabilities</w:t>
            </w:r>
          </w:p>
        </w:tc>
        <w:tc>
          <w:tcPr>
            <w:tcW w:w="37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740" w:type="dxa"/>
            <w:vAlign w:val="bottom"/>
          </w:tcPr>
          <w:p>
            <w:pPr>
              <w:spacing w:after="0"/>
              <w:rPr>
                <w:sz w:val="18"/>
                <w:szCs w:val="18"/>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37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taxation liabilities</w:t>
            </w:r>
          </w:p>
        </w:tc>
        <w:tc>
          <w:tcPr>
            <w:tcW w:w="37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taxation asset</w:t>
            </w:r>
          </w:p>
        </w:tc>
        <w:tc>
          <w:tcPr>
            <w:tcW w:w="37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410</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423"/>
        </w:trPr>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movement in temporary differences during the year ended 31 December 2014 and year ended 31 December 2013 was as follows: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7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8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7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 January</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Recognised in</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7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7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taxation assets</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3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270</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105</w:t>
            </w:r>
          </w:p>
        </w:tc>
        <w:tc>
          <w:tcPr>
            <w:tcW w:w="1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payments</w:t>
            </w:r>
          </w:p>
        </w:tc>
        <w:tc>
          <w:tcPr>
            <w:tcW w:w="3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subsidiaries</w:t>
            </w:r>
          </w:p>
        </w:tc>
        <w:tc>
          <w:tcPr>
            <w:tcW w:w="37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52</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taxation assets</w:t>
            </w:r>
          </w:p>
        </w:tc>
        <w:tc>
          <w:tcPr>
            <w:tcW w:w="37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427</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432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taxation liabilities</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37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taxation liabilities</w:t>
            </w:r>
          </w:p>
        </w:tc>
        <w:tc>
          <w:tcPr>
            <w:tcW w:w="37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(32)</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taxation asset</w:t>
            </w:r>
          </w:p>
        </w:tc>
        <w:tc>
          <w:tcPr>
            <w:tcW w:w="37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395</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410</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740" w:type="dxa"/>
            <w:vAlign w:val="bottom"/>
          </w:tcPr>
          <w:p>
            <w:pPr>
              <w:jc w:val="right"/>
              <w:ind w:right="2872"/>
              <w:spacing w:after="0"/>
              <w:rPr>
                <w:sz w:val="20"/>
                <w:szCs w:val="20"/>
                <w:color w:val="auto"/>
              </w:rPr>
            </w:pPr>
            <w:r>
              <w:rPr>
                <w:rFonts w:ascii="Times New Roman" w:cs="Times New Roman" w:eastAsia="Times New Roman" w:hAnsi="Times New Roman"/>
                <w:sz w:val="18"/>
                <w:szCs w:val="18"/>
                <w:color w:val="auto"/>
              </w:rPr>
              <w:t>111</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1"/>
          <w:szCs w:val="21"/>
          <w:color w:val="auto"/>
        </w:rPr>
        <w:t xml:space="preserve">Notes to Company Financial Statements </w:t>
      </w:r>
      <w:r>
        <w:rPr>
          <w:rFonts w:ascii="Times New Roman" w:cs="Times New Roman" w:eastAsia="Times New Roman" w:hAnsi="Times New Roman"/>
          <w:sz w:val="17"/>
          <w:szCs w:val="17"/>
          <w:i w:val="1"/>
          <w:iCs w:val="1"/>
          <w:color w:val="auto"/>
        </w:rPr>
        <w:t>(continued)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4. Deferred taxation </w:t>
            </w:r>
            <w:r>
              <w:rPr>
                <w:rFonts w:ascii="Times New Roman" w:cs="Times New Roman" w:eastAsia="Times New Roman" w:hAnsi="Times New Roman"/>
                <w:sz w:val="18"/>
                <w:szCs w:val="18"/>
                <w:b w:val="1"/>
                <w:bCs w:val="1"/>
                <w:i w:val="1"/>
                <w:iCs w:val="1"/>
                <w:color w:val="auto"/>
              </w:rPr>
              <w:t>(continued)</w:t>
            </w:r>
          </w:p>
        </w:tc>
        <w:tc>
          <w:tcPr>
            <w:tcW w:w="3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3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8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3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 January</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Recognised in</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3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3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taxation assets</w:t>
            </w:r>
          </w:p>
        </w:tc>
        <w:tc>
          <w:tcPr>
            <w:tcW w:w="3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3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77</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193</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213</w:t>
            </w:r>
          </w:p>
        </w:tc>
        <w:tc>
          <w:tcPr>
            <w:tcW w:w="13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(108)</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payments</w:t>
            </w:r>
          </w:p>
        </w:tc>
        <w:tc>
          <w:tcPr>
            <w:tcW w:w="3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subsidiaries</w:t>
            </w:r>
          </w:p>
        </w:tc>
        <w:tc>
          <w:tcPr>
            <w:tcW w:w="3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142</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(90)</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taxation assets</w:t>
            </w:r>
          </w:p>
        </w:tc>
        <w:tc>
          <w:tcPr>
            <w:tcW w:w="3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432</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427</w:t>
            </w:r>
          </w:p>
        </w:tc>
        <w:tc>
          <w:tcPr>
            <w:tcW w:w="0" w:type="dxa"/>
            <w:vAlign w:val="bottom"/>
          </w:tcPr>
          <w:p>
            <w:pPr>
              <w:spacing w:after="0"/>
              <w:rPr>
                <w:sz w:val="1"/>
                <w:szCs w:val="1"/>
                <w:color w:val="auto"/>
              </w:rPr>
            </w:pPr>
          </w:p>
        </w:tc>
      </w:tr>
      <w:tr>
        <w:trPr>
          <w:trHeight w:val="212"/>
        </w:trPr>
        <w:tc>
          <w:tcPr>
            <w:tcW w:w="5480" w:type="dxa"/>
            <w:vAlign w:val="bottom"/>
            <w:gridSpan w:val="2"/>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taxation liabilities</w:t>
            </w:r>
          </w:p>
        </w:tc>
        <w:tc>
          <w:tcPr>
            <w:tcW w:w="3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w:t>
            </w: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3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taxation liabilities</w:t>
            </w:r>
          </w:p>
        </w:tc>
        <w:tc>
          <w:tcPr>
            <w:tcW w:w="3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(36)</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taxation asset</w:t>
            </w:r>
          </w:p>
        </w:tc>
        <w:tc>
          <w:tcPr>
            <w:tcW w:w="3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396</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395</w:t>
            </w:r>
          </w:p>
        </w:tc>
        <w:tc>
          <w:tcPr>
            <w:tcW w:w="0" w:type="dxa"/>
            <w:vAlign w:val="bottom"/>
          </w:tcPr>
          <w:p>
            <w:pPr>
              <w:spacing w:after="0"/>
              <w:rPr>
                <w:sz w:val="1"/>
                <w:szCs w:val="1"/>
                <w:color w:val="auto"/>
              </w:rPr>
            </w:pPr>
          </w:p>
        </w:tc>
      </w:tr>
    </w:tbl>
    <w:p>
      <w:pPr>
        <w:jc w:val="both"/>
        <w:spacing w:after="0" w:line="253" w:lineRule="auto"/>
        <w:rPr>
          <w:sz w:val="20"/>
          <w:szCs w:val="20"/>
          <w:color w:val="auto"/>
        </w:rPr>
      </w:pPr>
      <w:r>
        <w:rPr>
          <w:rFonts w:ascii="Times New Roman" w:cs="Times New Roman" w:eastAsia="Times New Roman" w:hAnsi="Times New Roman"/>
          <w:sz w:val="18"/>
          <w:szCs w:val="18"/>
          <w:color w:val="auto"/>
        </w:rPr>
        <w:t>At 31 December 2014 and 31 December 2013 the Company had no operating loss carry forwards for income tax purposes and there were no deferred tax assets that have not been recognised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Other current assets</w:t>
            </w:r>
          </w:p>
        </w:tc>
        <w:tc>
          <w:tcPr>
            <w:tcW w:w="6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2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2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2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6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1,668</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6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1,283</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2,951</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and other liabilities</w:t>
            </w:r>
          </w:p>
        </w:tc>
        <w:tc>
          <w:tcPr>
            <w:tcW w:w="6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2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2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2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other liabilities</w:t>
            </w:r>
          </w:p>
        </w:tc>
        <w:tc>
          <w:tcPr>
            <w:tcW w:w="6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6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200" w:type="dxa"/>
            <w:vAlign w:val="bottom"/>
          </w:tcPr>
          <w:p>
            <w:pPr>
              <w:jc w:val="right"/>
              <w:ind w:right="4232"/>
              <w:spacing w:after="0"/>
              <w:rPr>
                <w:sz w:val="20"/>
                <w:szCs w:val="20"/>
                <w:color w:val="auto"/>
              </w:rPr>
            </w:pPr>
            <w:r>
              <w:rPr>
                <w:rFonts w:ascii="Times New Roman" w:cs="Times New Roman" w:eastAsia="Times New Roman" w:hAnsi="Times New Roman"/>
                <w:sz w:val="18"/>
                <w:szCs w:val="18"/>
                <w:color w:val="auto"/>
              </w:rPr>
              <w:t>112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6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1"/>
          <w:szCs w:val="21"/>
          <w:color w:val="auto"/>
        </w:rPr>
        <w:t xml:space="preserve">Notes to Company Financial Statements </w:t>
      </w:r>
      <w:r>
        <w:rPr>
          <w:rFonts w:ascii="Times New Roman" w:cs="Times New Roman" w:eastAsia="Times New Roman" w:hAnsi="Times New Roman"/>
          <w:sz w:val="17"/>
          <w:szCs w:val="17"/>
          <w:i w:val="1"/>
          <w:iCs w:val="1"/>
          <w:color w:val="auto"/>
        </w:rPr>
        <w:t>(continued)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Accrued and other liabilities </w:t>
      </w:r>
      <w:r>
        <w:rPr>
          <w:rFonts w:ascii="Times New Roman" w:cs="Times New Roman" w:eastAsia="Times New Roman" w:hAnsi="Times New Roman"/>
          <w:sz w:val="18"/>
          <w:szCs w:val="18"/>
          <w:b w:val="1"/>
          <w:bCs w:val="1"/>
          <w:i w:val="1"/>
          <w:iCs w:val="1"/>
          <w:color w:val="auto"/>
        </w:rPr>
        <w:t>(continued)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Accruals and other liabilities</w:t>
            </w:r>
          </w:p>
        </w:tc>
        <w:tc>
          <w:tcPr>
            <w:tcW w:w="2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23,701</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20,014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23,701</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Related parties</w:t>
            </w: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entered into the following transactions with subsidiary companies during the period:</w:t>
            </w: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2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2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w:t>
            </w:r>
          </w:p>
        </w:tc>
        <w:tc>
          <w:tcPr>
            <w:tcW w:w="2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Expenses recharged to subsidiary companies</w:t>
            </w:r>
          </w:p>
        </w:tc>
        <w:tc>
          <w:tcPr>
            <w:tcW w:w="22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35,750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43,978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received from subsidiary company</w:t>
            </w:r>
          </w:p>
        </w:tc>
        <w:tc>
          <w:tcPr>
            <w:tcW w:w="2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140,030</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Profit on disposal of interest in subsidiaries </w:t>
            </w:r>
            <w:r>
              <w:rPr>
                <w:rFonts w:ascii="Times New Roman" w:cs="Times New Roman" w:eastAsia="Times New Roman" w:hAnsi="Times New Roman"/>
                <w:sz w:val="18"/>
                <w:szCs w:val="18"/>
                <w:i w:val="1"/>
                <w:iCs w:val="1"/>
                <w:color w:val="auto"/>
              </w:rPr>
              <w:t>(a)</w:t>
            </w:r>
          </w:p>
        </w:tc>
        <w:tc>
          <w:tcPr>
            <w:tcW w:w="22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179,545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 on loans charged to subsidiary companies</w:t>
            </w:r>
          </w:p>
        </w:tc>
        <w:tc>
          <w:tcPr>
            <w:tcW w:w="22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175,780</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224,218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Statement</w:t>
            </w:r>
          </w:p>
        </w:tc>
        <w:tc>
          <w:tcPr>
            <w:tcW w:w="2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in intercompany debtors and investments</w:t>
            </w:r>
          </w:p>
        </w:tc>
        <w:tc>
          <w:tcPr>
            <w:tcW w:w="2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(10,667)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(213,646)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(10,667)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580" w:hanging="316"/>
        <w:spacing w:after="0"/>
        <w:tabs>
          <w:tab w:leader="none" w:pos="58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2014, the Company received a dividends of $140.0 million from its subsidiary ICON Clinical Research Limited.</w:t>
      </w:r>
    </w:p>
    <w:p>
      <w:pPr>
        <w:spacing w:after="0" w:line="24" w:lineRule="exact"/>
        <w:rPr>
          <w:rFonts w:ascii="Times New Roman" w:cs="Times New Roman" w:eastAsia="Times New Roman" w:hAnsi="Times New Roman"/>
          <w:sz w:val="18"/>
          <w:szCs w:val="18"/>
          <w:i w:val="1"/>
          <w:iCs w:val="1"/>
          <w:color w:val="auto"/>
        </w:rPr>
      </w:pPr>
    </w:p>
    <w:p>
      <w:pPr>
        <w:ind w:left="580" w:right="40" w:hanging="316"/>
        <w:spacing w:after="0" w:line="251" w:lineRule="auto"/>
        <w:tabs>
          <w:tab w:leader="none" w:pos="58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May 2013, the Company disposed of its interest in ICON Germany resulting in a profit on disposal of $58.5 million. In November 2013, following an internal Group restructuring, the Company disposed of it’s interest in ICON Clinical Research UK Limited resulting in a profit of $121.0 million.</w:t>
      </w:r>
    </w:p>
    <w:p>
      <w:pPr>
        <w:spacing w:after="0" w:line="18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Directors and Executive Officers of the Parent Company are the same as those for the Group. For information on transactions with Directors and Executive Officers see note 29 to the Group financial statements, and for information on Directors’ remuneration see note 8.</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1"/>
          <w:szCs w:val="21"/>
          <w:color w:val="auto"/>
        </w:rPr>
        <w:t xml:space="preserve">Notes to Company Financial Statements </w:t>
      </w:r>
      <w:r>
        <w:rPr>
          <w:rFonts w:ascii="Times New Roman" w:cs="Times New Roman" w:eastAsia="Times New Roman" w:hAnsi="Times New Roman"/>
          <w:sz w:val="17"/>
          <w:szCs w:val="17"/>
          <w:i w:val="1"/>
          <w:iCs w:val="1"/>
          <w:color w:val="auto"/>
        </w:rPr>
        <w:t>(continued)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several non-cancelable operating leases that expire over the next 4 years. These leases generally contain renewal options and require the Company to pay all executory costs such as maintenance and insurance. The Company recognised $3.2 million and $3.2 million in rental expense (including rates) for the years ended December 31, 2014 and December 31, 2013 respectively. Future minimum rental commitments for operating leases with non-cancelable terms in excess of one year are as follows:</w:t>
      </w:r>
    </w:p>
    <w:p>
      <w:pPr>
        <w:spacing w:after="0" w:line="200" w:lineRule="exact"/>
        <w:rPr>
          <w:sz w:val="20"/>
          <w:szCs w:val="20"/>
          <w:color w:val="auto"/>
        </w:rPr>
      </w:pPr>
    </w:p>
    <w:p>
      <w:pPr>
        <w:spacing w:after="0" w:line="244" w:lineRule="exact"/>
        <w:rPr>
          <w:sz w:val="20"/>
          <w:szCs w:val="20"/>
          <w:color w:val="auto"/>
        </w:rPr>
      </w:pPr>
    </w:p>
    <w:tbl>
      <w:tblPr>
        <w:tblLayout w:type="fixed"/>
        <w:tblInd w:w="11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Minimum rental payments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5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5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Litigation</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Financial instruments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is exposed to various financial risks in the normal course of the business. The Company’s financial instruments typically comprise, cash, bank borrowings and accounts payable. The main purpose of these financial instruments is to provide finance for the Company’s operations. The main risks arising from the Company’s financial instruments are credit risk, liquidity risk, interest rate risk, and foreign exchange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Credit risk is the risk of financial loss to the Company if a customer or counterparty to a financial instrument fails to meet its contractual obligations. Credit risk in respect of the Company arises on balances due from group companies, and as the group is financially sound and the subsidiary entities that ICON Plc the company trades with are in a position to make payments as and when they fall due, the Company has assessed the exposure to credit risk as 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fall due. The Company’s liquidity risk arises from the repayment of short 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Group. Details of the Group’s bank credit lines and facilities are set out in note 22.</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1"/>
          <w:szCs w:val="21"/>
          <w:color w:val="auto"/>
        </w:rPr>
        <w:t xml:space="preserve">Notes to Company Financial Statements </w:t>
      </w:r>
      <w:r>
        <w:rPr>
          <w:rFonts w:ascii="Times New Roman" w:cs="Times New Roman" w:eastAsia="Times New Roman" w:hAnsi="Times New Roman"/>
          <w:sz w:val="17"/>
          <w:szCs w:val="17"/>
          <w:i w:val="1"/>
          <w:iCs w:val="1"/>
          <w:color w:val="auto"/>
        </w:rPr>
        <w:t>(continued)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Financial instruments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At 31 December 2014</w:t>
            </w:r>
          </w:p>
        </w:tc>
        <w:tc>
          <w:tcPr>
            <w:tcW w:w="140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34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80" w:type="dxa"/>
            <w:vAlign w:val="bottom"/>
          </w:tcPr>
          <w:p>
            <w:pPr>
              <w:spacing w:after="0"/>
              <w:rPr>
                <w:sz w:val="20"/>
                <w:szCs w:val="20"/>
                <w:color w:val="auto"/>
              </w:rPr>
            </w:pPr>
          </w:p>
        </w:tc>
        <w:tc>
          <w:tcPr>
            <w:tcW w:w="134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6 to12</w:t>
            </w:r>
          </w:p>
        </w:tc>
        <w:tc>
          <w:tcPr>
            <w:tcW w:w="140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 to 2</w:t>
            </w:r>
          </w:p>
        </w:tc>
        <w:tc>
          <w:tcPr>
            <w:tcW w:w="110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 to 5</w:t>
            </w:r>
          </w:p>
        </w:tc>
        <w:tc>
          <w:tcPr>
            <w:tcW w:w="11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Cashflows</w:t>
            </w:r>
          </w:p>
        </w:tc>
        <w:tc>
          <w:tcPr>
            <w:tcW w:w="16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6 mths or less</w:t>
            </w:r>
          </w:p>
        </w:tc>
        <w:tc>
          <w:tcPr>
            <w:tcW w:w="13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mths</w:t>
            </w:r>
          </w:p>
        </w:tc>
        <w:tc>
          <w:tcPr>
            <w:tcW w:w="14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6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w:t>
            </w:r>
          </w:p>
        </w:tc>
        <w:tc>
          <w:tcPr>
            <w:tcW w:w="16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Accruals and other</w:t>
            </w: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(23,701)</w:t>
            </w: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(23,701)</w:t>
            </w:r>
          </w:p>
        </w:tc>
        <w:tc>
          <w:tcPr>
            <w:tcW w:w="16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(23,701)</w:t>
            </w:r>
          </w:p>
        </w:tc>
        <w:tc>
          <w:tcPr>
            <w:tcW w:w="13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(23,728)</w:t>
            </w: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(23,728)</w:t>
            </w:r>
          </w:p>
        </w:tc>
        <w:tc>
          <w:tcPr>
            <w:tcW w:w="16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(23,728)</w:t>
            </w:r>
          </w:p>
        </w:tc>
        <w:tc>
          <w:tcPr>
            <w:tcW w:w="13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At 31 December 2013</w:t>
            </w:r>
          </w:p>
        </w:tc>
        <w:tc>
          <w:tcPr>
            <w:tcW w:w="140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34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80" w:type="dxa"/>
            <w:vAlign w:val="bottom"/>
          </w:tcPr>
          <w:p>
            <w:pPr>
              <w:spacing w:after="0"/>
              <w:rPr>
                <w:sz w:val="24"/>
                <w:szCs w:val="24"/>
                <w:color w:val="auto"/>
              </w:rPr>
            </w:pPr>
          </w:p>
        </w:tc>
        <w:tc>
          <w:tcPr>
            <w:tcW w:w="134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6 to12</w:t>
            </w:r>
          </w:p>
        </w:tc>
        <w:tc>
          <w:tcPr>
            <w:tcW w:w="140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 to 2</w:t>
            </w:r>
          </w:p>
        </w:tc>
        <w:tc>
          <w:tcPr>
            <w:tcW w:w="110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 to 5</w:t>
            </w:r>
          </w:p>
        </w:tc>
        <w:tc>
          <w:tcPr>
            <w:tcW w:w="11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Cashflows</w:t>
            </w:r>
          </w:p>
        </w:tc>
        <w:tc>
          <w:tcPr>
            <w:tcW w:w="16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6 mths or less</w:t>
            </w:r>
          </w:p>
        </w:tc>
        <w:tc>
          <w:tcPr>
            <w:tcW w:w="13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mths</w:t>
            </w:r>
          </w:p>
        </w:tc>
        <w:tc>
          <w:tcPr>
            <w:tcW w:w="14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$’000</w:t>
            </w:r>
          </w:p>
        </w:tc>
        <w:tc>
          <w:tcPr>
            <w:tcW w:w="16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$’000</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(608)</w:t>
            </w:r>
          </w:p>
        </w:tc>
        <w:tc>
          <w:tcPr>
            <w:tcW w:w="1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(608)</w:t>
            </w:r>
          </w:p>
        </w:tc>
        <w:tc>
          <w:tcPr>
            <w:tcW w:w="16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(608)</w:t>
            </w:r>
          </w:p>
        </w:tc>
        <w:tc>
          <w:tcPr>
            <w:tcW w:w="13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Accruals and other</w:t>
            </w: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(20,014)</w:t>
            </w: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(20,014)</w:t>
            </w:r>
          </w:p>
        </w:tc>
        <w:tc>
          <w:tcPr>
            <w:tcW w:w="16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(20,014)</w:t>
            </w:r>
          </w:p>
        </w:tc>
        <w:tc>
          <w:tcPr>
            <w:tcW w:w="13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Non-current other</w:t>
            </w:r>
          </w:p>
        </w:tc>
        <w:tc>
          <w:tcPr>
            <w:tcW w:w="1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(2,865)</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(2,865)</w:t>
            </w:r>
          </w:p>
        </w:tc>
        <w:tc>
          <w:tcPr>
            <w:tcW w:w="168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(2,865)</w:t>
            </w:r>
          </w:p>
        </w:tc>
        <w:tc>
          <w:tcPr>
            <w:tcW w:w="11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(23,487)</w:t>
            </w: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(23,487)</w:t>
            </w:r>
          </w:p>
        </w:tc>
        <w:tc>
          <w:tcPr>
            <w:tcW w:w="16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(20,622)</w:t>
            </w:r>
          </w:p>
        </w:tc>
        <w:tc>
          <w:tcPr>
            <w:tcW w:w="13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(2,865)</w:t>
            </w:r>
          </w:p>
        </w:tc>
        <w:tc>
          <w:tcPr>
            <w:tcW w:w="11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While the functional currency of the Company is Euro, the Company reports its results in U.S. dollars. As a consequence, the results, when translated into U.S. dollars, could be affected by fluctuations in exchange rates against the U.S. dollar. At 31 December 2014 the Company had $nil US dollar denominated bank loans (2013: $nil).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finances its operations through a mixture of shareholders’ funds, borrowings and working capital. The Company borrows in desired currencies at both fixed and floating rates of interest. In general the Company borrows at floating rates of interest but may borrow at fixed rates depending on rates available. The Company determines the level of borrowings at fixed rates of interest having regard to current market rates and future trends. At 31 December 2014, the Company did not have any borrowings drawn down.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21"/>
          <w:szCs w:val="21"/>
          <w:color w:val="auto"/>
        </w:rPr>
        <w:t xml:space="preserve">Notes to Company Financial Statements </w:t>
      </w:r>
      <w:r>
        <w:rPr>
          <w:rFonts w:ascii="Times New Roman" w:cs="Times New Roman" w:eastAsia="Times New Roman" w:hAnsi="Times New Roman"/>
          <w:sz w:val="17"/>
          <w:szCs w:val="17"/>
          <w:i w:val="1"/>
          <w:iCs w:val="1"/>
          <w:color w:val="auto"/>
        </w:rPr>
        <w:t>(continued)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Financial instruments </w:t>
      </w:r>
      <w:r>
        <w:rPr>
          <w:rFonts w:ascii="Times New Roman" w:cs="Times New Roman" w:eastAsia="Times New Roman" w:hAnsi="Times New Roman"/>
          <w:sz w:val="18"/>
          <w:szCs w:val="18"/>
          <w:b w:val="1"/>
          <w:bCs w:val="1"/>
          <w:i w:val="1"/>
          <w:iCs w:val="1"/>
          <w:color w:val="auto"/>
        </w:rPr>
        <w:t>(continued)</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Inputs are based upon unadjusted quoted prices for identical instruments traded in active markets.</w:t>
      </w:r>
    </w:p>
    <w:p>
      <w:pPr>
        <w:spacing w:after="0" w:line="217" w:lineRule="exact"/>
        <w:rPr>
          <w:sz w:val="20"/>
          <w:szCs w:val="20"/>
          <w:color w:val="auto"/>
        </w:rPr>
      </w:pPr>
    </w:p>
    <w:p>
      <w:pPr>
        <w:ind w:left="920" w:right="160" w:hanging="914"/>
        <w:spacing w:after="0" w:line="260" w:lineRule="auto"/>
        <w:tabs>
          <w:tab w:leader="none" w:pos="9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6" w:lineRule="exact"/>
        <w:rPr>
          <w:sz w:val="20"/>
          <w:szCs w:val="20"/>
          <w:color w:val="auto"/>
        </w:rPr>
      </w:pPr>
    </w:p>
    <w:p>
      <w:pPr>
        <w:ind w:left="920" w:right="320" w:hanging="914"/>
        <w:spacing w:after="0" w:line="274" w:lineRule="auto"/>
        <w:tabs>
          <w:tab w:leader="none" w:pos="9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are generally unobservable and typically reflect management’s estimates of assumptions that market participants would use in pricing the asset or liability.</w:t>
      </w:r>
    </w:p>
    <w:p>
      <w:pPr>
        <w:spacing w:after="0" w:line="200" w:lineRule="exact"/>
        <w:rPr>
          <w:sz w:val="20"/>
          <w:szCs w:val="20"/>
          <w:color w:val="auto"/>
        </w:rPr>
      </w:pPr>
    </w:p>
    <w:p>
      <w:pPr>
        <w:spacing w:after="0" w:line="22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together with the carrying amounts, which are shown in the Statement of Financial Position, are as follows: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3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 December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3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2013</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3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Fair</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Carrying</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3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Amount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6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3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$’000</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to/from subsidiaries</w:t>
            </w:r>
          </w:p>
        </w:tc>
        <w:tc>
          <w:tcPr>
            <w:tcW w:w="33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32,094</w:t>
            </w:r>
          </w:p>
        </w:tc>
        <w:tc>
          <w:tcPr>
            <w:tcW w:w="14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32,094</w:t>
            </w:r>
          </w:p>
        </w:tc>
        <w:tc>
          <w:tcPr>
            <w:tcW w:w="13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36,473</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36,473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40" w:type="dxa"/>
            <w:vAlign w:val="bottom"/>
            <w:tcBorders>
              <w:bottom w:val="single" w:sz="8" w:color="auto"/>
            </w:tcBorders>
            <w:shd w:val="clear" w:color="auto" w:fill="CCEEFF"/>
          </w:tcPr>
          <w:p>
            <w:pPr>
              <w:spacing w:after="0"/>
              <w:rPr>
                <w:sz w:val="21"/>
                <w:szCs w:val="21"/>
                <w:color w:val="auto"/>
              </w:rPr>
            </w:pPr>
          </w:p>
        </w:tc>
        <w:tc>
          <w:tcPr>
            <w:tcW w:w="33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32,094</w:t>
            </w:r>
          </w:p>
        </w:tc>
        <w:tc>
          <w:tcPr>
            <w:tcW w:w="14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32,094</w:t>
            </w:r>
          </w:p>
        </w:tc>
        <w:tc>
          <w:tcPr>
            <w:tcW w:w="13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36,473</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36,473</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 term nature of these balances.</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loans to/from subsidiaries for disclosure purposes is calculated based on the present value of future principal and interest cash flows, discounted at the market rate of interest at the reporting date. They are measured on the basis of level three inputs.</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Approval of financial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approved the Company financial statements on 23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April 2015.</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1"/>
          <w:szCs w:val="21"/>
          <w:color w:val="auto"/>
        </w:rPr>
        <w:t>Reconciliation from IFRS to US Accounting Policies</w:t>
      </w:r>
    </w:p>
    <w:p>
      <w:pPr>
        <w:spacing w:after="0" w:line="2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financial statements of the Group set out on pages 12 to 103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Group’s financial statements are as follows: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 format</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format of the financial statements and certain note disclosures differ under U.S. GAAP from those under EU IFRS. The Group prepared a U.S. Securities and Exchange Commission Form 20-F Report which was made available to all shareholders in March 2015. The financial statements included in such Form 20-F are prepared in accordance with U.S. GAAP.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Merger with PRAI</w:t>
      </w:r>
    </w:p>
    <w:p>
      <w:pPr>
        <w:spacing w:after="0" w:line="2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Group accounts for business combinations under EU IFRS in accordance with the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 permitted by IFRS 1 </w:t>
      </w:r>
      <w:r>
        <w:rPr>
          <w:rFonts w:ascii="Times New Roman" w:cs="Times New Roman" w:eastAsia="Times New Roman" w:hAnsi="Times New Roman"/>
          <w:sz w:val="18"/>
          <w:szCs w:val="18"/>
          <w:i w:val="1"/>
          <w:iCs w:val="1"/>
          <w:color w:val="auto"/>
        </w:rPr>
        <w:t>First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Adoption of International Financial Reporting Standards </w:t>
      </w:r>
      <w:r>
        <w:rPr>
          <w:rFonts w:ascii="Times New Roman" w:cs="Times New Roman" w:eastAsia="Times New Roman" w:hAnsi="Times New Roman"/>
          <w:sz w:val="18"/>
          <w:szCs w:val="18"/>
          <w:color w:val="auto"/>
        </w:rPr>
        <w:t>the Group has only restated business combinations from 1 June 2001 onwards. Business combinations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this date have not been restated. In addition, goodwill has no longer been 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200" w:lineRule="exact"/>
        <w:rPr>
          <w:sz w:val="20"/>
          <w:szCs w:val="20"/>
          <w:color w:val="auto"/>
        </w:rPr>
      </w:pPr>
    </w:p>
    <w:p>
      <w:pPr>
        <w:spacing w:after="0" w:line="252" w:lineRule="exact"/>
        <w:rPr>
          <w:sz w:val="20"/>
          <w:szCs w:val="20"/>
          <w:color w:val="auto"/>
        </w:rPr>
      </w:pPr>
    </w:p>
    <w:p>
      <w:pPr>
        <w:ind w:left="360" w:hanging="354"/>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historic US GAAP financial statements have been restated to reflect the combined results of ICON and PRAI;</w:t>
      </w:r>
    </w:p>
    <w:p>
      <w:pPr>
        <w:spacing w:after="0" w:line="24"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merger were expensed for U.S. GAAP purposes and included in the cost of acquisition for IFRS;</w:t>
      </w:r>
    </w:p>
    <w:p>
      <w:pPr>
        <w:spacing w:after="0" w:line="5"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arising on IFRS has been amortised over its expected useful life up to 31 May 2001. No goodwill arose on the merger under U.S. GAAP;</w:t>
      </w:r>
    </w:p>
    <w:p>
      <w:pPr>
        <w:spacing w:after="0" w:line="5"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charge arising on the conversion of PRAI from an S-Corporation to a C-Corporation is treated as a pre acquisition charge under IFRS.</w:t>
      </w:r>
    </w:p>
    <w:p>
      <w:pPr>
        <w:spacing w:after="0" w:line="200" w:lineRule="exact"/>
        <w:rPr>
          <w:sz w:val="20"/>
          <w:szCs w:val="20"/>
          <w:color w:val="auto"/>
        </w:rPr>
      </w:pPr>
    </w:p>
    <w:p>
      <w:pPr>
        <w:spacing w:after="0" w:line="26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Share based payment expense</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IFRS requires that the fair value of share based payments be expensed to the income statement over the period the related services are received, with a corresponding increase in equity. In the year ending 31 December 2014, the Group has accounted for share based payments under U.S. GAAP in accordance with </w:t>
      </w:r>
      <w:r>
        <w:rPr>
          <w:rFonts w:ascii="Times New Roman" w:cs="Times New Roman" w:eastAsia="Times New Roman" w:hAnsi="Times New Roman"/>
          <w:sz w:val="18"/>
          <w:szCs w:val="18"/>
          <w:i w:val="1"/>
          <w:iCs w:val="1"/>
          <w:color w:val="auto"/>
        </w:rPr>
        <w:t>FASB ASC 718, Compensation – Stock Compensation</w:t>
      </w:r>
      <w:r>
        <w:rPr>
          <w:rFonts w:ascii="Times New Roman" w:cs="Times New Roman" w:eastAsia="Times New Roman" w:hAnsi="Times New Roman"/>
          <w:sz w:val="18"/>
          <w:szCs w:val="18"/>
          <w:color w:val="auto"/>
        </w:rPr>
        <w:t>, which also requires that the fair value of share based payments be expensed to the income statement over the period the related services are received, with a corresponding increase in equity. There is a difference in recorded expense because firstly different periods are in scope for both treatments due to the different effective dates under both standards and secondly due to different models used to calculate the fair value of options. Under US GAAP the Black-Scholes model was used for the calculation of the expense whereas under IFRS this model is not the preferred model and as such the binomial model has been used.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1"/>
          <w:szCs w:val="21"/>
          <w:color w:val="auto"/>
        </w:rPr>
        <w:t xml:space="preserve">Reconciliation from IFRS to US Accounting Principles </w:t>
      </w:r>
      <w:r>
        <w:rPr>
          <w:rFonts w:ascii="Times New Roman" w:cs="Times New Roman" w:eastAsia="Times New Roman" w:hAnsi="Times New Roman"/>
          <w:sz w:val="21"/>
          <w:szCs w:val="21"/>
          <w:i w:val="1"/>
          <w:iCs w:val="1"/>
          <w:color w:val="auto"/>
        </w:rPr>
        <w:t>(continued)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Deferred tax assets</w:t>
      </w:r>
    </w:p>
    <w:p>
      <w:pPr>
        <w:spacing w:after="0" w:line="21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IFRS requires that the fair value of share based payments, including share options issued to employees, is expensed to the income statement over the period the related services are received, with a corresponding increase in equity. Under U.S. tax law the Group receives a tax deduction when U.S. employee share options are exercised. This deduction is measured as the intrinsic value of the share options at the date the options are exercised. Therefore, the tax deduction generally arises in different amounts and in different periods from compensation cost recognised in the financial statements.</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Under US GAAP, FASB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the Group has recognised a deferred tax asset for the cumulative amount of compensation cost recognised in the financial statements for options that will result in a future tax deduction. A similar deferred tax asset is also recognised under IFRS for options that will result in a future tax deduction, however, under IAS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if the tax deduction available in future periods is not known at the end of the period it is estimated based on information available at the end of the period. As the tax deduction is dependent upon the Group’s share price at the exercise date, the measurement of the deductible temporary difference is based on the Group’s share price at the end of the period. Where the amount of the estimated future tax deduction exceeds the amount of the related cumulative remuneration expense, the deferred tax associated with the excess is recognised directly in equity.</w:t>
      </w:r>
    </w:p>
    <w:p>
      <w:pPr>
        <w:spacing w:after="0" w:line="200" w:lineRule="exact"/>
        <w:rPr>
          <w:sz w:val="20"/>
          <w:szCs w:val="20"/>
          <w:color w:val="auto"/>
        </w:rPr>
      </w:pPr>
    </w:p>
    <w:p>
      <w:pPr>
        <w:spacing w:after="0" w:line="24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Forward-looking statements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 Appendix A on pages 121 to 130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200" w:lineRule="exact"/>
        <w:rPr>
          <w:sz w:val="20"/>
          <w:szCs w:val="20"/>
          <w:color w:val="auto"/>
        </w:rPr>
      </w:pPr>
    </w:p>
    <w:p>
      <w:pPr>
        <w:spacing w:after="0" w:line="25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(f)</w:t>
      </w:r>
      <w:r>
        <w:rPr>
          <w:sz w:val="20"/>
          <w:szCs w:val="20"/>
          <w:color w:val="auto"/>
        </w:rPr>
        <w:tab/>
      </w:r>
      <w:r>
        <w:rPr>
          <w:rFonts w:ascii="Times New Roman" w:cs="Times New Roman" w:eastAsia="Times New Roman" w:hAnsi="Times New Roman"/>
          <w:sz w:val="17"/>
          <w:szCs w:val="17"/>
          <w:b w:val="1"/>
          <w:bCs w:val="1"/>
          <w:color w:val="auto"/>
        </w:rPr>
        <w:t>IAS 19R Defined Benefit Pensions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main impact of the adoption of IAS 19R on the financial results of the Group is in the calculation of finance income and charges in respect of post-employment benefit obligations. The Group has recognised the net interest expense of the defined benefit pension scheme within payroll costs (operating expenses) in the income statement under IAS19R which consistent with the US GAAP treatment of this cost.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1"/>
          <w:szCs w:val="21"/>
          <w:color w:val="auto"/>
        </w:rPr>
        <w:t xml:space="preserve">Reconciliation from IFRS to US Accounting Principles </w:t>
      </w:r>
      <w:r>
        <w:rPr>
          <w:rFonts w:ascii="Times New Roman" w:cs="Times New Roman" w:eastAsia="Times New Roman" w:hAnsi="Times New Roman"/>
          <w:sz w:val="21"/>
          <w:szCs w:val="21"/>
          <w:i w:val="1"/>
          <w:iCs w:val="1"/>
          <w:color w:val="auto"/>
        </w:rPr>
        <w:t>(continued)</w:t>
      </w:r>
    </w:p>
    <w:p>
      <w:pPr>
        <w:spacing w:after="0" w:line="200" w:lineRule="exact"/>
        <w:rPr>
          <w:sz w:val="20"/>
          <w:szCs w:val="20"/>
          <w:color w:val="auto"/>
        </w:rPr>
      </w:pPr>
    </w:p>
    <w:p>
      <w:pPr>
        <w:spacing w:after="0" w:line="261"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The following is a summary of the material adjustments to profit for the financial year and shareholders’ equity, which would be required, had the financial statements been prepared in accordance with U.S. GAAP.</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Effect on profit for the financial year</w:t>
            </w:r>
          </w:p>
        </w:tc>
        <w:tc>
          <w:tcPr>
            <w:tcW w:w="4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6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6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Profit for the financial year attributable to equity holders as stated under IFRS</w:t>
            </w:r>
          </w:p>
        </w:tc>
        <w:tc>
          <w:tcPr>
            <w:tcW w:w="46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175,026</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107,058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 adjustments</w:t>
            </w:r>
          </w:p>
        </w:tc>
        <w:tc>
          <w:tcPr>
            <w:tcW w:w="4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 expense under IFRS</w:t>
            </w:r>
          </w:p>
        </w:tc>
        <w:tc>
          <w:tcPr>
            <w:tcW w:w="46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22,359</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 expense under U.S. GAAP</w:t>
            </w:r>
          </w:p>
        </w:tc>
        <w:tc>
          <w:tcPr>
            <w:tcW w:w="46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(22,742)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adjustments on share based payments</w:t>
            </w:r>
          </w:p>
        </w:tc>
        <w:tc>
          <w:tcPr>
            <w:tcW w:w="46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(2,450)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costs defined benefit pension scheme</w:t>
            </w:r>
          </w:p>
        </w:tc>
        <w:tc>
          <w:tcPr>
            <w:tcW w:w="46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275</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stated under U.S. GAAP</w:t>
            </w:r>
          </w:p>
        </w:tc>
        <w:tc>
          <w:tcPr>
            <w:tcW w:w="46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172,468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102,812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Ordinary Share under U.S. GAAP</w:t>
            </w:r>
          </w:p>
        </w:tc>
        <w:tc>
          <w:tcPr>
            <w:tcW w:w="46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$2.80</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Ordinary Share under U.S. GAAP</w:t>
            </w:r>
          </w:p>
        </w:tc>
        <w:tc>
          <w:tcPr>
            <w:tcW w:w="46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$2.73</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68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Effect on shareholders’ equity</w:t>
            </w:r>
          </w:p>
        </w:tc>
        <w:tc>
          <w:tcPr>
            <w:tcW w:w="4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6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6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 as stated under IFRS</w:t>
            </w:r>
          </w:p>
        </w:tc>
        <w:tc>
          <w:tcPr>
            <w:tcW w:w="46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973,195</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929,550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 adjustments</w:t>
            </w:r>
          </w:p>
        </w:tc>
        <w:tc>
          <w:tcPr>
            <w:tcW w:w="4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Goodwill arising on merger with PRAI</w:t>
            </w:r>
          </w:p>
        </w:tc>
        <w:tc>
          <w:tcPr>
            <w:tcW w:w="46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(15,010)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of goodwill arising on merger with PRAI</w:t>
            </w:r>
          </w:p>
        </w:tc>
        <w:tc>
          <w:tcPr>
            <w:tcW w:w="46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1,001</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adjustments on share based payments</w:t>
            </w:r>
          </w:p>
        </w:tc>
        <w:tc>
          <w:tcPr>
            <w:tcW w:w="46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(8,980)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 on share based payments</w:t>
            </w:r>
          </w:p>
        </w:tc>
        <w:tc>
          <w:tcPr>
            <w:tcW w:w="46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 as stated under U.S. GAAP</w:t>
            </w:r>
          </w:p>
        </w:tc>
        <w:tc>
          <w:tcPr>
            <w:tcW w:w="46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950,206</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910,579</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64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w w:val="96"/>
              </w:rPr>
              <w:t>119</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1"/>
          <w:szCs w:val="21"/>
          <w:color w:val="auto"/>
        </w:rPr>
        <w:t xml:space="preserve">Reconciliation from IFRS to US Accounting Principles </w:t>
      </w:r>
      <w:r>
        <w:rPr>
          <w:rFonts w:ascii="Times New Roman" w:cs="Times New Roman" w:eastAsia="Times New Roman" w:hAnsi="Times New Roman"/>
          <w:sz w:val="21"/>
          <w:szCs w:val="21"/>
          <w:i w:val="1"/>
          <w:iCs w:val="1"/>
          <w:color w:val="auto"/>
        </w:rPr>
        <w:t>(continued)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Effect on total assets</w:t>
            </w:r>
          </w:p>
        </w:tc>
        <w:tc>
          <w:tcPr>
            <w:tcW w:w="5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4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54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4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as stated under IFRS</w:t>
            </w:r>
          </w:p>
        </w:tc>
        <w:tc>
          <w:tcPr>
            <w:tcW w:w="54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1,542,399</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1,450,741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 adjustments</w:t>
            </w:r>
          </w:p>
        </w:tc>
        <w:tc>
          <w:tcPr>
            <w:tcW w:w="5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Goodwill arising on merger with PRAI</w:t>
            </w:r>
          </w:p>
        </w:tc>
        <w:tc>
          <w:tcPr>
            <w:tcW w:w="54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(15,010)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of goodwill arising on merger with PRAI</w:t>
            </w:r>
          </w:p>
        </w:tc>
        <w:tc>
          <w:tcPr>
            <w:tcW w:w="54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1,001</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adjustments on share based payments</w:t>
            </w:r>
          </w:p>
        </w:tc>
        <w:tc>
          <w:tcPr>
            <w:tcW w:w="54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(8,980)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Offset between deferred tax assets and liabilities</w:t>
            </w:r>
          </w:p>
        </w:tc>
        <w:tc>
          <w:tcPr>
            <w:tcW w:w="54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9,440</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10,720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as stated under U.S. GAAP</w:t>
            </w:r>
          </w:p>
        </w:tc>
        <w:tc>
          <w:tcPr>
            <w:tcW w:w="54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1,528,850</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1,442,460</w:t>
            </w:r>
          </w:p>
        </w:tc>
        <w:tc>
          <w:tcPr>
            <w:tcW w:w="0" w:type="dxa"/>
            <w:vAlign w:val="bottom"/>
          </w:tcPr>
          <w:p>
            <w:pPr>
              <w:spacing w:after="0"/>
              <w:rPr>
                <w:sz w:val="1"/>
                <w:szCs w:val="1"/>
                <w:color w:val="auto"/>
              </w:rPr>
            </w:pPr>
          </w:p>
        </w:tc>
      </w:tr>
      <w:tr>
        <w:trPr>
          <w:trHeight w:val="44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i w:val="1"/>
                <w:iCs w:val="1"/>
                <w:color w:val="auto"/>
              </w:rPr>
              <w:t>Effect on total liabilities</w:t>
            </w:r>
          </w:p>
        </w:tc>
        <w:tc>
          <w:tcPr>
            <w:tcW w:w="5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4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54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4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 stated under IFRS</w:t>
            </w:r>
          </w:p>
        </w:tc>
        <w:tc>
          <w:tcPr>
            <w:tcW w:w="54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569,204</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521,191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 adjustments</w:t>
            </w:r>
          </w:p>
        </w:tc>
        <w:tc>
          <w:tcPr>
            <w:tcW w:w="5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Offset between deferred tax assets and liabilities</w:t>
            </w:r>
          </w:p>
        </w:tc>
        <w:tc>
          <w:tcPr>
            <w:tcW w:w="54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9,440</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 on share based payments</w:t>
            </w:r>
          </w:p>
        </w:tc>
        <w:tc>
          <w:tcPr>
            <w:tcW w:w="54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 stated under U.S. GAAP</w:t>
            </w:r>
          </w:p>
        </w:tc>
        <w:tc>
          <w:tcPr>
            <w:tcW w:w="54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578,644</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531,881</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46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rPr>
              <w:t>120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1"/>
          <w:szCs w:val="21"/>
          <w:color w:val="auto"/>
        </w:rPr>
        <w:t>Appendix A: Risk Factors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our business and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clients and a loss of or significant decrease in business from them or one or more of them could affect our business.</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increased use of strategic partnership arrangements in recent years has resulted in a greater proportion of our net revenues being derived from a relatively limited number of customers. During the year ended 31 December 2014 53% of our net revenues were derived from our top five customers, with one customer contributing more than 10% of our net revenues during the period (31%). No other customer contributed more than 10% of our net revenues during this period. During the year ended 31 December 2013 53% of our net revenues were derived from our top five customers, with two customers individually contributing more than 10% of our net revenues during the period (26% and 10% respectively). No other customer contributed more than 10% of our net revenues during this period. During the year ended 31 December 2012 48% of our net revenues were derived from our top five customers, with two customers individually contributing more than 10% of our net revenues during the period (18% and 12% respectively). No other customer contributed more than 10% of net revenues during this period. The loss of, or a significant decrease in business from one or more of these key customers could have a material adverse impact on our results of operations and financial results.</w:t>
      </w:r>
    </w:p>
    <w:p>
      <w:pPr>
        <w:spacing w:after="0" w:line="2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Many of our contracts are long-term fixed-fee contracts. We would lose money in performing these contracts if the costs of performance exceed the fixed fees for these projects and we were unable to negotiate a change order for the value of work performed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of our contracts are long-term fixed fee contracts. Revenues on these contracts are agreed in the contract between the Group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Group regularly reviews the estimated hours on each contract to determine if the budget accurately reflects the agreed tasks to be performed taking into account the state of progress at the time of review. The Group further endeavours to ensure that changes in scope are appropriately monitored and change orders for additional revenue are promptly negotiated for additional work as necessary. If we were to fail to recognise and negotiate change orders for changes in the resources required or the scope of the work to be performed and the costs of performance of these contracts exceeded their fixed fees it could materialy adversely affect our operations and financial results.</w:t>
      </w:r>
    </w:p>
    <w:p>
      <w:pPr>
        <w:spacing w:after="0" w:line="21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our clients discontinue using our services, or cancel or discontinue projects, our revenue will be adversely affected and/or we may not receive their business in the future or may not be able to attract new clients.</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200" w:lineRule="exact"/>
        <w:rPr>
          <w:sz w:val="20"/>
          <w:szCs w:val="20"/>
          <w:color w:val="auto"/>
        </w:rPr>
      </w:pPr>
    </w:p>
    <w:p>
      <w:pPr>
        <w:spacing w:after="0" w:line="241" w:lineRule="exact"/>
        <w:rPr>
          <w:sz w:val="20"/>
          <w:szCs w:val="20"/>
          <w:color w:val="auto"/>
        </w:rPr>
      </w:pPr>
    </w:p>
    <w:p>
      <w:pPr>
        <w:ind w:left="700" w:hanging="21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products being tested to satisfy safety or efficacy requirements;</w:t>
      </w:r>
    </w:p>
    <w:p>
      <w:pPr>
        <w:spacing w:after="0" w:line="217" w:lineRule="exact"/>
        <w:rPr>
          <w:rFonts w:ascii="Times New Roman" w:cs="Times New Roman" w:eastAsia="Times New Roman" w:hAnsi="Times New Roman"/>
          <w:sz w:val="18"/>
          <w:szCs w:val="18"/>
          <w:color w:val="auto"/>
        </w:rPr>
      </w:pPr>
    </w:p>
    <w:p>
      <w:pPr>
        <w:ind w:left="700" w:hanging="21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undesired clinical results of the product;</w:t>
      </w:r>
    </w:p>
    <w:p>
      <w:pPr>
        <w:spacing w:after="0" w:line="217" w:lineRule="exact"/>
        <w:rPr>
          <w:rFonts w:ascii="Times New Roman" w:cs="Times New Roman" w:eastAsia="Times New Roman" w:hAnsi="Times New Roman"/>
          <w:sz w:val="18"/>
          <w:szCs w:val="18"/>
          <w:color w:val="auto"/>
        </w:rPr>
      </w:pPr>
    </w:p>
    <w:p>
      <w:pPr>
        <w:ind w:left="700" w:hanging="21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decision that a particular study is no longer necessary or viable;</w:t>
      </w:r>
    </w:p>
    <w:p>
      <w:pPr>
        <w:spacing w:after="0" w:line="217" w:lineRule="exact"/>
        <w:rPr>
          <w:rFonts w:ascii="Times New Roman" w:cs="Times New Roman" w:eastAsia="Times New Roman" w:hAnsi="Times New Roman"/>
          <w:sz w:val="18"/>
          <w:szCs w:val="18"/>
          <w:color w:val="auto"/>
        </w:rPr>
      </w:pPr>
    </w:p>
    <w:p>
      <w:pPr>
        <w:ind w:left="700" w:hanging="21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project performance, quality concerns, insufficient patient enrollment or investigator recruitment; and</w:t>
      </w:r>
    </w:p>
    <w:p>
      <w:pPr>
        <w:spacing w:after="0" w:line="217" w:lineRule="exact"/>
        <w:rPr>
          <w:rFonts w:ascii="Times New Roman" w:cs="Times New Roman" w:eastAsia="Times New Roman" w:hAnsi="Times New Roman"/>
          <w:sz w:val="18"/>
          <w:szCs w:val="18"/>
          <w:color w:val="auto"/>
        </w:rPr>
      </w:pPr>
    </w:p>
    <w:p>
      <w:pPr>
        <w:ind w:left="700" w:hanging="21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problems resulting in shortages of the drug.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lose clients, we may not be able to attract new ones, and if we lose individual projects, we may not be able to replace them.</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1"/>
          <w:szCs w:val="21"/>
          <w:color w:val="auto"/>
        </w:rPr>
        <w:t xml:space="preserve">Appendix A: Risk Factors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or retain qualified staff, our performance may suffer.</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future success and ability to continue to expand operations depends upon our ability to attract, hire, train and retain qualified professional, scientific and technical operating staff. We compete for qualified professionals with other Clinical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performance and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perform clinical trials is dependent upon the ability to recruit suitable willing patients.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successful completion of clinical trials is dependent upon the ability to recruit suitable and willing patients on which to test the drug under study. The availability of suitable patients for enrollment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 Insufficient or inappropriate patient enrollment may result in the termination or delay of a study which could have a material adverse impact on our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perform clinical trials is dependent upon our ability to recruit suitable willing investigators.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enrolment, may result in the termination or delay of a study which could have a material adverse impact on our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for important products and services.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could have a material adverse effect on our business.</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the global nature of our business and our reliance on information systems to provide our services, we use web-enabled and other integrated information systems in delivering our services. We intend to further increase the use of these systems and such systems will be either developed internally or provided by or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208" w:lineRule="exact"/>
        <w:rPr>
          <w:sz w:val="20"/>
          <w:szCs w:val="20"/>
          <w:color w:val="auto"/>
        </w:rPr>
      </w:pPr>
    </w:p>
    <w:p>
      <w:pPr>
        <w:ind w:left="120" w:hanging="114"/>
        <w:spacing w:after="0"/>
        <w:tabs>
          <w:tab w:leader="none" w:pos="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impairment or failure of data centers, telecommunications facilities or other key infrastructure platforms;</w:t>
      </w:r>
    </w:p>
    <w:p>
      <w:pPr>
        <w:spacing w:after="0" w:line="24" w:lineRule="exact"/>
        <w:rPr>
          <w:rFonts w:ascii="Times New Roman" w:cs="Times New Roman" w:eastAsia="Times New Roman" w:hAnsi="Times New Roman"/>
          <w:sz w:val="18"/>
          <w:szCs w:val="18"/>
          <w:color w:val="auto"/>
        </w:rPr>
      </w:pPr>
    </w:p>
    <w:p>
      <w:pPr>
        <w:ind w:left="100" w:right="3200" w:hanging="94"/>
        <w:spacing w:after="0" w:line="245" w:lineRule="auto"/>
        <w:tabs>
          <w:tab w:leader="none" w:pos="1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cyber-attacks or other failures or malfunctions in our application or information systems or their associated hardware or other systems that we have access to or that we rely upon; and</w:t>
      </w:r>
    </w:p>
    <w:p>
      <w:pPr>
        <w:spacing w:after="0" w:line="1" w:lineRule="exact"/>
        <w:rPr>
          <w:rFonts w:ascii="Times New Roman" w:cs="Times New Roman" w:eastAsia="Times New Roman" w:hAnsi="Times New Roman"/>
          <w:sz w:val="18"/>
          <w:szCs w:val="18"/>
          <w:color w:val="auto"/>
        </w:rPr>
      </w:pPr>
    </w:p>
    <w:p>
      <w:pPr>
        <w:ind w:left="120" w:hanging="114"/>
        <w:spacing w:after="0"/>
        <w:tabs>
          <w:tab w:leader="none" w:pos="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costs, excessive delays or other deficiencies in or problems with systems development and deployment.</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materialisation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While we have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 attack and similar events at or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a contract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 attack, natural disasters, the outbreak of war, the escalation of hostilities and acts of terrorism, particularly involving cities in which we have offices, could adversely affect our business.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1"/>
          <w:szCs w:val="21"/>
          <w:color w:val="auto"/>
        </w:rPr>
        <w:t xml:space="preserve">Appendix A: Risk Factors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Unauthorised disclosure of sensitive or confidential data, whether through system failure or employee negligence, fraud or misappropriation, could damage our reputation and cause us to lose clients. Similarly, unauthorised access to or through our information systems or those we develop for our clients, whether by our employees or third parties, including a cyber-attack by computer programmers and hackers who may develop and deploy viruses, worms or other malicious software programs could result in negative publicity, significant remediation costs, legal liability and damage to our reputation and could have a material adverse effect on our results of operations. In addition, our liability insurance might not be sufficient in type, the cover provided or amount to adequately cover us against claims related to security breaches, cyber-attacks and other related breaches.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Upgrading the information systems that support our operating processes and evolving the technology platform for our services pose risks to our business.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Continued efficient operation of our business requires that we implement standardised global business processes and evolve our information systems to enable this implementation. We have continued to undertake significant programs to optimize business processes with respect to our services. Our inability to effectively manage the implementation and adapt to new processes designed into these new or upgraded systems in a timely and cost-effective manner may result in disruption to our business and negatively affect our operations.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agreements with certain vendors to provide systems development and integration services that develop or license to us the IT platform for programs to optimise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enjoin us from using preferred technology or seek license payments from us.</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If we do not keep pace with rapid technological changes in the CRO industry, our products and services may become less competitive or even obsolete. This applies in particular to our ICONIK and Firecrest services. Also, increased IT-related expenditures may negatively impact our financial condition, including profitability.</w:t>
      </w:r>
    </w:p>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rely on our interactive response technologies to provide accurate information regarding the randomisation of patients and the dosage required for patients enrolled in the trials.</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We develop and maintain computer run and web based interactive response technologies to automatically manage the randomisation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 other things any of which could have a material effect on our financial conditions and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impacted by a disruption to travel systems.</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Many of our operations rely on the availability of air or other transportation for the distribution of clinical trial materials, study samples and personnel. While we have developed contingency plans to minimise the impact of such events, a disruption to the availability of air transportation or other travel systems could have a material adverse impact on our ability to provide services and results of operations.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1"/>
          <w:szCs w:val="21"/>
          <w:color w:val="auto"/>
        </w:rPr>
        <w:t xml:space="preserve">Appendix A: Risk Factors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make, or be unable to make, acquisitions in the future, which may lead to disruptions to our ongoing business.</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made a number of acquisitions and will continue to review new acquisition opportunities. If we are unable to identify suitable acquisition targets, consummate an acquisition or successfully integrate an acquired company or business, our business may be disrupted. The success of an acquisition will depend upon, among other things, our ability to:</w:t>
      </w:r>
    </w:p>
    <w:p>
      <w:pPr>
        <w:spacing w:after="0" w:line="200" w:lineRule="exact"/>
        <w:rPr>
          <w:sz w:val="20"/>
          <w:szCs w:val="20"/>
          <w:color w:val="auto"/>
        </w:rPr>
      </w:pPr>
    </w:p>
    <w:p>
      <w:pPr>
        <w:spacing w:after="0" w:line="241" w:lineRule="exact"/>
        <w:rPr>
          <w:sz w:val="20"/>
          <w:szCs w:val="20"/>
          <w:color w:val="auto"/>
        </w:rPr>
      </w:pPr>
    </w:p>
    <w:p>
      <w:pPr>
        <w:ind w:left="700" w:hanging="261"/>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and quickly assimilate the operations and services or products of the acquired company or business;</w:t>
      </w:r>
    </w:p>
    <w:p>
      <w:pPr>
        <w:spacing w:after="0" w:line="217" w:lineRule="exact"/>
        <w:rPr>
          <w:rFonts w:ascii="Times New Roman" w:cs="Times New Roman" w:eastAsia="Times New Roman" w:hAnsi="Times New Roman"/>
          <w:sz w:val="18"/>
          <w:szCs w:val="18"/>
          <w:color w:val="auto"/>
        </w:rPr>
      </w:pPr>
    </w:p>
    <w:p>
      <w:pPr>
        <w:ind w:left="700" w:hanging="261"/>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personnel;</w:t>
      </w:r>
    </w:p>
    <w:p>
      <w:pPr>
        <w:spacing w:after="0" w:line="217" w:lineRule="exact"/>
        <w:rPr>
          <w:rFonts w:ascii="Times New Roman" w:cs="Times New Roman" w:eastAsia="Times New Roman" w:hAnsi="Times New Roman"/>
          <w:sz w:val="18"/>
          <w:szCs w:val="18"/>
          <w:color w:val="auto"/>
        </w:rPr>
      </w:pPr>
    </w:p>
    <w:p>
      <w:pPr>
        <w:ind w:left="700" w:hanging="261"/>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motivate key employees;</w:t>
      </w:r>
    </w:p>
    <w:p>
      <w:pPr>
        <w:spacing w:after="0" w:line="217" w:lineRule="exact"/>
        <w:rPr>
          <w:rFonts w:ascii="Times New Roman" w:cs="Times New Roman" w:eastAsia="Times New Roman" w:hAnsi="Times New Roman"/>
          <w:sz w:val="18"/>
          <w:szCs w:val="18"/>
          <w:color w:val="auto"/>
        </w:rPr>
      </w:pPr>
    </w:p>
    <w:p>
      <w:pPr>
        <w:ind w:left="700" w:hanging="261"/>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customers; and</w:t>
      </w:r>
    </w:p>
    <w:p>
      <w:pPr>
        <w:spacing w:after="0" w:line="217" w:lineRule="exact"/>
        <w:rPr>
          <w:rFonts w:ascii="Times New Roman" w:cs="Times New Roman" w:eastAsia="Times New Roman" w:hAnsi="Times New Roman"/>
          <w:sz w:val="18"/>
          <w:szCs w:val="18"/>
          <w:color w:val="auto"/>
        </w:rPr>
      </w:pPr>
    </w:p>
    <w:p>
      <w:pPr>
        <w:ind w:left="700" w:hanging="261"/>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minimise the diversion of management's attention from other business concerns.</w:t>
      </w:r>
    </w:p>
    <w:p>
      <w:pPr>
        <w:spacing w:after="0" w:line="200" w:lineRule="exact"/>
        <w:rPr>
          <w:sz w:val="20"/>
          <w:szCs w:val="20"/>
          <w:color w:val="auto"/>
        </w:rPr>
      </w:pP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Serious adverse events can occur in Phase I trials.</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conduct Early Phase and Proof of Principle clinical trials including first-in human and healthy volunteer studies. Although we have policies and procedures in place, due to the experimental nature of these studies, serious adverse events may arise.</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firms.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only a limited ability to protect our intellectual property rights, and these rights are important to our success.</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unauthorised use of, or take appropriate and timely steps to enforce, our intellectual property rights. Enforcing our rights might also require considerable time, money and oversight, and we may not be successful in enforcing our rights.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1"/>
          <w:szCs w:val="21"/>
          <w:color w:val="auto"/>
        </w:rPr>
        <w:t xml:space="preserve">Appendix A: Risk Factors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certain circumstances, grant a customer greater rights in intellectual property developed in connection with a contract than we would normally grant. In such situations, we may forego the use of all intellectual property rights we create or develop, which would limit our ability to reuse or deploy that intellectual property for other customers. Any limitation on our ability to provide a service or solution may result in us losing revenue-generating opportunities and may also result in us incurring additional expenses to develop or license new or modified solutions for other projects or customers.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biopharmaceutical industry has a history of patent and other intellectual property litigation, and we might be involved in costly intellectual property lawsuits.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biopharmaceutical industry has a history of intellectual property litigation, and these lawsuits will likely continue in the future. Accordingly, we may face patent infringement suits by companies that have patents for similar business processes or other suits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act as legal representative for some clients.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act as the legal representative for certain clients in certain jurisdictions. As we believe that acting as legal representative of clients exposes us to a higher risk of liability, there is a designated entity within the ICON Group which is generally used to provide this service in relevant jurisdictions subject to certain preconditions being met. The preconditions relate to obtaining specific insurance commitments and indemnities from the client to cover the nature of the exposure. However, there is no guarantee that the specific insurance will respond and provide cover or that a client will fulfil its obligations in relation to their indemnity.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Our Industry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outsourcing of research and development by the pharmaceutical, biotechnology and medical device industries.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and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200" w:lineRule="exact"/>
        <w:rPr>
          <w:sz w:val="20"/>
          <w:szCs w:val="20"/>
          <w:color w:val="auto"/>
        </w:rPr>
      </w:pPr>
    </w:p>
    <w:p>
      <w:pPr>
        <w:spacing w:after="0" w:line="247" w:lineRule="exact"/>
        <w:rPr>
          <w:sz w:val="20"/>
          <w:szCs w:val="20"/>
          <w:color w:val="auto"/>
        </w:rPr>
      </w:pPr>
    </w:p>
    <w:p>
      <w:pPr>
        <w:ind w:left="700" w:hanging="261"/>
        <w:spacing w:after="0" w:line="257"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pharmaceutical, biotechnology or medical device companies expanded upon their in-house clinical or development capabilities, they would be less likely to utilise our services;</w:t>
      </w:r>
    </w:p>
    <w:p>
      <w:pPr>
        <w:ind w:left="700" w:hanging="261"/>
        <w:spacing w:after="0" w:line="245"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governmental regulations were changed, it could affect the ability of our clients to operate profitably, which may lead to a decrease in research spending and therefore this could have a material adverse effect on our business; and</w:t>
      </w:r>
    </w:p>
    <w:p>
      <w:pPr>
        <w:spacing w:after="0" w:line="1" w:lineRule="exact"/>
        <w:rPr>
          <w:rFonts w:ascii="Times New Roman" w:cs="Times New Roman" w:eastAsia="Times New Roman" w:hAnsi="Times New Roman"/>
          <w:sz w:val="18"/>
          <w:szCs w:val="18"/>
          <w:color w:val="auto"/>
        </w:rPr>
      </w:pPr>
    </w:p>
    <w:p>
      <w:pPr>
        <w:ind w:left="700" w:hanging="261"/>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unfavourable economic conditions or disruptions in the credit and capital markets negatively impacted our clients.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1"/>
          <w:szCs w:val="21"/>
          <w:color w:val="auto"/>
        </w:rPr>
        <w:t>Appendix A: Risk Factors (continued)</w:t>
      </w:r>
    </w:p>
    <w:p>
      <w:pPr>
        <w:spacing w:after="0" w:line="200" w:lineRule="exact"/>
        <w:rPr>
          <w:sz w:val="20"/>
          <w:szCs w:val="20"/>
          <w:color w:val="auto"/>
        </w:rPr>
      </w:pPr>
    </w:p>
    <w:p>
      <w:pPr>
        <w:spacing w:after="0" w:line="2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Large pharmaceutical companies are increasingly consolidating their vendor base and entering strategic partnership arrangements with a limited number of outsource providers.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collaboration amongst pharmaceutical companies in research and development activities may lead to fewer research opportunities.</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dynamic market.</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of operations. Similarly, we compete with other CROs for work which comes outside of these strategic relationships and being unable to win work outside of these strategic relationships would have a material adverse impact on our results of operations.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type and depth of services provided by CROs have changed in recent years. Failure to develop and market new services or expand existing service offerings could adversely affect our business and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Our Financial Results and Financial Position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are dependent upon a number of factors and can fluctuate from quarter to quarter.</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results of operations in any quarter can fluctuate or differ from expected or forecasted results depending upon or due to, among other things, the number and scope of ongoing client projects, the commencement, postponement, variation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underutilisation during one part of a fiscal period by augmenting revenues during another part of that period. We believe that operating results for any particular quarter are not necessarily a meaningful indication of future results.</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Also, if in future quarters, we are unable to achieve efficiencies and our expenses grow faster than our net revenues, our operating margins, profitability and overall financial condition will be materially adversely impacted.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exchange rate fluctuations could adversely affect our results of operations.</w:t>
      </w:r>
    </w:p>
    <w:p>
      <w:pPr>
        <w:spacing w:after="0" w:line="24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1"/>
          <w:szCs w:val="21"/>
          <w:color w:val="auto"/>
        </w:rPr>
        <w:t>Appendix A: Risk Factors (continued)</w:t>
      </w: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from quarter-to-quarter, which may adversely affect our results of operations.</w:t>
      </w:r>
    </w:p>
    <w:p>
      <w:pPr>
        <w:spacing w:after="0" w:line="2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of operations.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impact on our effective tax rate and our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backlog may not convert to net revenue and the rate of conversion may slow.</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backlog consists of potential net revenue yet to be earned from projects awarded by clients. Our backlog at any date is not necessarily a meaningful predictor of future results, due to the potential for the cancellation or delay of projects included in the backlog. No assurances can be given that we will be able to realise this backlog as net revenue. A failure to realise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 is exposed to various risks in relation to our cash and cash equivalents and short term investments.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Group’s treasury function actively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Given the global nature of our business, we are exposed to various risks in relation to these balances including liquidity risk, credit risk associated with the counterparties with which we invest, interest rate risk on floating rate securities, sovereign risk (our principle sovereign risk relates to investments in U.S. Treasury funds), and other factors.</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Although we have not recognised any significant losses to date on our cash and cash equivalents or short term investments, any significant declines in their market values could have a material adverse effect on our financial position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Political, Legal or Regulatory Environment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business opportunities as a result of health care reform and the expansion of managed care organisations.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1"/>
          <w:szCs w:val="21"/>
          <w:color w:val="auto"/>
        </w:rPr>
        <w:t>Appendix A: Risk Factors (continued)</w:t>
      </w: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healthcare reform proposals, the expansion of managed care organisations in the healthcare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business as a result of changes in the regulatory environment.</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200" w:lineRule="exact"/>
        <w:rPr>
          <w:sz w:val="20"/>
          <w:szCs w:val="20"/>
          <w:color w:val="auto"/>
        </w:rPr>
      </w:pPr>
    </w:p>
    <w:p>
      <w:pPr>
        <w:spacing w:after="0" w:line="23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U.S. Food and Drug Administration, or FDA, and other regulatory authorities inspect us from time to time to ensure that we comply with their regulations and guidelines, including environmental and health and safety matters. We must comply with the applicable regulatory requirements governing the conduct of clinical trials in all countries in which we operate. If we fail to comply with any of these requirements we could suffer some or all of:</w:t>
      </w:r>
    </w:p>
    <w:p>
      <w:pPr>
        <w:spacing w:after="0" w:line="200" w:lineRule="exact"/>
        <w:rPr>
          <w:sz w:val="20"/>
          <w:szCs w:val="20"/>
          <w:color w:val="auto"/>
        </w:rPr>
      </w:pPr>
    </w:p>
    <w:p>
      <w:pPr>
        <w:spacing w:after="0" w:line="241" w:lineRule="exact"/>
        <w:rPr>
          <w:sz w:val="20"/>
          <w:szCs w:val="20"/>
          <w:color w:val="auto"/>
        </w:rPr>
      </w:pPr>
    </w:p>
    <w:p>
      <w:pPr>
        <w:ind w:left="700" w:hanging="216"/>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or delay in any research;</w:t>
      </w:r>
    </w:p>
    <w:p>
      <w:pPr>
        <w:spacing w:after="0" w:line="217" w:lineRule="exact"/>
        <w:rPr>
          <w:rFonts w:ascii="Times New Roman" w:cs="Times New Roman" w:eastAsia="Times New Roman" w:hAnsi="Times New Roman"/>
          <w:sz w:val="18"/>
          <w:szCs w:val="18"/>
          <w:color w:val="auto"/>
        </w:rPr>
      </w:pPr>
    </w:p>
    <w:p>
      <w:pPr>
        <w:ind w:left="700" w:hanging="216"/>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disqualification of data;</w:t>
      </w:r>
    </w:p>
    <w:p>
      <w:pPr>
        <w:spacing w:after="0" w:line="217" w:lineRule="exact"/>
        <w:rPr>
          <w:rFonts w:ascii="Times New Roman" w:cs="Times New Roman" w:eastAsia="Times New Roman" w:hAnsi="Times New Roman"/>
          <w:sz w:val="18"/>
          <w:szCs w:val="18"/>
          <w:color w:val="auto"/>
        </w:rPr>
      </w:pPr>
    </w:p>
    <w:p>
      <w:pPr>
        <w:ind w:left="700" w:hanging="216"/>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the right to conduct business;</w:t>
      </w:r>
    </w:p>
    <w:p>
      <w:pPr>
        <w:spacing w:after="0" w:line="217" w:lineRule="exact"/>
        <w:rPr>
          <w:rFonts w:ascii="Times New Roman" w:cs="Times New Roman" w:eastAsia="Times New Roman" w:hAnsi="Times New Roman"/>
          <w:sz w:val="18"/>
          <w:szCs w:val="18"/>
          <w:color w:val="auto"/>
        </w:rPr>
      </w:pPr>
    </w:p>
    <w:p>
      <w:pPr>
        <w:ind w:left="700" w:hanging="216"/>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penalties;</w:t>
      </w:r>
    </w:p>
    <w:p>
      <w:pPr>
        <w:spacing w:after="0" w:line="217" w:lineRule="exact"/>
        <w:rPr>
          <w:rFonts w:ascii="Times New Roman" w:cs="Times New Roman" w:eastAsia="Times New Roman" w:hAnsi="Times New Roman"/>
          <w:sz w:val="18"/>
          <w:szCs w:val="18"/>
          <w:color w:val="auto"/>
        </w:rPr>
      </w:pPr>
    </w:p>
    <w:p>
      <w:pPr>
        <w:ind w:left="700" w:hanging="216"/>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enforcement actions;</w:t>
      </w:r>
    </w:p>
    <w:p>
      <w:pPr>
        <w:spacing w:after="0" w:line="217" w:lineRule="exact"/>
        <w:rPr>
          <w:rFonts w:ascii="Times New Roman" w:cs="Times New Roman" w:eastAsia="Times New Roman" w:hAnsi="Times New Roman"/>
          <w:sz w:val="18"/>
          <w:szCs w:val="18"/>
          <w:color w:val="auto"/>
        </w:rPr>
      </w:pPr>
    </w:p>
    <w:p>
      <w:pPr>
        <w:ind w:left="700" w:hanging="216"/>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clients and/or business; and</w:t>
      </w:r>
    </w:p>
    <w:p>
      <w:pPr>
        <w:spacing w:after="0" w:line="217" w:lineRule="exact"/>
        <w:rPr>
          <w:rFonts w:ascii="Times New Roman" w:cs="Times New Roman" w:eastAsia="Times New Roman" w:hAnsi="Times New Roman"/>
          <w:sz w:val="18"/>
          <w:szCs w:val="18"/>
          <w:color w:val="auto"/>
        </w:rPr>
      </w:pPr>
    </w:p>
    <w:p>
      <w:pPr>
        <w:ind w:left="700" w:hanging="216"/>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from clients and resulting material penalties, damages and costs.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political, regulatory, operational and legal risks associated with our international operations.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volatility in gross domestic product, economic and governmental instability, the potential for nationalisation of private assets and the imposition of exchange controls. In addition, operating globally means the Group faces the challenges associated with coordinating its services across different countries, time zones and cultures.</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1"/>
          <w:szCs w:val="21"/>
          <w:color w:val="auto"/>
        </w:rPr>
        <w:t>Appendix A: Risk Factors (continued)</w:t>
      </w:r>
    </w:p>
    <w:p>
      <w:pPr>
        <w:spacing w:after="0" w:line="200" w:lineRule="exact"/>
        <w:rPr>
          <w:sz w:val="20"/>
          <w:szCs w:val="20"/>
          <w:color w:val="auto"/>
        </w:rPr>
      </w:pPr>
    </w:p>
    <w:p>
      <w:pPr>
        <w:spacing w:after="0" w:line="230"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Finally, we operate in some countries where national laws may require not only proper books and records, but also sufficient controls, policies and processes to ensure business is conducted without the influence of bribery and corruption. Given the high level of complexity of some of these laws, the large number of employees and contractors and the large amount of pass through costs we have in many jurisdictions, there is a risk that some provisions may inadvertently be breached by the Group, for example through negligent or corrupt behaviour of individual employees, or failure to comply with certain formal documentation requirements or otherwise. Any violation of these laws or allegations of such violations, whether merited or not, could have a material adverse effect on our reputation and could cause the trading price of our common stock to decline.</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any of the above risks or similar risks associated with our international operations were to materialise, our results of operations and financial condition could be materially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w:t>
      </w:r>
    </w:p>
    <w:p>
      <w:pPr>
        <w:spacing w:after="0" w:line="24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Current and proposed laws and regulations relating to the confidentiality of personal data of patients and others could limit the scope of our services, expose us to increased risk and liability and increase the cost of doing business, any of which could have a material adverse impact on our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claims brought against us could result in payment of substantial damages, costs and liabilities and decrease our profitability.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Client Claims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If we breach the terms of an agreement with a client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should one or more employees or contractors fail to comply with all applicable regulations and Good Clinical Practice and thereby expose us to the risk of claims by clients.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relating to Investigators</w:t>
      </w:r>
    </w:p>
    <w:p>
      <w:pPr>
        <w:spacing w:after="0" w:line="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against the investigators with whom we contract.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from Clients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Indemnifications provided by our clients against the risk of liability for personal injury to or death of the patients arising from the study drug vary from client to client and from trial to trial and may not be sufficient in scope or amount or the client may not have the financial ability to fulfill their indemnification obligations. Furthermore, we would be liable for our own negligence and negligence of our employees and such negligence could lead to litigation from clients or action or enforcement by regulatory authorities.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1"/>
          <w:szCs w:val="21"/>
          <w:color w:val="auto"/>
        </w:rPr>
        <w:t>Appendix A: Risk Factors (continued)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maintain what we believe is an appropriate level of worldwide Professional Liability/Error and Omissions Insurance. We may in the future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to Date</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Our Common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market price of our common stock could lead to losses by investors.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has experienced volatility in the past and may experience volatility in the future which could lead to losses for investors. Factors impacting volatility in the market price of our common stock include, amongst others, our results of operations, analyst expectations, developments impacting the industry or our competitors and general market and economic conditions. 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130</w:t>
      </w:r>
    </w:p>
    <w:sectPr>
      <w:pgSz w:w="11900" w:h="16838" w:orient="portrait"/>
      <w:cols w:equalWidth="0" w:num="1">
        <w:col w:w="11420"/>
      </w:cols>
      <w:pgMar w:left="240" w:top="4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lowerRoman"/>
      <w:start w:val="1"/>
    </w:lvl>
  </w:abstractNum>
  <w:abstractNum w:abstractNumId="7">
    <w:nsid w:val="836C40E"/>
    <w:multiLevelType w:val="hybridMultilevel"/>
    <w:lvl w:ilvl="0">
      <w:lvlJc w:val="left"/>
      <w:lvlText w:val="%1."/>
      <w:numFmt w:val="decimal"/>
      <w:start w:val="7"/>
    </w:lvl>
    <w:lvl w:ilvl="1">
      <w:lvlJc w:val="left"/>
      <w:lvlText w:val="(%2)"/>
      <w:numFmt w:val="lowerLetter"/>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3"/>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decimal"/>
      <w:start w:val="6"/>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lvl w:ilvl="1">
      <w:lvlJc w:val="left"/>
      <w:lvlText w:val="●"/>
      <w:numFmt w:val="bullet"/>
      <w:start w:val="1"/>
    </w:lvl>
  </w:abstractNum>
  <w:abstractNum w:abstractNumId="17">
    <w:nsid w:val="3006C83E"/>
    <w:multiLevelType w:val="hybridMultilevel"/>
    <w:lvl w:ilvl="0">
      <w:lvlJc w:val="left"/>
      <w:lvlText w:val="%1."/>
      <w:numFmt w:val="decimal"/>
      <w:start w:val="1"/>
    </w:lvl>
    <w:lvl w:ilvl="1">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lvl w:ilvl="1">
      <w:lvlJc w:val="left"/>
      <w:lvlText w:val="*"/>
      <w:numFmt w:val="bullet"/>
      <w:start w:val="1"/>
    </w:lvl>
  </w:abstractNum>
  <w:abstractNum w:abstractNumId="24">
    <w:nsid w:val="77465F01"/>
    <w:multiLevelType w:val="hybridMultilevel"/>
    <w:lvl w:ilvl="0">
      <w:lvlJc w:val="left"/>
      <w:lvlText w:val="***"/>
      <w:numFmt w:val="bullet"/>
      <w:start w:val="1"/>
    </w:lvl>
    <w:lvl w:ilvl="1">
      <w:lvlJc w:val="left"/>
      <w:lvlText w:val="*"/>
      <w:numFmt w:val="bullet"/>
      <w:start w:val="1"/>
    </w:lvl>
  </w:abstractNum>
  <w:abstractNum w:abstractNumId="25">
    <w:nsid w:val="7724C67E"/>
    <w:multiLevelType w:val="hybridMultilevel"/>
    <w:lvl w:ilvl="0">
      <w:lvlJc w:val="left"/>
      <w:lvlText w:val="****"/>
      <w:numFmt w:val="bullet"/>
      <w:start w:val="1"/>
    </w:lvl>
    <w:lvl w:ilvl="1">
      <w:lvlJc w:val="left"/>
      <w:lvlText w:val="*"/>
      <w:numFmt w:val="bullet"/>
      <w:start w:val="1"/>
    </w:lvl>
  </w:abstractNum>
  <w:abstractNum w:abstractNumId="26">
    <w:nsid w:val="5C482A97"/>
    <w:multiLevelType w:val="hybridMultilevel"/>
    <w:lvl w:ilvl="0">
      <w:lvlJc w:val="left"/>
      <w:lvlText w:val="**"/>
      <w:numFmt w:val="bullet"/>
      <w:start w:val="1"/>
    </w:lvl>
    <w:lvl w:ilvl="1">
      <w:lvlJc w:val="left"/>
      <w:lvlText w:val="*"/>
      <w:numFmt w:val="bullet"/>
      <w:start w:val="1"/>
    </w:lvl>
  </w:abstractNum>
  <w:abstractNum w:abstractNumId="27">
    <w:nsid w:val="2463B9EA"/>
    <w:multiLevelType w:val="hybridMultilevel"/>
    <w:lvl w:ilvl="0">
      <w:lvlJc w:val="left"/>
      <w:lvlText w:val="***"/>
      <w:numFmt w:val="bullet"/>
      <w:start w:val="1"/>
    </w:lvl>
    <w:lvl w:ilvl="1">
      <w:lvlJc w:val="left"/>
      <w:lvlText w:val="*"/>
      <w:numFmt w:val="bullet"/>
      <w:start w:val="1"/>
    </w:lvl>
  </w:abstractNum>
  <w:abstractNum w:abstractNumId="28">
    <w:nsid w:val="5E884ADC"/>
    <w:multiLevelType w:val="hybridMultilevel"/>
    <w:lvl w:ilvl="0">
      <w:lvlJc w:val="left"/>
      <w:lvlText w:val="(%1)"/>
      <w:numFmt w:val="lowerRoman"/>
      <w:start w:val="1"/>
    </w:lvl>
  </w:abstractNum>
  <w:abstractNum w:abstractNumId="29">
    <w:nsid w:val="51EAD36B"/>
    <w:multiLevelType w:val="hybridMultilevel"/>
    <w:lvl w:ilvl="0">
      <w:lvlJc w:val="left"/>
      <w:lvlText w:val="(%1)"/>
      <w:numFmt w:val="lowerRoman"/>
      <w:start w:val="2"/>
    </w:lvl>
  </w:abstractNum>
  <w:abstractNum w:abstractNumId="30">
    <w:nsid w:val="2D517796"/>
    <w:multiLevelType w:val="hybridMultilevel"/>
    <w:lvl w:ilvl="0">
      <w:lvlJc w:val="left"/>
      <w:lvlText w:val="%1."/>
      <w:numFmt w:val="decimal"/>
      <w:start w:val="9"/>
    </w:lvl>
  </w:abstractNum>
  <w:abstractNum w:abstractNumId="31">
    <w:nsid w:val="580BD78F"/>
    <w:multiLevelType w:val="hybridMultilevel"/>
    <w:lvl w:ilvl="0">
      <w:lvlJc w:val="left"/>
      <w:lvlText w:val="%1."/>
      <w:numFmt w:val="decimal"/>
      <w:start w:val="12"/>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2"/>
    </w:lvl>
    <w:lvl w:ilvl="1">
      <w:lvlJc w:val="left"/>
      <w:lvlText w:val="-"/>
      <w:numFmt w:val="bullet"/>
      <w:start w:val="1"/>
    </w:lvl>
  </w:abstractNum>
  <w:abstractNum w:abstractNumId="40">
    <w:nsid w:val="57E4CCAF"/>
    <w:multiLevelType w:val="hybridMultilevel"/>
    <w:lvl w:ilvl="0">
      <w:lvlJc w:val="left"/>
      <w:lvlText w:val="(%1)"/>
      <w:numFmt w:val="lowerRoman"/>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Roman"/>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2019-12-07T04:27:30Z</dcterms:created>
  <dcterms:modified xsi:type="dcterms:W3CDTF">2019-12-07T04:27:30Z</dcterms:modified>
</cp:coreProperties>
</file>