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For the month of February 2023</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1620"/>
        <w:spacing w:after="0"/>
        <w:tabs>
          <w:tab w:leader="none" w:pos="346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1620"/>
        <w:spacing w:after="0"/>
        <w:tabs>
          <w:tab w:leader="none" w:pos="34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1620"/>
        <w:spacing w:after="0"/>
        <w:tabs>
          <w:tab w:leader="none" w:pos="34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47" w:right="1440" w:bottom="1440" w:gutter="0" w:footer="0" w:header="0"/>
        </w:sectPr>
      </w:pPr>
    </w:p>
    <w:bookmarkStart w:id="1" w:name="page2"/>
    <w:bookmarkEnd w:id="1"/>
    <w:p>
      <w:pPr>
        <w:ind w:left="502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February 22, 2023 - ICON Reports Fourth Quarter and Full Year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6760" w:right="1900" w:hanging="6749"/>
        <w:spacing w:after="0" w:line="290" w:lineRule="auto"/>
        <w:tabs>
          <w:tab w:leader="none" w:pos="6740" w:val="left"/>
        </w:tabs>
        <w:rPr>
          <w:sz w:val="20"/>
          <w:szCs w:val="20"/>
          <w:color w:val="auto"/>
        </w:rPr>
      </w:pPr>
      <w:r>
        <w:rPr>
          <w:rFonts w:ascii="Arial" w:cs="Arial" w:eastAsia="Arial" w:hAnsi="Arial"/>
          <w:sz w:val="18"/>
          <w:szCs w:val="18"/>
          <w:color w:val="auto"/>
        </w:rPr>
        <w:t>Date: February 22, 2023</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0340"/>
          </w:cols>
          <w:pgMar w:left="320" w:top="337"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Fourth Quarter and Full Year 2022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85" w:lineRule="exact"/>
        <w:rPr>
          <w:sz w:val="20"/>
          <w:szCs w:val="20"/>
          <w:color w:val="auto"/>
        </w:rPr>
      </w:pPr>
    </w:p>
    <w:p>
      <w:pPr>
        <w:ind w:left="540" w:right="100"/>
        <w:spacing w:after="0" w:line="261" w:lineRule="auto"/>
        <w:rPr>
          <w:sz w:val="20"/>
          <w:szCs w:val="20"/>
          <w:color w:val="auto"/>
        </w:rPr>
      </w:pPr>
      <w:r>
        <w:rPr>
          <w:rFonts w:ascii="Arial" w:cs="Arial" w:eastAsia="Arial" w:hAnsi="Arial"/>
          <w:sz w:val="18"/>
          <w:szCs w:val="18"/>
          <w:b w:val="1"/>
          <w:bCs w:val="1"/>
          <w:color w:val="auto"/>
        </w:rPr>
        <w:t>Net business wins in the quarter of $2,350 million; a net book to bill of 1.20. Full year net business wins of $9,450 million; a net book to bill of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-234950</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60"/>
        <w:spacing w:after="0" w:line="246" w:lineRule="auto"/>
        <w:rPr>
          <w:sz w:val="20"/>
          <w:szCs w:val="20"/>
          <w:color w:val="auto"/>
        </w:rPr>
      </w:pPr>
      <w:r>
        <w:rPr>
          <w:rFonts w:ascii="Arial" w:cs="Arial" w:eastAsia="Arial" w:hAnsi="Arial"/>
          <w:sz w:val="18"/>
          <w:szCs w:val="18"/>
          <w:b w:val="1"/>
          <w:bCs w:val="1"/>
          <w:color w:val="auto"/>
        </w:rPr>
        <w:t>Closing backlog in the quarter of $20.7 billion, an increase of 2.4% on quarter three 2022 or an increase of 8.7% on quarter four 2021. Quarter four revenue of $1,962 million, representing an increase of 4.3% on quarter four 2021 adjusted revenue and 7.6% on a constant currency organic basis. Full year revenue of $7,741.4 million, representing an increase of 41.2% on full year 2021 revenue or 45.4%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-499745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-362585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700"/>
        <w:spacing w:after="0" w:line="197" w:lineRule="auto"/>
        <w:rPr>
          <w:sz w:val="20"/>
          <w:szCs w:val="20"/>
          <w:color w:val="auto"/>
        </w:rPr>
      </w:pPr>
      <w:r>
        <w:rPr>
          <w:rFonts w:ascii="Arial" w:cs="Arial" w:eastAsia="Arial" w:hAnsi="Arial"/>
          <w:sz w:val="18"/>
          <w:szCs w:val="18"/>
          <w:b w:val="1"/>
          <w:bCs w:val="1"/>
          <w:color w:val="auto"/>
        </w:rPr>
        <w:t>Record quarter four adjusted EBITDA</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of $405 million or 20.6% of revenue, an increase of 21.8% on quarter four 2021. Full year adjusted EBITDA of $1,479.5 million or 19.1% of revenue, an increase of 52.5% on full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80"/>
        <w:spacing w:after="0" w:line="243" w:lineRule="auto"/>
        <w:rPr>
          <w:sz w:val="20"/>
          <w:szCs w:val="20"/>
          <w:color w:val="auto"/>
        </w:rPr>
      </w:pPr>
      <w:r>
        <w:rPr>
          <w:rFonts w:ascii="Arial" w:cs="Arial" w:eastAsia="Arial" w:hAnsi="Arial"/>
          <w:sz w:val="18"/>
          <w:szCs w:val="18"/>
          <w:b w:val="1"/>
          <w:bCs w:val="1"/>
          <w:color w:val="auto"/>
        </w:rPr>
        <w:t>GAAP net income attributable to the Group for quarter four of $117.4 million or $1.42 per diluted share. Full year GAAP net income attributable to the Group of $505.3 million or $6.13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-226695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0"/>
        <w:spacing w:after="0" w:line="211" w:lineRule="auto"/>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attributable to the Group for quarter four of $257.7 million or $3.13 per diluted share, an increase of 19% on prior year quarter four. Full year adjusted net income attributable to the Group of $968.7 million or $11.75 per diluted share, an increase of 21.8% on full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-370205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50" w:lineRule="auto"/>
        <w:rPr>
          <w:sz w:val="20"/>
          <w:szCs w:val="20"/>
          <w:color w:val="auto"/>
        </w:rPr>
      </w:pPr>
      <w:r>
        <w:rPr>
          <w:rFonts w:ascii="Arial" w:cs="Arial" w:eastAsia="Arial" w:hAnsi="Arial"/>
          <w:sz w:val="18"/>
          <w:szCs w:val="18"/>
          <w:b w:val="1"/>
          <w:bCs w:val="1"/>
          <w:color w:val="auto"/>
        </w:rPr>
        <w:t>$200 million repayment made on Term Loan B debt during quarter four, bringing full year repayments to $800 million. Net debt balance of $4.4 billion with net debt to adjusted EBITDA ratio of 2.9x. Hedging solution finalized resulting in proportion of fixed debt amounting to circa 60% of total debt, providing greater certainty on interest expenses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60"/>
        <w:spacing w:after="0" w:line="217" w:lineRule="auto"/>
        <w:rPr>
          <w:sz w:val="20"/>
          <w:szCs w:val="20"/>
          <w:color w:val="auto"/>
        </w:rPr>
      </w:pPr>
      <w:r>
        <w:rPr>
          <w:rFonts w:ascii="Arial" w:cs="Arial" w:eastAsia="Arial" w:hAnsi="Arial"/>
          <w:sz w:val="18"/>
          <w:szCs w:val="18"/>
          <w:b w:val="1"/>
          <w:bCs w:val="1"/>
          <w:color w:val="auto"/>
        </w:rPr>
        <w:t>Full year 2023 revenue guidance reaffirmed in the range of $7,940 - $8,340 million, representing a year over year increase of 2.6% to 7.7%, and full year 2023 adjusted earnings per share</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guidance in the range of $12.40 - $13.05, representing a year over year increase of 5.5% to 11.1%. Adjusted earnings per share to exclude amortization, stock compensation, foreign exchange, restructuring and transaction-related / integration-related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-508635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DUBLIN, Ireland--(BUSINESS WIRE)--February 22, 2023--ICON plc (NASDAQ: ICLR), a world-leading healthcare intelligence and clinical research organization, today reported its financial results for the fourth quarter and year ended December 31, 2022.</w:t>
      </w:r>
    </w:p>
    <w:p>
      <w:pPr>
        <w:spacing w:after="0" w:line="143" w:lineRule="exact"/>
        <w:rPr>
          <w:sz w:val="20"/>
          <w:szCs w:val="20"/>
          <w:color w:val="auto"/>
        </w:rPr>
      </w:pPr>
    </w:p>
    <w:p>
      <w:pPr>
        <w:ind w:right="180"/>
        <w:spacing w:after="0" w:line="203" w:lineRule="auto"/>
        <w:rPr>
          <w:sz w:val="20"/>
          <w:szCs w:val="20"/>
          <w:color w:val="auto"/>
        </w:rPr>
      </w:pPr>
      <w:r>
        <w:rPr>
          <w:rFonts w:ascii="Arial" w:cs="Arial" w:eastAsia="Arial" w:hAnsi="Arial"/>
          <w:sz w:val="18"/>
          <w:szCs w:val="18"/>
          <w:color w:val="auto"/>
        </w:rPr>
        <w:t>CEO, Dr. Steve Cutler commented, “</w:t>
      </w:r>
      <w:r>
        <w:rPr>
          <w:rFonts w:ascii="Arial" w:cs="Arial" w:eastAsia="Arial" w:hAnsi="Arial"/>
          <w:sz w:val="18"/>
          <w:szCs w:val="18"/>
          <w:i w:val="1"/>
          <w:iCs w:val="1"/>
          <w:color w:val="auto"/>
        </w:rPr>
        <w:t>ICON continued its positive momentum in the fourth quarter of 2022, with 7.6% constant currency revenue growth</w:t>
      </w:r>
      <w:r>
        <w:rPr>
          <w:rFonts w:ascii="Arial" w:cs="Arial" w:eastAsia="Arial" w:hAnsi="Arial"/>
          <w:sz w:val="18"/>
          <w:szCs w:val="18"/>
          <w:color w:val="auto"/>
        </w:rPr>
        <w:t xml:space="preserve"> </w:t>
      </w:r>
      <w:r>
        <w:rPr>
          <w:rFonts w:ascii="Arial" w:cs="Arial" w:eastAsia="Arial" w:hAnsi="Arial"/>
          <w:sz w:val="18"/>
          <w:szCs w:val="18"/>
          <w:i w:val="1"/>
          <w:iCs w:val="1"/>
          <w:color w:val="auto"/>
        </w:rPr>
        <w:t>year over year, and delivering on our full-year financial outlook in a dynamic market environment. We saw solid demand across our portfolio of services, resulting in backlog growth of 8.7% on a year over year basis. The combination of strong underlying operational performance and focused cost management delivered outstanding adjusted EBITDA</w:t>
      </w:r>
      <w:r>
        <w:rPr>
          <w:rFonts w:ascii="Arial" w:cs="Arial" w:eastAsia="Arial" w:hAnsi="Arial"/>
          <w:sz w:val="29"/>
          <w:szCs w:val="29"/>
          <w:color w:val="auto"/>
          <w:vertAlign w:val="superscript"/>
        </w:rPr>
        <w:t>1</w:t>
      </w:r>
      <w:r>
        <w:rPr>
          <w:rFonts w:ascii="Arial" w:cs="Arial" w:eastAsia="Arial" w:hAnsi="Arial"/>
          <w:sz w:val="18"/>
          <w:szCs w:val="18"/>
          <w:i w:val="1"/>
          <w:iCs w:val="1"/>
          <w:color w:val="auto"/>
        </w:rPr>
        <w:t xml:space="preserve"> growth of 22% and adjusted earnings per share</w:t>
      </w:r>
      <w:r>
        <w:rPr>
          <w:rFonts w:ascii="Arial" w:cs="Arial" w:eastAsia="Arial" w:hAnsi="Arial"/>
          <w:sz w:val="29"/>
          <w:szCs w:val="29"/>
          <w:color w:val="auto"/>
          <w:vertAlign w:val="superscript"/>
        </w:rPr>
        <w:t>1</w:t>
      </w:r>
      <w:r>
        <w:rPr>
          <w:rFonts w:ascii="Arial" w:cs="Arial" w:eastAsia="Arial" w:hAnsi="Arial"/>
          <w:sz w:val="18"/>
          <w:szCs w:val="18"/>
          <w:i w:val="1"/>
          <w:iCs w:val="1"/>
          <w:color w:val="auto"/>
        </w:rPr>
        <w:t xml:space="preserve"> growth of 19% on a year-over-year basis in quarter four.</w:t>
      </w:r>
    </w:p>
    <w:p>
      <w:pPr>
        <w:spacing w:after="0" w:line="166" w:lineRule="exact"/>
        <w:rPr>
          <w:sz w:val="20"/>
          <w:szCs w:val="20"/>
          <w:color w:val="auto"/>
        </w:rPr>
      </w:pPr>
    </w:p>
    <w:p>
      <w:pPr>
        <w:ind w:right="120"/>
        <w:spacing w:after="0" w:line="220" w:lineRule="auto"/>
        <w:rPr>
          <w:sz w:val="20"/>
          <w:szCs w:val="20"/>
          <w:color w:val="auto"/>
        </w:rPr>
      </w:pPr>
      <w:r>
        <w:rPr>
          <w:rFonts w:ascii="Arial" w:cs="Arial" w:eastAsia="Arial" w:hAnsi="Arial"/>
          <w:sz w:val="18"/>
          <w:szCs w:val="18"/>
          <w:i w:val="1"/>
          <w:iCs w:val="1"/>
          <w:color w:val="auto"/>
        </w:rPr>
        <w:t>As we turn to 2023, demand for our services has continued as we remain focused on meeting the evolving needs of our customers and further invest in our comprehensive offering to deliver enhanced outcomes in clinical development. As such, we are reaffirming our previously announced financial outlook for the full year 2023, with revenue guidance in the range of $7,940 - $8,340 million and adjusted earnings per share</w:t>
      </w: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 xml:space="preserve"> guidance in the range of $12.40 - $13.05.”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Results</w:t>
      </w:r>
    </w:p>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Gross business wins in the quarter were $2,705 million and cancellations were $355 million. This resulted in net business wins of $2,350 million and a book to bill of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60"/>
        <w:spacing w:after="0" w:line="277" w:lineRule="auto"/>
        <w:rPr>
          <w:sz w:val="20"/>
          <w:szCs w:val="20"/>
          <w:color w:val="auto"/>
        </w:rPr>
      </w:pPr>
      <w:r>
        <w:rPr>
          <w:rFonts w:ascii="Arial" w:cs="Arial" w:eastAsia="Arial" w:hAnsi="Arial"/>
          <w:sz w:val="18"/>
          <w:szCs w:val="18"/>
          <w:color w:val="auto"/>
        </w:rPr>
        <w:t>Revenue for quarter four was $1,962 million. This represents an increase of 4.3% on prior year adjusted revenue or 7.6% on a constant currency organic basis.</w:t>
      </w:r>
    </w:p>
    <w:p>
      <w:pPr>
        <w:spacing w:after="0" w:line="143"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GAAP net income attributable to the Group was $117.4 million resulting in $1.42 diluted earnings per share in quarter four 2022 compared to $0.92 diluted earnings per share in quarter four 2021. Adjusted net income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attributable to the Group for the quarter was $257.7 million resulting in an adjusted diluted earnings per share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$3.13 compared to $2.63 per share in quarter four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for quarter four was $405 million or 20.6% of revenue, a year on year increase of 21.8%.</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Results</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Gross business wins were $10,991 million and cancellations were $1,542 million. This resulted in net business wins of $9,450 million and a book to bill of 1.22.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Full year revenue was $7,741.4 million. This represents an increase of 41.2% on prior year revenue or 45.4% on a constant currency basis.</w:t>
      </w:r>
    </w:p>
    <w:p>
      <w:pPr>
        <w:spacing w:after="0" w:line="185" w:lineRule="exact"/>
        <w:rPr>
          <w:sz w:val="20"/>
          <w:szCs w:val="20"/>
          <w:color w:val="auto"/>
        </w:rPr>
      </w:pPr>
    </w:p>
    <w:p>
      <w:pPr>
        <w:jc w:val="both"/>
        <w:ind w:right="180"/>
        <w:spacing w:after="0" w:line="223" w:lineRule="auto"/>
        <w:rPr>
          <w:sz w:val="20"/>
          <w:szCs w:val="20"/>
          <w:color w:val="auto"/>
        </w:rPr>
      </w:pPr>
      <w:r>
        <w:rPr>
          <w:rFonts w:ascii="Arial" w:cs="Arial" w:eastAsia="Arial" w:hAnsi="Arial"/>
          <w:sz w:val="18"/>
          <w:szCs w:val="18"/>
          <w:color w:val="auto"/>
        </w:rPr>
        <w:t>GAAP net income attributable to the Group was $505.3 million resulting in GAAP diluted earnings per share of $6.13 for the full year 2022 compared to $2.25 GAAP diluted earnings per share for the full year 2021. Adjusted net income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attributable to the Group was $968.7 million resulting in an adjusted diluted earnings per share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$11.75 compared to $9.65 per share for the equivalent prior year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was $1,479.5 million or 19.1% of revenue, a year on year increase of 52.5%.</w:t>
      </w:r>
    </w:p>
    <w:p>
      <w:pPr>
        <w:spacing w:after="0" w:line="6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Cash generated from operating activities for the year was $563.3 million. During the year, $142.2 million was spent on capital expenditure. At December 31, 2022, the Group had cash and cash equivalents of $288.8 million, compared to cash and cash equivalents of $609.2 million at September 30, 2022 and $752.2 million at December 31, 2021. During the year, $800 million of Term Loan B payments were made resulting in a net indebtedness balance of $4.4 billion at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Colin Shannon resigned from the Board of Directors in December 2022, having served as a non-executive director since the completion of the PRA Health Sciences transaction in July 2021. Ciaran Murray, Chairman of the Board, commented, “</w:t>
      </w:r>
      <w:r>
        <w:rPr>
          <w:rFonts w:ascii="Arial" w:cs="Arial" w:eastAsia="Arial" w:hAnsi="Arial"/>
          <w:sz w:val="18"/>
          <w:szCs w:val="18"/>
          <w:i w:val="1"/>
          <w:iCs w:val="1"/>
          <w:color w:val="auto"/>
        </w:rPr>
        <w:t>I would like to thank Colin for his service to ICON, and his</w:t>
      </w:r>
      <w:r>
        <w:rPr>
          <w:rFonts w:ascii="Arial" w:cs="Arial" w:eastAsia="Arial" w:hAnsi="Arial"/>
          <w:sz w:val="18"/>
          <w:szCs w:val="18"/>
          <w:color w:val="auto"/>
        </w:rPr>
        <w:t xml:space="preserve"> </w:t>
      </w:r>
      <w:r>
        <w:rPr>
          <w:rFonts w:ascii="Arial" w:cs="Arial" w:eastAsia="Arial" w:hAnsi="Arial"/>
          <w:sz w:val="18"/>
          <w:szCs w:val="18"/>
          <w:i w:val="1"/>
          <w:iCs w:val="1"/>
          <w:color w:val="auto"/>
        </w:rPr>
        <w:t>support and contribution to the integration of ICON and PRA</w:t>
      </w:r>
      <w:r>
        <w:rPr>
          <w:rFonts w:ascii="Arial" w:cs="Arial" w:eastAsia="Arial" w:hAnsi="Arial"/>
          <w:sz w:val="18"/>
          <w:szCs w:val="18"/>
          <w:color w:val="auto"/>
        </w:rPr>
        <w:t>.”</w:t>
      </w:r>
    </w:p>
    <w:p>
      <w:pPr>
        <w:spacing w:after="0" w:line="14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to the financial measures prepared in accordance with generally accepted accounting principles (GAAP), this press release contains certain non-GAAP financial measures, including adjusted EBITDA, adjusted net income attributable to the Group and adjusted diluted earnings per share attributable to the Group. Adjusted EBITDA, adjusted net income and adjusted diluted earnings per share exclude amortization, stock compensation, foreign exchange gains and losses,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12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ICON will hold a conference call on February 23, 2023 at 08:00 EST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4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41,100 employees in 111 locations in 53 countries as at December 31, 2022. For further information about ICON, visit: www.iconplc.com.</w:t>
      </w:r>
    </w:p>
    <w:p>
      <w:pPr>
        <w:spacing w:after="0" w:line="144" w:lineRule="exact"/>
        <w:rPr>
          <w:sz w:val="20"/>
          <w:szCs w:val="20"/>
          <w:color w:val="auto"/>
        </w:rPr>
      </w:pPr>
    </w:p>
    <w:p>
      <w:pPr>
        <w:ind w:left="180" w:right="80" w:hanging="159"/>
        <w:spacing w:after="0" w:line="245" w:lineRule="auto"/>
        <w:tabs>
          <w:tab w:leader="none" w:pos="180" w:val="left"/>
        </w:tabs>
        <w:numPr>
          <w:ilvl w:val="0"/>
          <w:numId w:val="1"/>
        </w:numPr>
        <w:rPr>
          <w:rFonts w:ascii="Arial" w:cs="Arial" w:eastAsia="Arial" w:hAnsi="Arial"/>
          <w:sz w:val="27"/>
          <w:szCs w:val="27"/>
          <w:color w:val="auto"/>
          <w:vertAlign w:val="superscript"/>
        </w:rPr>
      </w:pPr>
      <w:r>
        <w:rPr>
          <w:rFonts w:ascii="Arial" w:cs="Arial" w:eastAsia="Arial" w:hAnsi="Arial"/>
          <w:sz w:val="16"/>
          <w:szCs w:val="16"/>
          <w:color w:val="auto"/>
        </w:rPr>
        <w:t>Refer to “Other Information” for a discussion of the Company’s use of non-GAAP financial measures, and to “Reconciliation of Non-GAAP Measures” for reconciliations of non-GAAP results to applicable GAAP results. Our full-year 2023 guidance adjusted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Source: ICON plc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THREE AND TWELVE MONTHS ENDED DECEMBER 31, 2022 AND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5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Twelve Months Ended</w:t>
            </w:r>
          </w:p>
        </w:tc>
      </w:tr>
      <w:tr>
        <w:trPr>
          <w:trHeight w:val="225"/>
        </w:trPr>
        <w:tc>
          <w:tcPr>
            <w:tcW w:w="5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43"/>
        </w:trPr>
        <w:tc>
          <w:tcPr>
            <w:tcW w:w="5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360" w:type="dxa"/>
            <w:vAlign w:val="bottom"/>
            <w:gridSpan w:val="7"/>
          </w:tcPr>
          <w:p>
            <w:pPr>
              <w:jc w:val="right"/>
              <w:ind w:right="870"/>
              <w:spacing w:after="0"/>
              <w:rPr>
                <w:sz w:val="20"/>
                <w:szCs w:val="20"/>
                <w:color w:val="auto"/>
              </w:rPr>
            </w:pPr>
            <w:r>
              <w:rPr>
                <w:rFonts w:ascii="Arial" w:cs="Arial" w:eastAsia="Arial" w:hAnsi="Arial"/>
                <w:sz w:val="18"/>
                <w:szCs w:val="18"/>
                <w:b w:val="1"/>
                <w:bCs w:val="1"/>
                <w:color w:val="auto"/>
              </w:rPr>
              <w:t>(in thousands except share and per share data)</w:t>
            </w:r>
          </w:p>
        </w:tc>
      </w:tr>
      <w:tr>
        <w:trPr>
          <w:trHeight w:val="486"/>
        </w:trPr>
        <w:tc>
          <w:tcPr>
            <w:tcW w:w="5240" w:type="dxa"/>
            <w:vAlign w:val="bottom"/>
          </w:tcPr>
          <w:p>
            <w:pPr>
              <w:spacing w:after="0"/>
              <w:rPr>
                <w:sz w:val="20"/>
                <w:szCs w:val="20"/>
                <w:color w:val="auto"/>
              </w:rPr>
            </w:pPr>
            <w:r>
              <w:rPr>
                <w:rFonts w:ascii="Arial" w:cs="Arial" w:eastAsia="Arial" w:hAnsi="Arial"/>
                <w:sz w:val="18"/>
                <w:szCs w:val="18"/>
                <w:color w:val="auto"/>
              </w:rPr>
              <w:t>Revenue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1,962,002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1,885,121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7,741,386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5,480,826</w:t>
            </w:r>
          </w:p>
        </w:tc>
      </w:tr>
      <w:tr>
        <w:trPr>
          <w:trHeight w:val="486"/>
        </w:trPr>
        <w:tc>
          <w:tcPr>
            <w:tcW w:w="5240" w:type="dxa"/>
            <w:vAlign w:val="bottom"/>
          </w:tcPr>
          <w:p>
            <w:pPr>
              <w:spacing w:after="0"/>
              <w:rPr>
                <w:sz w:val="20"/>
                <w:szCs w:val="20"/>
                <w:color w:val="auto"/>
              </w:rPr>
            </w:pPr>
            <w:r>
              <w:rPr>
                <w:rFonts w:ascii="Arial" w:cs="Arial" w:eastAsia="Arial" w:hAnsi="Arial"/>
                <w:sz w:val="18"/>
                <w:szCs w:val="18"/>
                <w:color w:val="auto"/>
              </w:rPr>
              <w:t>Costs and expenses:</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Direct costs (excluding depreciation and amortization)</w:t>
            </w:r>
          </w:p>
        </w:tc>
        <w:tc>
          <w:tcPr>
            <w:tcW w:w="6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1,380,679</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1,357,303</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5,527,045</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3,972,612</w:t>
            </w: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w:t>
            </w:r>
          </w:p>
        </w:tc>
        <w:tc>
          <w:tcPr>
            <w:tcW w:w="6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226,753</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202,716</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778,753</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585,330</w:t>
            </w: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142,228</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139,670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569,513</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314,987</w:t>
            </w: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Transaction and integration-related expenses</w:t>
            </w:r>
          </w:p>
        </w:tc>
        <w:tc>
          <w:tcPr>
            <w:tcW w:w="6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10,725</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15,954</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39,695</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198,263</w:t>
            </w:r>
          </w:p>
        </w:tc>
      </w:tr>
      <w:tr>
        <w:trPr>
          <w:trHeight w:val="250"/>
        </w:trPr>
        <w:tc>
          <w:tcPr>
            <w:tcW w:w="52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Restructuring</w:t>
            </w:r>
          </w:p>
        </w:tc>
        <w:tc>
          <w:tcPr>
            <w:tcW w:w="6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24,943</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31,143</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31,105</w:t>
            </w:r>
          </w:p>
        </w:tc>
      </w:tr>
      <w:tr>
        <w:trPr>
          <w:trHeight w:val="480"/>
        </w:trPr>
        <w:tc>
          <w:tcPr>
            <w:tcW w:w="52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 costs and expenses</w:t>
            </w:r>
          </w:p>
        </w:tc>
        <w:tc>
          <w:tcPr>
            <w:tcW w:w="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1,758,638</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1,740,586</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6,946,149</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5,102,297</w:t>
            </w:r>
          </w:p>
        </w:tc>
      </w:tr>
      <w:tr>
        <w:trPr>
          <w:trHeight w:val="473"/>
        </w:trPr>
        <w:tc>
          <w:tcPr>
            <w:tcW w:w="52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6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203,364</w:t>
            </w:r>
          </w:p>
        </w:tc>
        <w:tc>
          <w:tcPr>
            <w:tcW w:w="14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144,535</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795,237</w:t>
            </w:r>
          </w:p>
        </w:tc>
        <w:tc>
          <w:tcPr>
            <w:tcW w:w="1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378,529</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2,345</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50"/>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6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(75,185)</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(52,839)</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(229,731)</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(182,423)</w:t>
            </w:r>
          </w:p>
        </w:tc>
      </w:tr>
      <w:tr>
        <w:trPr>
          <w:trHeight w:val="473"/>
        </w:trPr>
        <w:tc>
          <w:tcPr>
            <w:tcW w:w="52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6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128,797</w:t>
            </w:r>
          </w:p>
        </w:tc>
        <w:tc>
          <w:tcPr>
            <w:tcW w:w="14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91,774</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567,851</w:t>
            </w:r>
          </w:p>
        </w:tc>
        <w:tc>
          <w:tcPr>
            <w:tcW w:w="1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196,680</w:t>
            </w:r>
          </w:p>
        </w:tc>
      </w:tr>
      <w:tr>
        <w:trPr>
          <w:trHeight w:val="250"/>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(10,859)</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(59,411)</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(41,334)</w:t>
            </w:r>
          </w:p>
        </w:tc>
      </w:tr>
      <w:tr>
        <w:trPr>
          <w:trHeight w:val="473"/>
        </w:trPr>
        <w:tc>
          <w:tcPr>
            <w:tcW w:w="5240" w:type="dxa"/>
            <w:vAlign w:val="bottom"/>
          </w:tcPr>
          <w:p>
            <w:pPr>
              <w:spacing w:after="0"/>
              <w:rPr>
                <w:sz w:val="20"/>
                <w:szCs w:val="20"/>
                <w:color w:val="auto"/>
              </w:rPr>
            </w:pPr>
            <w:r>
              <w:rPr>
                <w:rFonts w:ascii="Arial" w:cs="Arial" w:eastAsia="Arial" w:hAnsi="Arial"/>
                <w:sz w:val="18"/>
                <w:szCs w:val="18"/>
                <w:color w:val="auto"/>
              </w:rPr>
              <w:t>Income before share of earnings from equity method investments</w:t>
            </w:r>
          </w:p>
        </w:tc>
        <w:tc>
          <w:tcPr>
            <w:tcW w:w="6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117,938</w:t>
            </w:r>
          </w:p>
        </w:tc>
        <w:tc>
          <w:tcPr>
            <w:tcW w:w="14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77,158</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508,440</w:t>
            </w:r>
          </w:p>
        </w:tc>
        <w:tc>
          <w:tcPr>
            <w:tcW w:w="1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155,346</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6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(3,136)</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(2,161)</w:t>
            </w:r>
          </w:p>
        </w:tc>
      </w:tr>
      <w:tr>
        <w:trPr>
          <w:trHeight w:val="257"/>
        </w:trPr>
        <w:tc>
          <w:tcPr>
            <w:tcW w:w="5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30"/>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Group</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117,445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76,468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153,185</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59"/>
        </w:trPr>
        <w:tc>
          <w:tcPr>
            <w:tcW w:w="5240" w:type="dxa"/>
            <w:vAlign w:val="bottom"/>
          </w:tcPr>
          <w:p>
            <w:pPr>
              <w:spacing w:after="0"/>
              <w:rPr>
                <w:sz w:val="20"/>
                <w:szCs w:val="20"/>
                <w:color w:val="auto"/>
              </w:rPr>
            </w:pPr>
            <w:r>
              <w:rPr>
                <w:rFonts w:ascii="Arial" w:cs="Arial" w:eastAsia="Arial" w:hAnsi="Arial"/>
                <w:sz w:val="18"/>
                <w:szCs w:val="18"/>
                <w:color w:val="auto"/>
              </w:rPr>
              <w:t>Net income per Ordinary Share attributable to the Group:</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93"/>
        </w:trPr>
        <w:tc>
          <w:tcPr>
            <w:tcW w:w="52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Basic</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r>
      <w:tr>
        <w:trPr>
          <w:trHeight w:val="237"/>
        </w:trPr>
        <w:tc>
          <w:tcPr>
            <w:tcW w:w="52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Diluted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59"/>
        </w:trPr>
        <w:tc>
          <w:tcPr>
            <w:tcW w:w="524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93"/>
        </w:trPr>
        <w:tc>
          <w:tcPr>
            <w:tcW w:w="52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Basic</w:t>
            </w:r>
          </w:p>
        </w:tc>
        <w:tc>
          <w:tcPr>
            <w:tcW w:w="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81,683,430</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81,488,189</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81,532,320</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67,110,186</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52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Diluted</w:t>
            </w: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82,452,097</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82,827,674</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82,468,363</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68,068,311</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5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864" w:right="339" w:bottom="1440" w:gutter="0" w:footer="0" w:header="0"/>
        </w:sectPr>
      </w:pPr>
    </w:p>
    <w:bookmarkStart w:id="6" w:name="page7"/>
    <w:bookmarkEnd w:id="6"/>
    <w:p>
      <w:pPr>
        <w:jc w:val="center"/>
        <w:ind w:right="6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AS AT DECEMBER 31, 2022 AND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43"/>
        </w:trPr>
        <w:tc>
          <w:tcPr>
            <w:tcW w:w="74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tcPr>
          <w:p>
            <w:pPr>
              <w:spacing w:after="0"/>
              <w:rPr>
                <w:sz w:val="21"/>
                <w:szCs w:val="21"/>
                <w:color w:val="auto"/>
              </w:rPr>
            </w:pPr>
          </w:p>
        </w:tc>
        <w:tc>
          <w:tcPr>
            <w:tcW w:w="25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288,768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752,213</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Available for sale investments</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1,713</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1,712</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Accounts receivable, net of allowance for credit losses</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1,731,388</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1,342,770</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Unbilled revenue</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957,655</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623,121</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63,658</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56,760</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Prepayments and other current assets</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137,094</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114,323</w:t>
            </w:r>
          </w:p>
        </w:tc>
      </w:tr>
      <w:tr>
        <w:trPr>
          <w:trHeight w:val="250"/>
        </w:trPr>
        <w:tc>
          <w:tcPr>
            <w:tcW w:w="7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Income taxes receivable</w:t>
            </w:r>
          </w:p>
        </w:tc>
        <w:tc>
          <w:tcPr>
            <w:tcW w:w="1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48,790</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50,299</w:t>
            </w:r>
          </w:p>
        </w:tc>
      </w:tr>
      <w:tr>
        <w:trPr>
          <w:trHeight w:val="230"/>
        </w:trPr>
        <w:tc>
          <w:tcPr>
            <w:tcW w:w="74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3,229,066</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2,941,198</w:t>
            </w:r>
          </w:p>
        </w:tc>
      </w:tr>
      <w:tr>
        <w:trPr>
          <w:trHeight w:val="485"/>
        </w:trPr>
        <w:tc>
          <w:tcPr>
            <w:tcW w:w="7400" w:type="dxa"/>
            <w:vAlign w:val="bottom"/>
          </w:tcPr>
          <w:p>
            <w:pPr>
              <w:spacing w:after="0"/>
              <w:rPr>
                <w:sz w:val="20"/>
                <w:szCs w:val="20"/>
                <w:color w:val="auto"/>
              </w:rPr>
            </w:pPr>
            <w:r>
              <w:rPr>
                <w:rFonts w:ascii="Arial" w:cs="Arial" w:eastAsia="Arial" w:hAnsi="Arial"/>
                <w:sz w:val="18"/>
                <w:szCs w:val="18"/>
                <w:color w:val="auto"/>
              </w:rPr>
              <w:t>Non-current Assets:</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350,320</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336,444</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8,971,670</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9,037,931</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4,278,659</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4,710,843</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Operating right-of-use assets</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153,832</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198,123</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70,790</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70,557</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21,380</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18,637</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Deferred tax asset</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76,930</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48,392</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Equity method investments</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2,373</w:t>
            </w:r>
          </w:p>
        </w:tc>
      </w:tr>
      <w:tr>
        <w:trPr>
          <w:trHeight w:val="250"/>
        </w:trPr>
        <w:tc>
          <w:tcPr>
            <w:tcW w:w="7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Investments in equity- long term</w:t>
            </w:r>
          </w:p>
        </w:tc>
        <w:tc>
          <w:tcPr>
            <w:tcW w:w="1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32,631</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22,592</w:t>
            </w:r>
          </w:p>
        </w:tc>
      </w:tr>
      <w:tr>
        <w:trPr>
          <w:trHeight w:val="237"/>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17,185,278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17,387,090</w:t>
            </w:r>
          </w:p>
        </w:tc>
      </w:tr>
      <w:tr>
        <w:trPr>
          <w:trHeight w:val="234"/>
        </w:trPr>
        <w:tc>
          <w:tcPr>
            <w:tcW w:w="74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8"/>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81,194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90,764</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Unearned revenue</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1,507,449</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1,323,961</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1,005,025</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949,629</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41,783</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59,433</w:t>
            </w:r>
          </w:p>
        </w:tc>
      </w:tr>
      <w:tr>
        <w:trPr>
          <w:trHeight w:val="250"/>
        </w:trPr>
        <w:tc>
          <w:tcPr>
            <w:tcW w:w="7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Current bank credit lines and loan facilities</w:t>
            </w:r>
          </w:p>
        </w:tc>
        <w:tc>
          <w:tcPr>
            <w:tcW w:w="1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55,150</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55,150</w:t>
            </w:r>
          </w:p>
        </w:tc>
      </w:tr>
      <w:tr>
        <w:trPr>
          <w:trHeight w:val="230"/>
        </w:trPr>
        <w:tc>
          <w:tcPr>
            <w:tcW w:w="74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2,690,601</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2,478,937</w:t>
            </w:r>
          </w:p>
        </w:tc>
      </w:tr>
      <w:tr>
        <w:trPr>
          <w:trHeight w:val="242"/>
        </w:trPr>
        <w:tc>
          <w:tcPr>
            <w:tcW w:w="7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Non-current bank credit lines and loan facilities</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4,599,037</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5,381,162</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Lease liabilities</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131,644</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159,483</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Non-current other liabilities</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38,260</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42,596</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Non-current income taxes payable</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239,188</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172,109</w:t>
            </w:r>
          </w:p>
        </w:tc>
      </w:tr>
      <w:tr>
        <w:trPr>
          <w:trHeight w:val="250"/>
        </w:trPr>
        <w:tc>
          <w:tcPr>
            <w:tcW w:w="7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Deferred tax liability</w:t>
            </w:r>
          </w:p>
        </w:tc>
        <w:tc>
          <w:tcPr>
            <w:tcW w:w="1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988,585</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1,085,976</w:t>
            </w:r>
          </w:p>
        </w:tc>
      </w:tr>
      <w:tr>
        <w:trPr>
          <w:trHeight w:val="237"/>
        </w:trPr>
        <w:tc>
          <w:tcPr>
            <w:tcW w:w="7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Liabilities</w:t>
            </w:r>
          </w:p>
        </w:tc>
        <w:tc>
          <w:tcPr>
            <w:tcW w:w="1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8,687,315</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9,320,263</w:t>
            </w:r>
          </w:p>
        </w:tc>
      </w:tr>
      <w:tr>
        <w:trPr>
          <w:trHeight w:val="472"/>
        </w:trPr>
        <w:tc>
          <w:tcPr>
            <w:tcW w:w="7400" w:type="dxa"/>
            <w:vAlign w:val="bottom"/>
          </w:tcPr>
          <w:p>
            <w:pPr>
              <w:spacing w:after="0"/>
              <w:rPr>
                <w:sz w:val="20"/>
                <w:szCs w:val="20"/>
                <w:color w:val="auto"/>
              </w:rPr>
            </w:pPr>
            <w:r>
              <w:rPr>
                <w:rFonts w:ascii="Arial" w:cs="Arial" w:eastAsia="Arial" w:hAnsi="Arial"/>
                <w:sz w:val="18"/>
                <w:szCs w:val="18"/>
                <w:color w:val="auto"/>
              </w:rPr>
              <w:t>Shareholders' Equity:</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9"/>
        </w:trPr>
        <w:tc>
          <w:tcPr>
            <w:tcW w:w="7400" w:type="dxa"/>
            <w:vAlign w:val="bottom"/>
          </w:tcPr>
          <w:p>
            <w:pPr>
              <w:ind w:left="340"/>
              <w:spacing w:after="0"/>
              <w:rPr>
                <w:sz w:val="20"/>
                <w:szCs w:val="20"/>
                <w:color w:val="auto"/>
              </w:rPr>
            </w:pPr>
            <w:r>
              <w:rPr>
                <w:rFonts w:ascii="Arial" w:cs="Arial" w:eastAsia="Arial" w:hAnsi="Arial"/>
                <w:sz w:val="18"/>
                <w:szCs w:val="18"/>
                <w:color w:val="auto"/>
              </w:rPr>
              <w:t>81,723,555 shares issued and outstanding at December 31, 2022 and</w:t>
            </w:r>
          </w:p>
        </w:tc>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400" w:type="dxa"/>
            <w:vAlign w:val="bottom"/>
          </w:tcPr>
          <w:p>
            <w:pPr>
              <w:ind w:left="340"/>
              <w:spacing w:after="0"/>
              <w:rPr>
                <w:sz w:val="20"/>
                <w:szCs w:val="20"/>
                <w:color w:val="auto"/>
              </w:rPr>
            </w:pPr>
            <w:r>
              <w:rPr>
                <w:rFonts w:ascii="Arial" w:cs="Arial" w:eastAsia="Arial" w:hAnsi="Arial"/>
                <w:sz w:val="18"/>
                <w:szCs w:val="18"/>
                <w:color w:val="auto"/>
              </w:rPr>
              <w:t>81,554,683 shares issued and outstanding at December 31, 2021.</w:t>
            </w:r>
          </w:p>
        </w:tc>
        <w:tc>
          <w:tcPr>
            <w:tcW w:w="1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6,649</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6,640</w:t>
            </w:r>
          </w:p>
        </w:tc>
      </w:tr>
      <w:tr>
        <w:trPr>
          <w:trHeight w:val="243"/>
        </w:trPr>
        <w:tc>
          <w:tcPr>
            <w:tcW w:w="7400" w:type="dxa"/>
            <w:vAlign w:val="bottom"/>
          </w:tcPr>
          <w:p>
            <w:pPr>
              <w:ind w:left="34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6,840,306</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6,733,910</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Other undenominated capital</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1,162</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(171,538)</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(90,937)</w:t>
            </w:r>
          </w:p>
        </w:tc>
      </w:tr>
      <w:tr>
        <w:trPr>
          <w:trHeight w:val="250"/>
        </w:trPr>
        <w:tc>
          <w:tcPr>
            <w:tcW w:w="7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Retained earnings</w:t>
            </w:r>
          </w:p>
        </w:tc>
        <w:tc>
          <w:tcPr>
            <w:tcW w:w="1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1,821,384</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1,416,080</w:t>
            </w:r>
          </w:p>
        </w:tc>
      </w:tr>
      <w:tr>
        <w:trPr>
          <w:trHeight w:val="237"/>
        </w:trPr>
        <w:tc>
          <w:tcPr>
            <w:tcW w:w="7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Shareholders' Equity</w:t>
            </w:r>
          </w:p>
        </w:tc>
        <w:tc>
          <w:tcPr>
            <w:tcW w:w="1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8,497,963</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8,066,827</w:t>
            </w:r>
          </w:p>
        </w:tc>
      </w:tr>
      <w:tr>
        <w:trPr>
          <w:trHeight w:val="236"/>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Equity</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17,185,278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17,387,090</w:t>
            </w:r>
          </w:p>
        </w:tc>
      </w:tr>
      <w:tr>
        <w:trPr>
          <w:trHeight w:val="182"/>
        </w:trPr>
        <w:tc>
          <w:tcPr>
            <w:tcW w:w="7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07" w:right="339"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TWELVE MONTHS ENDED DECEMBER 31, 2022 AND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Twelve Months Ended</w:t>
            </w:r>
          </w:p>
        </w:tc>
      </w:tr>
      <w:tr>
        <w:trPr>
          <w:trHeight w:val="225"/>
        </w:trPr>
        <w:tc>
          <w:tcPr>
            <w:tcW w:w="7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43"/>
        </w:trPr>
        <w:tc>
          <w:tcPr>
            <w:tcW w:w="7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716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505,304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153,185</w:t>
            </w:r>
          </w:p>
        </w:tc>
      </w:tr>
      <w:tr>
        <w:trPr>
          <w:trHeight w:val="243"/>
        </w:trPr>
        <w:tc>
          <w:tcPr>
            <w:tcW w:w="71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Depreciation and amortization expense</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569,513</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314,987</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Impairment of long lived assets</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28,767</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20,037</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Reduction in carrying value of operating right-of-use assets</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45,215</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45,339</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Loss on equity method investments</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3,136</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2,161</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Amortization of financing costs and debt discount</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17,749</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12,890</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Stock compensation expense</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70,523</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133,844</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Loss on extinguishment of debt</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14,434</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Deferred taxes</w:t>
            </w:r>
          </w:p>
        </w:tc>
        <w:tc>
          <w:tcPr>
            <w:tcW w:w="1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(124,985)</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(60,616)</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Unrealised FX</w:t>
            </w:r>
          </w:p>
        </w:tc>
        <w:tc>
          <w:tcPr>
            <w:tcW w:w="1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(13,009)</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(6,054)</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Loss on issuance of debt</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59,460</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Other non-cash items</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11,324</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4,480</w:t>
            </w:r>
          </w:p>
        </w:tc>
      </w:tr>
      <w:tr>
        <w:trPr>
          <w:trHeight w:val="243"/>
        </w:trPr>
        <w:tc>
          <w:tcPr>
            <w:tcW w:w="716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1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(420,695)</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113,513</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Unbilled revenue</w:t>
            </w:r>
          </w:p>
        </w:tc>
        <w:tc>
          <w:tcPr>
            <w:tcW w:w="1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(332,592)</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(17,656)</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192,944</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(69,121)</w:t>
            </w:r>
          </w:p>
        </w:tc>
      </w:tr>
      <w:tr>
        <w:trPr>
          <w:trHeight w:val="250"/>
        </w:trPr>
        <w:tc>
          <w:tcPr>
            <w:tcW w:w="71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net assets</w:t>
            </w:r>
          </w:p>
        </w:tc>
        <w:tc>
          <w:tcPr>
            <w:tcW w:w="1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10,121</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108,259</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563,315</w:t>
            </w:r>
          </w:p>
        </w:tc>
        <w:tc>
          <w:tcPr>
            <w:tcW w:w="1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829,142</w:t>
            </w:r>
          </w:p>
        </w:tc>
      </w:tr>
      <w:tr>
        <w:trPr>
          <w:trHeight w:val="242"/>
        </w:trPr>
        <w:tc>
          <w:tcPr>
            <w:tcW w:w="7160" w:type="dxa"/>
            <w:vAlign w:val="bottom"/>
          </w:tcPr>
          <w:p>
            <w:pPr>
              <w:ind w:left="280"/>
              <w:spacing w:after="0"/>
              <w:rPr>
                <w:sz w:val="20"/>
                <w:szCs w:val="20"/>
                <w:color w:val="auto"/>
              </w:rPr>
            </w:pPr>
            <w:r>
              <w:rPr>
                <w:rFonts w:ascii="Arial" w:cs="Arial" w:eastAsia="Arial" w:hAnsi="Arial"/>
                <w:sz w:val="18"/>
                <w:szCs w:val="18"/>
                <w:b w:val="1"/>
                <w:bCs w:val="1"/>
                <w:color w:val="auto"/>
              </w:rPr>
              <w:t>Cash flows from investing activities:</w:t>
            </w: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Purchase of property, plant and equipment</w:t>
            </w:r>
          </w:p>
        </w:tc>
        <w:tc>
          <w:tcPr>
            <w:tcW w:w="1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(142,160)</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(93,750)</w:t>
            </w: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Purchase of subsidiary undertakings</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(5,914,475)</w:t>
            </w: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Purchase of equity method investments</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(2,450)</w:t>
            </w: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Loan to equity method investment</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Sale of available for sale investments</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Purchase of available for sale investments</w:t>
            </w:r>
          </w:p>
        </w:tc>
        <w:tc>
          <w:tcPr>
            <w:tcW w:w="1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Proceeds from investments in equity – long term</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1,906</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50"/>
        </w:trPr>
        <w:tc>
          <w:tcPr>
            <w:tcW w:w="71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Purchase of investments in equity - long term</w:t>
            </w:r>
          </w:p>
        </w:tc>
        <w:tc>
          <w:tcPr>
            <w:tcW w:w="1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(5,612)</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(145,867)</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(6,024,235)</w:t>
            </w:r>
          </w:p>
        </w:tc>
      </w:tr>
      <w:tr>
        <w:trPr>
          <w:trHeight w:val="242"/>
        </w:trPr>
        <w:tc>
          <w:tcPr>
            <w:tcW w:w="7160" w:type="dxa"/>
            <w:vAlign w:val="bottom"/>
          </w:tcPr>
          <w:p>
            <w:pPr>
              <w:ind w:left="280"/>
              <w:spacing w:after="0"/>
              <w:rPr>
                <w:sz w:val="20"/>
                <w:szCs w:val="20"/>
                <w:color w:val="auto"/>
              </w:rPr>
            </w:pPr>
            <w:r>
              <w:rPr>
                <w:rFonts w:ascii="Arial" w:cs="Arial" w:eastAsia="Arial" w:hAnsi="Arial"/>
                <w:sz w:val="18"/>
                <w:szCs w:val="18"/>
                <w:b w:val="1"/>
                <w:bCs w:val="1"/>
                <w:color w:val="auto"/>
              </w:rPr>
              <w:t>Cash flows from financing activities:</w:t>
            </w: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Financing costs</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(30,328)</w:t>
            </w: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Proceeds from exercise of equity compensation</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35,844</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118,589</w:t>
            </w: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Share issue costs</w:t>
            </w:r>
          </w:p>
        </w:tc>
        <w:tc>
          <w:tcPr>
            <w:tcW w:w="1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Repurchase of ordinary shares</w:t>
            </w:r>
          </w:p>
        </w:tc>
        <w:tc>
          <w:tcPr>
            <w:tcW w:w="1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(99,983)</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Share repurchase costs</w:t>
            </w:r>
          </w:p>
        </w:tc>
        <w:tc>
          <w:tcPr>
            <w:tcW w:w="1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60" w:type="dxa"/>
            <w:vAlign w:val="bottom"/>
          </w:tcPr>
          <w:p>
            <w:pPr>
              <w:ind w:left="420"/>
              <w:spacing w:after="0"/>
              <w:rPr>
                <w:sz w:val="20"/>
                <w:szCs w:val="20"/>
                <w:color w:val="auto"/>
              </w:rPr>
            </w:pPr>
            <w:r>
              <w:rPr>
                <w:rFonts w:ascii="Arial" w:cs="Arial" w:eastAsia="Arial" w:hAnsi="Arial"/>
                <w:sz w:val="18"/>
                <w:szCs w:val="18"/>
                <w:color w:val="auto"/>
              </w:rPr>
              <w:t>Drawdown of bank credit lines and loan facilities</w:t>
            </w:r>
          </w:p>
        </w:tc>
        <w:tc>
          <w:tcPr>
            <w:tcW w:w="1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5,905,100</w:t>
            </w:r>
          </w:p>
        </w:tc>
      </w:tr>
      <w:tr>
        <w:trPr>
          <w:trHeight w:val="250"/>
        </w:trPr>
        <w:tc>
          <w:tcPr>
            <w:tcW w:w="71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Repayment of bank credit lines and loan facilities</w:t>
            </w:r>
          </w:p>
        </w:tc>
        <w:tc>
          <w:tcPr>
            <w:tcW w:w="1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(875,000)</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(877,780)</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4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(864,173)</w:t>
            </w:r>
          </w:p>
        </w:tc>
        <w:tc>
          <w:tcPr>
            <w:tcW w:w="1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5,114,728</w:t>
            </w:r>
          </w:p>
        </w:tc>
      </w:tr>
      <w:tr>
        <w:trPr>
          <w:trHeight w:val="249"/>
        </w:trPr>
        <w:tc>
          <w:tcPr>
            <w:tcW w:w="71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Effect of exchange rate movements on cash</w:t>
            </w:r>
          </w:p>
        </w:tc>
        <w:tc>
          <w:tcPr>
            <w:tcW w:w="1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(16,720)</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w:t>
            </w: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4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(463,445)</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(88,092)</w:t>
            </w:r>
          </w:p>
        </w:tc>
      </w:tr>
      <w:tr>
        <w:trPr>
          <w:trHeight w:val="245"/>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752,213</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840,305</w:t>
            </w:r>
          </w:p>
        </w:tc>
      </w:tr>
      <w:tr>
        <w:trPr>
          <w:trHeight w:val="239"/>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288,768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752,213</w:t>
            </w: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7"/>
        </w:trPr>
        <w:tc>
          <w:tcPr>
            <w:tcW w:w="7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107" w:right="33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RECONCILIATION OF NON-GAAP MEASURES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THREE AND TWELVE MONTHS ENDED DECEMBER 31, 2022 AND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5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Twelve Months Ended</w:t>
            </w:r>
          </w:p>
        </w:tc>
      </w:tr>
      <w:tr>
        <w:trPr>
          <w:trHeight w:val="225"/>
        </w:trPr>
        <w:tc>
          <w:tcPr>
            <w:tcW w:w="5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43"/>
        </w:trPr>
        <w:tc>
          <w:tcPr>
            <w:tcW w:w="5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360" w:type="dxa"/>
            <w:vAlign w:val="bottom"/>
            <w:gridSpan w:val="7"/>
          </w:tcPr>
          <w:p>
            <w:pPr>
              <w:jc w:val="right"/>
              <w:ind w:right="870"/>
              <w:spacing w:after="0"/>
              <w:rPr>
                <w:sz w:val="20"/>
                <w:szCs w:val="20"/>
                <w:color w:val="auto"/>
              </w:rPr>
            </w:pPr>
            <w:r>
              <w:rPr>
                <w:rFonts w:ascii="Arial" w:cs="Arial" w:eastAsia="Arial" w:hAnsi="Arial"/>
                <w:sz w:val="18"/>
                <w:szCs w:val="18"/>
                <w:b w:val="1"/>
                <w:bCs w:val="1"/>
                <w:color w:val="auto"/>
              </w:rPr>
              <w:t>(in thousands except share and per share data)</w:t>
            </w:r>
          </w:p>
        </w:tc>
      </w:tr>
      <w:tr>
        <w:trPr>
          <w:trHeight w:val="486"/>
        </w:trPr>
        <w:tc>
          <w:tcPr>
            <w:tcW w:w="5640" w:type="dxa"/>
            <w:vAlign w:val="bottom"/>
          </w:tcPr>
          <w:p>
            <w:pPr>
              <w:spacing w:after="0"/>
              <w:rPr>
                <w:sz w:val="20"/>
                <w:szCs w:val="20"/>
                <w:color w:val="auto"/>
              </w:rPr>
            </w:pPr>
            <w:r>
              <w:rPr>
                <w:rFonts w:ascii="Arial" w:cs="Arial" w:eastAsia="Arial" w:hAnsi="Arial"/>
                <w:sz w:val="18"/>
                <w:szCs w:val="18"/>
                <w:b w:val="1"/>
                <w:bCs w:val="1"/>
                <w:color w:val="auto"/>
              </w:rPr>
              <w:t>Adjusted revenue</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Revenue, as reported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1,962,002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1,885,121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7,741,386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5,480,826</w:t>
            </w:r>
          </w:p>
        </w:tc>
      </w:tr>
      <w:tr>
        <w:trPr>
          <w:trHeight w:val="257"/>
        </w:trPr>
        <w:tc>
          <w:tcPr>
            <w:tcW w:w="5640" w:type="dxa"/>
            <w:vAlign w:val="bottom"/>
            <w:tcBorders>
              <w:bottom w:val="single" w:sz="8" w:color="auto"/>
            </w:tcBorders>
          </w:tcPr>
          <w:p>
            <w:pPr>
              <w:spacing w:after="0" w:line="256" w:lineRule="exact"/>
              <w:rPr>
                <w:sz w:val="20"/>
                <w:szCs w:val="20"/>
                <w:color w:val="auto"/>
              </w:rPr>
            </w:pPr>
            <w:r>
              <w:rPr>
                <w:rFonts w:ascii="Arial" w:cs="Arial" w:eastAsia="Arial" w:hAnsi="Arial"/>
                <w:sz w:val="18"/>
                <w:szCs w:val="18"/>
                <w:color w:val="auto"/>
              </w:rPr>
              <w:t xml:space="preserve">Acquisition related deferred revenue adjustment </w:t>
            </w:r>
            <w:r>
              <w:rPr>
                <w:rFonts w:ascii="Arial" w:cs="Arial" w:eastAsia="Arial" w:hAnsi="Arial"/>
                <w:sz w:val="29"/>
                <w:szCs w:val="29"/>
                <w:color w:val="auto"/>
                <w:vertAlign w:val="superscript"/>
              </w:rPr>
              <w:t>(a)</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2"/>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revenue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1,962,002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1,881,121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7,741,386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5,480,826</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57"/>
        </w:trPr>
        <w:tc>
          <w:tcPr>
            <w:tcW w:w="56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117,445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76,468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505,304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153,185</w:t>
            </w: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3,136</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2,161</w:t>
            </w: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10,859</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14,616</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59,411</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41,334</w:t>
            </w:r>
          </w:p>
        </w:tc>
      </w:tr>
      <w:tr>
        <w:trPr>
          <w:trHeight w:val="256"/>
        </w:trPr>
        <w:tc>
          <w:tcPr>
            <w:tcW w:w="5640" w:type="dxa"/>
            <w:vAlign w:val="bottom"/>
          </w:tcPr>
          <w:p>
            <w:pPr>
              <w:spacing w:after="0" w:line="255" w:lineRule="exact"/>
              <w:rPr>
                <w:sz w:val="20"/>
                <w:szCs w:val="20"/>
                <w:color w:val="auto"/>
              </w:rPr>
            </w:pPr>
            <w:r>
              <w:rPr>
                <w:rFonts w:ascii="Arial" w:cs="Arial" w:eastAsia="Arial" w:hAnsi="Arial"/>
                <w:sz w:val="18"/>
                <w:szCs w:val="18"/>
                <w:color w:val="auto"/>
              </w:rPr>
              <w:t xml:space="preserve">Net interest expense </w:t>
            </w:r>
            <w:r>
              <w:rPr>
                <w:rFonts w:ascii="Arial" w:cs="Arial" w:eastAsia="Arial" w:hAnsi="Arial"/>
                <w:sz w:val="29"/>
                <w:szCs w:val="29"/>
                <w:color w:val="auto"/>
                <w:vertAlign w:val="superscript"/>
              </w:rPr>
              <w:t>(b)</w:t>
            </w:r>
          </w:p>
        </w:tc>
        <w:tc>
          <w:tcPr>
            <w:tcW w:w="24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74,567</w:t>
            </w:r>
          </w:p>
        </w:tc>
        <w:tc>
          <w:tcPr>
            <w:tcW w:w="140" w:type="dxa"/>
            <w:vAlign w:val="bottom"/>
          </w:tcPr>
          <w:p>
            <w:pPr>
              <w:spacing w:after="0"/>
              <w:rPr>
                <w:sz w:val="22"/>
                <w:szCs w:val="22"/>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52,761</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227,386</w:t>
            </w:r>
          </w:p>
        </w:tc>
        <w:tc>
          <w:tcPr>
            <w:tcW w:w="14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181,849</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142,228</w:t>
            </w:r>
          </w:p>
        </w:tc>
        <w:tc>
          <w:tcPr>
            <w:tcW w:w="1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139,670</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569,513</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314,987</w:t>
            </w:r>
          </w:p>
        </w:tc>
      </w:tr>
      <w:tr>
        <w:trPr>
          <w:trHeight w:val="246"/>
        </w:trPr>
        <w:tc>
          <w:tcPr>
            <w:tcW w:w="564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(c)</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15,047</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19,410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69,889</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61,397</w:t>
            </w:r>
          </w:p>
        </w:tc>
      </w:tr>
      <w:tr>
        <w:trPr>
          <w:trHeight w:val="243"/>
        </w:trPr>
        <w:tc>
          <w:tcPr>
            <w:tcW w:w="564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(d)</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35,399</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(7,968)</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(25,997)</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(14,314)</w:t>
            </w:r>
          </w:p>
        </w:tc>
      </w:tr>
      <w:tr>
        <w:trPr>
          <w:trHeight w:val="243"/>
        </w:trPr>
        <w:tc>
          <w:tcPr>
            <w:tcW w:w="5640" w:type="dxa"/>
            <w:vAlign w:val="bottom"/>
          </w:tcPr>
          <w:p>
            <w:pPr>
              <w:spacing w:after="0" w:line="243" w:lineRule="exact"/>
              <w:rPr>
                <w:sz w:val="20"/>
                <w:szCs w:val="20"/>
                <w:color w:val="auto"/>
              </w:rPr>
            </w:pPr>
            <w:r>
              <w:rPr>
                <w:rFonts w:ascii="Arial" w:cs="Arial" w:eastAsia="Arial" w:hAnsi="Arial"/>
                <w:sz w:val="17"/>
                <w:szCs w:val="17"/>
                <w:color w:val="auto"/>
              </w:rPr>
              <w:t xml:space="preserve">Acquisition related deferred revenue adjustment </w:t>
            </w:r>
            <w:r>
              <w:rPr>
                <w:rFonts w:ascii="Arial" w:cs="Arial" w:eastAsia="Arial" w:hAnsi="Arial"/>
                <w:sz w:val="28"/>
                <w:szCs w:val="28"/>
                <w:color w:val="auto"/>
                <w:vertAlign w:val="superscript"/>
              </w:rPr>
              <w:t>(a)</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(1,747)</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24,943</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31,143</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31,105</w:t>
            </w:r>
          </w:p>
        </w:tc>
      </w:tr>
      <w:tr>
        <w:trPr>
          <w:trHeight w:val="254"/>
        </w:trPr>
        <w:tc>
          <w:tcPr>
            <w:tcW w:w="5640" w:type="dxa"/>
            <w:vAlign w:val="bottom"/>
            <w:tcBorders>
              <w:bottom w:val="single" w:sz="8" w:color="auto"/>
            </w:tcBorders>
          </w:tcPr>
          <w:p>
            <w:pPr>
              <w:spacing w:after="0" w:line="253" w:lineRule="exact"/>
              <w:rPr>
                <w:sz w:val="20"/>
                <w:szCs w:val="20"/>
                <w:color w:val="auto"/>
              </w:rPr>
            </w:pPr>
            <w:r>
              <w:rPr>
                <w:rFonts w:ascii="Arial" w:cs="Arial" w:eastAsia="Arial" w:hAnsi="Arial"/>
                <w:sz w:val="18"/>
                <w:szCs w:val="18"/>
                <w:color w:val="auto"/>
              </w:rPr>
              <w:t xml:space="preserve">Transaction-related / integration-related costs </w:t>
            </w:r>
            <w:r>
              <w:rPr>
                <w:rFonts w:ascii="Arial" w:cs="Arial" w:eastAsia="Arial" w:hAnsi="Arial"/>
                <w:sz w:val="29"/>
                <w:szCs w:val="29"/>
                <w:color w:val="auto"/>
                <w:vertAlign w:val="superscript"/>
              </w:rPr>
              <w:t>(f)</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10,725</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15,954</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39,695</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198,263</w:t>
            </w:r>
          </w:p>
        </w:tc>
      </w:tr>
      <w:tr>
        <w:trPr>
          <w:trHeight w:val="232"/>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405,016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332,544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1,479,480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969,967</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39"/>
        </w:trPr>
        <w:tc>
          <w:tcPr>
            <w:tcW w:w="5640" w:type="dxa"/>
            <w:vAlign w:val="bottom"/>
          </w:tcPr>
          <w:p>
            <w:pPr>
              <w:spacing w:after="0"/>
              <w:rPr>
                <w:sz w:val="20"/>
                <w:szCs w:val="20"/>
                <w:color w:val="auto"/>
              </w:rPr>
            </w:pPr>
            <w:r>
              <w:rPr>
                <w:rFonts w:ascii="Arial" w:cs="Arial" w:eastAsia="Arial" w:hAnsi="Arial"/>
                <w:sz w:val="18"/>
                <w:szCs w:val="18"/>
                <w:b w:val="1"/>
                <w:bCs w:val="1"/>
                <w:color w:val="auto"/>
                <w:w w:val="92"/>
              </w:rPr>
              <w:t>Adjusted net income attributable to the Group and adjusted diluted net</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income per Ordinary Share attributable to the Group</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5640" w:type="dxa"/>
            <w:vAlign w:val="bottom"/>
          </w:tcPr>
          <w:p>
            <w:pPr>
              <w:ind w:left="140"/>
              <w:spacing w:after="0"/>
              <w:rPr>
                <w:sz w:val="20"/>
                <w:szCs w:val="20"/>
                <w:color w:val="auto"/>
              </w:rPr>
            </w:pPr>
            <w:r>
              <w:rPr>
                <w:rFonts w:ascii="Arial" w:cs="Arial" w:eastAsia="Arial" w:hAnsi="Arial"/>
                <w:sz w:val="18"/>
                <w:szCs w:val="18"/>
                <w:color w:val="auto"/>
              </w:rPr>
              <w:t>Net income attributable to the Group</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117,445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76,468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505,304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153,185</w:t>
            </w:r>
          </w:p>
        </w:tc>
      </w:tr>
      <w:tr>
        <w:trPr>
          <w:trHeight w:val="243"/>
        </w:trPr>
        <w:tc>
          <w:tcPr>
            <w:tcW w:w="564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10,859</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14,616</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59,411</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41,334</w:t>
            </w:r>
          </w:p>
        </w:tc>
      </w:tr>
      <w:tr>
        <w:trPr>
          <w:trHeight w:val="243"/>
        </w:trPr>
        <w:tc>
          <w:tcPr>
            <w:tcW w:w="5640" w:type="dxa"/>
            <w:vAlign w:val="bottom"/>
          </w:tcPr>
          <w:p>
            <w:pPr>
              <w:ind w:left="140"/>
              <w:spacing w:after="0"/>
              <w:rPr>
                <w:sz w:val="20"/>
                <w:szCs w:val="20"/>
                <w:color w:val="auto"/>
              </w:rPr>
            </w:pPr>
            <w:r>
              <w:rPr>
                <w:rFonts w:ascii="Arial" w:cs="Arial" w:eastAsia="Arial" w:hAnsi="Arial"/>
                <w:sz w:val="18"/>
                <w:szCs w:val="18"/>
                <w:color w:val="auto"/>
              </w:rPr>
              <w:t>Amortisation</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114,969</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114,888</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463,087</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239,503</w:t>
            </w:r>
          </w:p>
        </w:tc>
      </w:tr>
      <w:tr>
        <w:trPr>
          <w:trHeight w:val="246"/>
        </w:trPr>
        <w:tc>
          <w:tcPr>
            <w:tcW w:w="5640" w:type="dxa"/>
            <w:vAlign w:val="bottom"/>
          </w:tcPr>
          <w:p>
            <w:pPr>
              <w:ind w:left="140"/>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(c)</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15,047</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19,410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69,889</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61,397</w:t>
            </w:r>
          </w:p>
        </w:tc>
      </w:tr>
      <w:tr>
        <w:trPr>
          <w:trHeight w:val="243"/>
        </w:trPr>
        <w:tc>
          <w:tcPr>
            <w:tcW w:w="5640" w:type="dxa"/>
            <w:vAlign w:val="bottom"/>
          </w:tcPr>
          <w:p>
            <w:pPr>
              <w:ind w:left="140"/>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(d)</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35,399</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(7,968)</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(25,997)</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(14,314)</w:t>
            </w:r>
          </w:p>
        </w:tc>
      </w:tr>
      <w:tr>
        <w:trPr>
          <w:trHeight w:val="243"/>
        </w:trPr>
        <w:tc>
          <w:tcPr>
            <w:tcW w:w="5640" w:type="dxa"/>
            <w:vAlign w:val="bottom"/>
          </w:tcPr>
          <w:p>
            <w:pPr>
              <w:ind w:left="140"/>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(1,747)</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24,943</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31,143</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31,105</w:t>
            </w:r>
          </w:p>
        </w:tc>
      </w:tr>
      <w:tr>
        <w:trPr>
          <w:trHeight w:val="243"/>
        </w:trPr>
        <w:tc>
          <w:tcPr>
            <w:tcW w:w="5640" w:type="dxa"/>
            <w:vAlign w:val="bottom"/>
          </w:tcPr>
          <w:p>
            <w:pPr>
              <w:ind w:left="140"/>
              <w:spacing w:after="0" w:line="243" w:lineRule="exact"/>
              <w:rPr>
                <w:sz w:val="20"/>
                <w:szCs w:val="20"/>
                <w:color w:val="auto"/>
              </w:rPr>
            </w:pPr>
            <w:r>
              <w:rPr>
                <w:rFonts w:ascii="Arial" w:cs="Arial" w:eastAsia="Arial" w:hAnsi="Arial"/>
                <w:sz w:val="17"/>
                <w:szCs w:val="17"/>
                <w:color w:val="auto"/>
              </w:rPr>
              <w:t xml:space="preserve">Acquisition related deferred revenue adjustment </w:t>
            </w:r>
            <w:r>
              <w:rPr>
                <w:rFonts w:ascii="Arial" w:cs="Arial" w:eastAsia="Arial" w:hAnsi="Arial"/>
                <w:sz w:val="28"/>
                <w:szCs w:val="28"/>
                <w:color w:val="auto"/>
                <w:vertAlign w:val="superscript"/>
              </w:rPr>
              <w:t>(a)</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140"/>
              <w:spacing w:after="0" w:line="243" w:lineRule="exact"/>
              <w:rPr>
                <w:sz w:val="20"/>
                <w:szCs w:val="20"/>
                <w:color w:val="auto"/>
              </w:rPr>
            </w:pPr>
            <w:r>
              <w:rPr>
                <w:rFonts w:ascii="Arial" w:cs="Arial" w:eastAsia="Arial" w:hAnsi="Arial"/>
                <w:sz w:val="17"/>
                <w:szCs w:val="17"/>
                <w:color w:val="auto"/>
              </w:rPr>
              <w:t xml:space="preserve">Transaction-related / integration-related costs </w:t>
            </w:r>
            <w:r>
              <w:rPr>
                <w:rFonts w:ascii="Arial" w:cs="Arial" w:eastAsia="Arial" w:hAnsi="Arial"/>
                <w:sz w:val="28"/>
                <w:szCs w:val="28"/>
                <w:color w:val="auto"/>
                <w:vertAlign w:val="superscript"/>
              </w:rPr>
              <w:t>(f)</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10,725</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15,954</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39,695</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198,263</w:t>
            </w:r>
          </w:p>
        </w:tc>
      </w:tr>
      <w:tr>
        <w:trPr>
          <w:trHeight w:val="243"/>
        </w:trPr>
        <w:tc>
          <w:tcPr>
            <w:tcW w:w="5640" w:type="dxa"/>
            <w:vAlign w:val="bottom"/>
          </w:tcPr>
          <w:p>
            <w:pPr>
              <w:ind w:left="140"/>
              <w:spacing w:after="0" w:line="243" w:lineRule="exact"/>
              <w:rPr>
                <w:sz w:val="20"/>
                <w:szCs w:val="20"/>
                <w:color w:val="auto"/>
              </w:rPr>
            </w:pPr>
            <w:r>
              <w:rPr>
                <w:rFonts w:ascii="Arial" w:cs="Arial" w:eastAsia="Arial" w:hAnsi="Arial"/>
                <w:sz w:val="17"/>
                <w:szCs w:val="17"/>
                <w:color w:val="auto"/>
              </w:rPr>
              <w:t xml:space="preserve">Transaction-related financing costs </w:t>
            </w:r>
            <w:r>
              <w:rPr>
                <w:rFonts w:ascii="Arial" w:cs="Arial" w:eastAsia="Arial" w:hAnsi="Arial"/>
                <w:sz w:val="28"/>
                <w:szCs w:val="28"/>
                <w:color w:val="auto"/>
                <w:vertAlign w:val="superscript"/>
              </w:rPr>
              <w:t>(g)</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4,205</w:t>
            </w: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8,484</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17,814</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86,736</w:t>
            </w:r>
          </w:p>
        </w:tc>
      </w:tr>
      <w:tr>
        <w:trPr>
          <w:trHeight w:val="254"/>
        </w:trPr>
        <w:tc>
          <w:tcPr>
            <w:tcW w:w="5640" w:type="dxa"/>
            <w:vAlign w:val="bottom"/>
            <w:tcBorders>
              <w:bottom w:val="single" w:sz="8" w:color="auto"/>
            </w:tcBorders>
          </w:tcPr>
          <w:p>
            <w:pPr>
              <w:ind w:left="140"/>
              <w:spacing w:after="0" w:line="253" w:lineRule="exact"/>
              <w:rPr>
                <w:sz w:val="20"/>
                <w:szCs w:val="20"/>
                <w:color w:val="auto"/>
              </w:rPr>
            </w:pPr>
            <w:r>
              <w:rPr>
                <w:rFonts w:ascii="Arial" w:cs="Arial" w:eastAsia="Arial" w:hAnsi="Arial"/>
                <w:sz w:val="18"/>
                <w:szCs w:val="18"/>
                <w:color w:val="auto"/>
              </w:rPr>
              <w:t xml:space="preserve">Adjusted tax expense </w:t>
            </w:r>
            <w:r>
              <w:rPr>
                <w:rFonts w:ascii="Arial" w:cs="Arial" w:eastAsia="Arial" w:hAnsi="Arial"/>
                <w:sz w:val="29"/>
                <w:szCs w:val="29"/>
                <w:color w:val="auto"/>
                <w:vertAlign w:val="superscript"/>
              </w:rPr>
              <w:t>(h)</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(49,174)</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(44,798)</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(191,667)</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(130,791)</w:t>
            </w:r>
          </w:p>
        </w:tc>
      </w:tr>
      <w:tr>
        <w:trPr>
          <w:trHeight w:val="232"/>
        </w:trPr>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Adjusted net income attributable to the Group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257,728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217,997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968,679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666,419</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57"/>
        </w:trPr>
        <w:tc>
          <w:tcPr>
            <w:tcW w:w="5640" w:type="dxa"/>
            <w:vAlign w:val="bottom"/>
          </w:tcPr>
          <w:p>
            <w:pPr>
              <w:ind w:left="140"/>
              <w:spacing w:after="0"/>
              <w:rPr>
                <w:sz w:val="20"/>
                <w:szCs w:val="20"/>
                <w:color w:val="auto"/>
              </w:rPr>
            </w:pPr>
            <w:r>
              <w:rPr>
                <w:rFonts w:ascii="Arial" w:cs="Arial" w:eastAsia="Arial" w:hAnsi="Arial"/>
                <w:sz w:val="18"/>
                <w:szCs w:val="18"/>
                <w:color w:val="auto"/>
              </w:rPr>
              <w:t>Diluted weighted average number of Ordinary Shares outstanding</w:t>
            </w:r>
          </w:p>
        </w:tc>
        <w:tc>
          <w:tcPr>
            <w:tcW w:w="2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82,452,097</w:t>
            </w:r>
          </w:p>
        </w:tc>
        <w:tc>
          <w:tcPr>
            <w:tcW w:w="14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82,827,674</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82,468,363</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5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05"/>
        </w:trPr>
        <w:tc>
          <w:tcPr>
            <w:tcW w:w="5640" w:type="dxa"/>
            <w:vAlign w:val="bottom"/>
          </w:tcPr>
          <w:p>
            <w:pPr>
              <w:ind w:left="140"/>
              <w:spacing w:after="0" w:line="205" w:lineRule="exact"/>
              <w:rPr>
                <w:sz w:val="20"/>
                <w:szCs w:val="20"/>
                <w:color w:val="auto"/>
              </w:rPr>
            </w:pPr>
            <w:r>
              <w:rPr>
                <w:rFonts w:ascii="Arial" w:cs="Arial" w:eastAsia="Arial" w:hAnsi="Arial"/>
                <w:sz w:val="18"/>
                <w:szCs w:val="18"/>
                <w:b w:val="1"/>
                <w:bCs w:val="1"/>
                <w:color w:val="auto"/>
                <w:w w:val="96"/>
              </w:rPr>
              <w:t>Adjusted diluted net income per Ordinary Share attributable to the</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1"/>
        </w:trPr>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Group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9.65</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200" w:right="140" w:hanging="192"/>
        <w:spacing w:after="0" w:line="246" w:lineRule="auto"/>
        <w:tabs>
          <w:tab w:leader="none" w:pos="200" w:val="left"/>
        </w:tabs>
        <w:numPr>
          <w:ilvl w:val="0"/>
          <w:numId w:val="2"/>
        </w:numPr>
        <w:rPr>
          <w:rFonts w:ascii="Arial" w:cs="Arial" w:eastAsia="Arial" w:hAnsi="Arial"/>
          <w:sz w:val="23"/>
          <w:szCs w:val="23"/>
          <w:color w:val="auto"/>
          <w:vertAlign w:val="superscript"/>
        </w:rPr>
      </w:pPr>
      <w:r>
        <w:rPr>
          <w:rFonts w:ascii="Arial" w:cs="Arial" w:eastAsia="Arial" w:hAnsi="Arial"/>
          <w:sz w:val="15"/>
          <w:szCs w:val="15"/>
          <w:color w:val="auto"/>
        </w:rPr>
        <w:t>Acquisition related deferred revenue adjustment represents non-cash adjustments resulting from the revaluation of deferred revenue and the subsequent charge to revenue in connection with business combinations</w:t>
      </w:r>
    </w:p>
    <w:p>
      <w:pPr>
        <w:ind w:left="260" w:hanging="252"/>
        <w:spacing w:after="0" w:line="181" w:lineRule="auto"/>
        <w:tabs>
          <w:tab w:leader="none" w:pos="26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Net interest expense includes losses on modification or extinguishment of debt.</w:t>
      </w:r>
    </w:p>
    <w:p>
      <w:pPr>
        <w:spacing w:after="0" w:line="28" w:lineRule="exact"/>
        <w:rPr>
          <w:rFonts w:ascii="Arial" w:cs="Arial" w:eastAsia="Arial" w:hAnsi="Arial"/>
          <w:sz w:val="28"/>
          <w:szCs w:val="28"/>
          <w:color w:val="auto"/>
          <w:vertAlign w:val="superscript"/>
        </w:rPr>
      </w:pPr>
    </w:p>
    <w:p>
      <w:pPr>
        <w:ind w:left="260" w:right="480" w:hanging="252"/>
        <w:spacing w:after="0" w:line="187" w:lineRule="auto"/>
        <w:tabs>
          <w:tab w:leader="none" w:pos="26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Stock-based compensation expense represents the amount of recurring non-cash expense related to the Company’s equity compensation programs (inclusive of employer related taxes).</w:t>
      </w:r>
    </w:p>
    <w:p>
      <w:pPr>
        <w:spacing w:after="0" w:line="12" w:lineRule="exact"/>
        <w:rPr>
          <w:rFonts w:ascii="Arial" w:cs="Arial" w:eastAsia="Arial" w:hAnsi="Arial"/>
          <w:sz w:val="30"/>
          <w:szCs w:val="30"/>
          <w:color w:val="auto"/>
          <w:vertAlign w:val="superscript"/>
        </w:rPr>
      </w:pPr>
    </w:p>
    <w:p>
      <w:pPr>
        <w:ind w:left="260" w:right="400" w:hanging="252"/>
        <w:spacing w:after="0" w:line="209" w:lineRule="auto"/>
        <w:tabs>
          <w:tab w:leader="none" w:pos="26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Foreign currency losses (gains), net relates to gains or losses that arise in connection with the revaluation of non-US dollar denominated assets and liabilities. We exclude these gains and losses from adjusted EBITDA and adjusted net income because fluctuations from period- to- period do not necessarily correspond to changes in our operating results.</w:t>
      </w:r>
    </w:p>
    <w:p>
      <w:pPr>
        <w:spacing w:after="0" w:line="14" w:lineRule="exact"/>
        <w:rPr>
          <w:rFonts w:ascii="Arial" w:cs="Arial" w:eastAsia="Arial" w:hAnsi="Arial"/>
          <w:sz w:val="30"/>
          <w:szCs w:val="30"/>
          <w:color w:val="auto"/>
          <w:vertAlign w:val="superscript"/>
        </w:rPr>
      </w:pPr>
    </w:p>
    <w:p>
      <w:pPr>
        <w:ind w:left="260" w:right="400" w:hanging="252"/>
        <w:spacing w:after="0" w:line="194" w:lineRule="auto"/>
        <w:tabs>
          <w:tab w:leader="none" w:pos="26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Restructuring charges incurred relate to charges incurred in connection with the termination of leases at locations that are no longer being used and amounts incurred in connection with the elimination of redundant positions within the organization.</w:t>
      </w:r>
    </w:p>
    <w:p>
      <w:pPr>
        <w:spacing w:after="0" w:line="12" w:lineRule="exact"/>
        <w:rPr>
          <w:rFonts w:ascii="Arial" w:cs="Arial" w:eastAsia="Arial" w:hAnsi="Arial"/>
          <w:sz w:val="30"/>
          <w:szCs w:val="30"/>
          <w:color w:val="auto"/>
          <w:vertAlign w:val="superscript"/>
        </w:rPr>
      </w:pPr>
    </w:p>
    <w:p>
      <w:pPr>
        <w:ind w:left="260" w:right="240" w:hanging="252"/>
        <w:spacing w:after="0" w:line="209" w:lineRule="auto"/>
        <w:tabs>
          <w:tab w:leader="none" w:pos="26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Transaction-related / integration-related costs include expenses/credits associated with our acquisitions, share-based compensation expense related to the acceleration of share-based compensation awards and replacement share-based awards, contingent consideration valuation adjustments, and any other costs incurred directly related to the integration of these acquisitions.</w:t>
      </w:r>
    </w:p>
    <w:p>
      <w:pPr>
        <w:spacing w:after="0" w:line="14" w:lineRule="exact"/>
        <w:rPr>
          <w:rFonts w:ascii="Arial" w:cs="Arial" w:eastAsia="Arial" w:hAnsi="Arial"/>
          <w:sz w:val="30"/>
          <w:szCs w:val="30"/>
          <w:color w:val="auto"/>
          <w:vertAlign w:val="superscript"/>
        </w:rPr>
      </w:pPr>
    </w:p>
    <w:p>
      <w:pPr>
        <w:jc w:val="both"/>
        <w:ind w:left="260" w:right="300" w:hanging="252"/>
        <w:spacing w:after="0" w:line="209" w:lineRule="auto"/>
        <w:tabs>
          <w:tab w:leader="none" w:pos="26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spacing w:after="0" w:line="1" w:lineRule="exact"/>
        <w:rPr>
          <w:rFonts w:ascii="Arial" w:cs="Arial" w:eastAsia="Arial" w:hAnsi="Arial"/>
          <w:sz w:val="30"/>
          <w:szCs w:val="30"/>
          <w:color w:val="auto"/>
          <w:vertAlign w:val="superscript"/>
        </w:rPr>
      </w:pPr>
    </w:p>
    <w:p>
      <w:pPr>
        <w:ind w:left="260" w:hanging="252"/>
        <w:spacing w:after="0" w:line="181" w:lineRule="auto"/>
        <w:tabs>
          <w:tab w:leader="none" w:pos="26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Represents the tax effect of adjusted pre-tax income at our estimated effective tax rate.</w:t>
      </w:r>
    </w:p>
    <w:p>
      <w:pPr>
        <w:sectPr>
          <w:pgSz w:w="11900" w:h="16838" w:orient="portrait"/>
          <w:cols w:equalWidth="0" w:num="1">
            <w:col w:w="11240"/>
          </w:cols>
          <w:pgMar w:left="320" w:top="1107" w:right="339" w:bottom="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auto"/>
        </w:rPr>
        <w:t>Contacts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+1 888 381 7923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Brendan Brennan Chief Financial Officer +353 1 291 2000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Kate Haven Vice President Investor Relations +1 888 381 7923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at ICON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http://www.iconplc.com</w:t>
      </w:r>
    </w:p>
    <w:sectPr>
      <w:pgSz w:w="11900" w:h="16838" w:orient="portrait"/>
      <w:cols w:equalWidth="0" w:num="1">
        <w:col w:w="10139"/>
      </w:cols>
      <w:pgMar w:left="320" w:top="5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2023-02-22T17:24:24Z</dcterms:created>
  <dcterms:modified xsi:type="dcterms:W3CDTF">2023-02-22T17:24:24Z</dcterms:modified>
</cp:coreProperties>
</file>