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Filed Pursuant</w:t>
      </w:r>
    </w:p>
    <w:p>
      <w:pPr>
        <w:spacing w:after="0" w:line="3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to Rule 424(b)(4)</w:t>
      </w:r>
    </w:p>
    <w:p>
      <w:pPr>
        <w:spacing w:after="0" w:line="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Registration No's:</w:t>
      </w:r>
    </w:p>
    <w:p>
      <w:pPr>
        <w:spacing w:after="0" w:line="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333-107724</w:t>
      </w:r>
    </w:p>
    <w:p>
      <w:pPr>
        <w:spacing w:after="0" w:line="8"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333-102893</w:t>
      </w:r>
    </w:p>
    <w:p>
      <w:pPr>
        <w:spacing w:after="0" w:line="35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[ICON LOGO]</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ICON PLC</w:t>
      </w:r>
    </w:p>
    <w:p>
      <w:pPr>
        <w:spacing w:after="0" w:line="3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3,184,744</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American Depositary Shares</w:t>
      </w:r>
    </w:p>
    <w:p>
      <w:pPr>
        <w:spacing w:after="0" w:line="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Representing</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3,184,744 Ordinary Shares</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ind w:right="2960" w:firstLine="591"/>
        <w:spacing w:after="0" w:line="272" w:lineRule="auto"/>
        <w:rPr>
          <w:sz w:val="20"/>
          <w:szCs w:val="20"/>
          <w:color w:val="auto"/>
        </w:rPr>
      </w:pPr>
      <w:r>
        <w:rPr>
          <w:rFonts w:ascii="Courier New" w:cs="Courier New" w:eastAsia="Courier New" w:hAnsi="Courier New"/>
          <w:sz w:val="16"/>
          <w:szCs w:val="16"/>
          <w:color w:val="auto"/>
        </w:rPr>
        <w:t>This is an offering of American Depositary Shares, or ADSs, of ICON plc. We are offering 1,500,000 ADSs. The selling shareholders identified in this prospectus are offering an additional 1,684,744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79"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Our ADSs are quoted on The Nasdaq National Market under the symbol "ICLR."</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August 6, 2003, the last reported sale price of our ADSs on The Nasdaq</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National Market was $33.62 per ADS. Our ordinary shares are listed on the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Official List of the Irish Stock Exchange.</w:t>
      </w:r>
    </w:p>
    <w:p>
      <w:pPr>
        <w:spacing w:after="0" w:line="168" w:lineRule="exact"/>
        <w:rPr>
          <w:sz w:val="24"/>
          <w:szCs w:val="24"/>
          <w:color w:val="auto"/>
        </w:rPr>
      </w:pPr>
    </w:p>
    <w:p>
      <w:pPr>
        <w:ind w:right="3140" w:firstLine="591"/>
        <w:spacing w:after="0" w:line="376" w:lineRule="auto"/>
        <w:rPr>
          <w:sz w:val="20"/>
          <w:szCs w:val="20"/>
          <w:color w:val="auto"/>
        </w:rPr>
      </w:pPr>
      <w:r>
        <w:rPr>
          <w:rFonts w:ascii="Courier New" w:cs="Courier New" w:eastAsia="Courier New" w:hAnsi="Courier New"/>
          <w:sz w:val="16"/>
          <w:szCs w:val="16"/>
          <w:color w:val="auto"/>
        </w:rPr>
        <w:t>SEE "RISK FACTORS" BEGINNING ON PAGE 7 TO READ ABOUT CERTAIN FACTORS YOU SHOULD CONSIDER BEFORE BUYING THE ADSS.</w:t>
      </w:r>
    </w:p>
    <w:p>
      <w:pPr>
        <w:spacing w:after="0" w:line="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NEITHER THE SECURITIES AND EXCHANGE COMMISSION NOR ANY OTHER REGULATORY</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BODY HAS APPROVED OR DISAPPROVED OF THESE SECURITIES OR PASSED UPON THE ACCURACY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OR ADEQUACY OF THIS PROSPECTUS. ANY REPRESENTATION TO THE CONTRARY IS A CRIMINAL</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OFFENSE.</w:t>
      </w:r>
    </w:p>
    <w:p>
      <w:pPr>
        <w:spacing w:after="0" w:line="16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ind w:left="600"/>
              <w:spacing w:after="0"/>
              <w:rPr>
                <w:sz w:val="20"/>
                <w:szCs w:val="20"/>
                <w:color w:val="auto"/>
              </w:rPr>
            </w:pPr>
            <w:r>
              <w:rPr>
                <w:rFonts w:ascii="Courier New" w:cs="Courier New" w:eastAsia="Courier New" w:hAnsi="Courier New"/>
                <w:sz w:val="16"/>
                <w:szCs w:val="16"/>
                <w:color w:val="auto"/>
              </w:rPr>
              <w:t>A copy</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of this document, together with the consents referred to on page</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51, has been</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delivered to the Registrar of Companies in Ireland in accordance</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7"/>
        </w:trPr>
        <w:tc>
          <w:tcPr>
            <w:tcW w:w="1240" w:type="dxa"/>
            <w:vAlign w:val="bottom"/>
          </w:tcPr>
          <w:p>
            <w:pPr>
              <w:spacing w:after="0"/>
              <w:rPr>
                <w:sz w:val="20"/>
                <w:szCs w:val="20"/>
                <w:color w:val="auto"/>
              </w:rPr>
            </w:pPr>
            <w:r>
              <w:rPr>
                <w:rFonts w:ascii="Courier New" w:cs="Courier New" w:eastAsia="Courier New" w:hAnsi="Courier New"/>
                <w:sz w:val="16"/>
                <w:szCs w:val="16"/>
                <w:color w:val="auto"/>
              </w:rPr>
              <w:t>with Section</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47 of the Companies Act, 1963.</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6500" w:type="dxa"/>
            <w:vAlign w:val="bottom"/>
          </w:tcPr>
          <w:p>
            <w:pPr>
              <w:ind w:left="16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71"/>
        </w:trPr>
        <w:tc>
          <w:tcPr>
            <w:tcW w:w="12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Per ADS</w:t>
            </w:r>
          </w:p>
        </w:tc>
        <w:tc>
          <w:tcPr>
            <w:tcW w:w="600" w:type="dxa"/>
            <w:vAlign w:val="bottom"/>
          </w:tcPr>
          <w:p>
            <w:pPr>
              <w:spacing w:after="0"/>
              <w:rPr>
                <w:sz w:val="24"/>
                <w:szCs w:val="24"/>
                <w:color w:val="auto"/>
              </w:rPr>
            </w:pPr>
          </w:p>
        </w:tc>
        <w:tc>
          <w:tcPr>
            <w:tcW w:w="1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Total</w:t>
            </w:r>
          </w:p>
        </w:tc>
      </w:tr>
      <w:tr>
        <w:trPr>
          <w:trHeight w:val="277"/>
        </w:trPr>
        <w:tc>
          <w:tcPr>
            <w:tcW w:w="12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4"/>
                <w:szCs w:val="24"/>
                <w:color w:val="auto"/>
              </w:rPr>
            </w:pPr>
          </w:p>
        </w:tc>
        <w:tc>
          <w:tcPr>
            <w:tcW w:w="1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r>
      <w:tr>
        <w:trPr>
          <w:trHeight w:val="292"/>
        </w:trPr>
        <w:tc>
          <w:tcPr>
            <w:tcW w:w="7740" w:type="dxa"/>
            <w:vAlign w:val="bottom"/>
            <w:gridSpan w:val="2"/>
          </w:tcPr>
          <w:p>
            <w:pPr>
              <w:spacing w:after="0"/>
              <w:rPr>
                <w:sz w:val="20"/>
                <w:szCs w:val="20"/>
                <w:color w:val="auto"/>
              </w:rPr>
            </w:pPr>
            <w:r>
              <w:rPr>
                <w:rFonts w:ascii="Courier New" w:cs="Courier New" w:eastAsia="Courier New" w:hAnsi="Courier New"/>
                <w:sz w:val="16"/>
                <w:szCs w:val="16"/>
                <w:color w:val="auto"/>
              </w:rPr>
              <w:t>Initial price to public</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9"/>
              </w:rPr>
              <w:t>32.25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102,707,994</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Underwriting</w:t>
            </w:r>
          </w:p>
        </w:tc>
        <w:tc>
          <w:tcPr>
            <w:tcW w:w="6500" w:type="dxa"/>
            <w:vAlign w:val="bottom"/>
          </w:tcPr>
          <w:p>
            <w:pPr>
              <w:ind w:left="40"/>
              <w:spacing w:after="0"/>
              <w:rPr>
                <w:sz w:val="20"/>
                <w:szCs w:val="20"/>
                <w:color w:val="auto"/>
              </w:rPr>
            </w:pPr>
            <w:r>
              <w:rPr>
                <w:rFonts w:ascii="Courier New" w:cs="Courier New" w:eastAsia="Courier New" w:hAnsi="Courier New"/>
                <w:sz w:val="16"/>
                <w:szCs w:val="16"/>
                <w:color w:val="auto"/>
              </w:rPr>
              <w:t>discount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1.78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5,668,844</w:t>
            </w:r>
          </w:p>
        </w:tc>
      </w:tr>
      <w:tr>
        <w:trPr>
          <w:trHeight w:val="190"/>
        </w:trPr>
        <w:tc>
          <w:tcPr>
            <w:tcW w:w="7740" w:type="dxa"/>
            <w:vAlign w:val="bottom"/>
            <w:gridSpan w:val="2"/>
          </w:tcPr>
          <w:p>
            <w:pPr>
              <w:spacing w:after="0"/>
              <w:rPr>
                <w:sz w:val="20"/>
                <w:szCs w:val="20"/>
                <w:color w:val="auto"/>
              </w:rPr>
            </w:pPr>
            <w:r>
              <w:rPr>
                <w:rFonts w:ascii="Courier New" w:cs="Courier New" w:eastAsia="Courier New" w:hAnsi="Courier New"/>
                <w:sz w:val="16"/>
                <w:szCs w:val="16"/>
                <w:color w:val="auto"/>
              </w:rPr>
              <w:t>Proceeds, before expenses, to ICON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9"/>
              </w:rPr>
              <w:t>30.47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45,705,000</w:t>
            </w:r>
          </w:p>
        </w:tc>
      </w:tr>
      <w:tr>
        <w:trPr>
          <w:trHeight w:val="277"/>
        </w:trPr>
        <w:tc>
          <w:tcPr>
            <w:tcW w:w="7740" w:type="dxa"/>
            <w:vAlign w:val="bottom"/>
            <w:gridSpan w:val="2"/>
          </w:tcPr>
          <w:p>
            <w:pPr>
              <w:spacing w:after="0"/>
              <w:rPr>
                <w:sz w:val="20"/>
                <w:szCs w:val="20"/>
                <w:color w:val="auto"/>
              </w:rPr>
            </w:pPr>
            <w:r>
              <w:rPr>
                <w:rFonts w:ascii="Courier New" w:cs="Courier New" w:eastAsia="Courier New" w:hAnsi="Courier New"/>
                <w:sz w:val="16"/>
                <w:szCs w:val="16"/>
                <w:color w:val="auto"/>
              </w:rPr>
              <w:t>Proceeds, before expenses, to the selling shareholders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9"/>
              </w:rPr>
              <w:t>30.47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51,334,150</w:t>
            </w:r>
          </w:p>
        </w:tc>
      </w:tr>
    </w:tbl>
    <w:p>
      <w:pPr>
        <w:spacing w:after="0" w:line="292" w:lineRule="exact"/>
        <w:rPr>
          <w:sz w:val="24"/>
          <w:szCs w:val="24"/>
          <w:color w:val="auto"/>
        </w:rPr>
      </w:pPr>
    </w:p>
    <w:p>
      <w:pPr>
        <w:ind w:right="3140" w:firstLine="591"/>
        <w:spacing w:after="0" w:line="293" w:lineRule="auto"/>
        <w:rPr>
          <w:sz w:val="20"/>
          <w:szCs w:val="20"/>
          <w:color w:val="auto"/>
        </w:rPr>
      </w:pPr>
      <w:r>
        <w:rPr>
          <w:rFonts w:ascii="Courier New" w:cs="Courier New" w:eastAsia="Courier New" w:hAnsi="Courier New"/>
          <w:sz w:val="16"/>
          <w:szCs w:val="16"/>
          <w:color w:val="auto"/>
        </w:rPr>
        <w:t>To the extent that the underwriters sell more than 3,184,744 ADSs, the underwriters have the option to purchase up to an additional 477,711 ADSs from the selling shareholders at the initial price to public less the underwriting discount.</w:t>
      </w:r>
    </w:p>
    <w:p>
      <w:pPr>
        <w:spacing w:after="0" w:line="63"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right="3140" w:firstLine="591"/>
        <w:spacing w:after="0" w:line="376" w:lineRule="auto"/>
        <w:rPr>
          <w:sz w:val="20"/>
          <w:szCs w:val="20"/>
          <w:color w:val="auto"/>
        </w:rPr>
      </w:pPr>
      <w:r>
        <w:rPr>
          <w:rFonts w:ascii="Courier New" w:cs="Courier New" w:eastAsia="Courier New" w:hAnsi="Courier New"/>
          <w:sz w:val="16"/>
          <w:szCs w:val="16"/>
          <w:color w:val="auto"/>
        </w:rPr>
        <w:t>The underwriters expect to deliver the ADSs against payment in New York, New York on August 12, 2003.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98"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WILLIAM BLAIR &amp; COMPANY</w:t>
      </w:r>
    </w:p>
    <w:p>
      <w:pPr>
        <w:spacing w:after="0" w:line="198" w:lineRule="exact"/>
        <w:rPr>
          <w:sz w:val="24"/>
          <w:szCs w:val="24"/>
          <w:color w:val="auto"/>
        </w:rPr>
      </w:pPr>
    </w:p>
    <w:p>
      <w:pPr>
        <w:ind w:left="3940"/>
        <w:spacing w:after="0"/>
        <w:rPr>
          <w:sz w:val="20"/>
          <w:szCs w:val="20"/>
          <w:color w:val="auto"/>
        </w:rPr>
      </w:pPr>
      <w:r>
        <w:rPr>
          <w:rFonts w:ascii="Courier New" w:cs="Courier New" w:eastAsia="Courier New" w:hAnsi="Courier New"/>
          <w:sz w:val="16"/>
          <w:szCs w:val="16"/>
          <w:color w:val="auto"/>
        </w:rPr>
        <w:t>BEAR, STEARNS &amp; CO. INC.</w:t>
      </w:r>
    </w:p>
    <w:p>
      <w:pPr>
        <w:spacing w:after="0" w:line="198"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DAVY STOCKBROKERS</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Prospectus dated August 6, 2003.</w:t>
      </w:r>
    </w:p>
    <w:p>
      <w:pPr>
        <w:spacing w:after="0" w:line="200" w:lineRule="exact"/>
        <w:rPr>
          <w:sz w:val="24"/>
          <w:szCs w:val="24"/>
          <w:color w:val="auto"/>
        </w:rPr>
      </w:pPr>
    </w:p>
    <w:p>
      <w:pPr>
        <w:spacing w:after="0" w:line="352" w:lineRule="exact"/>
        <w:rPr>
          <w:sz w:val="24"/>
          <w:szCs w:val="24"/>
          <w:color w:val="auto"/>
        </w:rPr>
      </w:pPr>
    </w:p>
    <w:p>
      <w:pPr>
        <w:jc w:val="center"/>
        <w:ind w:right="2860"/>
        <w:spacing w:after="0"/>
        <w:rPr>
          <w:sz w:val="20"/>
          <w:szCs w:val="20"/>
          <w:color w:val="auto"/>
        </w:rPr>
      </w:pPr>
      <w:r>
        <w:rPr>
          <w:rFonts w:ascii="Courier New" w:cs="Courier New" w:eastAsia="Courier New" w:hAnsi="Courier New"/>
          <w:sz w:val="16"/>
          <w:szCs w:val="16"/>
          <w:color w:val="auto"/>
        </w:rPr>
        <w:t>SUMMARY</w:t>
      </w:r>
    </w:p>
    <w:p>
      <w:pPr>
        <w:spacing w:after="0" w:line="198" w:lineRule="exact"/>
        <w:rPr>
          <w:sz w:val="24"/>
          <w:szCs w:val="24"/>
          <w:color w:val="auto"/>
        </w:rPr>
      </w:pPr>
    </w:p>
    <w:p>
      <w:pPr>
        <w:ind w:right="3240" w:firstLine="591"/>
        <w:spacing w:after="0" w:line="354" w:lineRule="auto"/>
        <w:rPr>
          <w:sz w:val="20"/>
          <w:szCs w:val="20"/>
          <w:color w:val="auto"/>
        </w:rPr>
      </w:pPr>
      <w:r>
        <w:rPr>
          <w:rFonts w:ascii="Courier New" w:cs="Courier New" w:eastAsia="Courier New" w:hAnsi="Courier New"/>
          <w:sz w:val="16"/>
          <w:szCs w:val="16"/>
          <w:color w:val="auto"/>
        </w:rPr>
        <w:t>This summary highlights information about us and the terms of this offering. Because it is a summary, it does not contain all of the information</w:t>
      </w:r>
    </w:p>
    <w:p>
      <w:pPr>
        <w:sectPr>
          <w:pgSz w:w="11900" w:h="17038" w:orient="portrait"/>
          <w:cols w:equalWidth="0" w:num="1">
            <w:col w:w="10840"/>
          </w:cols>
          <w:pgMar w:left="240" w:top="213" w:right="819" w:bottom="0" w:gutter="0" w:footer="0" w:header="0"/>
        </w:sectPr>
      </w:pPr>
    </w:p>
    <w:bookmarkStart w:id="1" w:name="page2"/>
    <w:bookmarkEnd w:id="1"/>
    <w:p>
      <w:pPr>
        <w:ind w:right="2339"/>
        <w:spacing w:after="0" w:line="261" w:lineRule="auto"/>
        <w:rPr>
          <w:sz w:val="20"/>
          <w:szCs w:val="20"/>
          <w:color w:val="auto"/>
        </w:rPr>
      </w:pPr>
      <w:r>
        <w:rPr>
          <w:rFonts w:ascii="Courier New" w:cs="Courier New" w:eastAsia="Courier New" w:hAnsi="Courier New"/>
          <w:sz w:val="16"/>
          <w:szCs w:val="16"/>
          <w:color w:val="auto"/>
        </w:rPr>
        <w:t>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289"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ICON</w:t>
      </w:r>
    </w:p>
    <w:p>
      <w:pPr>
        <w:spacing w:after="0" w:line="19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90"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in fiscal 2002, while our operating income and net income grew from $6.3 million and $4.3 million respectively, to $18.2 million and $14.2 million, respectively over the same period. In 2002 revenue was earned from over 270 clients, including 19 of the top 20 pharmaceutical companies, as ranked by 2001 revenues.</w:t>
      </w:r>
    </w:p>
    <w:p>
      <w:pPr>
        <w:spacing w:after="0" w:line="8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90"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 AND THIS OFFERING</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w:t>
      </w:r>
    </w:p>
    <w:p>
      <w:pPr>
        <w:spacing w:after="0" w:line="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12" w:right="1440" w:bottom="1440" w:gutter="0" w:footer="0" w:header="0"/>
        </w:sectPr>
      </w:pPr>
    </w:p>
    <w:bookmarkStart w:id="2" w:name="page3"/>
    <w:bookmarkEnd w:id="2"/>
    <w:p>
      <w:pPr>
        <w:ind w:right="2339"/>
        <w:spacing w:after="0" w:line="276" w:lineRule="auto"/>
        <w:rPr>
          <w:sz w:val="20"/>
          <w:szCs w:val="20"/>
          <w:color w:val="auto"/>
        </w:rPr>
      </w:pPr>
      <w:r>
        <w:rPr>
          <w:rFonts w:ascii="Courier New" w:cs="Courier New" w:eastAsia="Courier New" w:hAnsi="Courier New"/>
          <w:sz w:val="16"/>
          <w:szCs w:val="16"/>
          <w:color w:val="auto"/>
        </w:rPr>
        <w:t>institutions; quarterly results fluctuations; our dependence on long-term fixed-fee contracts; our ability to 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76"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18, Ireland and our telephone number is (353) 1-291-2000. Our principal offices in the United States are located at 212 Church Road, North Wales, PA 19454.</w:t>
      </w:r>
    </w:p>
    <w:p>
      <w:pPr>
        <w:spacing w:after="0" w:line="2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7"/>
        </w:trPr>
        <w:tc>
          <w:tcPr>
            <w:tcW w:w="3300" w:type="dxa"/>
            <w:vAlign w:val="bottom"/>
          </w:tcPr>
          <w:p>
            <w:pPr>
              <w:spacing w:after="0"/>
              <w:rPr>
                <w:sz w:val="24"/>
                <w:szCs w:val="24"/>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0" w:type="dxa"/>
            <w:vAlign w:val="bottom"/>
          </w:tcPr>
          <w:p>
            <w:pPr>
              <w:spacing w:after="0"/>
              <w:rPr>
                <w:sz w:val="1"/>
                <w:szCs w:val="1"/>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Offering price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U.S.$32.25 per ADS</w:t>
            </w:r>
          </w:p>
        </w:tc>
        <w:tc>
          <w:tcPr>
            <w:tcW w:w="0" w:type="dxa"/>
            <w:vAlign w:val="bottom"/>
          </w:tcPr>
          <w:p>
            <w:pPr>
              <w:spacing w:after="0"/>
              <w:rPr>
                <w:sz w:val="1"/>
                <w:szCs w:val="1"/>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ADSs offered by us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1,500,000 ADSs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ADSs offered by the</w:t>
            </w:r>
          </w:p>
        </w:tc>
        <w:tc>
          <w:tcPr>
            <w:tcW w:w="4580" w:type="dxa"/>
            <w:vAlign w:val="bottom"/>
            <w:vMerge w:val="restart"/>
          </w:tcPr>
          <w:p>
            <w:pPr>
              <w:ind w:left="260"/>
              <w:spacing w:after="0"/>
              <w:rPr>
                <w:sz w:val="20"/>
                <w:szCs w:val="20"/>
                <w:color w:val="auto"/>
              </w:rPr>
            </w:pPr>
            <w:r>
              <w:rPr>
                <w:rFonts w:ascii="Courier New" w:cs="Courier New" w:eastAsia="Courier New" w:hAnsi="Courier New"/>
                <w:sz w:val="16"/>
                <w:szCs w:val="16"/>
                <w:color w:val="auto"/>
              </w:rPr>
              <w:t>1,684,744 ADSs</w:t>
            </w:r>
          </w:p>
        </w:tc>
        <w:tc>
          <w:tcPr>
            <w:tcW w:w="0" w:type="dxa"/>
            <w:vAlign w:val="bottom"/>
          </w:tcPr>
          <w:p>
            <w:pPr>
              <w:spacing w:after="0"/>
              <w:rPr>
                <w:sz w:val="1"/>
                <w:szCs w:val="1"/>
                <w:color w:val="auto"/>
              </w:rPr>
            </w:pPr>
          </w:p>
        </w:tc>
      </w:tr>
      <w:tr>
        <w:trPr>
          <w:trHeight w:val="277"/>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shareholders .........</w:t>
            </w:r>
          </w:p>
        </w:tc>
        <w:tc>
          <w:tcPr>
            <w:tcW w:w="4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Dr. Ronan Lambe and Dr. John Climax through</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Wineberry Limited, a company controlled by</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him.</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Ordinary shares outstanding</w:t>
            </w:r>
          </w:p>
        </w:tc>
        <w:tc>
          <w:tcPr>
            <w:tcW w:w="4580" w:type="dxa"/>
            <w:vAlign w:val="bottom"/>
            <w:vMerge w:val="restart"/>
          </w:tcPr>
          <w:p>
            <w:pPr>
              <w:ind w:left="260"/>
              <w:spacing w:after="0"/>
              <w:rPr>
                <w:sz w:val="20"/>
                <w:szCs w:val="20"/>
                <w:color w:val="auto"/>
              </w:rPr>
            </w:pPr>
            <w:r>
              <w:rPr>
                <w:rFonts w:ascii="Courier New" w:cs="Courier New" w:eastAsia="Courier New" w:hAnsi="Courier New"/>
                <w:sz w:val="16"/>
                <w:szCs w:val="16"/>
                <w:color w:val="auto"/>
              </w:rPr>
              <w:t>13,341,757</w:t>
            </w:r>
          </w:p>
        </w:tc>
        <w:tc>
          <w:tcPr>
            <w:tcW w:w="0" w:type="dxa"/>
            <w:vAlign w:val="bottom"/>
          </w:tcPr>
          <w:p>
            <w:pPr>
              <w:spacing w:after="0"/>
              <w:rPr>
                <w:sz w:val="1"/>
                <w:szCs w:val="1"/>
                <w:color w:val="auto"/>
              </w:rPr>
            </w:pPr>
          </w:p>
        </w:tc>
      </w:tr>
      <w:tr>
        <w:trPr>
          <w:trHeight w:val="277"/>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after this offering (1) ......</w:t>
            </w:r>
          </w:p>
        </w:tc>
        <w:tc>
          <w:tcPr>
            <w:tcW w:w="4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Ordinary shares per ADS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One. The ADSs are issued pursuant to the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Deposit Agreement with The Bank of New York</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dated as of May 20, 1998.</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Option to purchase</w:t>
            </w:r>
          </w:p>
        </w:tc>
        <w:tc>
          <w:tcPr>
            <w:tcW w:w="4580" w:type="dxa"/>
            <w:vAlign w:val="bottom"/>
            <w:vMerge w:val="restart"/>
          </w:tcPr>
          <w:p>
            <w:pPr>
              <w:ind w:left="260"/>
              <w:spacing w:after="0"/>
              <w:rPr>
                <w:sz w:val="20"/>
                <w:szCs w:val="20"/>
                <w:color w:val="auto"/>
              </w:rPr>
            </w:pPr>
            <w:r>
              <w:rPr>
                <w:rFonts w:ascii="Courier New" w:cs="Courier New" w:eastAsia="Courier New" w:hAnsi="Courier New"/>
                <w:sz w:val="16"/>
                <w:szCs w:val="16"/>
                <w:color w:val="auto"/>
              </w:rPr>
              <w:t>If the underwriters exercise the option to</w:t>
            </w:r>
          </w:p>
        </w:tc>
        <w:tc>
          <w:tcPr>
            <w:tcW w:w="0" w:type="dxa"/>
            <w:vAlign w:val="bottom"/>
          </w:tcPr>
          <w:p>
            <w:pPr>
              <w:spacing w:after="0"/>
              <w:rPr>
                <w:sz w:val="1"/>
                <w:szCs w:val="1"/>
                <w:color w:val="auto"/>
              </w:rPr>
            </w:pP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additional ADSs ..............</w:t>
            </w:r>
          </w:p>
        </w:tc>
        <w:tc>
          <w:tcPr>
            <w:tcW w:w="4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purchase additional ADSs described under the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heading "Underwriting", the selling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shareholders may sell up to an additional</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477,711 ADSs.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Lock-up arrangements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We have agreed with the underwriters,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subject to certain exceptions, not to</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dispose of or hedge any of our ordinary</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shares, ADSs or securities convertible into</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or exchangeable for ordinary shares or ADSs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during the period from the date of this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prospectus continuing through the date 90</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days after the date of this prospectus,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except with the prior written consent of</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Goldman, Sachs &amp; Co. The selling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shareholders have agreed with the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underwriters, subject to certain exceptions,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not to dispose of or hedge any of our</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ordinary shares, ADSs or securities</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convertible into or exchangeable for</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ordinary shares or ADSs during the period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from the date of this prospectus continuing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through the date 180 days after the date of</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this prospectus, except with the prior</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written consent of Goldman, Sachs &amp; Co.</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We estimate that the net proceeds to us from</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this offering, after deducting underwriting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discounts and the estimated offering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expenses payable by us, will be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approximately $44.3 million. We will not</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receive any of the proceeds from the sale of</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ADSs by the selling shareholders. We intend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to use the net proceeds from this offering,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together with our existing cash, cash</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equivalents, short-term investments and cash</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generated from operations, for general</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corporate purposes, including, but not</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limited to funding the continued growth and</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development of the business, opportunistic</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acquisitions, and working capital</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requirements.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Please refer to "Use of Proceeds" for</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further discussion of how we intend to use</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the net proceeds from this offering.</w:t>
            </w:r>
          </w:p>
        </w:tc>
        <w:tc>
          <w:tcPr>
            <w:tcW w:w="0" w:type="dxa"/>
            <w:vAlign w:val="bottom"/>
          </w:tcPr>
          <w:p>
            <w:pPr>
              <w:spacing w:after="0"/>
              <w:rPr>
                <w:sz w:val="1"/>
                <w:szCs w:val="1"/>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Nasdaq symbol ..................</w:t>
            </w:r>
          </w:p>
        </w:tc>
        <w:tc>
          <w:tcPr>
            <w:tcW w:w="4580" w:type="dxa"/>
            <w:vAlign w:val="bottom"/>
          </w:tcPr>
          <w:p>
            <w:pPr>
              <w:ind w:left="260"/>
              <w:spacing w:after="0"/>
              <w:rPr>
                <w:sz w:val="20"/>
                <w:szCs w:val="20"/>
                <w:color w:val="auto"/>
              </w:rPr>
            </w:pPr>
            <w:r>
              <w:rPr>
                <w:rFonts w:ascii="Courier New" w:cs="Courier New" w:eastAsia="Courier New" w:hAnsi="Courier New"/>
                <w:sz w:val="16"/>
                <w:szCs w:val="16"/>
                <w:color w:val="auto"/>
              </w:rPr>
              <w:t>ICLR</w:t>
            </w:r>
          </w:p>
        </w:tc>
        <w:tc>
          <w:tcPr>
            <w:tcW w:w="0" w:type="dxa"/>
            <w:vAlign w:val="bottom"/>
          </w:tcPr>
          <w:p>
            <w:pPr>
              <w:spacing w:after="0"/>
              <w:rPr>
                <w:sz w:val="1"/>
                <w:szCs w:val="1"/>
                <w:color w:val="auto"/>
              </w:rPr>
            </w:pPr>
          </w:p>
        </w:tc>
      </w:tr>
      <w:tr>
        <w:trPr>
          <w:trHeight w:val="322"/>
        </w:trPr>
        <w:tc>
          <w:tcPr>
            <w:tcW w:w="3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right="2519" w:hanging="499"/>
        <w:spacing w:after="0" w:line="272"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of the number of ordinary shares to be outstanding after this offering is based upon the number of ordinary shares outstanding on June 30, 2003. The number of ordinary shares to be outstanding after this offering does not include 1,185,445 ordinary shares reserved for issuance upon the exercise of stock options outstanding on June 30, 2003.</w:t>
      </w:r>
    </w:p>
    <w:p>
      <w:pPr>
        <w:spacing w:after="0" w:line="27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5" w:right="1440" w:bottom="46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6"/>
          <w:szCs w:val="16"/>
          <w:color w:val="auto"/>
        </w:rPr>
        <w:t>RECENT DEVELOPMENTS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RESULTS</w:t>
      </w:r>
    </w:p>
    <w:p>
      <w:pPr>
        <w:spacing w:after="0" w:line="198" w:lineRule="exact"/>
        <w:rPr>
          <w:sz w:val="20"/>
          <w:szCs w:val="20"/>
          <w:color w:val="auto"/>
        </w:rPr>
      </w:pPr>
    </w:p>
    <w:p>
      <w:pPr>
        <w:ind w:right="2439" w:firstLine="591"/>
        <w:spacing w:after="0" w:line="376" w:lineRule="auto"/>
        <w:rPr>
          <w:sz w:val="20"/>
          <w:szCs w:val="20"/>
          <w:color w:val="auto"/>
        </w:rPr>
      </w:pPr>
      <w:r>
        <w:rPr>
          <w:rFonts w:ascii="Courier New" w:cs="Courier New" w:eastAsia="Courier New" w:hAnsi="Courier New"/>
          <w:sz w:val="16"/>
          <w:szCs w:val="16"/>
          <w:color w:val="auto"/>
        </w:rPr>
        <w:t>On August 1, 2003, we filed our audited financial statements for the year ended May 31, 2003 on Form 6-K.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MAY 31, 2003 COMPARED WITH THREE MONTHS ENDED MAY 31, 2002</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Net revenues increased over the comparable period by $23.0 million, or 54%, from $43.0 million to $66.0 million. Excluding the impact of acquisitions, revenue growth for the quarter was 34% over the same quarter last year. Net revenues in the United States increased by $15.6 million, or 52%, from $29.7 million to $45.3 million. Net revenues in Europe/Rest of World increased by $7.4 million, or 56%, from $13.3 million to $20.7 million.</w:t>
      </w:r>
    </w:p>
    <w:p>
      <w:pPr>
        <w:spacing w:after="0" w:line="76"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Income from operations for the quarter increased by $2.1 million, or 43% over the comparable period, from $5.1 million to $7.2 million. Operating margin for the quarter decreased by 0.8%, from 11.8% in the comparable period to 11.0%. Operating margins for the quarter were 12.4% in our clinical segment and (2.1)% in our central laboratory segment. Net income for the quarter was $5.3 million or $0.43 cents per share, on a diluted basis, compared with $3.8 million or $0.31 cents per share for the quarter ended May 31, 2002.</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2003 COMPARED TO FISCAL YEAR ENDED MAY 31, 2002</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Net revenues increased by $69.1 million, or 44% from, $156.6 million to</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$225.7 million. Excluding the impact of acquisitions, revenue growth was 33%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twelve months ending May 31, 2003. Net revenues in the United States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by $51.2 million, or 48%, from $107.5 million to $158.7 million. 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for Europe/Rest of World increased by $17.9 million, or 37%, from $49.1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to $67.0 million.</w:t>
      </w:r>
    </w:p>
    <w:p>
      <w:pPr>
        <w:spacing w:after="0" w:line="168"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Income from operations increased by $6.7 million, or 37%, from $18.2 million to $24.9 million. Operating margin for the full year decreased by 0.6%, from 11.6% to 11.0%. Net income was $18.3 million or $1.50 per share on a diluted basis for fiscal 2003, compared with $14.2 million or $1.16 per share reported for fiscal 2002.</w:t>
      </w:r>
    </w:p>
    <w:p>
      <w:pPr>
        <w:spacing w:after="0" w:line="73"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64 days at May 31, 2003 compared with 67 days at May 31, 2002. For the quarter to May 31, 2003, cash generated from operations was $4.9 million, capital expenditure was $4.6 million and payments of $1.2 million were made in relation to acquisitions. In the twelve months to May 31, 2003, cash generated from operating activities was $21.5 million, capital expenditure was $15.8 million and payments of $40.0 million were made in relation to acquisitions. As a result the company's net cash was $11.2 million (cash and cash equivalents of $18.3 million net of bank overdrafts of $7.1 million) at May 31, 2003, compared to $43.1 million (cash and cash equivalents of $36.3 million and short term investments of $18.6 million net of bank overdrafts of $11.8 million) at May 31, 2002.</w:t>
      </w:r>
    </w:p>
    <w:p>
      <w:pPr>
        <w:spacing w:after="0" w:line="90"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We were awarded $88 million of net new business in the fourth quarter of fiscal 2003. At May 31, 2003, we had a total backlog of $352 million, of which we estimate $221 million will be earned in the next twelve months. See "Business--Backlog".</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CREDIT FACILITY</w:t>
      </w:r>
    </w:p>
    <w:p>
      <w:pPr>
        <w:spacing w:after="0" w:line="198"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$40 million of which will be available for acquisitions, with the remaining $20 million for working capital purposes. The working capital line will replace the majority of our existing lines of credit.</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198" w:lineRule="exact"/>
        <w:rPr>
          <w:sz w:val="20"/>
          <w:szCs w:val="20"/>
          <w:color w:val="auto"/>
        </w:rPr>
      </w:pPr>
    </w:p>
    <w:p>
      <w:pPr>
        <w:ind w:right="2339" w:firstLine="591"/>
        <w:spacing w:after="0" w:line="270" w:lineRule="auto"/>
        <w:rPr>
          <w:sz w:val="20"/>
          <w:szCs w:val="20"/>
          <w:color w:val="auto"/>
        </w:rPr>
      </w:pPr>
      <w:r>
        <w:rPr>
          <w:rFonts w:ascii="Courier New" w:cs="Courier New" w:eastAsia="Courier New" w:hAnsi="Courier New"/>
          <w:sz w:val="16"/>
          <w:szCs w:val="16"/>
          <w:color w:val="auto"/>
        </w:rPr>
        <w:t>On July 29, 2003, we entered into a purchase agreement for the acquisition of Globomax LLC, a drug development consulting company employing approximately</w:t>
      </w:r>
    </w:p>
    <w:p>
      <w:pPr>
        <w:spacing w:after="0" w:line="1" w:lineRule="exact"/>
        <w:rPr>
          <w:sz w:val="20"/>
          <w:szCs w:val="20"/>
          <w:color w:val="auto"/>
        </w:rPr>
      </w:pPr>
    </w:p>
    <w:p>
      <w:pPr>
        <w:ind w:right="2439"/>
        <w:spacing w:after="0" w:line="337" w:lineRule="auto"/>
        <w:rPr>
          <w:sz w:val="20"/>
          <w:szCs w:val="20"/>
          <w:color w:val="auto"/>
        </w:rPr>
      </w:pPr>
      <w:r>
        <w:rPr>
          <w:rFonts w:ascii="Courier New" w:cs="Courier New" w:eastAsia="Courier New" w:hAnsi="Courier New"/>
          <w:sz w:val="16"/>
          <w:szCs w:val="16"/>
          <w:color w:val="auto"/>
        </w:rPr>
        <w:t>80 people, based in the US. The initial consideration will be approximately $11 million, to be paid in cash. The agreement allows for additional</w:t>
      </w:r>
    </w:p>
    <w:p>
      <w:pPr>
        <w:spacing w:after="0" w:line="21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5" w:right="1440" w:bottom="1440" w:gutter="0" w:footer="0" w:header="0"/>
        </w:sectPr>
      </w:pPr>
    </w:p>
    <w:bookmarkStart w:id="5" w:name="page6"/>
    <w:bookmarkEnd w:id="5"/>
    <w:p>
      <w:pPr>
        <w:ind w:right="3640"/>
        <w:spacing w:after="0" w:line="376" w:lineRule="auto"/>
        <w:rPr>
          <w:sz w:val="20"/>
          <w:szCs w:val="20"/>
          <w:color w:val="auto"/>
        </w:rPr>
      </w:pPr>
      <w:r>
        <w:rPr>
          <w:rFonts w:ascii="Courier New" w:cs="Courier New" w:eastAsia="Courier New" w:hAnsi="Courier New"/>
          <w:sz w:val="16"/>
          <w:szCs w:val="16"/>
          <w:color w:val="auto"/>
        </w:rPr>
        <w:t>payments up to a maximum of $4 million to be paid over the subsequent three years contingent upon certain earnings targets being met.</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8" w:lineRule="exact"/>
        <w:rPr>
          <w:sz w:val="20"/>
          <w:szCs w:val="20"/>
          <w:color w:val="auto"/>
        </w:rPr>
      </w:pPr>
    </w:p>
    <w:p>
      <w:pPr>
        <w:ind w:right="3160" w:firstLine="591"/>
        <w:spacing w:after="0" w:line="258" w:lineRule="auto"/>
        <w:rPr>
          <w:sz w:val="20"/>
          <w:szCs w:val="20"/>
          <w:color w:val="auto"/>
        </w:rPr>
      </w:pPr>
      <w:r>
        <w:rPr>
          <w:rFonts w:ascii="Courier New" w:cs="Courier New" w:eastAsia="Courier New" w:hAnsi="Courier New"/>
          <w:sz w:val="16"/>
          <w:szCs w:val="16"/>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nine-month periods ended February 28, 2002 and 2003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nine-month periods ended February 28, 2002 and 2003.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285" w:lineRule="exact"/>
        <w:rPr>
          <w:sz w:val="20"/>
          <w:szCs w:val="20"/>
          <w:color w:val="auto"/>
        </w:rPr>
      </w:pPr>
    </w:p>
    <w:p>
      <w:pPr>
        <w:ind w:right="3160" w:firstLine="591"/>
        <w:spacing w:after="0" w:line="269" w:lineRule="auto"/>
        <w:rPr>
          <w:sz w:val="20"/>
          <w:szCs w:val="20"/>
          <w:color w:val="auto"/>
        </w:rPr>
      </w:pPr>
      <w:r>
        <w:rPr>
          <w:rFonts w:ascii="Courier New" w:cs="Courier New" w:eastAsia="Courier New" w:hAnsi="Courier New"/>
          <w:sz w:val="16"/>
          <w:szCs w:val="16"/>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81" w:lineRule="exact"/>
        <w:rPr>
          <w:sz w:val="20"/>
          <w:szCs w:val="20"/>
          <w:color w:val="auto"/>
        </w:rPr>
      </w:pPr>
    </w:p>
    <w:p>
      <w:pPr>
        <w:ind w:right="3340" w:firstLine="591"/>
        <w:spacing w:after="0" w:line="282" w:lineRule="auto"/>
        <w:rPr>
          <w:sz w:val="20"/>
          <w:szCs w:val="20"/>
          <w:color w:val="auto"/>
        </w:rPr>
      </w:pPr>
      <w:r>
        <w:rPr>
          <w:rFonts w:ascii="Courier New" w:cs="Courier New" w:eastAsia="Courier New" w:hAnsi="Courier New"/>
          <w:sz w:val="16"/>
          <w:szCs w:val="16"/>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3"/>
            <w:vMerge w:val="restart"/>
          </w:tcPr>
          <w:p>
            <w:pPr>
              <w:jc w:val="right"/>
              <w:ind w:right="18"/>
              <w:spacing w:after="0"/>
              <w:rPr>
                <w:sz w:val="20"/>
                <w:szCs w:val="20"/>
                <w:color w:val="auto"/>
              </w:rPr>
            </w:pPr>
            <w:r>
              <w:rPr>
                <w:rFonts w:ascii="Courier New" w:cs="Courier New" w:eastAsia="Courier New" w:hAnsi="Courier New"/>
                <w:sz w:val="16"/>
                <w:szCs w:val="16"/>
                <w:color w:val="auto"/>
              </w:rPr>
              <w:t>YEAR ENDED MAY</w:t>
            </w:r>
          </w:p>
        </w:tc>
        <w:tc>
          <w:tcPr>
            <w:tcW w:w="1140" w:type="dxa"/>
            <w:vAlign w:val="bottom"/>
            <w:gridSpan w:val="2"/>
            <w:vMerge w:val="restart"/>
          </w:tcPr>
          <w:p>
            <w:pPr>
              <w:jc w:val="center"/>
              <w:ind w:right="758"/>
              <w:spacing w:after="0"/>
              <w:rPr>
                <w:sz w:val="20"/>
                <w:szCs w:val="20"/>
                <w:color w:val="auto"/>
              </w:rPr>
            </w:pPr>
            <w:r>
              <w:rPr>
                <w:rFonts w:ascii="Courier New" w:cs="Courier New" w:eastAsia="Courier New" w:hAnsi="Courier New"/>
                <w:sz w:val="16"/>
                <w:szCs w:val="16"/>
                <w:color w:val="auto"/>
              </w:rPr>
              <w:t>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NINE MONTHS</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ENDED FEBRUARY 28,</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Courier New" w:cs="Courier New" w:eastAsia="Courier New" w:hAnsi="Courier New"/>
                <w:sz w:val="3"/>
                <w:szCs w:val="3"/>
                <w:color w:val="auto"/>
                <w:w w:val="91"/>
              </w:rPr>
              <w:t>------------------------------------------------------</w:t>
            </w:r>
            <w:r>
              <w:rPr>
                <w:rFonts w:ascii="Courier New" w:cs="Courier New" w:eastAsia="Courier New" w:hAnsi="Courier New"/>
                <w:sz w:val="6"/>
                <w:szCs w:val="6"/>
                <w:color w:val="auto"/>
                <w:w w:val="91"/>
                <w:vertAlign w:val="subscript"/>
              </w:rPr>
              <w:t>1998</w:t>
            </w:r>
          </w:p>
        </w:tc>
        <w:tc>
          <w:tcPr>
            <w:tcW w:w="1140" w:type="dxa"/>
            <w:vAlign w:val="bottom"/>
            <w:gridSpan w:val="2"/>
            <w:vMerge w:val="restart"/>
          </w:tcPr>
          <w:p>
            <w:pPr>
              <w:ind w:left="300"/>
              <w:spacing w:after="0"/>
              <w:rPr>
                <w:sz w:val="20"/>
                <w:szCs w:val="20"/>
                <w:color w:val="auto"/>
              </w:rPr>
            </w:pPr>
            <w:r>
              <w:rPr>
                <w:rFonts w:ascii="Courier New" w:cs="Courier New" w:eastAsia="Courier New" w:hAnsi="Courier New"/>
                <w:sz w:val="16"/>
                <w:szCs w:val="16"/>
                <w:color w:val="auto"/>
              </w:rPr>
              <w:t>1999</w:t>
            </w:r>
          </w:p>
        </w:tc>
        <w:tc>
          <w:tcPr>
            <w:tcW w:w="1120" w:type="dxa"/>
            <w:vAlign w:val="bottom"/>
            <w:gridSpan w:val="2"/>
            <w:vMerge w:val="restart"/>
          </w:tcPr>
          <w:p>
            <w:pPr>
              <w:ind w:left="340"/>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9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2001</w:t>
            </w:r>
          </w:p>
        </w:tc>
        <w:tc>
          <w:tcPr>
            <w:tcW w:w="240" w:type="dxa"/>
            <w:vAlign w:val="bottom"/>
          </w:tcPr>
          <w:p>
            <w:pPr>
              <w:spacing w:after="0"/>
              <w:rPr>
                <w:sz w:val="16"/>
                <w:szCs w:val="16"/>
                <w:color w:val="auto"/>
              </w:rPr>
            </w:pPr>
          </w:p>
        </w:tc>
        <w:tc>
          <w:tcPr>
            <w:tcW w:w="9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2002</w:t>
            </w:r>
          </w:p>
        </w:tc>
        <w:tc>
          <w:tcPr>
            <w:tcW w:w="222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SHARE AND</w:t>
            </w:r>
          </w:p>
        </w:tc>
        <w:tc>
          <w:tcPr>
            <w:tcW w:w="208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PER SHARE DATA)</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1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160" w:type="dxa"/>
            <w:vAlign w:val="bottom"/>
          </w:tcPr>
          <w:p>
            <w:pPr>
              <w:spacing w:after="0"/>
              <w:rPr>
                <w:sz w:val="20"/>
                <w:szCs w:val="20"/>
                <w:color w:val="auto"/>
              </w:rPr>
            </w:pPr>
            <w:r>
              <w:rPr>
                <w:rFonts w:ascii="Courier New" w:cs="Courier New" w:eastAsia="Courier New" w:hAnsi="Courier New"/>
                <w:sz w:val="16"/>
                <w:szCs w:val="16"/>
                <w:color w:val="auto"/>
              </w:rPr>
              <w:t>Gross revenue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67,743</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$ 98,910</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115,087</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151,832</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218,842</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153,356</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236,270</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Subcontractor costs (1) ......</w:t>
            </w:r>
          </w:p>
        </w:tc>
        <w:tc>
          <w:tcPr>
            <w:tcW w:w="10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(22,549)</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(39,003)</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(34,320)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(35,669)</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Net revenue ..................</w:t>
            </w:r>
          </w:p>
        </w:tc>
        <w:tc>
          <w:tcPr>
            <w:tcW w:w="100" w:type="dxa"/>
            <w:vAlign w:val="bottom"/>
          </w:tcPr>
          <w:p>
            <w:pPr>
              <w:spacing w:after="0"/>
              <w:rPr>
                <w:sz w:val="20"/>
                <w:szCs w:val="20"/>
                <w:color w:val="auto"/>
              </w:rPr>
            </w:pPr>
            <w:r>
              <w:rPr>
                <w:rFonts w:ascii="Courier New" w:cs="Courier New" w:eastAsia="Courier New" w:hAnsi="Courier New"/>
                <w:sz w:val="2"/>
                <w:szCs w:val="2"/>
                <w:color w:val="auto"/>
                <w:w w:val="73"/>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45,194</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7"/>
              </w:rPr>
              <w:t>59,907</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80,767</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116,163</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156,555</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113,558</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159,705</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Costs and expenses:</w:t>
            </w:r>
          </w:p>
        </w:tc>
        <w:tc>
          <w:tcPr>
            <w:tcW w:w="100" w:type="dxa"/>
            <w:vAlign w:val="bottom"/>
          </w:tcPr>
          <w:p>
            <w:pPr>
              <w:spacing w:after="0"/>
              <w:rPr>
                <w:sz w:val="16"/>
                <w:szCs w:val="16"/>
                <w:color w:val="auto"/>
              </w:rPr>
            </w:pP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23,697</w:t>
            </w:r>
          </w:p>
        </w:tc>
        <w:tc>
          <w:tcPr>
            <w:tcW w:w="400" w:type="dxa"/>
            <w:vAlign w:val="bottom"/>
          </w:tcPr>
          <w:p>
            <w:pPr>
              <w:spacing w:after="0"/>
              <w:rPr>
                <w:sz w:val="16"/>
                <w:szCs w:val="16"/>
                <w:color w:val="auto"/>
              </w:rPr>
            </w:pPr>
          </w:p>
        </w:tc>
        <w:tc>
          <w:tcPr>
            <w:tcW w:w="7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7"/>
              </w:rPr>
              <w:t>31,662</w:t>
            </w:r>
          </w:p>
        </w:tc>
        <w:tc>
          <w:tcPr>
            <w:tcW w:w="440" w:type="dxa"/>
            <w:vAlign w:val="bottom"/>
          </w:tcPr>
          <w:p>
            <w:pPr>
              <w:spacing w:after="0"/>
              <w:rPr>
                <w:sz w:val="16"/>
                <w:szCs w:val="16"/>
                <w:color w:val="auto"/>
              </w:rPr>
            </w:pPr>
          </w:p>
        </w:tc>
        <w:tc>
          <w:tcPr>
            <w:tcW w:w="6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w w:val="97"/>
              </w:rPr>
              <w:t>42,007</w:t>
            </w:r>
          </w:p>
        </w:tc>
        <w:tc>
          <w:tcPr>
            <w:tcW w:w="20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63,800</w:t>
            </w:r>
          </w:p>
        </w:tc>
        <w:tc>
          <w:tcPr>
            <w:tcW w:w="24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83,371</w:t>
            </w:r>
          </w:p>
        </w:tc>
        <w:tc>
          <w:tcPr>
            <w:tcW w:w="26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60,446</w:t>
            </w:r>
          </w:p>
        </w:tc>
        <w:tc>
          <w:tcPr>
            <w:tcW w:w="20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87,507</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Direct costs ...............</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w:t>
            </w:r>
          </w:p>
        </w:tc>
        <w:tc>
          <w:tcPr>
            <w:tcW w:w="100" w:type="dxa"/>
            <w:vAlign w:val="bottom"/>
          </w:tcPr>
          <w:p>
            <w:pPr>
              <w:spacing w:after="0"/>
              <w:rPr>
                <w:sz w:val="16"/>
                <w:szCs w:val="16"/>
                <w:color w:val="auto"/>
              </w:rPr>
            </w:pP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14,037</w:t>
            </w:r>
          </w:p>
        </w:tc>
        <w:tc>
          <w:tcPr>
            <w:tcW w:w="400" w:type="dxa"/>
            <w:vAlign w:val="bottom"/>
          </w:tcPr>
          <w:p>
            <w:pPr>
              <w:spacing w:after="0"/>
              <w:rPr>
                <w:sz w:val="16"/>
                <w:szCs w:val="16"/>
                <w:color w:val="auto"/>
              </w:rPr>
            </w:pPr>
          </w:p>
        </w:tc>
        <w:tc>
          <w:tcPr>
            <w:tcW w:w="7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7"/>
              </w:rPr>
              <w:t>19,200</w:t>
            </w:r>
          </w:p>
        </w:tc>
        <w:tc>
          <w:tcPr>
            <w:tcW w:w="440" w:type="dxa"/>
            <w:vAlign w:val="bottom"/>
          </w:tcPr>
          <w:p>
            <w:pPr>
              <w:spacing w:after="0"/>
              <w:rPr>
                <w:sz w:val="16"/>
                <w:szCs w:val="16"/>
                <w:color w:val="auto"/>
              </w:rPr>
            </w:pPr>
          </w:p>
        </w:tc>
        <w:tc>
          <w:tcPr>
            <w:tcW w:w="6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w w:val="97"/>
              </w:rPr>
              <w:t>27,348</w:t>
            </w:r>
          </w:p>
        </w:tc>
        <w:tc>
          <w:tcPr>
            <w:tcW w:w="20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36,312</w:t>
            </w:r>
          </w:p>
        </w:tc>
        <w:tc>
          <w:tcPr>
            <w:tcW w:w="240" w:type="dxa"/>
            <w:vAlign w:val="bottom"/>
          </w:tcPr>
          <w:p>
            <w:pPr>
              <w:spacing w:after="0"/>
              <w:rPr>
                <w:sz w:val="16"/>
                <w:szCs w:val="16"/>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48,951</w:t>
            </w:r>
          </w:p>
        </w:tc>
        <w:tc>
          <w:tcPr>
            <w:tcW w:w="26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35,550</w:t>
            </w:r>
          </w:p>
        </w:tc>
        <w:tc>
          <w:tcPr>
            <w:tcW w:w="200" w:type="dxa"/>
            <w:vAlign w:val="bottom"/>
          </w:tcPr>
          <w:p>
            <w:pPr>
              <w:spacing w:after="0"/>
              <w:rPr>
                <w:sz w:val="16"/>
                <w:szCs w:val="16"/>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49,481</w:t>
            </w:r>
          </w:p>
        </w:tc>
        <w:tc>
          <w:tcPr>
            <w:tcW w:w="0" w:type="dxa"/>
            <w:vAlign w:val="bottom"/>
          </w:tcPr>
          <w:p>
            <w:pPr>
              <w:spacing w:after="0"/>
              <w:rPr>
                <w:sz w:val="1"/>
                <w:szCs w:val="1"/>
                <w:color w:val="auto"/>
              </w:rPr>
            </w:pPr>
          </w:p>
        </w:tc>
      </w:tr>
      <w:tr>
        <w:trPr>
          <w:trHeight w:val="190"/>
        </w:trPr>
        <w:tc>
          <w:tcPr>
            <w:tcW w:w="3160" w:type="dxa"/>
            <w:vAlign w:val="bottom"/>
          </w:tcPr>
          <w:p>
            <w:pPr>
              <w:ind w:left="400"/>
              <w:spacing w:after="0"/>
              <w:rPr>
                <w:sz w:val="20"/>
                <w:szCs w:val="20"/>
                <w:color w:val="auto"/>
              </w:rPr>
            </w:pPr>
            <w:r>
              <w:rPr>
                <w:rFonts w:ascii="Courier New" w:cs="Courier New" w:eastAsia="Courier New" w:hAnsi="Courier New"/>
                <w:sz w:val="16"/>
                <w:szCs w:val="16"/>
                <w:color w:val="auto"/>
              </w:rPr>
              <w:t>administrative ...........</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Merger costs (2) .............</w:t>
            </w:r>
          </w:p>
        </w:tc>
        <w:tc>
          <w:tcPr>
            <w:tcW w:w="10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1,617</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0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1,196</w:t>
            </w: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2,066</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3,264</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4,975</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6,020</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4,416</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5,017</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Total costs and expenses .....</w:t>
            </w:r>
          </w:p>
        </w:tc>
        <w:tc>
          <w:tcPr>
            <w:tcW w:w="100" w:type="dxa"/>
            <w:vAlign w:val="bottom"/>
          </w:tcPr>
          <w:p>
            <w:pPr>
              <w:spacing w:after="0"/>
              <w:rPr>
                <w:sz w:val="20"/>
                <w:szCs w:val="20"/>
                <w:color w:val="auto"/>
              </w:rPr>
            </w:pPr>
            <w:r>
              <w:rPr>
                <w:rFonts w:ascii="Courier New" w:cs="Courier New" w:eastAsia="Courier New" w:hAnsi="Courier New"/>
                <w:sz w:val="2"/>
                <w:szCs w:val="2"/>
                <w:color w:val="auto"/>
                <w:w w:val="73"/>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38,930</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7"/>
              </w:rPr>
              <w:t>52,928</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74,236</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105,087</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138,342</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100,412</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142,005</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 .......</w:t>
            </w:r>
          </w:p>
        </w:tc>
        <w:tc>
          <w:tcPr>
            <w:tcW w:w="100" w:type="dxa"/>
            <w:vAlign w:val="bottom"/>
          </w:tcPr>
          <w:p>
            <w:pPr>
              <w:spacing w:after="0"/>
              <w:rPr>
                <w:sz w:val="20"/>
                <w:szCs w:val="20"/>
                <w:color w:val="auto"/>
              </w:rPr>
            </w:pPr>
            <w:r>
              <w:rPr>
                <w:rFonts w:ascii="Courier New" w:cs="Courier New" w:eastAsia="Courier New" w:hAnsi="Courier New"/>
                <w:sz w:val="2"/>
                <w:szCs w:val="2"/>
                <w:color w:val="auto"/>
                <w:w w:val="73"/>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6,264</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6,979</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6,531</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11,076</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18,213</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13,146</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17,700</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Net interest income ..........</w:t>
            </w:r>
          </w:p>
        </w:tc>
        <w:tc>
          <w:tcPr>
            <w:tcW w:w="10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189</w:t>
            </w:r>
          </w:p>
        </w:tc>
        <w:tc>
          <w:tcPr>
            <w:tcW w:w="40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2,631</w:t>
            </w:r>
          </w:p>
        </w:tc>
        <w:tc>
          <w:tcPr>
            <w:tcW w:w="4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2,659</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2,519</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1,116</w:t>
            </w:r>
          </w:p>
        </w:tc>
        <w:tc>
          <w:tcPr>
            <w:tcW w:w="2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864</w:t>
            </w:r>
          </w:p>
        </w:tc>
        <w:tc>
          <w:tcPr>
            <w:tcW w:w="2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379</w:t>
            </w:r>
          </w:p>
        </w:tc>
        <w:tc>
          <w:tcPr>
            <w:tcW w:w="0" w:type="dxa"/>
            <w:vAlign w:val="bottom"/>
          </w:tcPr>
          <w:p>
            <w:pPr>
              <w:spacing w:after="0"/>
              <w:rPr>
                <w:sz w:val="1"/>
                <w:szCs w:val="1"/>
                <w:color w:val="auto"/>
              </w:rPr>
            </w:pPr>
          </w:p>
        </w:tc>
      </w:tr>
      <w:tr>
        <w:trPr>
          <w:trHeight w:val="277"/>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provision for</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02"/>
        </w:trPr>
        <w:tc>
          <w:tcPr>
            <w:tcW w:w="3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6,453</w:t>
            </w:r>
          </w:p>
        </w:tc>
        <w:tc>
          <w:tcPr>
            <w:tcW w:w="400" w:type="dxa"/>
            <w:vAlign w:val="bottom"/>
          </w:tcPr>
          <w:p>
            <w:pPr>
              <w:spacing w:after="0"/>
              <w:rPr>
                <w:sz w:val="8"/>
                <w:szCs w:val="8"/>
                <w:color w:val="auto"/>
              </w:rPr>
            </w:pPr>
          </w:p>
        </w:tc>
        <w:tc>
          <w:tcPr>
            <w:tcW w:w="7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9,610</w:t>
            </w:r>
          </w:p>
        </w:tc>
        <w:tc>
          <w:tcPr>
            <w:tcW w:w="440" w:type="dxa"/>
            <w:vAlign w:val="bottom"/>
          </w:tcPr>
          <w:p>
            <w:pPr>
              <w:spacing w:after="0"/>
              <w:rPr>
                <w:sz w:val="8"/>
                <w:szCs w:val="8"/>
                <w:color w:val="auto"/>
              </w:rPr>
            </w:pPr>
          </w:p>
        </w:tc>
        <w:tc>
          <w:tcPr>
            <w:tcW w:w="6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9,190</w:t>
            </w:r>
          </w:p>
        </w:tc>
        <w:tc>
          <w:tcPr>
            <w:tcW w:w="200" w:type="dxa"/>
            <w:vAlign w:val="bottom"/>
          </w:tcPr>
          <w:p>
            <w:pPr>
              <w:spacing w:after="0"/>
              <w:rPr>
                <w:sz w:val="8"/>
                <w:szCs w:val="8"/>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13,595</w:t>
            </w:r>
          </w:p>
        </w:tc>
        <w:tc>
          <w:tcPr>
            <w:tcW w:w="240" w:type="dxa"/>
            <w:vAlign w:val="bottom"/>
          </w:tcPr>
          <w:p>
            <w:pPr>
              <w:spacing w:after="0"/>
              <w:rPr>
                <w:sz w:val="8"/>
                <w:szCs w:val="8"/>
                <w:color w:val="auto"/>
              </w:rPr>
            </w:pPr>
          </w:p>
        </w:tc>
        <w:tc>
          <w:tcPr>
            <w:tcW w:w="9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19,329</w:t>
            </w:r>
          </w:p>
        </w:tc>
        <w:tc>
          <w:tcPr>
            <w:tcW w:w="260" w:type="dxa"/>
            <w:vAlign w:val="bottom"/>
          </w:tcPr>
          <w:p>
            <w:pPr>
              <w:spacing w:after="0"/>
              <w:rPr>
                <w:sz w:val="8"/>
                <w:szCs w:val="8"/>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14,010</w:t>
            </w:r>
          </w:p>
        </w:tc>
        <w:tc>
          <w:tcPr>
            <w:tcW w:w="200" w:type="dxa"/>
            <w:vAlign w:val="bottom"/>
          </w:tcPr>
          <w:p>
            <w:pPr>
              <w:spacing w:after="0"/>
              <w:rPr>
                <w:sz w:val="8"/>
                <w:szCs w:val="8"/>
                <w:color w:val="auto"/>
              </w:rPr>
            </w:pPr>
          </w:p>
        </w:tc>
        <w:tc>
          <w:tcPr>
            <w:tcW w:w="88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18,079</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income taxes ...............</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10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(2,110)</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(1,557)</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(3,122)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(2,617)</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c>
          <w:tcPr>
            <w:tcW w:w="0" w:type="dxa"/>
            <w:vAlign w:val="bottom"/>
          </w:tcPr>
          <w:p>
            <w:pPr>
              <w:spacing w:after="0"/>
              <w:rPr>
                <w:sz w:val="1"/>
                <w:szCs w:val="1"/>
                <w:color w:val="auto"/>
              </w:rPr>
            </w:pPr>
          </w:p>
        </w:tc>
      </w:tr>
      <w:tr>
        <w:trPr>
          <w:trHeight w:val="190"/>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(3) ...............</w:t>
            </w:r>
          </w:p>
        </w:tc>
        <w:tc>
          <w:tcPr>
            <w:tcW w:w="100" w:type="dxa"/>
            <w:vAlign w:val="bottom"/>
            <w:vMerge w:val="restart"/>
          </w:tcPr>
          <w:p>
            <w:pPr>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4,343</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$ 8,053</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$ 6,068</w:t>
            </w:r>
          </w:p>
        </w:tc>
        <w:tc>
          <w:tcPr>
            <w:tcW w:w="20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10,978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14,200</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10,385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277"/>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PER ORDINARY</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02"/>
        </w:trPr>
        <w:tc>
          <w:tcPr>
            <w:tcW w:w="3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SHARE (4):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Basic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0.56</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0.74</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0.55</w:t>
            </w:r>
          </w:p>
        </w:tc>
        <w:tc>
          <w:tcPr>
            <w:tcW w:w="20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0.97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1.22</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0.90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190"/>
        </w:trPr>
        <w:tc>
          <w:tcPr>
            <w:tcW w:w="31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Diluted ....................</w:t>
            </w:r>
          </w:p>
        </w:tc>
        <w:tc>
          <w:tcPr>
            <w:tcW w:w="100" w:type="dxa"/>
            <w:vAlign w:val="bottom"/>
            <w:vMerge w:val="restart"/>
          </w:tcPr>
          <w:p>
            <w:pPr>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0.49</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0.68</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0.51</w:t>
            </w:r>
          </w:p>
        </w:tc>
        <w:tc>
          <w:tcPr>
            <w:tcW w:w="20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0.92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1.16</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4"/>
                <w:szCs w:val="24"/>
                <w:color w:val="auto"/>
              </w:rPr>
            </w:pP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NUMBER OF</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OUTSTANDING(4):</w:t>
      </w:r>
    </w:p>
    <w:p>
      <w:pPr>
        <w:sectPr>
          <w:pgSz w:w="11900" w:h="16838" w:orient="portrait"/>
          <w:cols w:equalWidth="0" w:num="1">
            <w:col w:w="11040"/>
          </w:cols>
          <w:pgMar w:left="240" w:top="655" w:right="61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7,788,349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10,908,409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11,050,556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11,292,610</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11,656,153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11,576,692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11,804,576</w:t>
            </w:r>
          </w:p>
        </w:tc>
        <w:tc>
          <w:tcPr>
            <w:tcW w:w="0" w:type="dxa"/>
            <w:vAlign w:val="bottom"/>
          </w:tcPr>
          <w:p>
            <w:pPr>
              <w:spacing w:after="0"/>
              <w:rPr>
                <w:sz w:val="1"/>
                <w:szCs w:val="1"/>
                <w:color w:val="auto"/>
              </w:rPr>
            </w:pPr>
          </w:p>
        </w:tc>
      </w:tr>
      <w:tr>
        <w:trPr>
          <w:trHeight w:val="190"/>
        </w:trPr>
        <w:tc>
          <w:tcPr>
            <w:tcW w:w="2800" w:type="dxa"/>
            <w:vAlign w:val="bottom"/>
            <w:vMerge w:val="restart"/>
          </w:tcPr>
          <w:p>
            <w:pPr>
              <w:spacing w:after="0"/>
              <w:rPr>
                <w:sz w:val="20"/>
                <w:szCs w:val="20"/>
                <w:color w:val="auto"/>
              </w:rPr>
            </w:pPr>
            <w:r>
              <w:rPr>
                <w:rFonts w:ascii="Courier New" w:cs="Courier New" w:eastAsia="Courier New" w:hAnsi="Courier New"/>
                <w:sz w:val="16"/>
                <w:szCs w:val="16"/>
                <w:color w:val="auto"/>
              </w:rPr>
              <w:t>Diluted</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2"/>
                <w:szCs w:val="12"/>
                <w:color w:val="auto"/>
                <w:w w:val="74"/>
              </w:rPr>
              <w:t>8,805,567</w:t>
            </w:r>
            <w:r>
              <w:rPr>
                <w:rFonts w:ascii="Courier New" w:cs="Courier New" w:eastAsia="Courier New" w:hAnsi="Courier New"/>
                <w:sz w:val="20"/>
                <w:szCs w:val="20"/>
                <w:color w:val="auto"/>
                <w:w w:val="74"/>
                <w:vertAlign w:val="superscript"/>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90"/>
        </w:trPr>
        <w:tc>
          <w:tcPr>
            <w:tcW w:w="2800" w:type="dxa"/>
            <w:vAlign w:val="bottom"/>
            <w:vMerge w:val="continue"/>
          </w:tcPr>
          <w:p>
            <w:pPr>
              <w:jc w:val="right"/>
              <w:ind w:right="58"/>
              <w:spacing w:after="0" w:line="167" w:lineRule="exact"/>
              <w:rPr>
                <w:sz w:val="20"/>
                <w:szCs w:val="20"/>
                <w:color w:val="auto"/>
              </w:rPr>
            </w:pPr>
            <w:r>
              <w:rPr>
                <w:rFonts w:ascii="Courier New" w:cs="Courier New" w:eastAsia="Courier New" w:hAnsi="Courier New"/>
                <w:sz w:val="16"/>
                <w:szCs w:val="16"/>
                <w:color w:val="auto"/>
              </w:rPr>
              <w:t>...................</w:t>
            </w:r>
          </w:p>
        </w:tc>
        <w:tc>
          <w:tcPr>
            <w:tcW w:w="1140" w:type="dxa"/>
            <w:vAlign w:val="bottom"/>
            <w:vMerge w:val="continue"/>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11,917,605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11,824,359</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11,943,849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12,241,820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12,224,383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12,169,875</w:t>
            </w:r>
          </w:p>
        </w:tc>
        <w:tc>
          <w:tcPr>
            <w:tcW w:w="0" w:type="dxa"/>
            <w:vAlign w:val="bottom"/>
          </w:tcPr>
          <w:p>
            <w:pPr>
              <w:spacing w:after="0"/>
              <w:rPr>
                <w:sz w:val="1"/>
                <w:szCs w:val="1"/>
                <w:color w:val="auto"/>
              </w:rPr>
            </w:pPr>
          </w:p>
        </w:tc>
      </w:tr>
      <w:tr>
        <w:trPr>
          <w:trHeight w:val="277"/>
        </w:trPr>
        <w:tc>
          <w:tcPr>
            <w:tcW w:w="2800" w:type="dxa"/>
            <w:vAlign w:val="bottom"/>
          </w:tcPr>
          <w:p>
            <w:pPr>
              <w:spacing w:after="0"/>
              <w:rPr>
                <w:sz w:val="24"/>
                <w:szCs w:val="24"/>
                <w:color w:val="auto"/>
              </w:rPr>
            </w:pP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758"/>
        </w:trPr>
        <w:tc>
          <w:tcPr>
            <w:tcW w:w="2800" w:type="dxa"/>
            <w:vAlign w:val="bottom"/>
          </w:tcPr>
          <w:p>
            <w:pPr>
              <w:spacing w:after="0"/>
              <w:rPr>
                <w:sz w:val="24"/>
                <w:szCs w:val="24"/>
                <w:color w:val="auto"/>
              </w:rPr>
            </w:pPr>
          </w:p>
        </w:tc>
        <w:tc>
          <w:tcPr>
            <w:tcW w:w="114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440" w:top="301" w:right="719" w:bottom="1440" w:gutter="0" w:footer="0" w:header="0"/>
        </w:sectPr>
      </w:pPr>
    </w:p>
    <w:bookmarkStart w:id="7" w:name="page8"/>
    <w:bookmarkEnd w:id="7"/>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AS OF MAY 31,</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AS OF</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FEBRUARY 28,</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vMerge w:val="restart"/>
          </w:tcPr>
          <w:p>
            <w:pPr>
              <w:spacing w:after="0"/>
              <w:rPr>
                <w:sz w:val="20"/>
                <w:szCs w:val="20"/>
                <w:color w:val="auto"/>
              </w:rPr>
            </w:pPr>
            <w:r>
              <w:rPr>
                <w:rFonts w:ascii="Courier New" w:cs="Courier New" w:eastAsia="Courier New" w:hAnsi="Courier New"/>
                <w:sz w:val="4"/>
                <w:szCs w:val="4"/>
                <w:color w:val="auto"/>
                <w:w w:val="80"/>
              </w:rPr>
              <w:t>-------------------------------------------------------</w:t>
            </w:r>
            <w:r>
              <w:rPr>
                <w:rFonts w:ascii="Courier New" w:cs="Courier New" w:eastAsia="Courier New" w:hAnsi="Courier New"/>
                <w:sz w:val="8"/>
                <w:szCs w:val="8"/>
                <w:color w:val="auto"/>
                <w:w w:val="80"/>
                <w:vertAlign w:val="subscript"/>
              </w:rPr>
              <w:t>1998</w:t>
            </w:r>
          </w:p>
        </w:tc>
        <w:tc>
          <w:tcPr>
            <w:tcW w:w="9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1999</w:t>
            </w:r>
          </w:p>
        </w:tc>
        <w:tc>
          <w:tcPr>
            <w:tcW w:w="1380" w:type="dxa"/>
            <w:vAlign w:val="bottom"/>
            <w:vMerge w:val="restart"/>
          </w:tcPr>
          <w:p>
            <w:pPr>
              <w:jc w:val="right"/>
              <w:ind w:right="458"/>
              <w:spacing w:after="0"/>
              <w:rPr>
                <w:sz w:val="20"/>
                <w:szCs w:val="20"/>
                <w:color w:val="auto"/>
              </w:rPr>
            </w:pPr>
            <w:r>
              <w:rPr>
                <w:rFonts w:ascii="Courier New" w:cs="Courier New" w:eastAsia="Courier New" w:hAnsi="Courier New"/>
                <w:sz w:val="16"/>
                <w:szCs w:val="16"/>
                <w:color w:val="auto"/>
              </w:rPr>
              <w:t>2000</w:t>
            </w:r>
          </w:p>
        </w:tc>
        <w:tc>
          <w:tcPr>
            <w:tcW w:w="10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6"/>
                <w:szCs w:val="16"/>
                <w:color w:val="auto"/>
              </w:rPr>
            </w:pPr>
          </w:p>
        </w:tc>
        <w:tc>
          <w:tcPr>
            <w:tcW w:w="7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2002</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BALANCE SHEET DATA:</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1"/>
        </w:trPr>
        <w:tc>
          <w:tcPr>
            <w:tcW w:w="316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$54,384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$12,353</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$26,552</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$11,179</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36,291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21,862</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180" w:type="dxa"/>
            <w:vAlign w:val="bottom"/>
            <w:vMerge w:val="restart"/>
          </w:tcPr>
          <w:p>
            <w:pPr>
              <w:jc w:val="right"/>
              <w:ind w:right="225"/>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35,936</w:t>
            </w:r>
          </w:p>
        </w:tc>
        <w:tc>
          <w:tcPr>
            <w:tcW w:w="1380" w:type="dxa"/>
            <w:vAlign w:val="bottom"/>
            <w:vMerge w:val="restart"/>
          </w:tcPr>
          <w:p>
            <w:pPr>
              <w:jc w:val="right"/>
              <w:ind w:right="178"/>
              <w:spacing w:after="0"/>
              <w:rPr>
                <w:sz w:val="20"/>
                <w:szCs w:val="20"/>
                <w:color w:val="auto"/>
              </w:rPr>
            </w:pPr>
            <w:r>
              <w:rPr>
                <w:rFonts w:ascii="Courier New" w:cs="Courier New" w:eastAsia="Courier New" w:hAnsi="Courier New"/>
                <w:sz w:val="16"/>
                <w:szCs w:val="16"/>
                <w:color w:val="auto"/>
              </w:rPr>
              <w:t>21,405</w:t>
            </w:r>
          </w:p>
        </w:tc>
        <w:tc>
          <w:tcPr>
            <w:tcW w:w="10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35,941</w:t>
            </w:r>
          </w:p>
        </w:tc>
        <w:tc>
          <w:tcPr>
            <w:tcW w:w="2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18,551</w:t>
            </w:r>
          </w:p>
        </w:tc>
        <w:tc>
          <w:tcPr>
            <w:tcW w:w="440" w:type="dxa"/>
            <w:vAlign w:val="bottom"/>
          </w:tcPr>
          <w:p>
            <w:pPr>
              <w:spacing w:after="0"/>
              <w:rPr>
                <w:sz w:val="16"/>
                <w:szCs w:val="16"/>
                <w:color w:val="auto"/>
              </w:rPr>
            </w:pPr>
          </w:p>
        </w:tc>
        <w:tc>
          <w:tcPr>
            <w:tcW w:w="80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Courier New" w:cs="Courier New" w:eastAsia="Courier New" w:hAnsi="Courier New"/>
                <w:sz w:val="16"/>
                <w:szCs w:val="16"/>
                <w:color w:val="auto"/>
              </w:rPr>
              <w:t>(available for sale) .........</w:t>
            </w:r>
          </w:p>
        </w:tc>
        <w:tc>
          <w:tcPr>
            <w:tcW w:w="1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Working capital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57,886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56,944</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57,962</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61,147</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72,923</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50,451</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Total assets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89,981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95,758</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100,118</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128,967</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165,794</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215,044</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Total debt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1,312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3,514</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2,251</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11,518</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11,745</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10,503</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Government grants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705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533</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476</w:t>
            </w:r>
          </w:p>
        </w:tc>
        <w:tc>
          <w:tcPr>
            <w:tcW w:w="2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962</w:t>
            </w:r>
          </w:p>
        </w:tc>
        <w:tc>
          <w:tcPr>
            <w:tcW w:w="440" w:type="dxa"/>
            <w:vAlign w:val="bottom"/>
            <w:vMerge w:val="restart"/>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1,079</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Shareholders' equity ...........</w:t>
            </w:r>
          </w:p>
        </w:tc>
        <w:tc>
          <w:tcPr>
            <w:tcW w:w="1180" w:type="dxa"/>
            <w:vAlign w:val="bottom"/>
          </w:tcPr>
          <w:p>
            <w:pPr>
              <w:jc w:val="right"/>
              <w:ind w:right="225"/>
              <w:spacing w:after="0"/>
              <w:rPr>
                <w:sz w:val="20"/>
                <w:szCs w:val="20"/>
                <w:color w:val="auto"/>
              </w:rPr>
            </w:pPr>
            <w:r>
              <w:rPr>
                <w:rFonts w:ascii="Courier New" w:cs="Courier New" w:eastAsia="Courier New" w:hAnsi="Courier New"/>
                <w:sz w:val="16"/>
                <w:szCs w:val="16"/>
                <w:color w:val="auto"/>
              </w:rPr>
              <w:t>$64,074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$71,633</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$77,053</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$86,580</w:t>
            </w:r>
          </w:p>
        </w:tc>
        <w:tc>
          <w:tcPr>
            <w:tcW w:w="280" w:type="dxa"/>
            <w:vAlign w:val="bottom"/>
            <w:vMerge w:val="continue"/>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107,561</w:t>
            </w:r>
          </w:p>
        </w:tc>
        <w:tc>
          <w:tcPr>
            <w:tcW w:w="440" w:type="dxa"/>
            <w:vAlign w:val="bottom"/>
            <w:vMerge w:val="continue"/>
          </w:tcPr>
          <w:p>
            <w:pPr>
              <w:spacing w:after="0"/>
              <w:rPr>
                <w:sz w:val="24"/>
                <w:szCs w:val="24"/>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126,350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 w:lineRule="exact"/>
        <w:rPr>
          <w:rFonts w:ascii="Courier New" w:cs="Courier New" w:eastAsia="Courier New" w:hAnsi="Courier New"/>
          <w:sz w:val="16"/>
          <w:szCs w:val="16"/>
          <w:color w:val="auto"/>
        </w:rPr>
      </w:pPr>
    </w:p>
    <w:p>
      <w:pPr>
        <w:ind w:left="500" w:right="3160" w:hanging="400"/>
        <w:spacing w:after="0" w:line="337" w:lineRule="auto"/>
        <w:tabs>
          <w:tab w:leader="none" w:pos="5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Subcontractor costs comprise investigator payments and certain other costs reimbursed by clients under terms specific to each of our contracts.</w:t>
      </w:r>
    </w:p>
    <w:p>
      <w:pPr>
        <w:spacing w:after="0" w:line="29" w:lineRule="exact"/>
        <w:rPr>
          <w:rFonts w:ascii="Courier New" w:cs="Courier New" w:eastAsia="Courier New" w:hAnsi="Courier New"/>
          <w:sz w:val="16"/>
          <w:szCs w:val="16"/>
          <w:color w:val="auto"/>
        </w:rPr>
      </w:pPr>
    </w:p>
    <w:p>
      <w:pPr>
        <w:ind w:left="500" w:right="3240" w:hanging="400"/>
        <w:spacing w:after="0" w:line="276" w:lineRule="auto"/>
        <w:tabs>
          <w:tab w:leader="none" w:pos="5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76" w:lineRule="exact"/>
        <w:rPr>
          <w:rFonts w:ascii="Courier New" w:cs="Courier New" w:eastAsia="Courier New" w:hAnsi="Courier New"/>
          <w:sz w:val="16"/>
          <w:szCs w:val="16"/>
          <w:color w:val="auto"/>
        </w:rPr>
      </w:pPr>
    </w:p>
    <w:p>
      <w:pPr>
        <w:ind w:left="500" w:right="3060" w:hanging="400"/>
        <w:spacing w:after="0" w:line="276" w:lineRule="auto"/>
        <w:tabs>
          <w:tab w:leader="none" w:pos="5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56" w:lineRule="exact"/>
        <w:rPr>
          <w:sz w:val="20"/>
          <w:szCs w:val="20"/>
          <w:color w:val="auto"/>
        </w:rPr>
      </w:pPr>
    </w:p>
    <w:tbl>
      <w:tblPr>
        <w:tblLayout w:type="fixed"/>
        <w:tblInd w:w="118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00" w:type="dxa"/>
            <w:vAlign w:val="bottom"/>
            <w:gridSpan w:val="3"/>
            <w:vMerge w:val="restart"/>
          </w:tcPr>
          <w:p>
            <w:pPr>
              <w:jc w:val="right"/>
              <w:ind w:right="18"/>
              <w:spacing w:after="0"/>
              <w:rPr>
                <w:sz w:val="20"/>
                <w:szCs w:val="20"/>
                <w:color w:val="auto"/>
              </w:rPr>
            </w:pPr>
            <w:r>
              <w:rPr>
                <w:rFonts w:ascii="Courier New" w:cs="Courier New" w:eastAsia="Courier New" w:hAnsi="Courier New"/>
                <w:sz w:val="16"/>
                <w:szCs w:val="16"/>
                <w:color w:val="auto"/>
              </w:rPr>
              <w:t>YEAR ENDED MAY 31,</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NINE MONTHS</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0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ENDED FEBRUARY 28,</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1040" w:type="dxa"/>
            <w:vAlign w:val="bottom"/>
            <w:gridSpan w:val="2"/>
            <w:vMerge w:val="restart"/>
          </w:tcPr>
          <w:p>
            <w:pPr>
              <w:spacing w:after="0"/>
              <w:rPr>
                <w:sz w:val="20"/>
                <w:szCs w:val="20"/>
                <w:color w:val="auto"/>
              </w:rPr>
            </w:pPr>
            <w:r>
              <w:rPr>
                <w:rFonts w:ascii="Courier New" w:cs="Courier New" w:eastAsia="Courier New" w:hAnsi="Courier New"/>
                <w:sz w:val="4"/>
                <w:szCs w:val="4"/>
                <w:color w:val="auto"/>
                <w:w w:val="70"/>
              </w:rPr>
              <w:t>--------------------------------------------------------</w:t>
            </w:r>
            <w:r>
              <w:rPr>
                <w:rFonts w:ascii="Courier New" w:cs="Courier New" w:eastAsia="Courier New" w:hAnsi="Courier New"/>
                <w:sz w:val="7"/>
                <w:szCs w:val="7"/>
                <w:color w:val="auto"/>
                <w:w w:val="70"/>
                <w:vertAlign w:val="subscript"/>
              </w:rPr>
              <w:t>1998</w:t>
            </w:r>
          </w:p>
        </w:tc>
        <w:tc>
          <w:tcPr>
            <w:tcW w:w="10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1999</w:t>
            </w:r>
          </w:p>
        </w:tc>
        <w:tc>
          <w:tcPr>
            <w:tcW w:w="128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80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w w:val="98"/>
              </w:rPr>
              <w:t>2001</w:t>
            </w:r>
          </w:p>
        </w:tc>
        <w:tc>
          <w:tcPr>
            <w:tcW w:w="380" w:type="dxa"/>
            <w:vAlign w:val="bottom"/>
          </w:tcPr>
          <w:p>
            <w:pPr>
              <w:spacing w:after="0"/>
              <w:rPr>
                <w:sz w:val="16"/>
                <w:szCs w:val="16"/>
                <w:color w:val="auto"/>
              </w:rPr>
            </w:pPr>
          </w:p>
        </w:tc>
        <w:tc>
          <w:tcPr>
            <w:tcW w:w="90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w w:val="98"/>
              </w:rPr>
              <w:t>2002</w:t>
            </w:r>
          </w:p>
        </w:tc>
        <w:tc>
          <w:tcPr>
            <w:tcW w:w="1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2002</w:t>
            </w:r>
          </w:p>
        </w:tc>
        <w:tc>
          <w:tcPr>
            <w:tcW w:w="360" w:type="dxa"/>
            <w:vAlign w:val="bottom"/>
          </w:tcPr>
          <w:p>
            <w:pPr>
              <w:spacing w:after="0"/>
              <w:rPr>
                <w:sz w:val="16"/>
                <w:szCs w:val="16"/>
                <w:color w:val="auto"/>
              </w:rPr>
            </w:pP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3"/>
              </w:rPr>
              <w:t>2003</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Reported net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5"/>
              </w:rPr>
              <w:t>4,343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$8,053</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$6,068</w:t>
            </w:r>
          </w:p>
        </w:tc>
        <w:tc>
          <w:tcPr>
            <w:tcW w:w="1140" w:type="dxa"/>
            <w:vAlign w:val="bottom"/>
            <w:gridSpan w:val="2"/>
            <w:vMerge w:val="restart"/>
          </w:tcPr>
          <w:p>
            <w:pPr>
              <w:jc w:val="right"/>
              <w:ind w:right="118"/>
              <w:spacing w:after="0"/>
              <w:rPr>
                <w:sz w:val="20"/>
                <w:szCs w:val="20"/>
                <w:color w:val="auto"/>
              </w:rPr>
            </w:pPr>
            <w:r>
              <w:rPr>
                <w:rFonts w:ascii="Courier New" w:cs="Courier New" w:eastAsia="Courier New" w:hAnsi="Courier New"/>
                <w:sz w:val="16"/>
                <w:szCs w:val="16"/>
                <w:color w:val="auto"/>
              </w:rPr>
              <w:t>$10,978</w:t>
            </w:r>
          </w:p>
        </w:tc>
        <w:tc>
          <w:tcPr>
            <w:tcW w:w="1280" w:type="dxa"/>
            <w:vAlign w:val="bottom"/>
            <w:gridSpan w:val="2"/>
            <w:vMerge w:val="restart"/>
          </w:tcPr>
          <w:p>
            <w:pPr>
              <w:jc w:val="right"/>
              <w:ind w:right="218"/>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vMerge w:val="restart"/>
          </w:tcPr>
          <w:p>
            <w:pPr>
              <w:jc w:val="right"/>
              <w:ind w:right="58"/>
              <w:spacing w:after="0"/>
              <w:rPr>
                <w:sz w:val="20"/>
                <w:szCs w:val="20"/>
                <w:color w:val="auto"/>
              </w:rPr>
            </w:pPr>
            <w:r>
              <w:rPr>
                <w:rFonts w:ascii="Courier New" w:cs="Courier New" w:eastAsia="Courier New" w:hAnsi="Courier New"/>
                <w:sz w:val="16"/>
                <w:szCs w:val="16"/>
                <w:color w:val="auto"/>
              </w:rPr>
              <w:t>$10,385</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400" w:type="dxa"/>
            <w:vAlign w:val="bottom"/>
          </w:tcPr>
          <w:p>
            <w:pPr>
              <w:spacing w:after="0"/>
              <w:rPr>
                <w:sz w:val="16"/>
                <w:szCs w:val="16"/>
                <w:color w:val="auto"/>
              </w:rPr>
            </w:pP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38</w:t>
            </w:r>
          </w:p>
        </w:tc>
        <w:tc>
          <w:tcPr>
            <w:tcW w:w="340" w:type="dxa"/>
            <w:vAlign w:val="bottom"/>
          </w:tcPr>
          <w:p>
            <w:pPr>
              <w:spacing w:after="0"/>
              <w:rPr>
                <w:sz w:val="16"/>
                <w:szCs w:val="16"/>
                <w:color w:val="auto"/>
              </w:rPr>
            </w:pP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spacing w:after="0"/>
              <w:rPr>
                <w:sz w:val="16"/>
                <w:szCs w:val="16"/>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w w:val="95"/>
              </w:rPr>
              <w:t>4,343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$8,053</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$6,106</w:t>
            </w:r>
          </w:p>
        </w:tc>
        <w:tc>
          <w:tcPr>
            <w:tcW w:w="1140" w:type="dxa"/>
            <w:vAlign w:val="bottom"/>
            <w:gridSpan w:val="2"/>
            <w:vMerge w:val="restart"/>
          </w:tcPr>
          <w:p>
            <w:pPr>
              <w:jc w:val="right"/>
              <w:ind w:right="118"/>
              <w:spacing w:after="0"/>
              <w:rPr>
                <w:sz w:val="20"/>
                <w:szCs w:val="20"/>
                <w:color w:val="auto"/>
              </w:rPr>
            </w:pPr>
            <w:r>
              <w:rPr>
                <w:rFonts w:ascii="Courier New" w:cs="Courier New" w:eastAsia="Courier New" w:hAnsi="Courier New"/>
                <w:sz w:val="16"/>
                <w:szCs w:val="16"/>
                <w:color w:val="auto"/>
              </w:rPr>
              <w:t>$11,188</w:t>
            </w:r>
          </w:p>
        </w:tc>
        <w:tc>
          <w:tcPr>
            <w:tcW w:w="1280" w:type="dxa"/>
            <w:vAlign w:val="bottom"/>
            <w:gridSpan w:val="2"/>
            <w:vMerge w:val="restart"/>
          </w:tcPr>
          <w:p>
            <w:pPr>
              <w:jc w:val="right"/>
              <w:ind w:right="218"/>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vMerge w:val="restart"/>
          </w:tcPr>
          <w:p>
            <w:pPr>
              <w:jc w:val="right"/>
              <w:ind w:right="58"/>
              <w:spacing w:after="0"/>
              <w:rPr>
                <w:sz w:val="20"/>
                <w:szCs w:val="20"/>
                <w:color w:val="auto"/>
              </w:rPr>
            </w:pPr>
            <w:r>
              <w:rPr>
                <w:rFonts w:ascii="Courier New" w:cs="Courier New" w:eastAsia="Courier New" w:hAnsi="Courier New"/>
                <w:sz w:val="16"/>
                <w:szCs w:val="16"/>
                <w:color w:val="auto"/>
              </w:rPr>
              <w:t>$10,385</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$12,989</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Basic net income</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0.56</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$ 0.74</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1.22</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0.90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277"/>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4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400" w:type="dxa"/>
            <w:vAlign w:val="bottom"/>
          </w:tcPr>
          <w:p>
            <w:pPr>
              <w:spacing w:after="0"/>
              <w:rPr>
                <w:sz w:val="24"/>
                <w:szCs w:val="24"/>
                <w:color w:val="auto"/>
              </w:rPr>
            </w:pP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24"/>
                <w:szCs w:val="24"/>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net</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income per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0.56</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$ 0.74</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0.99</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1.22</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0.90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Diluted net income</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0.49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$ 0.68</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1.16</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0.85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277"/>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4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9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400" w:type="dxa"/>
            <w:vAlign w:val="bottom"/>
          </w:tcPr>
          <w:p>
            <w:pPr>
              <w:spacing w:after="0"/>
              <w:rPr>
                <w:sz w:val="24"/>
                <w:szCs w:val="24"/>
                <w:color w:val="auto"/>
              </w:rPr>
            </w:pP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24"/>
                <w:szCs w:val="24"/>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1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net income per</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0.49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$ 0.68</w:t>
            </w:r>
          </w:p>
        </w:tc>
        <w:tc>
          <w:tcPr>
            <w:tcW w:w="128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$ 0.51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0.94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1.16</w:t>
            </w:r>
          </w:p>
        </w:tc>
        <w:tc>
          <w:tcPr>
            <w:tcW w:w="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0.85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190"/>
        </w:trPr>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00" w:right="3160" w:hanging="400"/>
        <w:spacing w:after="0" w:line="377"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ordinary share is based on the weighted average number of outstanding ordinary shares while diluted net income per share is adjusted</w:t>
      </w:r>
    </w:p>
    <w:p>
      <w:pPr>
        <w:sectPr>
          <w:pgSz w:w="11900" w:h="16971" w:orient="portrait"/>
          <w:cols w:equalWidth="0" w:num="1">
            <w:col w:w="10940"/>
          </w:cols>
          <w:pgMar w:left="240" w:top="1034" w:right="719"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to include potential ordinary shares from the exercise of options.</w:t>
      </w:r>
    </w:p>
    <w:p>
      <w:pPr>
        <w:sectPr>
          <w:pgSz w:w="11900" w:h="16838" w:orient="portrait"/>
          <w:cols w:equalWidth="0" w:num="1">
            <w:col w:w="9719"/>
          </w:cols>
          <w:pgMar w:left="740" w:top="112" w:right="1440" w:bottom="1440" w:gutter="0" w:footer="0" w:header="0"/>
        </w:sectPr>
      </w:pPr>
    </w:p>
    <w:p>
      <w:pPr>
        <w:spacing w:after="0" w:line="38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19"/>
          </w:cols>
          <w:pgMar w:left="740" w:top="112" w:right="1440" w:bottom="1440" w:gutter="0" w:footer="0" w:header="0"/>
          <w:type w:val="continuous"/>
        </w:sectPr>
      </w:pPr>
    </w:p>
    <w:bookmarkStart w:id="9" w:name="page10"/>
    <w:bookmarkEnd w:id="9"/>
    <w:p>
      <w:pPr>
        <w:ind w:left="3360"/>
        <w:spacing w:after="0"/>
        <w:rPr>
          <w:sz w:val="20"/>
          <w:szCs w:val="20"/>
          <w:color w:val="auto"/>
        </w:rPr>
      </w:pPr>
      <w:r>
        <w:rPr>
          <w:rFonts w:ascii="Courier New" w:cs="Courier New" w:eastAsia="Courier New" w:hAnsi="Courier New"/>
          <w:sz w:val="16"/>
          <w:szCs w:val="16"/>
          <w:color w:val="auto"/>
        </w:rPr>
        <w:t>RISK FACTORS</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73"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RISKS RELATED TO OUR BUSINESS</w:t>
      </w:r>
    </w:p>
    <w:p>
      <w:pPr>
        <w:spacing w:after="0" w:line="198"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WE ARE DEPENDENT ON THE CONTINUED OUTSOURCING OF RESEARCH AND DEVELOPMENT BY THE PHARMACEUTICAL AND BIOTECHNOLOGY INDUSTRIES.</w:t>
      </w:r>
    </w:p>
    <w:p>
      <w:pPr>
        <w:spacing w:after="0" w:line="1"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89" w:lineRule="exact"/>
        <w:rPr>
          <w:sz w:val="20"/>
          <w:szCs w:val="20"/>
          <w:color w:val="auto"/>
        </w:rPr>
      </w:pPr>
    </w:p>
    <w:p>
      <w:pPr>
        <w:ind w:right="2519"/>
        <w:spacing w:after="0" w:line="376" w:lineRule="auto"/>
        <w:rPr>
          <w:sz w:val="20"/>
          <w:szCs w:val="20"/>
          <w:color w:val="auto"/>
        </w:rPr>
      </w:pPr>
      <w:r>
        <w:rPr>
          <w:rFonts w:ascii="Courier New" w:cs="Courier New" w:eastAsia="Courier New" w:hAnsi="Courier New"/>
          <w:sz w:val="16"/>
          <w:szCs w:val="16"/>
          <w:color w:val="auto"/>
        </w:rPr>
        <w:t>WE DEPEND ON A LIMITED NUMBER OF CLIENTS AND A LOSS OF OR SIGNIFICANT DECREASE IN BUSINESS FROM THEM COULD AFFECT OUR BUSINESS.</w:t>
      </w:r>
    </w:p>
    <w:p>
      <w:pPr>
        <w:spacing w:after="0" w:line="1"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90" w:lineRule="exact"/>
        <w:rPr>
          <w:sz w:val="20"/>
          <w:szCs w:val="20"/>
          <w:color w:val="auto"/>
        </w:rPr>
      </w:pPr>
    </w:p>
    <w:p>
      <w:pPr>
        <w:ind w:right="2619"/>
        <w:spacing w:after="0" w:line="314" w:lineRule="auto"/>
        <w:rPr>
          <w:sz w:val="20"/>
          <w:szCs w:val="20"/>
          <w:color w:val="auto"/>
        </w:rPr>
      </w:pPr>
      <w:r>
        <w:rPr>
          <w:rFonts w:ascii="Courier New" w:cs="Courier New" w:eastAsia="Courier New" w:hAnsi="Courier New"/>
          <w:sz w:val="16"/>
          <w:szCs w:val="16"/>
          <w:color w:val="auto"/>
        </w:rPr>
        <w:t>IF OUR CLIENTS DISCONTINUE USING OUR SERVICES, OR CANCEL OR DISCONTINUE PROJECTS, OUR REVENUE WILL BE ADVERSELY AFFECTED AND WE MAY NOT RECEIVE THEIR BUSINESS IN THE FUTURE OR MAY NOT BE ABLE TO ATTRACT NEW CLIENTS.</w:t>
      </w:r>
    </w:p>
    <w:p>
      <w:pPr>
        <w:spacing w:after="0" w:line="47"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76" w:lineRule="exact"/>
        <w:rPr>
          <w:sz w:val="20"/>
          <w:szCs w:val="20"/>
          <w:color w:val="auto"/>
        </w:rPr>
      </w:pPr>
    </w:p>
    <w:p>
      <w:pPr>
        <w:ind w:left="1080" w:right="2619" w:hanging="487"/>
        <w:spacing w:after="0" w:line="376" w:lineRule="auto"/>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products being tested to satisfy safety or efficacy requirements;</w:t>
      </w: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or undesired clinical results of the product;</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decision that a particular study is no longer necessary;</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insufficient patient enrollment or investigator recruitment; or</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problems resulting in shortages of the drug.</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5" w:right="1440" w:bottom="1440" w:gutter="0" w:footer="0" w:header="0"/>
        </w:sectPr>
      </w:pPr>
    </w:p>
    <w:bookmarkStart w:id="10" w:name="page11"/>
    <w:bookmarkEnd w:id="10"/>
    <w:p>
      <w:pPr>
        <w:ind w:right="2339" w:firstLine="591"/>
        <w:spacing w:after="0" w:line="376" w:lineRule="auto"/>
        <w:rPr>
          <w:sz w:val="20"/>
          <w:szCs w:val="20"/>
          <w:color w:val="auto"/>
        </w:rPr>
      </w:pPr>
      <w:r>
        <w:rPr>
          <w:rFonts w:ascii="Courier New" w:cs="Courier New" w:eastAsia="Courier New" w:hAnsi="Courier New"/>
          <w:sz w:val="16"/>
          <w:szCs w:val="16"/>
          <w:color w:val="auto"/>
        </w:rPr>
        <w:t>If we lose clients, we may not be able to attract new ones, and if we lose individual projects, we may not be able to replace them.</w:t>
      </w:r>
    </w:p>
    <w:p>
      <w:pPr>
        <w:spacing w:after="0" w:line="1" w:lineRule="exact"/>
        <w:rPr>
          <w:sz w:val="20"/>
          <w:szCs w:val="20"/>
          <w:color w:val="auto"/>
        </w:rPr>
      </w:pPr>
    </w:p>
    <w:p>
      <w:pPr>
        <w:ind w:right="2519"/>
        <w:spacing w:after="0" w:line="293" w:lineRule="auto"/>
        <w:rPr>
          <w:sz w:val="20"/>
          <w:szCs w:val="20"/>
          <w:color w:val="auto"/>
        </w:rPr>
      </w:pPr>
      <w:r>
        <w:rPr>
          <w:rFonts w:ascii="Courier New" w:cs="Courier New" w:eastAsia="Courier New" w:hAnsi="Courier New"/>
          <w:sz w:val="16"/>
          <w:szCs w:val="16"/>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63"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The market for CROs is highly competitive. We primarily compete against in-house departments of pharmaceutical companies and other CROs including Covance, Inc., Ingenix Inc. (United Health), Inveresk Research Group, Inc., Kendle International Inc., MDS Inc., Omnicare, Inc., PAREXEL International Corp., Pharmaceutical Product Development, Inc., PRA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84" w:lineRule="exact"/>
        <w:rPr>
          <w:sz w:val="20"/>
          <w:szCs w:val="20"/>
          <w:color w:val="auto"/>
        </w:rPr>
      </w:pPr>
    </w:p>
    <w:p>
      <w:pPr>
        <w:ind w:right="2339" w:firstLine="591"/>
        <w:spacing w:after="0" w:line="376" w:lineRule="auto"/>
        <w:rPr>
          <w:sz w:val="20"/>
          <w:szCs w:val="20"/>
          <w:color w:val="auto"/>
        </w:rPr>
      </w:pPr>
      <w:r>
        <w:rPr>
          <w:rFonts w:ascii="Courier New" w:cs="Courier New" w:eastAsia="Courier New" w:hAnsi="Courier New"/>
          <w:sz w:val="16"/>
          <w:szCs w:val="16"/>
          <w:color w:val="auto"/>
        </w:rPr>
        <w:t>Any of these factors may prevent us from getting the opportunity to bid on new projects or prevent us from being competitive in bidding on new contracts.</w:t>
      </w:r>
    </w:p>
    <w:p>
      <w:pPr>
        <w:spacing w:after="0" w:line="1" w:lineRule="exact"/>
        <w:rPr>
          <w:sz w:val="20"/>
          <w:szCs w:val="20"/>
          <w:color w:val="auto"/>
        </w:rPr>
      </w:pPr>
    </w:p>
    <w:p>
      <w:pPr>
        <w:ind w:right="2519"/>
        <w:spacing w:after="0" w:line="376" w:lineRule="auto"/>
        <w:rPr>
          <w:sz w:val="20"/>
          <w:szCs w:val="20"/>
          <w:color w:val="auto"/>
        </w:rPr>
      </w:pPr>
      <w:r>
        <w:rPr>
          <w:rFonts w:ascii="Courier New" w:cs="Courier New" w:eastAsia="Courier New" w:hAnsi="Courier New"/>
          <w:sz w:val="16"/>
          <w:szCs w:val="16"/>
          <w:color w:val="auto"/>
        </w:rPr>
        <w:t>OUR QUARTERLY RESULTS ARE DEPENDENT UPON A NUMBER OF FACTORS AND CAN FLUCTUATE FROM QUARTER TO QUARTER.</w:t>
      </w:r>
    </w:p>
    <w:p>
      <w:pPr>
        <w:spacing w:after="0" w:line="1"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89" w:lineRule="exact"/>
        <w:rPr>
          <w:sz w:val="20"/>
          <w:szCs w:val="20"/>
          <w:color w:val="auto"/>
        </w:rPr>
      </w:pPr>
    </w:p>
    <w:p>
      <w:pPr>
        <w:ind w:right="2719"/>
        <w:spacing w:after="0" w:line="314"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WOULD LOSE MONEY IN PERFORMING THESE CONTRACTS IF THE COSTS OF PERFORMANCE EXCEED THE FIXED FEES FOR THESE PROJECTS.</w:t>
      </w:r>
    </w:p>
    <w:p>
      <w:pPr>
        <w:spacing w:after="0" w:line="47"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FAIL TO ATTRACT OR RETAIN QUALIFIED STAFF, OUR PERFORMANCE MAY SUFFER.</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5" w:right="1440" w:bottom="1440" w:gutter="0" w:footer="0" w:header="0"/>
        </w:sectPr>
      </w:pPr>
    </w:p>
    <w:bookmarkStart w:id="11" w:name="page12"/>
    <w:bookmarkEnd w:id="11"/>
    <w:p>
      <w:pPr>
        <w:ind w:right="2439"/>
        <w:spacing w:after="0" w:line="314" w:lineRule="auto"/>
        <w:rPr>
          <w:sz w:val="20"/>
          <w:szCs w:val="20"/>
          <w:color w:val="auto"/>
        </w:rPr>
      </w:pPr>
      <w:r>
        <w:rPr>
          <w:rFonts w:ascii="Courier New" w:cs="Courier New" w:eastAsia="Courier New" w:hAnsi="Courier New"/>
          <w:sz w:val="16"/>
          <w:szCs w:val="16"/>
          <w:color w:val="auto"/>
        </w:rPr>
        <w:t>FAILURE TO COMPLY WITH THE REGULATIONS OF THE U.S. FOOD AND DRUG ADMINISTRATION AND OTHER REGULATORY AUTHORITIES COULD RESULT IN SUBSTANTIAL PENALTIES AND/OR LOSS OF BUSINESS.</w:t>
      </w:r>
    </w:p>
    <w:p>
      <w:pPr>
        <w:spacing w:after="0" w:line="47"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76" w:lineRule="exact"/>
        <w:rPr>
          <w:sz w:val="20"/>
          <w:szCs w:val="20"/>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research;</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disqualification of data;</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denial of the right to conduct business;</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penalties; and</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enforcement actions.</w:t>
      </w:r>
    </w:p>
    <w:p>
      <w:pPr>
        <w:spacing w:after="0" w:line="198"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OUR EXPOSURE TO EXCHANGE RATE FLUCTUATIONS COULD ADVERSELY AFFECT OUR RESULTS OF OPERATIONS.</w:t>
      </w:r>
    </w:p>
    <w:p>
      <w:pPr>
        <w:spacing w:after="0" w:line="1"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79"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283" w:lineRule="exact"/>
        <w:rPr>
          <w:sz w:val="20"/>
          <w:szCs w:val="20"/>
          <w:color w:val="auto"/>
        </w:rPr>
      </w:pPr>
    </w:p>
    <w:p>
      <w:pPr>
        <w:ind w:right="2919"/>
        <w:spacing w:after="0" w:line="376" w:lineRule="auto"/>
        <w:rPr>
          <w:sz w:val="20"/>
          <w:szCs w:val="20"/>
          <w:color w:val="auto"/>
        </w:rPr>
      </w:pPr>
      <w:r>
        <w:rPr>
          <w:rFonts w:ascii="Courier New" w:cs="Courier New" w:eastAsia="Courier New" w:hAnsi="Courier New"/>
          <w:sz w:val="16"/>
          <w:szCs w:val="16"/>
          <w:color w:val="auto"/>
        </w:rPr>
        <w:t>LIABILITY CLAIMS BROUGHT AGAINST US COULD RESULT IN PAYMENT OF SUBSTANTIAL DAMAGES TO PLAINTIFFS AND DECREASE OUR PROFITABILITY.</w:t>
      </w:r>
    </w:p>
    <w:p>
      <w:pPr>
        <w:spacing w:after="0" w:line="1" w:lineRule="exact"/>
        <w:rPr>
          <w:sz w:val="20"/>
          <w:szCs w:val="20"/>
          <w:color w:val="auto"/>
        </w:rPr>
      </w:pPr>
    </w:p>
    <w:p>
      <w:pPr>
        <w:ind w:right="2619" w:firstLine="591"/>
        <w:spacing w:after="0" w:line="269"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81"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73"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5" w:right="1440" w:bottom="1440" w:gutter="0" w:footer="0" w:header="0"/>
        </w:sectPr>
      </w:pPr>
    </w:p>
    <w:bookmarkStart w:id="12" w:name="page13"/>
    <w:bookmarkEnd w:id="12"/>
    <w:p>
      <w:pPr>
        <w:jc w:val="center"/>
        <w:ind w:right="2339"/>
        <w:spacing w:after="0"/>
        <w:rPr>
          <w:sz w:val="20"/>
          <w:szCs w:val="20"/>
          <w:color w:val="auto"/>
        </w:rPr>
      </w:pPr>
      <w:r>
        <w:rPr>
          <w:rFonts w:ascii="Courier New" w:cs="Courier New" w:eastAsia="Courier New" w:hAnsi="Courier New"/>
          <w:sz w:val="16"/>
          <w:szCs w:val="16"/>
          <w:color w:val="auto"/>
        </w:rPr>
        <w:t>RISKS RELATED TO THIS OFFERING</w:t>
      </w:r>
    </w:p>
    <w:p>
      <w:pPr>
        <w:spacing w:after="0" w:line="198"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IF YOU PURCHASE ADSS IN THIS OFFERING, YOU WILL SUFFER IMMEDIATE AND SUBSTANTIAL DILUTION OF YOUR INVESTMENT.</w:t>
      </w:r>
    </w:p>
    <w:p>
      <w:pPr>
        <w:spacing w:after="0" w:line="1"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After giving effect to the sale of ADSs in this offering, the number of our ordinary shares outstanding will be 13,341,757 and purchasers of ADSs in this offering will experience an immediate and substantial dilution in the net tangible book value per ordinary share of $22.04 (based on the sale of the ADSs at the public offering price set forth on the cover page of this prospectus).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SUBSTANTIAL DISCRETION AS TO HOW TO USE THE PROCEEDS FROM THIS OFFERING.</w:t>
      </w:r>
    </w:p>
    <w:p>
      <w:pPr>
        <w:spacing w:after="0" w:line="198"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63" w:lineRule="exact"/>
        <w:rPr>
          <w:sz w:val="20"/>
          <w:szCs w:val="20"/>
          <w:color w:val="auto"/>
        </w:rPr>
      </w:pPr>
    </w:p>
    <w:p>
      <w:pPr>
        <w:ind w:right="2339"/>
        <w:spacing w:after="0" w:line="376" w:lineRule="auto"/>
        <w:rPr>
          <w:sz w:val="20"/>
          <w:szCs w:val="20"/>
          <w:color w:val="auto"/>
        </w:rPr>
      </w:pPr>
      <w:r>
        <w:rPr>
          <w:rFonts w:ascii="Courier New" w:cs="Courier New" w:eastAsia="Courier New" w:hAnsi="Courier New"/>
          <w:sz w:val="16"/>
          <w:szCs w:val="16"/>
          <w:color w:val="auto"/>
        </w:rPr>
        <w:t>FLUCTUATIONS IN THE STOCK MARKET OR GENERAL ECONOMIC CONDITIONS COULD NEGATIVELY AFFECT THE MARKET PRICE OF OUR ADSS.</w:t>
      </w:r>
    </w:p>
    <w:p>
      <w:pPr>
        <w:spacing w:after="0" w:line="1"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MAY BE DIFFICULT FOR INVESTORS TO ENFORCE U.S. JUDGMENTS AGAINST US.</w:t>
      </w:r>
    </w:p>
    <w:p>
      <w:pPr>
        <w:spacing w:after="0" w:line="198"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2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5" w:right="1440" w:bottom="1440" w:gutter="0" w:footer="0" w:header="0"/>
        </w:sectPr>
      </w:pPr>
    </w:p>
    <w:bookmarkStart w:id="13" w:name="page14"/>
    <w:bookmarkEnd w:id="13"/>
    <w:p>
      <w:pPr>
        <w:ind w:left="168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98" w:lineRule="exact"/>
        <w:rPr>
          <w:sz w:val="20"/>
          <w:szCs w:val="20"/>
          <w:color w:val="auto"/>
        </w:rPr>
      </w:pPr>
    </w:p>
    <w:p>
      <w:pPr>
        <w:ind w:right="2339" w:firstLine="591"/>
        <w:spacing w:after="0" w:line="257"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5" w:right="1440" w:bottom="1440" w:gutter="0" w:footer="0" w:header="0"/>
        </w:sectPr>
      </w:pPr>
    </w:p>
    <w:bookmarkStart w:id="14" w:name="page15"/>
    <w:bookmarkEnd w:id="14"/>
    <w:p>
      <w:pPr>
        <w:ind w:left="3260"/>
        <w:spacing w:after="0"/>
        <w:rPr>
          <w:sz w:val="20"/>
          <w:szCs w:val="20"/>
          <w:color w:val="auto"/>
        </w:rPr>
      </w:pPr>
      <w:r>
        <w:rPr>
          <w:rFonts w:ascii="Courier New" w:cs="Courier New" w:eastAsia="Courier New" w:hAnsi="Courier New"/>
          <w:sz w:val="16"/>
          <w:szCs w:val="16"/>
          <w:color w:val="auto"/>
        </w:rPr>
        <w:t>USE OF PROCEEDS</w:t>
      </w:r>
    </w:p>
    <w:p>
      <w:pPr>
        <w:spacing w:after="0" w:line="198" w:lineRule="exact"/>
        <w:rPr>
          <w:sz w:val="20"/>
          <w:szCs w:val="20"/>
          <w:color w:val="auto"/>
        </w:rPr>
      </w:pPr>
    </w:p>
    <w:p>
      <w:pPr>
        <w:ind w:right="2519" w:firstLine="591"/>
        <w:spacing w:after="0" w:line="272" w:lineRule="auto"/>
        <w:rPr>
          <w:sz w:val="20"/>
          <w:szCs w:val="20"/>
          <w:color w:val="auto"/>
        </w:rPr>
      </w:pPr>
      <w:r>
        <w:rPr>
          <w:rFonts w:ascii="Courier New" w:cs="Courier New" w:eastAsia="Courier New" w:hAnsi="Courier New"/>
          <w:sz w:val="16"/>
          <w:szCs w:val="16"/>
          <w:color w:val="auto"/>
        </w:rPr>
        <w:t>We estimate that the net proceeds to us from this offering, after deducting underwriting discounts and commissions and the estimated offering expenses payable by us, will be approximately $44.3 million. We intend to use the net proceeds from this offering received by us, together with our existing cash, cash equivalents, short-term investments and cash generated from operations, for general corporate purposes, which may include the funding of opportunistic acquisitions.</w:t>
      </w:r>
    </w:p>
    <w:p>
      <w:pPr>
        <w:spacing w:after="0" w:line="79" w:lineRule="exact"/>
        <w:rPr>
          <w:sz w:val="20"/>
          <w:szCs w:val="20"/>
          <w:color w:val="auto"/>
        </w:rPr>
      </w:pPr>
    </w:p>
    <w:p>
      <w:pPr>
        <w:ind w:right="2619" w:firstLine="591"/>
        <w:spacing w:after="0" w:line="272" w:lineRule="auto"/>
        <w:rPr>
          <w:sz w:val="20"/>
          <w:szCs w:val="20"/>
          <w:color w:val="auto"/>
        </w:rPr>
      </w:pPr>
      <w:r>
        <w:rPr>
          <w:rFonts w:ascii="Courier New" w:cs="Courier New" w:eastAsia="Courier New" w:hAnsi="Courier New"/>
          <w:sz w:val="16"/>
          <w:szCs w:val="16"/>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79" w:lineRule="exact"/>
        <w:rPr>
          <w:sz w:val="20"/>
          <w:szCs w:val="20"/>
          <w:color w:val="auto"/>
        </w:rPr>
      </w:pPr>
    </w:p>
    <w:p>
      <w:pPr>
        <w:ind w:right="2919" w:firstLine="591"/>
        <w:spacing w:after="0" w:line="377" w:lineRule="auto"/>
        <w:rPr>
          <w:sz w:val="20"/>
          <w:szCs w:val="20"/>
          <w:color w:val="auto"/>
        </w:rPr>
      </w:pPr>
      <w:r>
        <w:rPr>
          <w:rFonts w:ascii="Courier New" w:cs="Courier New" w:eastAsia="Courier New" w:hAnsi="Courier New"/>
          <w:sz w:val="16"/>
          <w:szCs w:val="16"/>
          <w:color w:val="auto"/>
        </w:rPr>
        <w:t>We will not receive any of the proceeds from the sale of ADSs by the selling shareholders.</w:t>
      </w:r>
    </w:p>
    <w:p>
      <w:pPr>
        <w:spacing w:after="0" w:line="1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5" w:right="1440" w:bottom="1440" w:gutter="0" w:footer="0" w:header="0"/>
        </w:sectPr>
      </w:pPr>
    </w:p>
    <w:bookmarkStart w:id="15" w:name="page16"/>
    <w:bookmarkEnd w:id="15"/>
    <w:p>
      <w:pPr>
        <w:ind w:left="2080"/>
        <w:spacing w:after="0"/>
        <w:rPr>
          <w:sz w:val="20"/>
          <w:szCs w:val="20"/>
          <w:color w:val="auto"/>
        </w:rPr>
      </w:pPr>
      <w:r>
        <w:rPr>
          <w:rFonts w:ascii="Courier New" w:cs="Courier New" w:eastAsia="Courier New" w:hAnsi="Courier New"/>
          <w:sz w:val="16"/>
          <w:szCs w:val="16"/>
          <w:color w:val="auto"/>
        </w:rPr>
        <w:t>PRICE RANGE OF ADSS AND DIVIDEND POLICY</w:t>
      </w:r>
    </w:p>
    <w:p>
      <w:pPr>
        <w:spacing w:after="0" w:line="198" w:lineRule="exact"/>
        <w:rPr>
          <w:sz w:val="20"/>
          <w:szCs w:val="20"/>
          <w:color w:val="auto"/>
        </w:rPr>
      </w:pPr>
    </w:p>
    <w:p>
      <w:pPr>
        <w:ind w:right="2519"/>
        <w:spacing w:after="0" w:line="263" w:lineRule="auto"/>
        <w:rPr>
          <w:sz w:val="20"/>
          <w:szCs w:val="20"/>
          <w:color w:val="auto"/>
        </w:rPr>
      </w:pPr>
      <w:r>
        <w:rPr>
          <w:rFonts w:ascii="Courier New" w:cs="Courier New" w:eastAsia="Courier New" w:hAnsi="Courier New"/>
          <w:sz w:val="16"/>
          <w:szCs w:val="16"/>
          <w:color w:val="auto"/>
        </w:rPr>
        <w:t>Our ADSs are traded on The Nasdaq National Market under the symbol "ICLR." A total of 11,841,757 ordinary shares were issued and outstanding as of June 30, 2003,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jc w:val="center"/>
              <w:ind w:right="818"/>
              <w:spacing w:after="0"/>
              <w:rPr>
                <w:sz w:val="20"/>
                <w:szCs w:val="20"/>
                <w:color w:val="auto"/>
              </w:rPr>
            </w:pPr>
            <w:r>
              <w:rPr>
                <w:rFonts w:ascii="Courier New" w:cs="Courier New" w:eastAsia="Courier New" w:hAnsi="Courier New"/>
                <w:sz w:val="16"/>
                <w:szCs w:val="16"/>
                <w:color w:val="auto"/>
              </w:rPr>
              <w:t>ADSS</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6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jc w:val="center"/>
              <w:ind w:right="798"/>
              <w:spacing w:after="0"/>
              <w:rPr>
                <w:sz w:val="20"/>
                <w:szCs w:val="20"/>
                <w:color w:val="auto"/>
              </w:rPr>
            </w:pPr>
            <w:r>
              <w:rPr>
                <w:rFonts w:ascii="Courier New" w:cs="Courier New" w:eastAsia="Courier New" w:hAnsi="Courier New"/>
                <w:sz w:val="16"/>
                <w:szCs w:val="16"/>
                <w:color w:val="auto"/>
              </w:rPr>
              <w:t>NASDAQ</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6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HIGH</w:t>
            </w:r>
          </w:p>
        </w:tc>
        <w:tc>
          <w:tcPr>
            <w:tcW w:w="1660" w:type="dxa"/>
            <w:vAlign w:val="bottom"/>
          </w:tcPr>
          <w:p>
            <w:pPr>
              <w:ind w:left="1180"/>
              <w:spacing w:after="0"/>
              <w:rPr>
                <w:sz w:val="20"/>
                <w:szCs w:val="20"/>
                <w:color w:val="auto"/>
              </w:rPr>
            </w:pPr>
            <w:r>
              <w:rPr>
                <w:rFonts w:ascii="Courier New" w:cs="Courier New" w:eastAsia="Courier New" w:hAnsi="Courier New"/>
                <w:sz w:val="16"/>
                <w:szCs w:val="16"/>
                <w:color w:val="auto"/>
              </w:rPr>
              <w:t>LOW</w:t>
            </w:r>
          </w:p>
        </w:tc>
        <w:tc>
          <w:tcPr>
            <w:tcW w:w="0" w:type="dxa"/>
            <w:vAlign w:val="bottom"/>
          </w:tcPr>
          <w:p>
            <w:pPr>
              <w:spacing w:after="0"/>
              <w:rPr>
                <w:sz w:val="1"/>
                <w:szCs w:val="1"/>
                <w:color w:val="auto"/>
              </w:rPr>
            </w:pPr>
          </w:p>
        </w:tc>
      </w:tr>
      <w:tr>
        <w:trPr>
          <w:trHeight w:val="277"/>
        </w:trPr>
        <w:tc>
          <w:tcPr>
            <w:tcW w:w="5220" w:type="dxa"/>
            <w:vAlign w:val="bottom"/>
            <w:vMerge w:val="restart"/>
          </w:tcPr>
          <w:p>
            <w:pPr>
              <w:spacing w:after="0"/>
              <w:rPr>
                <w:sz w:val="20"/>
                <w:szCs w:val="20"/>
                <w:color w:val="auto"/>
              </w:rPr>
            </w:pPr>
            <w:r>
              <w:rPr>
                <w:rFonts w:ascii="Courier New" w:cs="Courier New" w:eastAsia="Courier New" w:hAnsi="Courier New"/>
                <w:sz w:val="16"/>
                <w:szCs w:val="16"/>
                <w:color w:val="auto"/>
              </w:rPr>
              <w:t>LAST SIX MONTHS:</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5220" w:type="dxa"/>
            <w:vAlign w:val="bottom"/>
            <w:vMerge w:val="continue"/>
          </w:tcPr>
          <w:p>
            <w:pPr>
              <w:spacing w:after="0"/>
              <w:rPr>
                <w:sz w:val="8"/>
                <w:szCs w:val="8"/>
                <w:color w:val="auto"/>
              </w:rPr>
            </w:pP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$36.51</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$29.88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July, 2003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June,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$31.82</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$25.87</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May,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$30.85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$24.10</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April,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$25.90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$21.36</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March,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$26.50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$23.50</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February, 2003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$27.82</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$22.86</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LAST ELEVEN QUARTERS:</w:t>
            </w: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$30.85</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$21.36</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$32.87</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$22.35</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$26.00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$18.99</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$30.50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$14.88</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FISCAL 2002</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$34.49</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$23.87</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$32.79</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$25.13</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$35.69</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$22.93</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$39.58</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$26.74</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FISCAL 2001</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$27.55</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$18.38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$29.75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$15.38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$20.13</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LAST FIVE FISCAL YEARS:</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$32.87</w:t>
            </w:r>
          </w:p>
        </w:tc>
        <w:tc>
          <w:tcPr>
            <w:tcW w:w="1660" w:type="dxa"/>
            <w:vAlign w:val="bottom"/>
            <w:vMerge w:val="restart"/>
          </w:tcPr>
          <w:p>
            <w:pPr>
              <w:jc w:val="center"/>
              <w:ind w:left="798"/>
              <w:spacing w:after="0"/>
              <w:rPr>
                <w:sz w:val="20"/>
                <w:szCs w:val="20"/>
                <w:color w:val="auto"/>
              </w:rPr>
            </w:pPr>
            <w:r>
              <w:rPr>
                <w:rFonts w:ascii="Courier New" w:cs="Courier New" w:eastAsia="Courier New" w:hAnsi="Courier New"/>
                <w:sz w:val="16"/>
                <w:szCs w:val="16"/>
                <w:color w:val="auto"/>
              </w:rPr>
              <w:t>$14.88</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2003 ..............................................</w:t>
            </w:r>
          </w:p>
        </w:tc>
        <w:tc>
          <w:tcPr>
            <w:tcW w:w="10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2002 ..............................................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$39.58</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$22.93</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2001 ..............................................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$29.75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$15.00</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2000 ..............................................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$29.00</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$11.87</w:t>
            </w:r>
          </w:p>
        </w:tc>
        <w:tc>
          <w:tcPr>
            <w:tcW w:w="0" w:type="dxa"/>
            <w:vAlign w:val="bottom"/>
          </w:tcPr>
          <w:p>
            <w:pPr>
              <w:spacing w:after="0"/>
              <w:rPr>
                <w:sz w:val="1"/>
                <w:szCs w:val="1"/>
                <w:color w:val="auto"/>
              </w:rPr>
            </w:pPr>
          </w:p>
        </w:tc>
      </w:tr>
      <w:tr>
        <w:trPr>
          <w:trHeight w:val="277"/>
        </w:trPr>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1999 ..............................................</w:t>
            </w: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$36.75</w:t>
            </w:r>
          </w:p>
        </w:tc>
        <w:tc>
          <w:tcPr>
            <w:tcW w:w="1660" w:type="dxa"/>
            <w:vAlign w:val="bottom"/>
          </w:tcPr>
          <w:p>
            <w:pPr>
              <w:jc w:val="center"/>
              <w:ind w:left="798"/>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Our ordinary shares are also traded on the Official List of the Irish Stock Exchange; however, to date there has been limited trading activity on this exchange.</w:t>
      </w:r>
    </w:p>
    <w:p>
      <w:pPr>
        <w:spacing w:after="0" w:line="47"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2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7"/>
        </w:trPr>
        <w:tc>
          <w:tcPr>
            <w:tcW w:w="940" w:type="dxa"/>
            <w:vAlign w:val="bottom"/>
          </w:tcPr>
          <w:p>
            <w:pPr>
              <w:spacing w:after="0"/>
              <w:rPr>
                <w:sz w:val="24"/>
                <w:szCs w:val="24"/>
                <w:color w:val="auto"/>
              </w:rPr>
            </w:pPr>
          </w:p>
        </w:tc>
        <w:tc>
          <w:tcPr>
            <w:tcW w:w="6840" w:type="dxa"/>
            <w:vAlign w:val="bottom"/>
          </w:tcPr>
          <w:p>
            <w:pPr>
              <w:jc w:val="right"/>
              <w:ind w:right="3058"/>
              <w:spacing w:after="0"/>
              <w:rPr>
                <w:sz w:val="20"/>
                <w:szCs w:val="20"/>
                <w:color w:val="auto"/>
              </w:rPr>
            </w:pPr>
            <w:r>
              <w:rPr>
                <w:rFonts w:ascii="Courier New" w:cs="Courier New" w:eastAsia="Courier New" w:hAnsi="Courier New"/>
                <w:sz w:val="16"/>
                <w:szCs w:val="16"/>
                <w:color w:val="auto"/>
              </w:rPr>
              <w:t>CAPITALIZATION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The following table sets forth, as of May 31, 2003, our cash and cash</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equivalents, short-term investments, short-term debt and capitalization: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940" w:type="dxa"/>
            <w:vAlign w:val="bottom"/>
          </w:tcPr>
          <w:p>
            <w:pPr>
              <w:ind w:left="600"/>
              <w:spacing w:after="0"/>
              <w:rPr>
                <w:sz w:val="20"/>
                <w:szCs w:val="20"/>
                <w:color w:val="auto"/>
              </w:rPr>
            </w:pPr>
            <w:r>
              <w:rPr>
                <w:rFonts w:ascii="Courier New" w:cs="Courier New" w:eastAsia="Courier New" w:hAnsi="Courier New"/>
                <w:sz w:val="16"/>
                <w:szCs w:val="16"/>
                <w:color w:val="auto"/>
              </w:rPr>
              <w:t>o</w:t>
            </w:r>
          </w:p>
        </w:tc>
        <w:tc>
          <w:tcPr>
            <w:tcW w:w="6840" w:type="dxa"/>
            <w:vAlign w:val="bottom"/>
          </w:tcPr>
          <w:p>
            <w:pPr>
              <w:ind w:left="240"/>
              <w:spacing w:after="0"/>
              <w:rPr>
                <w:sz w:val="20"/>
                <w:szCs w:val="20"/>
                <w:color w:val="auto"/>
              </w:rPr>
            </w:pPr>
            <w:r>
              <w:rPr>
                <w:rFonts w:ascii="Courier New" w:cs="Courier New" w:eastAsia="Courier New" w:hAnsi="Courier New"/>
                <w:sz w:val="16"/>
                <w:szCs w:val="16"/>
                <w:color w:val="auto"/>
              </w:rPr>
              <w:t>on an actual basis; and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940" w:type="dxa"/>
            <w:vAlign w:val="bottom"/>
          </w:tcPr>
          <w:p>
            <w:pPr>
              <w:ind w:left="600"/>
              <w:spacing w:after="0"/>
              <w:rPr>
                <w:sz w:val="20"/>
                <w:szCs w:val="20"/>
                <w:color w:val="auto"/>
              </w:rPr>
            </w:pPr>
            <w:r>
              <w:rPr>
                <w:rFonts w:ascii="Courier New" w:cs="Courier New" w:eastAsia="Courier New" w:hAnsi="Courier New"/>
                <w:sz w:val="16"/>
                <w:szCs w:val="16"/>
                <w:color w:val="auto"/>
              </w:rPr>
              <w:t>o</w:t>
            </w:r>
          </w:p>
        </w:tc>
        <w:tc>
          <w:tcPr>
            <w:tcW w:w="6840" w:type="dxa"/>
            <w:vAlign w:val="bottom"/>
          </w:tcPr>
          <w:p>
            <w:pPr>
              <w:ind w:left="240"/>
              <w:spacing w:after="0"/>
              <w:rPr>
                <w:sz w:val="20"/>
                <w:szCs w:val="20"/>
                <w:color w:val="auto"/>
              </w:rPr>
            </w:pPr>
            <w:r>
              <w:rPr>
                <w:rFonts w:ascii="Courier New" w:cs="Courier New" w:eastAsia="Courier New" w:hAnsi="Courier New"/>
                <w:sz w:val="16"/>
                <w:szCs w:val="16"/>
                <w:color w:val="auto"/>
              </w:rPr>
              <w:t>as adjusted to give effect to the issuance and sale of 1,500,000</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ADSs by us in this offering at an offering price of $32.25:</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9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center"/>
              <w:ind w:right="258"/>
              <w:spacing w:after="0"/>
              <w:rPr>
                <w:sz w:val="20"/>
                <w:szCs w:val="20"/>
                <w:color w:val="auto"/>
              </w:rPr>
            </w:pPr>
            <w:r>
              <w:rPr>
                <w:rFonts w:ascii="Courier New" w:cs="Courier New" w:eastAsia="Courier New" w:hAnsi="Courier New"/>
                <w:sz w:val="16"/>
                <w:szCs w:val="16"/>
                <w:color w:val="auto"/>
                <w:w w:val="99"/>
              </w:rPr>
              <w:t>AS OF</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left="418"/>
              <w:spacing w:after="0"/>
              <w:rPr>
                <w:sz w:val="20"/>
                <w:szCs w:val="20"/>
                <w:color w:val="auto"/>
              </w:rPr>
            </w:pPr>
            <w:r>
              <w:rPr>
                <w:rFonts w:ascii="Courier New" w:cs="Courier New" w:eastAsia="Courier New" w:hAnsi="Courier New"/>
                <w:sz w:val="16"/>
                <w:szCs w:val="16"/>
                <w:color w:val="auto"/>
              </w:rPr>
              <w:t>MAY 31, 2003(2)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3"/>
          </w:tcPr>
          <w:p>
            <w:pPr>
              <w:jc w:val="center"/>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ACTUAL</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$ 18,311</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18,311</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Short-term investments (available for sale)</w:t>
            </w:r>
          </w:p>
        </w:tc>
        <w:tc>
          <w:tcPr>
            <w:tcW w:w="3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8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44,317</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short-term debt (1)</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7,126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7,126</w:t>
            </w:r>
          </w:p>
        </w:tc>
        <w:tc>
          <w:tcPr>
            <w:tcW w:w="0" w:type="dxa"/>
            <w:vAlign w:val="bottom"/>
          </w:tcPr>
          <w:p>
            <w:pPr>
              <w:spacing w:after="0"/>
              <w:rPr>
                <w:sz w:val="1"/>
                <w:szCs w:val="1"/>
                <w:color w:val="auto"/>
              </w:rPr>
            </w:pPr>
          </w:p>
        </w:tc>
      </w:tr>
      <w:tr>
        <w:trPr>
          <w:trHeight w:val="277"/>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Shareholders' equity:</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2"/>
        </w:trPr>
        <w:tc>
          <w:tcPr>
            <w:tcW w:w="77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Ordinary shares, par value (Euro)0.06 per share: 20,000,000 shares authorized;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11,841,557 fully-paid shares issued and outstanding (actual); 13,341,557</w:t>
            </w:r>
          </w:p>
        </w:tc>
        <w:tc>
          <w:tcPr>
            <w:tcW w:w="300" w:type="dxa"/>
            <w:vAlign w:val="bottom"/>
          </w:tcPr>
          <w:p>
            <w:pPr>
              <w:spacing w:after="0"/>
              <w:rPr>
                <w:sz w:val="16"/>
                <w:szCs w:val="16"/>
                <w:color w:val="auto"/>
              </w:rPr>
            </w:pPr>
          </w:p>
        </w:tc>
        <w:tc>
          <w:tcPr>
            <w:tcW w:w="8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841</w:t>
            </w:r>
          </w:p>
        </w:tc>
        <w:tc>
          <w:tcPr>
            <w:tcW w:w="1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947</w:t>
            </w:r>
          </w:p>
        </w:tc>
        <w:tc>
          <w:tcPr>
            <w:tcW w:w="0" w:type="dxa"/>
            <w:vAlign w:val="bottom"/>
          </w:tcPr>
          <w:p>
            <w:pPr>
              <w:spacing w:after="0"/>
              <w:rPr>
                <w:sz w:val="1"/>
                <w:szCs w:val="1"/>
                <w:color w:val="auto"/>
              </w:rPr>
            </w:pPr>
          </w:p>
        </w:tc>
      </w:tr>
      <w:tr>
        <w:trPr>
          <w:trHeight w:val="190"/>
        </w:trPr>
        <w:tc>
          <w:tcPr>
            <w:tcW w:w="7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fully-paid shares issued and outstanding (as adjusted) .....................</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Additional paid-in capital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61,164</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105,375</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Accumulated other comprehensive income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7,787</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7,787</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Merger reserve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47</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Retained earnings ............................................................</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67,071</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67,071</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shareholders' equity</w:t>
            </w:r>
          </w:p>
        </w:tc>
        <w:tc>
          <w:tcPr>
            <w:tcW w:w="30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8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136,910</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181,227</w:t>
            </w:r>
          </w:p>
        </w:tc>
        <w:tc>
          <w:tcPr>
            <w:tcW w:w="0" w:type="dxa"/>
            <w:vAlign w:val="bottom"/>
          </w:tcPr>
          <w:p>
            <w:pPr>
              <w:spacing w:after="0"/>
              <w:rPr>
                <w:sz w:val="1"/>
                <w:szCs w:val="1"/>
                <w:color w:val="auto"/>
              </w:rPr>
            </w:pPr>
          </w:p>
        </w:tc>
      </w:tr>
      <w:tr>
        <w:trPr>
          <w:trHeight w:val="190"/>
        </w:trPr>
        <w:tc>
          <w:tcPr>
            <w:tcW w:w="7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capitalization</w:t>
            </w:r>
          </w:p>
        </w:tc>
        <w:tc>
          <w:tcPr>
            <w:tcW w:w="1140" w:type="dxa"/>
            <w:vAlign w:val="bottom"/>
            <w:gridSpan w:val="2"/>
            <w:vMerge w:val="restart"/>
          </w:tcPr>
          <w:p>
            <w:pPr>
              <w:jc w:val="right"/>
              <w:ind w:right="58"/>
              <w:spacing w:after="0"/>
              <w:rPr>
                <w:sz w:val="20"/>
                <w:szCs w:val="20"/>
                <w:color w:val="auto"/>
              </w:rPr>
            </w:pPr>
            <w:r>
              <w:rPr>
                <w:rFonts w:ascii="Courier New" w:cs="Courier New" w:eastAsia="Courier New" w:hAnsi="Courier New"/>
                <w:sz w:val="21"/>
                <w:szCs w:val="21"/>
                <w:color w:val="auto"/>
                <w:w w:val="71"/>
                <w:vertAlign w:val="subscript"/>
              </w:rPr>
              <w:t>$</w:t>
            </w:r>
            <w:r>
              <w:rPr>
                <w:rFonts w:ascii="Courier New" w:cs="Courier New" w:eastAsia="Courier New" w:hAnsi="Courier New"/>
                <w:sz w:val="13"/>
                <w:szCs w:val="13"/>
                <w:color w:val="auto"/>
                <w:w w:val="71"/>
              </w:rPr>
              <w:t>---------</w:t>
            </w:r>
            <w:r>
              <w:rPr>
                <w:rFonts w:ascii="Courier New" w:cs="Courier New" w:eastAsia="Courier New" w:hAnsi="Courier New"/>
                <w:sz w:val="21"/>
                <w:szCs w:val="21"/>
                <w:color w:val="auto"/>
                <w:w w:val="71"/>
                <w:vertAlign w:val="subscript"/>
              </w:rPr>
              <w:t>144,036</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jc w:val="right"/>
              <w:spacing w:after="0" w:line="167" w:lineRule="exact"/>
              <w:rPr>
                <w:sz w:val="20"/>
                <w:szCs w:val="20"/>
                <w:color w:val="auto"/>
              </w:rPr>
            </w:pPr>
            <w:r>
              <w:rPr>
                <w:rFonts w:ascii="Courier New" w:cs="Courier New" w:eastAsia="Courier New" w:hAnsi="Courier New"/>
                <w:sz w:val="16"/>
                <w:szCs w:val="16"/>
                <w:color w:val="auto"/>
              </w:rPr>
              <w:t>.........................................................</w:t>
            </w:r>
          </w:p>
        </w:tc>
        <w:tc>
          <w:tcPr>
            <w:tcW w:w="1140" w:type="dxa"/>
            <w:vAlign w:val="bottom"/>
            <w:gridSpan w:val="2"/>
            <w:vMerge w:val="continue"/>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$ 188,353</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 w:lineRule="exact"/>
        <w:rPr>
          <w:sz w:val="20"/>
          <w:szCs w:val="20"/>
          <w:color w:val="auto"/>
        </w:rPr>
      </w:pPr>
    </w:p>
    <w:p>
      <w:pPr>
        <w:ind w:left="500" w:right="3140" w:hanging="399"/>
        <w:spacing w:after="0" w:line="294" w:lineRule="auto"/>
        <w:tabs>
          <w:tab w:leader="none" w:pos="480" w:val="left"/>
        </w:tabs>
        <w:rPr>
          <w:sz w:val="20"/>
          <w:szCs w:val="20"/>
          <w:color w:val="auto"/>
        </w:rPr>
      </w:pPr>
      <w:r>
        <w:rPr>
          <w:rFonts w:ascii="Courier New" w:cs="Courier New" w:eastAsia="Courier New" w:hAnsi="Courier New"/>
          <w:sz w:val="16"/>
          <w:szCs w:val="16"/>
          <w:color w:val="auto"/>
        </w:rPr>
        <w:t>(1)</w:t>
        <w:tab/>
        <w:t>For a discussion of our indebtedness, see "Management's Discussion and Analysis of Financial Condition and Results of Operations--Liquidity and Capital Resources" and "Recent Developments--Credit facility."</w:t>
      </w:r>
    </w:p>
    <w:p>
      <w:pPr>
        <w:spacing w:after="0" w:line="62" w:lineRule="exact"/>
        <w:rPr>
          <w:sz w:val="20"/>
          <w:szCs w:val="20"/>
          <w:color w:val="auto"/>
        </w:rPr>
      </w:pPr>
    </w:p>
    <w:p>
      <w:pPr>
        <w:ind w:left="500" w:right="3840" w:hanging="399"/>
        <w:spacing w:after="0" w:line="377" w:lineRule="auto"/>
        <w:tabs>
          <w:tab w:leader="none" w:pos="480" w:val="left"/>
        </w:tabs>
        <w:rPr>
          <w:sz w:val="20"/>
          <w:szCs w:val="20"/>
          <w:color w:val="auto"/>
        </w:rPr>
      </w:pPr>
      <w:r>
        <w:rPr>
          <w:rFonts w:ascii="Courier New" w:cs="Courier New" w:eastAsia="Courier New" w:hAnsi="Courier New"/>
          <w:sz w:val="16"/>
          <w:szCs w:val="16"/>
          <w:color w:val="auto"/>
        </w:rPr>
        <w:t>(2)</w:t>
        <w:tab/>
        <w:t>There has been no material change since May 31, 2003 in the total capitalization of the Company.</w:t>
      </w:r>
    </w:p>
    <w:p>
      <w:pPr>
        <w:spacing w:after="0" w:line="1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740"/>
          </w:cols>
          <w:pgMar w:left="240" w:top="655" w:right="919" w:bottom="1440" w:gutter="0" w:footer="0" w:header="0"/>
        </w:sectPr>
      </w:pPr>
    </w:p>
    <w:bookmarkStart w:id="17" w:name="page18"/>
    <w:bookmarkEnd w:id="17"/>
    <w:p>
      <w:pPr>
        <w:jc w:val="center"/>
        <w:ind w:right="2040"/>
        <w:spacing w:after="0"/>
        <w:rPr>
          <w:sz w:val="20"/>
          <w:szCs w:val="20"/>
          <w:color w:val="auto"/>
        </w:rPr>
      </w:pPr>
      <w:r>
        <w:rPr>
          <w:rFonts w:ascii="Courier New" w:cs="Courier New" w:eastAsia="Courier New" w:hAnsi="Courier New"/>
          <w:sz w:val="16"/>
          <w:szCs w:val="16"/>
          <w:color w:val="auto"/>
        </w:rPr>
        <w:t>DILUTION</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As of May 31, 2003, our net tangible book value was $91.9 million, or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$7.76 per ordinary share. Net tangible book value per ordinary share represents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consolidated tangible assets less total consolidated liabilities, divided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aggregate number of ordinary shares outstanding. After giving effect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sale of the ADSs in this offering, at a public offering price of $32.25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ADS, and after deducting estimated underwriting discounts and estimated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payable by us, our pro forma net tangible book value as of May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would have been approximately $136.2 million, or $10.21 per ordinary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This represents an immediate increase in pro forma net tangible book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to existing stockholders of $2.45 per ordinary share and an immediate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dilution to new investors of $22.04 per ordinary share.</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The following table illustrates this per ordinary share dilution:</w:t>
      </w:r>
    </w:p>
    <w:p>
      <w:pPr>
        <w:spacing w:after="0" w:line="200" w:lineRule="exact"/>
        <w:rPr>
          <w:sz w:val="20"/>
          <w:szCs w:val="20"/>
          <w:color w:val="auto"/>
        </w:rPr>
      </w:pPr>
    </w:p>
    <w:p>
      <w:pPr>
        <w:spacing w:after="0" w:line="377"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Public offering price per ADS</w:t>
            </w:r>
          </w:p>
        </w:tc>
        <w:tc>
          <w:tcPr>
            <w:tcW w:w="24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ordinary share as of May</w:t>
            </w:r>
          </w:p>
        </w:tc>
        <w:tc>
          <w:tcPr>
            <w:tcW w:w="20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31, 2003 (1)</w:t>
            </w:r>
          </w:p>
        </w:tc>
        <w:tc>
          <w:tcPr>
            <w:tcW w:w="10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7.76</w:t>
            </w:r>
          </w:p>
        </w:tc>
        <w:tc>
          <w:tcPr>
            <w:tcW w:w="0" w:type="dxa"/>
            <w:vAlign w:val="bottom"/>
          </w:tcPr>
          <w:p>
            <w:pPr>
              <w:spacing w:after="0"/>
              <w:rPr>
                <w:sz w:val="1"/>
                <w:szCs w:val="1"/>
                <w:color w:val="auto"/>
              </w:rPr>
            </w:pPr>
          </w:p>
        </w:tc>
      </w:t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Net tangible book value per</w:t>
            </w:r>
          </w:p>
        </w:tc>
        <w:tc>
          <w:tcPr>
            <w:tcW w:w="246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Increase in net tangible book</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value per ordinary share</w:t>
            </w:r>
          </w:p>
        </w:tc>
        <w:tc>
          <w:tcPr>
            <w:tcW w:w="2080" w:type="dxa"/>
            <w:vAlign w:val="bottom"/>
          </w:tcPr>
          <w:p>
            <w:pPr>
              <w:ind w:left="60"/>
              <w:spacing w:after="0"/>
              <w:rPr>
                <w:sz w:val="20"/>
                <w:szCs w:val="20"/>
                <w:color w:val="auto"/>
              </w:rPr>
            </w:pPr>
            <w:r>
              <w:rPr>
                <w:rFonts w:ascii="Courier New" w:cs="Courier New" w:eastAsia="Courier New" w:hAnsi="Courier New"/>
                <w:sz w:val="16"/>
                <w:szCs w:val="16"/>
                <w:color w:val="auto"/>
              </w:rPr>
              <w:t>attributable</w:t>
            </w:r>
          </w:p>
        </w:tc>
        <w:tc>
          <w:tcPr>
            <w:tcW w:w="10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2.45</w:t>
            </w:r>
          </w:p>
        </w:tc>
        <w:tc>
          <w:tcPr>
            <w:tcW w:w="0" w:type="dxa"/>
            <w:vAlign w:val="bottom"/>
          </w:tcPr>
          <w:p>
            <w:pPr>
              <w:spacing w:after="0"/>
              <w:rPr>
                <w:sz w:val="1"/>
                <w:szCs w:val="1"/>
                <w:color w:val="auto"/>
              </w:rPr>
            </w:pPr>
          </w:p>
        </w:tc>
      </w:tr>
      <w:tr>
        <w:trPr>
          <w:trHeight w:val="190"/>
        </w:trPr>
        <w:tc>
          <w:tcPr>
            <w:tcW w:w="2900" w:type="dxa"/>
            <w:vAlign w:val="bottom"/>
          </w:tcPr>
          <w:p>
            <w:pPr>
              <w:jc w:val="right"/>
              <w:ind w:right="1038"/>
              <w:spacing w:after="0"/>
              <w:rPr>
                <w:sz w:val="20"/>
                <w:szCs w:val="20"/>
                <w:color w:val="auto"/>
              </w:rPr>
            </w:pPr>
            <w:r>
              <w:rPr>
                <w:rFonts w:ascii="Courier New" w:cs="Courier New" w:eastAsia="Courier New" w:hAnsi="Courier New"/>
                <w:sz w:val="16"/>
                <w:szCs w:val="16"/>
                <w:color w:val="auto"/>
              </w:rPr>
              <w:t>to this offering</w:t>
            </w:r>
          </w:p>
        </w:tc>
        <w:tc>
          <w:tcPr>
            <w:tcW w:w="2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720" w:type="dxa"/>
            <w:vAlign w:val="bottom"/>
            <w:gridSpan w:val="2"/>
          </w:tcPr>
          <w:p>
            <w:pPr>
              <w:ind w:left="84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bl>
    <w:p>
      <w:pPr>
        <w:ind w:left="400"/>
        <w:spacing w:after="0"/>
        <w:rPr>
          <w:sz w:val="20"/>
          <w:szCs w:val="20"/>
          <w:color w:val="auto"/>
        </w:rPr>
      </w:pPr>
      <w:r>
        <w:rPr>
          <w:rFonts w:ascii="Courier New" w:cs="Courier New" w:eastAsia="Courier New" w:hAnsi="Courier New"/>
          <w:sz w:val="16"/>
          <w:szCs w:val="16"/>
          <w:color w:val="auto"/>
        </w:rPr>
        <w:t>Pro forma net tangible book value per ordinary share after giving effect to this offering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Dilution in net tangible book value per ordinary share to new investors (2)</w:t>
      </w:r>
    </w:p>
    <w:p>
      <w:pPr>
        <w:spacing w:after="0" w:line="200" w:lineRule="exact"/>
        <w:rPr>
          <w:sz w:val="20"/>
          <w:szCs w:val="20"/>
          <w:color w:val="auto"/>
        </w:rPr>
      </w:pPr>
    </w:p>
    <w:p>
      <w:pPr>
        <w:spacing w:after="0" w:line="377" w:lineRule="exact"/>
        <w:rPr>
          <w:sz w:val="20"/>
          <w:szCs w:val="20"/>
          <w:color w:val="auto"/>
        </w:rPr>
      </w:pPr>
    </w:p>
    <w:p>
      <w:pPr>
        <w:ind w:right="2040" w:firstLine="591"/>
        <w:spacing w:after="0" w:line="314" w:lineRule="auto"/>
        <w:rPr>
          <w:sz w:val="20"/>
          <w:szCs w:val="20"/>
          <w:color w:val="auto"/>
        </w:rPr>
      </w:pPr>
      <w:r>
        <w:rPr>
          <w:rFonts w:ascii="Courier New" w:cs="Courier New" w:eastAsia="Courier New" w:hAnsi="Courier New"/>
          <w:sz w:val="16"/>
          <w:szCs w:val="16"/>
          <w:color w:val="auto"/>
        </w:rPr>
        <w:t>As of May 31, 2003, there were options outstanding to purchase a total of 1,185,645 ordinary shares. To the extent that any of these options are exercised or shares are issued, there will be further dilution to new public investors.</w:t>
      </w:r>
    </w:p>
    <w:p>
      <w:pPr>
        <w:spacing w:after="0" w:line="47"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 w:lineRule="exact"/>
        <w:rPr>
          <w:rFonts w:ascii="Courier New" w:cs="Courier New" w:eastAsia="Courier New" w:hAnsi="Courier New"/>
          <w:sz w:val="16"/>
          <w:szCs w:val="16"/>
          <w:color w:val="auto"/>
        </w:rPr>
      </w:pPr>
    </w:p>
    <w:p>
      <w:pPr>
        <w:ind w:left="500" w:right="2620" w:hanging="400"/>
        <w:spacing w:after="0" w:line="337" w:lineRule="auto"/>
        <w:tabs>
          <w:tab w:leader="none" w:pos="50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as of May 31, 2003 were $45.0 million, or $3.80 per ordinary share.</w:t>
      </w:r>
    </w:p>
    <w:p>
      <w:pPr>
        <w:spacing w:after="0" w:line="29" w:lineRule="exact"/>
        <w:rPr>
          <w:rFonts w:ascii="Courier New" w:cs="Courier New" w:eastAsia="Courier New" w:hAnsi="Courier New"/>
          <w:sz w:val="16"/>
          <w:szCs w:val="16"/>
          <w:color w:val="auto"/>
        </w:rPr>
      </w:pPr>
    </w:p>
    <w:p>
      <w:pPr>
        <w:ind w:left="500" w:right="2040" w:hanging="400"/>
        <w:spacing w:after="0" w:line="314" w:lineRule="auto"/>
        <w:tabs>
          <w:tab w:leader="none" w:pos="50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is determined by subtracting pro forma net tangible book value per ordinary share after giving effect to this offering from the public offering price per ADS paid by a new investor.</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392"/>
        <w:spacing w:after="0"/>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32.25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0" w:hanging="392"/>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10.21</w:t>
      </w:r>
    </w:p>
    <w:p>
      <w:pPr>
        <w:spacing w:after="0" w:line="3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22.04</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9920" w:space="720"/>
            <w:col w:w="880"/>
          </w:cols>
          <w:pgMar w:left="240" w:top="655" w:right="139" w:bottom="1440" w:gutter="0" w:footer="0" w:header="0"/>
        </w:sectPr>
      </w:pPr>
    </w:p>
    <w:bookmarkStart w:id="18" w:name="page19"/>
    <w:bookmarkEnd w:id="18"/>
    <w:p>
      <w:pPr>
        <w:jc w:val="center"/>
        <w:ind w:right="223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8"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ind w:right="2339" w:firstLine="591"/>
        <w:spacing w:after="0" w:line="255"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w:t>
      </w:r>
    </w:p>
    <w:p>
      <w:pPr>
        <w:ind w:right="2439"/>
        <w:spacing w:after="0" w:line="337" w:lineRule="auto"/>
        <w:rPr>
          <w:sz w:val="20"/>
          <w:szCs w:val="20"/>
          <w:color w:val="auto"/>
        </w:rPr>
      </w:pPr>
      <w:r>
        <w:rPr>
          <w:rFonts w:ascii="Courier New" w:cs="Courier New" w:eastAsia="Courier New" w:hAnsi="Courier New"/>
          <w:sz w:val="16"/>
          <w:szCs w:val="16"/>
          <w:color w:val="auto"/>
        </w:rPr>
        <w:t>2.6% of our net revenue in the United States, Europe and the Rest of the World, respectively.</w:t>
      </w:r>
    </w:p>
    <w:p>
      <w:pPr>
        <w:spacing w:after="0" w:line="30" w:lineRule="exact"/>
        <w:rPr>
          <w:sz w:val="20"/>
          <w:szCs w:val="20"/>
          <w:color w:val="auto"/>
        </w:rPr>
      </w:pPr>
    </w:p>
    <w:p>
      <w:pPr>
        <w:ind w:right="2919" w:firstLine="591"/>
        <w:spacing w:after="0" w:line="376" w:lineRule="auto"/>
        <w:rPr>
          <w:sz w:val="20"/>
          <w:szCs w:val="20"/>
          <w:color w:val="auto"/>
        </w:rPr>
      </w:pPr>
      <w:r>
        <w:rPr>
          <w:rFonts w:ascii="Courier New" w:cs="Courier New" w:eastAsia="Courier New" w:hAnsi="Courier New"/>
          <w:sz w:val="16"/>
          <w:szCs w:val="16"/>
          <w:color w:val="auto"/>
        </w:rPr>
        <w:t>Since January 2000, we have also expanded our operations through the acquisition of:</w:t>
      </w:r>
    </w:p>
    <w:p>
      <w:pPr>
        <w:spacing w:after="0" w:line="1"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o PRAI, a San Francisco based company that specializes in data management, statistical analysis and medical and regulatory consulting, was acquired on January 28, 2000 for approximately $14.4 million;</w:t>
      </w:r>
    </w:p>
    <w:p>
      <w:pPr>
        <w:spacing w:after="0" w:line="47" w:lineRule="exact"/>
        <w:rPr>
          <w:sz w:val="20"/>
          <w:szCs w:val="20"/>
          <w:color w:val="auto"/>
        </w:rPr>
      </w:pPr>
    </w:p>
    <w:p>
      <w:pPr>
        <w:ind w:right="2439" w:firstLine="591"/>
        <w:spacing w:after="0" w:line="314" w:lineRule="auto"/>
        <w:rPr>
          <w:sz w:val="20"/>
          <w:szCs w:val="20"/>
          <w:color w:val="auto"/>
        </w:rPr>
      </w:pPr>
      <w:r>
        <w:rPr>
          <w:rFonts w:ascii="Courier New" w:cs="Courier New" w:eastAsia="Courier New" w:hAnsi="Courier New"/>
          <w:sz w:val="16"/>
          <w:szCs w:val="16"/>
          <w:color w:val="auto"/>
        </w:rPr>
        <w:t>o YRCR Limited, or YRCR, a regulatory consulting company based in the United Kingdom, was acquired on January 27, 2000 for approximately sterling 2.1 million;</w:t>
      </w:r>
    </w:p>
    <w:p>
      <w:pPr>
        <w:spacing w:after="0" w:line="47" w:lineRule="exact"/>
        <w:rPr>
          <w:sz w:val="20"/>
          <w:szCs w:val="20"/>
          <w:color w:val="auto"/>
        </w:rPr>
      </w:pPr>
    </w:p>
    <w:p>
      <w:pPr>
        <w:ind w:right="2519" w:firstLine="591"/>
        <w:spacing w:after="0" w:line="314" w:lineRule="auto"/>
        <w:rPr>
          <w:sz w:val="20"/>
          <w:szCs w:val="20"/>
          <w:color w:val="auto"/>
        </w:rPr>
      </w:pPr>
      <w:r>
        <w:rPr>
          <w:rFonts w:ascii="Courier New" w:cs="Courier New" w:eastAsia="Courier New" w:hAnsi="Courier New"/>
          <w:sz w:val="16"/>
          <w:szCs w:val="16"/>
          <w:color w:val="auto"/>
        </w:rPr>
        <w:t>o Protocole SAS, or Protocole, a clinical research organization specializing in the execution of veterinary trials based in Paris, France, was acquired on March 14, 2000 for approximately $586,000;</w:t>
      </w:r>
    </w:p>
    <w:p>
      <w:pPr>
        <w:spacing w:after="0" w:line="47" w:lineRule="exact"/>
        <w:rPr>
          <w:sz w:val="20"/>
          <w:szCs w:val="20"/>
          <w:color w:val="auto"/>
        </w:rPr>
      </w:pPr>
    </w:p>
    <w:p>
      <w:pPr>
        <w:ind w:right="2339" w:firstLine="591"/>
        <w:spacing w:after="0" w:line="376" w:lineRule="auto"/>
        <w:rPr>
          <w:sz w:val="20"/>
          <w:szCs w:val="20"/>
          <w:color w:val="auto"/>
        </w:rPr>
      </w:pPr>
      <w:r>
        <w:rPr>
          <w:rFonts w:ascii="Courier New" w:cs="Courier New" w:eastAsia="Courier New" w:hAnsi="Courier New"/>
          <w:sz w:val="16"/>
          <w:szCs w:val="16"/>
          <w:color w:val="auto"/>
        </w:rPr>
        <w:t>o UCT (U.S.), Inc., or UCT, a central laboratory organization based in New York, New York, was acquired on June 8, 2000 for approximately $7.0 million;</w:t>
      </w:r>
    </w:p>
    <w:p>
      <w:pPr>
        <w:spacing w:after="0" w:line="1"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o Barton &amp; Polansky Associates, Inc., or BPA, and Managed Clinical Solutions, Inc., or MCS, a clinical research organization and contract staffing business based in New York, New York, were acquired on October 9, 2002 for approximately $15.7 million of initial consideration (excluding costs of acquisition) and a further $3.7 million in an earn-out payment on December 20, 2002, as well as potential earn-out payments. See "--Contractual Obligations Table"; and</w:t>
      </w:r>
    </w:p>
    <w:p>
      <w:pPr>
        <w:spacing w:after="0" w:line="79"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o Medeval Group Limited, or Medeval, a clinical pharmacology group provider of Phase I clinical trials and bioanalytical services based in Manchester, United Kingdom, was acquired on January 24, 2003 for approximately sterling 9.5 million (U.S. $15.5 million) of initial consideration (excluding costs of acquisition), as well as potential earn-out payments. See "--Contractual Obligations Table".</w:t>
      </w:r>
    </w:p>
    <w:p>
      <w:pPr>
        <w:spacing w:after="0" w:line="76"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w:t>
      </w:r>
    </w:p>
    <w:p>
      <w:pPr>
        <w:spacing w:after="0" w:line="2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5" w:right="1440" w:bottom="1440" w:gutter="0" w:footer="0" w:header="0"/>
        </w:sectPr>
      </w:pPr>
    </w:p>
    <w:bookmarkStart w:id="19" w:name="page20"/>
    <w:bookmarkEnd w:id="19"/>
    <w:p>
      <w:pPr>
        <w:ind w:right="2439"/>
        <w:spacing w:after="0" w:line="314" w:lineRule="auto"/>
        <w:rPr>
          <w:sz w:val="20"/>
          <w:szCs w:val="20"/>
          <w:color w:val="auto"/>
        </w:rPr>
      </w:pPr>
      <w:r>
        <w:rPr>
          <w:rFonts w:ascii="Courier New" w:cs="Courier New" w:eastAsia="Courier New" w:hAnsi="Courier New"/>
          <w:sz w:val="16"/>
          <w:szCs w:val="16"/>
          <w:color w:val="auto"/>
        </w:rPr>
        <w:t>deducted from gross revenue to arrive at net revenue. As no profit is earned on these costs, which vary from contract to contract, we view net revenue as our primary measure of revenue growth.</w:t>
      </w:r>
    </w:p>
    <w:p>
      <w:pPr>
        <w:spacing w:after="0" w:line="47"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73"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84"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63" w:lineRule="exact"/>
        <w:rPr>
          <w:sz w:val="20"/>
          <w:szCs w:val="20"/>
          <w:color w:val="auto"/>
        </w:rPr>
      </w:pPr>
    </w:p>
    <w:p>
      <w:pPr>
        <w:ind w:right="2339" w:firstLine="591"/>
        <w:spacing w:after="0" w:line="256"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Japanese Yen, Israeli Shekels, Latvian Lats, Swedish Krona, South African Rands, Argentine Pesos, Indian Rupees, Russian Rubles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2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We have received capital and revenue grants from Enterprise Ireland. We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capital grants as deferred income, which are credited to income 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consistent with the depreciation of the relevant asset. Grants relating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expenditures are credited to income in the period in which the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 is charged. The capital grant agreements provide that in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the grants received may be refundable in full. These circumstances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sale of the related asset, liquidation of the Company or failing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comply in other respects with the grant agreements. The operating expenditure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agreements provide for repayment in the event of downsizing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calculated by reference to any reduction in employee numbers. We have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any loss contingency, having assessed as remote the likelihood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arising. Up to February 28, 2003, we have received $1,244,195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$1,551,433 under the capital grants and operating grants, respectively.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grant agreements we are restricted from distributing some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amounts by way of dividend or otherwise.</w:t>
      </w:r>
    </w:p>
    <w:p>
      <w:pPr>
        <w:spacing w:after="0" w:line="16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6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ind w:right="4720"/>
        <w:spacing w:after="0" w:line="376" w:lineRule="auto"/>
        <w:rPr>
          <w:sz w:val="20"/>
          <w:szCs w:val="20"/>
          <w:color w:val="auto"/>
        </w:rPr>
      </w:pPr>
      <w:r>
        <w:rPr>
          <w:rFonts w:ascii="Courier New" w:cs="Courier New" w:eastAsia="Courier New" w:hAnsi="Courier New"/>
          <w:sz w:val="16"/>
          <w:szCs w:val="16"/>
          <w:color w:val="auto"/>
        </w:rPr>
        <w:t>THREE MONTHS ENDED FEBRUARY 28, 2003 COMPARED WITH THREE MONTHS ENDED FEBRUARY 28, 2002</w:t>
      </w:r>
    </w:p>
    <w:p>
      <w:pPr>
        <w:spacing w:after="0" w:line="1" w:lineRule="exact"/>
        <w:rPr>
          <w:sz w:val="20"/>
          <w:szCs w:val="20"/>
          <w:color w:val="auto"/>
        </w:rPr>
      </w:pPr>
    </w:p>
    <w:p>
      <w:pPr>
        <w:ind w:right="3640" w:firstLine="591"/>
        <w:spacing w:after="0" w:line="293"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82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vMerge w:val="restart"/>
          </w:tcPr>
          <w:p>
            <w:pPr>
              <w:jc w:val="right"/>
              <w:ind w:right="69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FEBRUARY 28,</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FEBRUARY 28,</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2003</w:t>
            </w:r>
          </w:p>
        </w:tc>
        <w:tc>
          <w:tcPr>
            <w:tcW w:w="14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4"/>
                <w:szCs w:val="24"/>
                <w:color w:val="auto"/>
              </w:rPr>
            </w:pPr>
          </w:p>
        </w:tc>
        <w:tc>
          <w:tcPr>
            <w:tcW w:w="2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292"/>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revenue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49.9%</w:t>
            </w:r>
          </w:p>
        </w:tc>
        <w:tc>
          <w:tcPr>
            <w:tcW w:w="0" w:type="dxa"/>
            <w:vAlign w:val="bottom"/>
          </w:tcPr>
          <w:p>
            <w:pPr>
              <w:spacing w:after="0"/>
              <w:rPr>
                <w:sz w:val="1"/>
                <w:szCs w:val="1"/>
                <w:color w:val="auto"/>
              </w:rPr>
            </w:pPr>
          </w:p>
        </w:tc>
      </w:tr>
      <w:tr>
        <w:trPr>
          <w:trHeight w:val="190"/>
        </w:trPr>
        <w:tc>
          <w:tcPr>
            <w:tcW w:w="6700" w:type="dxa"/>
            <w:vAlign w:val="bottom"/>
          </w:tcPr>
          <w:p>
            <w:pPr>
              <w:jc w:val="right"/>
              <w:ind w:right="4738"/>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vMerge w:val="restart"/>
          </w:tcPr>
          <w:p>
            <w:pPr>
              <w:jc w:val="right"/>
              <w:ind w:right="298"/>
              <w:spacing w:after="0"/>
              <w:rPr>
                <w:sz w:val="20"/>
                <w:szCs w:val="20"/>
                <w:color w:val="auto"/>
              </w:rPr>
            </w:pPr>
            <w:r>
              <w:rPr>
                <w:rFonts w:ascii="Courier New" w:cs="Courier New" w:eastAsia="Courier New" w:hAnsi="Courier New"/>
                <w:sz w:val="16"/>
                <w:szCs w:val="16"/>
                <w:color w:val="auto"/>
              </w:rPr>
              <w:t>56.3%</w:t>
            </w:r>
          </w:p>
        </w:tc>
        <w:tc>
          <w:tcPr>
            <w:tcW w:w="1440" w:type="dxa"/>
            <w:vAlign w:val="bottom"/>
            <w:vMerge w:val="restart"/>
          </w:tcPr>
          <w:p>
            <w:pPr>
              <w:jc w:val="right"/>
              <w:ind w:right="278"/>
              <w:spacing w:after="0"/>
              <w:rPr>
                <w:sz w:val="20"/>
                <w:szCs w:val="20"/>
                <w:color w:val="auto"/>
              </w:rPr>
            </w:pPr>
            <w:r>
              <w:rPr>
                <w:rFonts w:ascii="Courier New" w:cs="Courier New" w:eastAsia="Courier New" w:hAnsi="Courier New"/>
                <w:sz w:val="16"/>
                <w:szCs w:val="16"/>
                <w:color w:val="auto"/>
              </w:rPr>
              <w:t>52.9%</w:t>
            </w:r>
          </w:p>
        </w:tc>
        <w:tc>
          <w:tcPr>
            <w:tcW w:w="2000" w:type="dxa"/>
            <w:vAlign w:val="bottom"/>
            <w:vMerge w:val="restart"/>
          </w:tcPr>
          <w:p>
            <w:pPr>
              <w:jc w:val="right"/>
              <w:ind w:right="798"/>
              <w:spacing w:after="0"/>
              <w:rPr>
                <w:sz w:val="20"/>
                <w:szCs w:val="20"/>
                <w:color w:val="auto"/>
              </w:rPr>
            </w:pPr>
            <w:r>
              <w:rPr>
                <w:rFonts w:ascii="Courier New" w:cs="Courier New" w:eastAsia="Courier New" w:hAnsi="Courier New"/>
                <w:sz w:val="16"/>
                <w:szCs w:val="16"/>
                <w:color w:val="auto"/>
              </w:rPr>
              <w:t>59.4%</w:t>
            </w:r>
          </w:p>
        </w:tc>
        <w:tc>
          <w:tcPr>
            <w:tcW w:w="0" w:type="dxa"/>
            <w:vAlign w:val="bottom"/>
          </w:tcPr>
          <w:p>
            <w:pPr>
              <w:spacing w:after="0"/>
              <w:rPr>
                <w:sz w:val="1"/>
                <w:szCs w:val="1"/>
                <w:color w:val="auto"/>
              </w:rPr>
            </w:pPr>
          </w:p>
        </w:tc>
      </w:tr>
      <w:tr>
        <w:trPr>
          <w:trHeight w:val="190"/>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Direct costs ....................................................</w:t>
            </w:r>
          </w:p>
        </w:tc>
        <w:tc>
          <w:tcPr>
            <w:tcW w:w="13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Selling, general and administrative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30.2%</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31.5%</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43.6%</w:t>
            </w:r>
          </w:p>
        </w:tc>
        <w:tc>
          <w:tcPr>
            <w:tcW w:w="0" w:type="dxa"/>
            <w:vAlign w:val="bottom"/>
          </w:tcPr>
          <w:p>
            <w:pPr>
              <w:spacing w:after="0"/>
              <w:rPr>
                <w:sz w:val="1"/>
                <w:szCs w:val="1"/>
                <w:color w:val="auto"/>
              </w:rPr>
            </w:pPr>
          </w:p>
        </w:tc>
      </w:tr>
      <w:tr>
        <w:trPr>
          <w:trHeight w:val="190"/>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Depreciation and amortization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21.5%</w:t>
            </w:r>
          </w:p>
        </w:tc>
        <w:tc>
          <w:tcPr>
            <w:tcW w:w="0" w:type="dxa"/>
            <w:vAlign w:val="bottom"/>
          </w:tcPr>
          <w:p>
            <w:pPr>
              <w:spacing w:after="0"/>
              <w:rPr>
                <w:sz w:val="1"/>
                <w:szCs w:val="1"/>
                <w:color w:val="auto"/>
              </w:rPr>
            </w:pPr>
          </w:p>
        </w:tc>
      </w:tr>
      <w:tr>
        <w:trPr>
          <w:trHeight w:val="277"/>
        </w:trPr>
        <w:tc>
          <w:tcPr>
            <w:tcW w:w="6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Income from operations ............................................</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10.4%</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11.7%</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33.4%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40" w:firstLine="591"/>
        <w:spacing w:after="0" w:line="258" w:lineRule="auto"/>
        <w:rPr>
          <w:sz w:val="20"/>
          <w:szCs w:val="20"/>
          <w:color w:val="auto"/>
        </w:rPr>
      </w:pPr>
      <w:r>
        <w:rPr>
          <w:rFonts w:ascii="Courier New" w:cs="Courier New" w:eastAsia="Courier New" w:hAnsi="Courier New"/>
          <w:sz w:val="16"/>
          <w:szCs w:val="16"/>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100" w:lineRule="exact"/>
        <w:rPr>
          <w:sz w:val="20"/>
          <w:szCs w:val="20"/>
          <w:color w:val="auto"/>
        </w:rPr>
      </w:pPr>
    </w:p>
    <w:p>
      <w:pPr>
        <w:ind w:right="3820" w:firstLine="591"/>
        <w:spacing w:after="0" w:line="272" w:lineRule="auto"/>
        <w:rPr>
          <w:sz w:val="20"/>
          <w:szCs w:val="20"/>
          <w:color w:val="auto"/>
        </w:rPr>
      </w:pPr>
      <w:r>
        <w:rPr>
          <w:rFonts w:ascii="Courier New" w:cs="Courier New" w:eastAsia="Courier New" w:hAnsi="Courier New"/>
          <w:sz w:val="16"/>
          <w:szCs w:val="16"/>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79" w:lineRule="exact"/>
        <w:rPr>
          <w:sz w:val="20"/>
          <w:szCs w:val="20"/>
          <w:color w:val="auto"/>
        </w:rPr>
      </w:pPr>
    </w:p>
    <w:p>
      <w:pPr>
        <w:ind w:right="3640" w:firstLine="591"/>
        <w:spacing w:after="0" w:line="269" w:lineRule="auto"/>
        <w:rPr>
          <w:sz w:val="20"/>
          <w:szCs w:val="20"/>
          <w:color w:val="auto"/>
        </w:rPr>
      </w:pPr>
      <w:r>
        <w:rPr>
          <w:rFonts w:ascii="Courier New" w:cs="Courier New" w:eastAsia="Courier New" w:hAnsi="Courier New"/>
          <w:sz w:val="16"/>
          <w:szCs w:val="16"/>
          <w:color w:val="auto"/>
        </w:rPr>
        <w:t>Selling, general and administrative expenses increased by $5.4 million, or 43.6%, from $12.5 million to $17.9 million. The increase in costs is due to the continued expansion of our operations and additional selling, general and administrative costs from acquisitions of $1.6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81" w:lineRule="exact"/>
        <w:rPr>
          <w:sz w:val="20"/>
          <w:szCs w:val="20"/>
          <w:color w:val="auto"/>
        </w:rPr>
      </w:pPr>
    </w:p>
    <w:p>
      <w:pPr>
        <w:ind w:right="3640" w:firstLine="591"/>
        <w:spacing w:after="0" w:line="272" w:lineRule="auto"/>
        <w:rPr>
          <w:sz w:val="20"/>
          <w:szCs w:val="20"/>
          <w:color w:val="auto"/>
        </w:rPr>
      </w:pPr>
      <w:r>
        <w:rPr>
          <w:rFonts w:ascii="Courier New" w:cs="Courier New" w:eastAsia="Courier New" w:hAnsi="Courier New"/>
          <w:sz w:val="16"/>
          <w:szCs w:val="16"/>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79" w:lineRule="exact"/>
        <w:rPr>
          <w:sz w:val="20"/>
          <w:szCs w:val="20"/>
          <w:color w:val="auto"/>
        </w:rPr>
      </w:pPr>
    </w:p>
    <w:p>
      <w:pPr>
        <w:ind w:right="3820" w:firstLine="591"/>
        <w:spacing w:after="0" w:line="282" w:lineRule="auto"/>
        <w:rPr>
          <w:sz w:val="20"/>
          <w:szCs w:val="20"/>
          <w:color w:val="auto"/>
        </w:rPr>
      </w:pPr>
      <w:r>
        <w:rPr>
          <w:rFonts w:ascii="Courier New" w:cs="Courier New" w:eastAsia="Courier New" w:hAnsi="Courier New"/>
          <w:sz w:val="16"/>
          <w:szCs w:val="16"/>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1520"/>
          </w:cols>
          <w:pgMar w:left="240" w:top="655" w:right="139" w:bottom="1028"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effect of acquisitions, income from operations decreased from 11.7% for</w:t>
      </w:r>
    </w:p>
    <w:p>
      <w:pPr>
        <w:spacing w:after="0" w:line="38" w:lineRule="exact"/>
        <w:rPr>
          <w:sz w:val="20"/>
          <w:szCs w:val="20"/>
          <w:color w:val="auto"/>
        </w:rPr>
      </w:pPr>
    </w:p>
    <w:p>
      <w:pPr>
        <w:ind w:right="3740"/>
        <w:spacing w:after="0" w:line="263" w:lineRule="auto"/>
        <w:rPr>
          <w:sz w:val="20"/>
          <w:szCs w:val="20"/>
          <w:color w:val="auto"/>
        </w:rPr>
      </w:pPr>
      <w:r>
        <w:rPr>
          <w:rFonts w:ascii="Courier New" w:cs="Courier New" w:eastAsia="Courier New" w:hAnsi="Courier New"/>
          <w:sz w:val="16"/>
          <w:szCs w:val="16"/>
          <w:color w:val="auto"/>
        </w:rPr>
        <w:t>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87" w:lineRule="exact"/>
        <w:rPr>
          <w:sz w:val="20"/>
          <w:szCs w:val="20"/>
          <w:color w:val="auto"/>
        </w:rPr>
      </w:pPr>
    </w:p>
    <w:p>
      <w:pPr>
        <w:ind w:right="3640" w:firstLine="591"/>
        <w:spacing w:after="0" w:line="276" w:lineRule="auto"/>
        <w:rPr>
          <w:sz w:val="20"/>
          <w:szCs w:val="20"/>
          <w:color w:val="auto"/>
        </w:rPr>
      </w:pPr>
      <w:r>
        <w:rPr>
          <w:rFonts w:ascii="Courier New" w:cs="Courier New" w:eastAsia="Courier New" w:hAnsi="Courier New"/>
          <w:sz w:val="16"/>
          <w:szCs w:val="16"/>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7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 compared to 26.9% for the comparable period last year. The increase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68" w:lineRule="exact"/>
        <w:rPr>
          <w:sz w:val="20"/>
          <w:szCs w:val="20"/>
          <w:color w:val="auto"/>
        </w:rPr>
      </w:pPr>
    </w:p>
    <w:p>
      <w:pPr>
        <w:ind w:right="4920"/>
        <w:spacing w:after="0" w:line="376" w:lineRule="auto"/>
        <w:rPr>
          <w:sz w:val="20"/>
          <w:szCs w:val="20"/>
          <w:color w:val="auto"/>
        </w:rPr>
      </w:pPr>
      <w:r>
        <w:rPr>
          <w:rFonts w:ascii="Courier New" w:cs="Courier New" w:eastAsia="Courier New" w:hAnsi="Courier New"/>
          <w:sz w:val="16"/>
          <w:szCs w:val="16"/>
          <w:color w:val="auto"/>
        </w:rPr>
        <w:t>NINE MONTHS ENDED FEBRUARY 28, 2003 COMPARED WITH NINE MONTHS ENDED FEBRUARY 28, 2002</w:t>
      </w:r>
    </w:p>
    <w:p>
      <w:pPr>
        <w:spacing w:after="0" w:line="1" w:lineRule="exact"/>
        <w:rPr>
          <w:sz w:val="20"/>
          <w:szCs w:val="20"/>
          <w:color w:val="auto"/>
        </w:rPr>
      </w:pPr>
    </w:p>
    <w:p>
      <w:pPr>
        <w:ind w:right="3640" w:firstLine="591"/>
        <w:spacing w:after="0" w:line="293"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86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NINE MONTHS ENDED</w:t>
            </w:r>
          </w:p>
        </w:tc>
        <w:tc>
          <w:tcPr>
            <w:tcW w:w="2000" w:type="dxa"/>
            <w:vAlign w:val="bottom"/>
            <w:vMerge w:val="restart"/>
          </w:tcPr>
          <w:p>
            <w:pPr>
              <w:jc w:val="right"/>
              <w:ind w:right="69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4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FEBRUARY 28,</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FEBRUARY 28,</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2003</w:t>
            </w:r>
          </w:p>
        </w:tc>
        <w:tc>
          <w:tcPr>
            <w:tcW w:w="14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4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660" w:type="dxa"/>
            <w:vAlign w:val="bottom"/>
          </w:tcPr>
          <w:p>
            <w:pPr>
              <w:spacing w:after="0"/>
              <w:rPr>
                <w:sz w:val="24"/>
                <w:szCs w:val="24"/>
                <w:color w:val="auto"/>
              </w:rPr>
            </w:pPr>
          </w:p>
        </w:tc>
        <w:tc>
          <w:tcPr>
            <w:tcW w:w="286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292"/>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revenue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40.6%</w:t>
            </w:r>
          </w:p>
        </w:tc>
        <w:tc>
          <w:tcPr>
            <w:tcW w:w="0" w:type="dxa"/>
            <w:vAlign w:val="bottom"/>
          </w:tcPr>
          <w:p>
            <w:pPr>
              <w:spacing w:after="0"/>
              <w:rPr>
                <w:sz w:val="1"/>
                <w:szCs w:val="1"/>
                <w:color w:val="auto"/>
              </w:rPr>
            </w:pPr>
          </w:p>
        </w:tc>
      </w:tr>
      <w:tr>
        <w:trPr>
          <w:trHeight w:val="190"/>
        </w:trPr>
        <w:tc>
          <w:tcPr>
            <w:tcW w:w="6660" w:type="dxa"/>
            <w:vAlign w:val="bottom"/>
          </w:tcPr>
          <w:p>
            <w:pPr>
              <w:jc w:val="right"/>
              <w:ind w:right="4698"/>
              <w:spacing w:after="0"/>
              <w:rPr>
                <w:sz w:val="20"/>
                <w:szCs w:val="20"/>
                <w:color w:val="auto"/>
              </w:rPr>
            </w:pPr>
            <w:r>
              <w:rPr>
                <w:rFonts w:ascii="Courier New" w:cs="Courier New" w:eastAsia="Courier New" w:hAnsi="Courier New"/>
                <w:sz w:val="16"/>
                <w:szCs w:val="16"/>
                <w:color w:val="auto"/>
              </w:rPr>
              <w:t>Costs and expenses:</w:t>
            </w:r>
          </w:p>
        </w:tc>
        <w:tc>
          <w:tcPr>
            <w:tcW w:w="1420" w:type="dxa"/>
            <w:vAlign w:val="bottom"/>
            <w:vMerge w:val="restart"/>
          </w:tcPr>
          <w:p>
            <w:pPr>
              <w:jc w:val="right"/>
              <w:ind w:right="298"/>
              <w:spacing w:after="0"/>
              <w:rPr>
                <w:sz w:val="20"/>
                <w:szCs w:val="20"/>
                <w:color w:val="auto"/>
              </w:rPr>
            </w:pPr>
            <w:r>
              <w:rPr>
                <w:rFonts w:ascii="Courier New" w:cs="Courier New" w:eastAsia="Courier New" w:hAnsi="Courier New"/>
                <w:sz w:val="16"/>
                <w:szCs w:val="16"/>
                <w:color w:val="auto"/>
              </w:rPr>
              <w:t>54.8%</w:t>
            </w:r>
          </w:p>
        </w:tc>
        <w:tc>
          <w:tcPr>
            <w:tcW w:w="1440" w:type="dxa"/>
            <w:vAlign w:val="bottom"/>
            <w:vMerge w:val="restart"/>
          </w:tcPr>
          <w:p>
            <w:pPr>
              <w:jc w:val="right"/>
              <w:ind w:right="278"/>
              <w:spacing w:after="0"/>
              <w:rPr>
                <w:sz w:val="20"/>
                <w:szCs w:val="20"/>
                <w:color w:val="auto"/>
              </w:rPr>
            </w:pPr>
            <w:r>
              <w:rPr>
                <w:rFonts w:ascii="Courier New" w:cs="Courier New" w:eastAsia="Courier New" w:hAnsi="Courier New"/>
                <w:sz w:val="16"/>
                <w:szCs w:val="16"/>
                <w:color w:val="auto"/>
              </w:rPr>
              <w:t>53.2%</w:t>
            </w:r>
          </w:p>
        </w:tc>
        <w:tc>
          <w:tcPr>
            <w:tcW w:w="2000" w:type="dxa"/>
            <w:vAlign w:val="bottom"/>
            <w:vMerge w:val="restart"/>
          </w:tcPr>
          <w:p>
            <w:pPr>
              <w:jc w:val="right"/>
              <w:ind w:right="798"/>
              <w:spacing w:after="0"/>
              <w:rPr>
                <w:sz w:val="20"/>
                <w:szCs w:val="20"/>
                <w:color w:val="auto"/>
              </w:rPr>
            </w:pPr>
            <w:r>
              <w:rPr>
                <w:rFonts w:ascii="Courier New" w:cs="Courier New" w:eastAsia="Courier New" w:hAnsi="Courier New"/>
                <w:sz w:val="16"/>
                <w:szCs w:val="16"/>
                <w:color w:val="auto"/>
              </w:rPr>
              <w:t>44.8%</w:t>
            </w:r>
          </w:p>
        </w:tc>
        <w:tc>
          <w:tcPr>
            <w:tcW w:w="0" w:type="dxa"/>
            <w:vAlign w:val="bottom"/>
          </w:tcPr>
          <w:p>
            <w:pPr>
              <w:spacing w:after="0"/>
              <w:rPr>
                <w:sz w:val="1"/>
                <w:szCs w:val="1"/>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Direct costs ...................................................</w:t>
            </w:r>
          </w:p>
        </w:tc>
        <w:tc>
          <w:tcPr>
            <w:tcW w:w="14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Selling, general and administrative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31.0%</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31.3%</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39.2%</w:t>
            </w:r>
          </w:p>
        </w:tc>
        <w:tc>
          <w:tcPr>
            <w:tcW w:w="0" w:type="dxa"/>
            <w:vAlign w:val="bottom"/>
          </w:tcPr>
          <w:p>
            <w:pPr>
              <w:spacing w:after="0"/>
              <w:rPr>
                <w:sz w:val="1"/>
                <w:szCs w:val="1"/>
                <w:color w:val="auto"/>
              </w:rPr>
            </w:pP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Depreciation and amortization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13.6%</w:t>
            </w:r>
          </w:p>
        </w:tc>
        <w:tc>
          <w:tcPr>
            <w:tcW w:w="0" w:type="dxa"/>
            <w:vAlign w:val="bottom"/>
          </w:tcPr>
          <w:p>
            <w:pPr>
              <w:spacing w:after="0"/>
              <w:rPr>
                <w:sz w:val="1"/>
                <w:szCs w:val="1"/>
                <w:color w:val="auto"/>
              </w:rPr>
            </w:pPr>
          </w:p>
        </w:tc>
      </w:tr>
      <w:tr>
        <w:trPr>
          <w:trHeight w:val="277"/>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Income from operations ...........................................</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11.1%</w:t>
            </w:r>
          </w:p>
        </w:tc>
        <w:tc>
          <w:tcPr>
            <w:tcW w:w="14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11.6%</w:t>
            </w:r>
          </w:p>
        </w:tc>
        <w:tc>
          <w:tcPr>
            <w:tcW w:w="20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34.6%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40" w:firstLine="591"/>
        <w:spacing w:after="0" w:line="260" w:lineRule="auto"/>
        <w:rPr>
          <w:sz w:val="20"/>
          <w:szCs w:val="20"/>
          <w:color w:val="auto"/>
        </w:rPr>
      </w:pPr>
      <w:r>
        <w:rPr>
          <w:rFonts w:ascii="Courier New" w:cs="Courier New" w:eastAsia="Courier New" w:hAnsi="Courier New"/>
          <w:sz w:val="16"/>
          <w:szCs w:val="16"/>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 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88" w:lineRule="exact"/>
        <w:rPr>
          <w:sz w:val="20"/>
          <w:szCs w:val="20"/>
          <w:color w:val="auto"/>
        </w:rPr>
      </w:pPr>
    </w:p>
    <w:p>
      <w:pPr>
        <w:ind w:right="3820" w:firstLine="591"/>
        <w:spacing w:after="0" w:line="272" w:lineRule="auto"/>
        <w:rPr>
          <w:sz w:val="20"/>
          <w:szCs w:val="20"/>
          <w:color w:val="auto"/>
        </w:rPr>
      </w:pPr>
      <w:r>
        <w:rPr>
          <w:rFonts w:ascii="Courier New" w:cs="Courier New" w:eastAsia="Courier New" w:hAnsi="Courier New"/>
          <w:sz w:val="16"/>
          <w:szCs w:val="16"/>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26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1520"/>
          </w:cols>
          <w:pgMar w:left="240" w:top="655" w:right="139" w:bottom="1440" w:gutter="0" w:footer="0" w:header="0"/>
        </w:sectPr>
      </w:pPr>
    </w:p>
    <w:bookmarkStart w:id="22" w:name="page23"/>
    <w:bookmarkEnd w:id="22"/>
    <w:p>
      <w:pPr>
        <w:ind w:right="3360" w:firstLine="591"/>
        <w:spacing w:after="0" w:line="269" w:lineRule="auto"/>
        <w:rPr>
          <w:sz w:val="20"/>
          <w:szCs w:val="20"/>
          <w:color w:val="auto"/>
        </w:rPr>
      </w:pPr>
      <w:r>
        <w:rPr>
          <w:rFonts w:ascii="Courier New" w:cs="Courier New" w:eastAsia="Courier New" w:hAnsi="Courier New"/>
          <w:sz w:val="16"/>
          <w:szCs w:val="16"/>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81" w:lineRule="exact"/>
        <w:rPr>
          <w:sz w:val="20"/>
          <w:szCs w:val="20"/>
          <w:color w:val="auto"/>
        </w:rPr>
      </w:pPr>
    </w:p>
    <w:p>
      <w:pPr>
        <w:ind w:right="3360" w:firstLine="591"/>
        <w:spacing w:after="0" w:line="269" w:lineRule="auto"/>
        <w:rPr>
          <w:sz w:val="20"/>
          <w:szCs w:val="20"/>
          <w:color w:val="auto"/>
        </w:rPr>
      </w:pPr>
      <w:r>
        <w:rPr>
          <w:rFonts w:ascii="Courier New" w:cs="Courier New" w:eastAsia="Courier New" w:hAnsi="Courier New"/>
          <w:sz w:val="16"/>
          <w:szCs w:val="16"/>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amortization decreased from 3.9% of net revenues in the nine months to February 28, 2002 to 3.1% for the nine months ended February 28, 2003 or 3.3% when the effect of acquisitions has been excluded.</w:t>
      </w:r>
    </w:p>
    <w:p>
      <w:pPr>
        <w:spacing w:after="0" w:line="81" w:lineRule="exact"/>
        <w:rPr>
          <w:sz w:val="20"/>
          <w:szCs w:val="20"/>
          <w:color w:val="auto"/>
        </w:rPr>
      </w:pPr>
    </w:p>
    <w:p>
      <w:pPr>
        <w:ind w:right="3360" w:firstLine="591"/>
        <w:spacing w:after="0" w:line="260" w:lineRule="auto"/>
        <w:rPr>
          <w:sz w:val="20"/>
          <w:szCs w:val="20"/>
          <w:color w:val="auto"/>
        </w:rPr>
      </w:pPr>
      <w:r>
        <w:rPr>
          <w:rFonts w:ascii="Courier New" w:cs="Courier New" w:eastAsia="Courier New" w:hAnsi="Courier New"/>
          <w:sz w:val="16"/>
          <w:szCs w:val="16"/>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Cancellations of this nature are typical in our business and generally arise due to safety or efficacy issues relating to the trial drug, which are outside of our control. Operating margins for our clinical research segment increased from 11.0% in the nine months ended February 28, 2002 to 12.4% for the nine months ended February 28, 2003 primarily due to improved staff utilization.</w:t>
      </w:r>
    </w:p>
    <w:p>
      <w:pPr>
        <w:spacing w:after="0" w:line="88" w:lineRule="exact"/>
        <w:rPr>
          <w:sz w:val="20"/>
          <w:szCs w:val="20"/>
          <w:color w:val="auto"/>
        </w:rPr>
      </w:pPr>
    </w:p>
    <w:p>
      <w:pPr>
        <w:ind w:right="3460" w:firstLine="591"/>
        <w:spacing w:after="0" w:line="269" w:lineRule="auto"/>
        <w:rPr>
          <w:sz w:val="20"/>
          <w:szCs w:val="20"/>
          <w:color w:val="auto"/>
        </w:rPr>
      </w:pPr>
      <w:r>
        <w:rPr>
          <w:rFonts w:ascii="Courier New" w:cs="Courier New" w:eastAsia="Courier New" w:hAnsi="Courier New"/>
          <w:sz w:val="16"/>
          <w:szCs w:val="16"/>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284"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 compared to 25.9% for the comparable period last year. The increase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2002 COMPARED TO FISCAL YEAR ENDED MAY 31, 2001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w:t>
            </w:r>
          </w:p>
        </w:tc>
        <w:tc>
          <w:tcPr>
            <w:tcW w:w="640" w:type="dxa"/>
            <w:vAlign w:val="bottom"/>
          </w:tcPr>
          <w:p>
            <w:pPr>
              <w:spacing w:after="0"/>
              <w:rPr>
                <w:sz w:val="16"/>
                <w:szCs w:val="16"/>
                <w:color w:val="auto"/>
              </w:rPr>
            </w:pPr>
          </w:p>
        </w:tc>
        <w:tc>
          <w:tcPr>
            <w:tcW w:w="1120" w:type="dxa"/>
            <w:vAlign w:val="bottom"/>
            <w:vMerge w:val="restart"/>
          </w:tcPr>
          <w:p>
            <w:pPr>
              <w:jc w:val="right"/>
              <w:ind w:right="498"/>
              <w:spacing w:after="0"/>
              <w:rPr>
                <w:sz w:val="20"/>
                <w:szCs w:val="20"/>
                <w:color w:val="auto"/>
              </w:rPr>
            </w:pPr>
            <w:r>
              <w:rPr>
                <w:rFonts w:ascii="Courier New" w:cs="Courier New" w:eastAsia="Courier New" w:hAnsi="Courier New"/>
                <w:sz w:val="16"/>
                <w:szCs w:val="16"/>
                <w:color w:val="auto"/>
              </w:rPr>
              <w:t>2001</w:t>
            </w:r>
          </w:p>
        </w:tc>
        <w:tc>
          <w:tcPr>
            <w:tcW w:w="110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90"/>
        </w:trPr>
        <w:tc>
          <w:tcPr>
            <w:tcW w:w="61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TO 2001</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 2002</w:t>
            </w:r>
          </w:p>
        </w:tc>
        <w:tc>
          <w:tcPr>
            <w:tcW w:w="0" w:type="dxa"/>
            <w:vAlign w:val="bottom"/>
          </w:tcPr>
          <w:p>
            <w:pPr>
              <w:spacing w:after="0"/>
              <w:rPr>
                <w:sz w:val="1"/>
                <w:szCs w:val="1"/>
                <w:color w:val="auto"/>
              </w:rPr>
            </w:pPr>
          </w:p>
        </w:tc>
      </w:tr>
      <w:tr>
        <w:trPr>
          <w:trHeight w:val="190"/>
        </w:trPr>
        <w:tc>
          <w:tcPr>
            <w:tcW w:w="67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90"/>
        </w:trPr>
        <w:tc>
          <w:tcPr>
            <w:tcW w:w="8980" w:type="dxa"/>
            <w:vAlign w:val="bottom"/>
            <w:gridSpan w:val="4"/>
            <w:vMerge w:val="restart"/>
          </w:tcPr>
          <w:p>
            <w:pPr>
              <w:jc w:val="right"/>
              <w:ind w:right="518"/>
              <w:spacing w:after="0"/>
              <w:rPr>
                <w:sz w:val="20"/>
                <w:szCs w:val="20"/>
                <w:color w:val="auto"/>
              </w:rPr>
            </w:pPr>
            <w:r>
              <w:rPr>
                <w:rFonts w:ascii="Courier New" w:cs="Courier New" w:eastAsia="Courier New" w:hAnsi="Courier New"/>
                <w:sz w:val="16"/>
                <w:szCs w:val="16"/>
                <w:color w:val="auto"/>
              </w:rPr>
              <w:t>PERCENTAGE OF NET REVENUE</w:t>
            </w:r>
          </w:p>
        </w:tc>
        <w:tc>
          <w:tcPr>
            <w:tcW w:w="22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PERCENTAGE INCREASE/</w:t>
            </w:r>
          </w:p>
        </w:tc>
        <w:tc>
          <w:tcPr>
            <w:tcW w:w="0" w:type="dxa"/>
            <w:vAlign w:val="bottom"/>
          </w:tcPr>
          <w:p>
            <w:pPr>
              <w:spacing w:after="0"/>
              <w:rPr>
                <w:sz w:val="1"/>
                <w:szCs w:val="1"/>
                <w:color w:val="auto"/>
              </w:rPr>
            </w:pPr>
          </w:p>
        </w:tc>
      </w:tr>
      <w:tr>
        <w:trPr>
          <w:trHeight w:val="190"/>
        </w:trPr>
        <w:tc>
          <w:tcPr>
            <w:tcW w:w="8980" w:type="dxa"/>
            <w:vAlign w:val="bottom"/>
            <w:gridSpan w:val="4"/>
            <w:vMerge w:val="continue"/>
          </w:tcPr>
          <w:p>
            <w:pPr>
              <w:spacing w:after="0"/>
              <w:rPr>
                <w:sz w:val="16"/>
                <w:szCs w:val="16"/>
                <w:color w:val="auto"/>
              </w:rPr>
            </w:pPr>
          </w:p>
        </w:tc>
        <w:tc>
          <w:tcPr>
            <w:tcW w:w="22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(DECREASE)</w:t>
            </w:r>
          </w:p>
        </w:tc>
        <w:tc>
          <w:tcPr>
            <w:tcW w:w="0" w:type="dxa"/>
            <w:vAlign w:val="bottom"/>
          </w:tcPr>
          <w:p>
            <w:pPr>
              <w:spacing w:after="0"/>
              <w:rPr>
                <w:sz w:val="1"/>
                <w:szCs w:val="1"/>
                <w:color w:val="auto"/>
              </w:rPr>
            </w:pPr>
          </w:p>
        </w:tc>
      </w:tr>
      <w:tr>
        <w:trPr>
          <w:trHeight w:val="277"/>
        </w:trPr>
        <w:tc>
          <w:tcPr>
            <w:tcW w:w="6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Net revenue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100.0%</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43.8%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90"/>
        </w:trPr>
        <w:tc>
          <w:tcPr>
            <w:tcW w:w="6120" w:type="dxa"/>
            <w:vAlign w:val="bottom"/>
          </w:tcPr>
          <w:p>
            <w:pPr>
              <w:jc w:val="right"/>
              <w:ind w:right="4158"/>
              <w:spacing w:after="0"/>
              <w:rPr>
                <w:sz w:val="20"/>
                <w:szCs w:val="20"/>
                <w:color w:val="auto"/>
              </w:rPr>
            </w:pPr>
            <w:r>
              <w:rPr>
                <w:rFonts w:ascii="Courier New" w:cs="Courier New" w:eastAsia="Courier New" w:hAnsi="Courier New"/>
                <w:sz w:val="16"/>
                <w:szCs w:val="16"/>
                <w:color w:val="auto"/>
              </w:rPr>
              <w:t>Costs and expenses:</w:t>
            </w: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52.0%</w:t>
            </w:r>
          </w:p>
        </w:tc>
        <w:tc>
          <w:tcPr>
            <w:tcW w:w="11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54.9%</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30.7%</w:t>
            </w:r>
          </w:p>
        </w:tc>
        <w:tc>
          <w:tcPr>
            <w:tcW w:w="0" w:type="dxa"/>
            <w:vAlign w:val="bottom"/>
          </w:tcPr>
          <w:p>
            <w:pPr>
              <w:spacing w:after="0"/>
              <w:rPr>
                <w:sz w:val="1"/>
                <w:szCs w:val="1"/>
                <w:color w:val="auto"/>
              </w:rPr>
            </w:pPr>
          </w:p>
        </w:tc>
      </w:tr>
      <w:tr>
        <w:trPr>
          <w:trHeight w:val="190"/>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Direct costs ..........................................</w:t>
            </w:r>
          </w:p>
        </w:tc>
        <w:tc>
          <w:tcPr>
            <w:tcW w:w="6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Selling, general and administrative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90"/>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Depreciation and amortization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52.4%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277"/>
        </w:trPr>
        <w:tc>
          <w:tcPr>
            <w:tcW w:w="61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Income from operations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69.6%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64.4%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540" w:firstLine="591"/>
        <w:spacing w:after="0" w:line="282" w:lineRule="auto"/>
        <w:rPr>
          <w:sz w:val="20"/>
          <w:szCs w:val="20"/>
          <w:color w:val="auto"/>
        </w:rPr>
      </w:pPr>
      <w:r>
        <w:rPr>
          <w:rFonts w:ascii="Courier New" w:cs="Courier New" w:eastAsia="Courier New" w:hAnsi="Courier New"/>
          <w:sz w:val="16"/>
          <w:szCs w:val="16"/>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1240"/>
          </w:cols>
          <w:pgMar w:left="240" w:top="655" w:right="419" w:bottom="1440" w:gutter="0" w:footer="0" w:header="0"/>
        </w:sectPr>
      </w:pPr>
    </w:p>
    <w:bookmarkStart w:id="23" w:name="page24"/>
    <w:bookmarkEnd w:id="23"/>
    <w:p>
      <w:pPr>
        <w:ind w:right="2339"/>
        <w:spacing w:after="0" w:line="314" w:lineRule="auto"/>
        <w:rPr>
          <w:sz w:val="20"/>
          <w:szCs w:val="20"/>
          <w:color w:val="auto"/>
        </w:rPr>
      </w:pPr>
      <w:r>
        <w:rPr>
          <w:rFonts w:ascii="Courier New" w:cs="Courier New" w:eastAsia="Courier New" w:hAnsi="Courier New"/>
          <w:sz w:val="16"/>
          <w:szCs w:val="16"/>
          <w:color w:val="auto"/>
        </w:rPr>
        <w:t>million, or 27.4% in fiscal 2002 compared to fiscal 2001. Of the total increase, revenues in the United States and Europe/Rest of the World grew by 31.3% and 43.2%, respectively.</w:t>
      </w:r>
    </w:p>
    <w:p>
      <w:pPr>
        <w:spacing w:after="0" w:line="47"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76"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73"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84"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81"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73"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2001 COMPARED TO FISCAL YEAR ENDED MAY 31, 2000</w:t>
      </w:r>
    </w:p>
    <w:p>
      <w:pPr>
        <w:spacing w:after="0" w:line="198"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8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5" w:right="1440" w:bottom="1440" w:gutter="0" w:footer="0" w:header="0"/>
        </w:sectPr>
      </w:pPr>
    </w:p>
    <w:bookmarkStart w:id="24" w:name="page25"/>
    <w:bookmarkEnd w:id="24"/>
    <w:p>
      <w:pPr>
        <w:ind w:right="2339"/>
        <w:spacing w:after="0" w:line="314" w:lineRule="auto"/>
        <w:rPr>
          <w:sz w:val="20"/>
          <w:szCs w:val="20"/>
          <w:color w:val="auto"/>
        </w:rPr>
      </w:pPr>
      <w:r>
        <w:rPr>
          <w:rFonts w:ascii="Courier New" w:cs="Courier New" w:eastAsia="Courier New" w:hAnsi="Courier New"/>
          <w:sz w:val="16"/>
          <w:szCs w:val="16"/>
          <w:color w:val="auto"/>
        </w:rPr>
        <w:t>twelve months to May 31, 2000, to 54.9% in the equivalent period in fiscal 2001. Excluding acquisitions, direct costs were 53.3% of net revenues in the twelve months to May 31, 2001.</w:t>
      </w:r>
    </w:p>
    <w:p>
      <w:pPr>
        <w:spacing w:after="0" w:line="47"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81"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284"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63"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73"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8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nine months ended February 28, 2002 and February 28, 2003, the aggregate amount of employee compensation, excluding stock compensation expense, paid by us and our subsidiaries amounted to $63.6 million and $96.0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95"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5" w:right="1440" w:bottom="1440" w:gutter="0" w:footer="0" w:header="0"/>
        </w:sectPr>
      </w:pPr>
    </w:p>
    <w:bookmarkStart w:id="25" w:name="page26"/>
    <w:bookmarkEnd w:id="25"/>
    <w:p>
      <w:pPr>
        <w:ind w:right="2339" w:firstLine="591"/>
        <w:spacing w:after="0" w:line="261" w:lineRule="auto"/>
        <w:rPr>
          <w:sz w:val="20"/>
          <w:szCs w:val="20"/>
          <w:color w:val="auto"/>
        </w:rPr>
      </w:pPr>
      <w:r>
        <w:rPr>
          <w:rFonts w:ascii="Courier New" w:cs="Courier New" w:eastAsia="Courier New" w:hAnsi="Courier New"/>
          <w:sz w:val="16"/>
          <w:szCs w:val="16"/>
          <w:color w:val="auto"/>
        </w:rPr>
        <w:t>As of February 28, 2003, our working capital was $50.5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69 days at February 28, 2003, 67 days at May 31, 2002 and 93 days at May 31, 2001. The decrease from May 31, 2001 to May 31, 2002 was due primarily to increased cash collections, as a result of a more stringent application of our trading terms with respect to our accounts receivable. The increase from May 31, 2002 to February 28, 2003 was due primarily to the timing of pass-through sub-contractor fees.</w:t>
      </w:r>
    </w:p>
    <w:p>
      <w:pPr>
        <w:spacing w:after="0" w:line="289"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Net cash provided by operating activities was $16.6 million in the nine months ended February 28, 2003, compared to $16.3 million in the nine months ended February 28, 2002 and $17.3 million in the year ended May 31, 2002, compared with net cash used of $1.6 million in fiscal 2001. The improvement in operating cash flow from May 31, 2001 to May 31, 2002 was due to substantial improvements in our DSOs from 93 days to 67 days over the period.</w:t>
      </w:r>
    </w:p>
    <w:p>
      <w:pPr>
        <w:spacing w:after="0" w:line="76"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Net cash used in investing activities was $29.5 million in the nine months ended February 28, 2003, compared to $4.1 million provided by investing activities in the nine months ended February 28, 2002,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81"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Net cash used in financing activities was $1.6 million in the nine months ended February 28, 2003, compared with $0.9 million provided by financing activities in the nine months ended February 28, 2002, due principally to the repayment of debt. Net cash provided by financing activities was $2.7 million in the year ended May 31, 2002, compared with $9.6 million in fiscal 2001, due mainly to higher levels of debt in fiscal 2001.</w:t>
      </w:r>
    </w:p>
    <w:p>
      <w:pPr>
        <w:spacing w:after="0" w:line="76" w:lineRule="exact"/>
        <w:rPr>
          <w:sz w:val="20"/>
          <w:szCs w:val="20"/>
          <w:color w:val="auto"/>
        </w:rPr>
      </w:pPr>
    </w:p>
    <w:p>
      <w:pPr>
        <w:ind w:right="2619" w:firstLine="591"/>
        <w:spacing w:after="0" w:line="282" w:lineRule="auto"/>
        <w:rPr>
          <w:sz w:val="20"/>
          <w:szCs w:val="20"/>
          <w:color w:val="auto"/>
        </w:rPr>
      </w:pPr>
      <w:r>
        <w:rPr>
          <w:rFonts w:ascii="Courier New" w:cs="Courier New" w:eastAsia="Courier New" w:hAnsi="Courier New"/>
          <w:sz w:val="16"/>
          <w:szCs w:val="16"/>
          <w:color w:val="auto"/>
        </w:rPr>
        <w:t>As a result of these cash flows, cash and cash equivalents decreased by $14.4 million in the nine months ended February 28, 2003, compared to an increase of $21.5 million in the nine months ended February 28, 2002, and increased by $25.1 million in the year ended May 31, 2002, compared to a decrease of $15.4 million in the year ended May 31, 2001.</w:t>
      </w:r>
    </w:p>
    <w:p>
      <w:pPr>
        <w:spacing w:after="0" w:line="73"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On November 17, 1998, we entered into an overdraft facility, or the A.I.B. facility, for (Euro)2,539,000 (U.S.$2,731,710) with Allied Irish Banks plc, or A.I.B. This facility bears interest at an annual rate equal to A.I.B. Bank's Prime Rate plus one-quarter of a percent. The full amount of the unpaid principal and interest is due and repayable on demand. This A.I.B. facility expires on June 30, 2003; in the event that such facility is not renewed, any amounts outstanding will have to be repaid on the expiration date. As of February 28, 2003, (Euro)2,056,227 (U.S.$2,212,295) of this facility was available to be drawn down.</w:t>
      </w:r>
    </w:p>
    <w:p>
      <w:pPr>
        <w:spacing w:after="0" w:line="283" w:lineRule="exact"/>
        <w:rPr>
          <w:sz w:val="20"/>
          <w:szCs w:val="20"/>
          <w:color w:val="auto"/>
        </w:rPr>
      </w:pPr>
    </w:p>
    <w:p>
      <w:pPr>
        <w:ind w:right="2439" w:firstLine="591"/>
        <w:spacing w:after="0" w:line="269" w:lineRule="auto"/>
        <w:rPr>
          <w:sz w:val="20"/>
          <w:szCs w:val="20"/>
          <w:color w:val="auto"/>
        </w:rPr>
      </w:pPr>
      <w:r>
        <w:rPr>
          <w:rFonts w:ascii="Courier New" w:cs="Courier New" w:eastAsia="Courier New" w:hAnsi="Courier New"/>
          <w:sz w:val="16"/>
          <w:szCs w:val="16"/>
          <w:color w:val="auto"/>
        </w:rPr>
        <w:t>On July 29, 2002, we entered into an additional A.I.B. facility for sterling 50,000 (U.S.$79,006). This facility bears interest at an annual rate equal to A.I.B. Bank's Prime Rate plus two percent. The full amount of the unpaid principal and interest is due and repayable on demand. This A.I.B. facility expires on June 30, 2003; in the event that such facility is not renewed, any amounts outstanding will have to be repaid on the expiration date. As of February 28, 2003, the full amount of this facility was available to be drawn down.</w:t>
      </w:r>
    </w:p>
    <w:p>
      <w:pPr>
        <w:spacing w:after="0" w:line="284"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w:t>
      </w:r>
    </w:p>
    <w:p>
      <w:pPr>
        <w:spacing w:after="0" w:line="200" w:lineRule="exact"/>
        <w:rPr>
          <w:sz w:val="20"/>
          <w:szCs w:val="20"/>
          <w:color w:val="auto"/>
        </w:rPr>
      </w:pPr>
    </w:p>
    <w:p>
      <w:pPr>
        <w:spacing w:after="0" w:line="2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5" w:right="1440" w:bottom="1440" w:gutter="0" w:footer="0" w:header="0"/>
        </w:sectPr>
      </w:pPr>
    </w:p>
    <w:bookmarkStart w:id="26" w:name="page27"/>
    <w:bookmarkEnd w:id="26"/>
    <w:p>
      <w:pPr>
        <w:ind w:right="3340"/>
        <w:spacing w:after="0" w:line="272" w:lineRule="auto"/>
        <w:rPr>
          <w:sz w:val="20"/>
          <w:szCs w:val="20"/>
          <w:color w:val="auto"/>
        </w:rPr>
      </w:pPr>
      <w:r>
        <w:rPr>
          <w:rFonts w:ascii="Courier New" w:cs="Courier New" w:eastAsia="Courier New" w:hAnsi="Courier New"/>
          <w:sz w:val="16"/>
          <w:szCs w:val="16"/>
          <w:color w:val="auto"/>
        </w:rPr>
        <w:t>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expires on December 31, 2003; in the event that such facility is not renewed, any amounts outstanding will have to be repaid on the expiration date. As of February 28, 2003, $8.9 million was drawn down.</w:t>
      </w:r>
    </w:p>
    <w:p>
      <w:pPr>
        <w:spacing w:after="0" w:line="79" w:lineRule="exact"/>
        <w:rPr>
          <w:sz w:val="20"/>
          <w:szCs w:val="20"/>
          <w:color w:val="auto"/>
        </w:rPr>
      </w:pPr>
    </w:p>
    <w:p>
      <w:pPr>
        <w:ind w:right="3540" w:firstLine="591"/>
        <w:spacing w:after="0" w:line="314"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See "Recent Developments--New Credit Facility."</w:t>
      </w:r>
    </w:p>
    <w:p>
      <w:pPr>
        <w:spacing w:after="0" w:line="4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We entered into an overdraft agreement with A.I.B., whereby we guarantee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overdrafts of our subsidiaries ICON Clinical Research GmbH and ICON Clinical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Israel Ltd. up to an amount (Euro)112,484 (U.S.$121,022)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U.S.$250,000 (ILS 1,209,499), respectively. As of February 28, 2003, the full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 facility and Israeli facility were available to be drawn down.</w:t>
      </w:r>
    </w:p>
    <w:p>
      <w:pPr>
        <w:spacing w:after="0" w:line="168" w:lineRule="exact"/>
        <w:rPr>
          <w:sz w:val="20"/>
          <w:szCs w:val="20"/>
          <w:color w:val="auto"/>
        </w:rPr>
      </w:pPr>
    </w:p>
    <w:p>
      <w:pPr>
        <w:ind w:right="3260" w:firstLine="591"/>
        <w:spacing w:after="0" w:line="276" w:lineRule="auto"/>
        <w:rPr>
          <w:sz w:val="20"/>
          <w:szCs w:val="20"/>
          <w:color w:val="auto"/>
        </w:rPr>
      </w:pPr>
      <w:r>
        <w:rPr>
          <w:rFonts w:ascii="Courier New" w:cs="Courier New" w:eastAsia="Courier New" w:hAnsi="Courier New"/>
          <w:sz w:val="16"/>
          <w:szCs w:val="16"/>
          <w:color w:val="auto"/>
        </w:rPr>
        <w:t>On October 9, 2002, we completed the acquisitions of Barton &amp; Polansky Associates, Inc. and its sister company, Managed Clinical Solutions, Inc., contract research organizations in New York, for an initial cash consideration of $15.7 million (excluding costs of acquisition) and a further $3.7 million in an earn-out payment on December 20, 2002, as well as potential earn-out payments. See "--Contractual Obligations Table".</w:t>
      </w:r>
    </w:p>
    <w:p>
      <w:pPr>
        <w:spacing w:after="0" w:line="76" w:lineRule="exact"/>
        <w:rPr>
          <w:sz w:val="20"/>
          <w:szCs w:val="20"/>
          <w:color w:val="auto"/>
        </w:rPr>
      </w:pPr>
    </w:p>
    <w:p>
      <w:pPr>
        <w:ind w:right="3160" w:firstLine="591"/>
        <w:spacing w:after="0" w:line="282" w:lineRule="auto"/>
        <w:rPr>
          <w:sz w:val="20"/>
          <w:szCs w:val="20"/>
          <w:color w:val="auto"/>
        </w:rPr>
      </w:pPr>
      <w:r>
        <w:rPr>
          <w:rFonts w:ascii="Courier New" w:cs="Courier New" w:eastAsia="Courier New" w:hAnsi="Courier New"/>
          <w:sz w:val="16"/>
          <w:szCs w:val="16"/>
          <w:color w:val="auto"/>
        </w:rPr>
        <w:t>On January 24, 2003, we completed the acquisition of Medeval Group Limited, a specialist provider of Phase I clinical trials to the pharmaceutical and biotechnology industries, for an initial cash consideration of approximately sterling 9.5 million (U.S.$15.5 million) (excluding costs of acquisition), as well as potential earn-out payments. See "--Contractual Obligations Table".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TABLE</w:t>
      </w:r>
    </w:p>
    <w:p>
      <w:pPr>
        <w:spacing w:after="0" w:line="198" w:lineRule="exact"/>
        <w:rPr>
          <w:sz w:val="20"/>
          <w:szCs w:val="20"/>
          <w:color w:val="auto"/>
        </w:rPr>
      </w:pPr>
    </w:p>
    <w:p>
      <w:pPr>
        <w:ind w:right="3260" w:firstLine="591"/>
        <w:spacing w:after="0" w:line="377" w:lineRule="auto"/>
        <w:rPr>
          <w:sz w:val="20"/>
          <w:szCs w:val="20"/>
          <w:color w:val="auto"/>
        </w:rPr>
      </w:pPr>
      <w:r>
        <w:rPr>
          <w:rFonts w:ascii="Courier New" w:cs="Courier New" w:eastAsia="Courier New" w:hAnsi="Courier New"/>
          <w:sz w:val="16"/>
          <w:szCs w:val="16"/>
          <w:color w:val="auto"/>
        </w:rPr>
        <w:t>The following table represents our contractual obligations and commercial commitments as of February 28, 2003.</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PAYMENTS DUE BY PERIOD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538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38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rPr>
              <w:t>TOTAL</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LESS THAN</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 TO 5</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AFTER 5</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 YEAR</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YEARS</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YEARS</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60" w:type="dxa"/>
            <w:vAlign w:val="bottom"/>
            <w:gridSpan w:val="2"/>
          </w:tcPr>
          <w:p>
            <w:pPr>
              <w:jc w:val="right"/>
              <w:ind w:right="738"/>
              <w:spacing w:after="0"/>
              <w:rPr>
                <w:sz w:val="20"/>
                <w:szCs w:val="20"/>
                <w:color w:val="auto"/>
              </w:rPr>
            </w:pPr>
            <w:r>
              <w:rPr>
                <w:rFonts w:ascii="Courier New" w:cs="Courier New" w:eastAsia="Courier New" w:hAnsi="Courier New"/>
                <w:sz w:val="16"/>
                <w:szCs w:val="16"/>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660" w:type="dxa"/>
            <w:vAlign w:val="bottom"/>
          </w:tcPr>
          <w:p>
            <w:pPr>
              <w:spacing w:after="0"/>
              <w:rPr>
                <w:sz w:val="20"/>
                <w:szCs w:val="20"/>
                <w:color w:val="auto"/>
              </w:rPr>
            </w:pPr>
            <w:r>
              <w:rPr>
                <w:rFonts w:ascii="Courier New" w:cs="Courier New" w:eastAsia="Courier New" w:hAnsi="Courier New"/>
                <w:sz w:val="16"/>
                <w:szCs w:val="16"/>
                <w:color w:val="auto"/>
              </w:rPr>
              <w:t>Operating leases .......................................</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$121,579</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$ 7,359</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$50,406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Credit facilities ......................................</w:t>
            </w: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10,503</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10,503</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Earn-out payments committed for</w:t>
            </w:r>
          </w:p>
        </w:tc>
        <w:tc>
          <w:tcPr>
            <w:tcW w:w="138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13,460</w:t>
            </w:r>
          </w:p>
        </w:tc>
        <w:tc>
          <w:tcPr>
            <w:tcW w:w="14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4,120</w:t>
            </w:r>
          </w:p>
        </w:tc>
        <w:tc>
          <w:tcPr>
            <w:tcW w:w="142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9,340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contingent consideration (1) .........................</w:t>
            </w:r>
          </w:p>
        </w:tc>
        <w:tc>
          <w:tcPr>
            <w:tcW w:w="13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Total ..................................................</w:t>
            </w:r>
          </w:p>
        </w:tc>
        <w:tc>
          <w:tcPr>
            <w:tcW w:w="1380" w:type="dxa"/>
            <w:vAlign w:val="bottom"/>
            <w:vMerge w:val="restart"/>
          </w:tcPr>
          <w:p>
            <w:pPr>
              <w:jc w:val="right"/>
              <w:ind w:right="159"/>
              <w:spacing w:after="0"/>
              <w:rPr>
                <w:sz w:val="20"/>
                <w:szCs w:val="20"/>
                <w:color w:val="auto"/>
              </w:rPr>
            </w:pPr>
            <w:r>
              <w:rPr>
                <w:rFonts w:ascii="Courier New" w:cs="Courier New" w:eastAsia="Courier New" w:hAnsi="Courier New"/>
                <w:sz w:val="27"/>
                <w:szCs w:val="27"/>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27"/>
                <w:szCs w:val="27"/>
                <w:color w:val="auto"/>
                <w:w w:val="70"/>
                <w:vertAlign w:val="subscript"/>
              </w:rPr>
              <w:t>145,542</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$21,982</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$59,746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c>
          <w:tcPr>
            <w:tcW w:w="0" w:type="dxa"/>
            <w:vAlign w:val="bottom"/>
          </w:tcPr>
          <w:p>
            <w:pPr>
              <w:spacing w:after="0"/>
              <w:rPr>
                <w:sz w:val="1"/>
                <w:szCs w:val="1"/>
                <w:color w:val="auto"/>
              </w:rPr>
            </w:pPr>
          </w:p>
        </w:tc>
      </w:tr>
      <w:tr>
        <w:trPr>
          <w:trHeight w:val="277"/>
        </w:trPr>
        <w:tc>
          <w:tcPr>
            <w:tcW w:w="5660" w:type="dxa"/>
            <w:vAlign w:val="bottom"/>
          </w:tcPr>
          <w:p>
            <w:pPr>
              <w:spacing w:after="0"/>
              <w:rPr>
                <w:sz w:val="24"/>
                <w:szCs w:val="24"/>
                <w:color w:val="auto"/>
              </w:rPr>
            </w:pPr>
          </w:p>
        </w:tc>
        <w:tc>
          <w:tcPr>
            <w:tcW w:w="13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 w:lineRule="exact"/>
        <w:rPr>
          <w:rFonts w:ascii="Courier New" w:cs="Courier New" w:eastAsia="Courier New" w:hAnsi="Courier New"/>
          <w:sz w:val="16"/>
          <w:szCs w:val="16"/>
          <w:color w:val="auto"/>
        </w:rPr>
      </w:pPr>
    </w:p>
    <w:p>
      <w:pPr>
        <w:ind w:left="500" w:hanging="400"/>
        <w:spacing w:after="0"/>
        <w:tabs>
          <w:tab w:leader="none" w:pos="5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cash is payable under earn-out clauses included in acquisitions.</w:t>
      </w:r>
    </w:p>
    <w:p>
      <w:pPr>
        <w:spacing w:after="0" w:line="358" w:lineRule="exact"/>
        <w:rPr>
          <w:sz w:val="20"/>
          <w:szCs w:val="20"/>
          <w:color w:val="auto"/>
        </w:rPr>
      </w:pPr>
    </w:p>
    <w:p>
      <w:pPr>
        <w:ind w:right="3160" w:firstLine="591"/>
        <w:spacing w:after="0" w:line="261" w:lineRule="auto"/>
        <w:rPr>
          <w:sz w:val="20"/>
          <w:szCs w:val="20"/>
          <w:color w:val="auto"/>
        </w:rPr>
      </w:pPr>
      <w:r>
        <w:rPr>
          <w:rFonts w:ascii="Courier New" w:cs="Courier New" w:eastAsia="Courier New" w:hAnsi="Courier New"/>
          <w:sz w:val="16"/>
          <w:szCs w:val="16"/>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February 28, 2004, we expect to pay approximately $4.1 million on earn-out payments arising from acquisitions.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28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040"/>
          </w:cols>
          <w:pgMar w:left="240" w:top="655" w:right="619" w:bottom="1440" w:gutter="0" w:footer="0" w:header="0"/>
        </w:sectPr>
      </w:pPr>
    </w:p>
    <w:bookmarkStart w:id="27" w:name="page28"/>
    <w:bookmarkEnd w:id="27"/>
    <w:p>
      <w:pPr>
        <w:ind w:left="3560"/>
        <w:spacing w:after="0"/>
        <w:rPr>
          <w:sz w:val="20"/>
          <w:szCs w:val="20"/>
          <w:color w:val="auto"/>
        </w:rPr>
      </w:pPr>
      <w:r>
        <w:rPr>
          <w:rFonts w:ascii="Courier New" w:cs="Courier New" w:eastAsia="Courier New" w:hAnsi="Courier New"/>
          <w:sz w:val="16"/>
          <w:szCs w:val="16"/>
          <w:color w:val="auto"/>
        </w:rPr>
        <w:t>INFLATION</w:t>
      </w:r>
    </w:p>
    <w:p>
      <w:pPr>
        <w:spacing w:after="0" w:line="198" w:lineRule="exact"/>
        <w:rPr>
          <w:sz w:val="20"/>
          <w:szCs w:val="20"/>
          <w:color w:val="auto"/>
        </w:rPr>
      </w:pPr>
    </w:p>
    <w:p>
      <w:pPr>
        <w:ind w:right="2439" w:firstLine="591"/>
        <w:spacing w:after="0" w:line="376" w:lineRule="auto"/>
        <w:rPr>
          <w:sz w:val="20"/>
          <w:szCs w:val="20"/>
          <w:color w:val="auto"/>
        </w:rPr>
      </w:pPr>
      <w:r>
        <w:rPr>
          <w:rFonts w:ascii="Courier New" w:cs="Courier New" w:eastAsia="Courier New" w:hAnsi="Courier New"/>
          <w:sz w:val="16"/>
          <w:szCs w:val="16"/>
          <w:color w:val="auto"/>
        </w:rPr>
        <w:t>We believe that the effects of inflation generally do not have a material impact on our operations or financial condition.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CRITICAL ACCOUNTING POLICIES</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73"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73"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28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9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63" w:lineRule="exact"/>
        <w:rPr>
          <w:sz w:val="20"/>
          <w:szCs w:val="20"/>
          <w:color w:val="auto"/>
        </w:rPr>
      </w:pPr>
    </w:p>
    <w:p>
      <w:pPr>
        <w:ind w:left="1180" w:right="2819" w:hanging="587"/>
        <w:spacing w:after="0" w:line="376" w:lineRule="auto"/>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underperformance relative to expected historical or projected future operating results;</w:t>
      </w:r>
    </w:p>
    <w:p>
      <w:pPr>
        <w:ind w:left="1180" w:hanging="587"/>
        <w:spacing w:after="0"/>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negative industry or economic trends;</w:t>
      </w:r>
    </w:p>
    <w:p>
      <w:pPr>
        <w:spacing w:after="0" w:line="197" w:lineRule="exact"/>
        <w:rPr>
          <w:rFonts w:ascii="Courier New" w:cs="Courier New" w:eastAsia="Courier New" w:hAnsi="Courier New"/>
          <w:sz w:val="16"/>
          <w:szCs w:val="16"/>
          <w:color w:val="auto"/>
        </w:rPr>
      </w:pPr>
    </w:p>
    <w:p>
      <w:pPr>
        <w:ind w:left="1180" w:hanging="587"/>
        <w:spacing w:after="0"/>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decline in our stock price for a sustained period; and</w:t>
      </w:r>
    </w:p>
    <w:p>
      <w:pPr>
        <w:spacing w:after="0" w:line="197" w:lineRule="exact"/>
        <w:rPr>
          <w:rFonts w:ascii="Courier New" w:cs="Courier New" w:eastAsia="Courier New" w:hAnsi="Courier New"/>
          <w:sz w:val="16"/>
          <w:szCs w:val="16"/>
          <w:color w:val="auto"/>
        </w:rPr>
      </w:pPr>
    </w:p>
    <w:p>
      <w:pPr>
        <w:ind w:left="1180" w:hanging="587"/>
        <w:spacing w:after="0"/>
        <w:tabs>
          <w:tab w:leader="none" w:pos="11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ratio of our market capitalization to net book value.</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5" w:right="1440" w:bottom="1440" w:gutter="0" w:footer="0" w:header="0"/>
        </w:sectPr>
      </w:pPr>
    </w:p>
    <w:bookmarkStart w:id="28" w:name="page29"/>
    <w:bookmarkEnd w:id="28"/>
    <w:p>
      <w:pPr>
        <w:ind w:left="2560"/>
        <w:spacing w:after="0"/>
        <w:rPr>
          <w:sz w:val="20"/>
          <w:szCs w:val="20"/>
          <w:color w:val="auto"/>
        </w:rPr>
      </w:pPr>
      <w:r>
        <w:rPr>
          <w:rFonts w:ascii="Courier New" w:cs="Courier New" w:eastAsia="Courier New" w:hAnsi="Courier New"/>
          <w:sz w:val="16"/>
          <w:szCs w:val="16"/>
          <w:color w:val="auto"/>
        </w:rPr>
        <w:t>NEW ACCOUNTING PRONOUNCEMENTS</w:t>
      </w:r>
    </w:p>
    <w:p>
      <w:pPr>
        <w:spacing w:after="0" w:line="198" w:lineRule="exact"/>
        <w:rPr>
          <w:sz w:val="20"/>
          <w:szCs w:val="20"/>
          <w:color w:val="auto"/>
        </w:rPr>
      </w:pPr>
    </w:p>
    <w:p>
      <w:pPr>
        <w:ind w:right="2339" w:firstLine="591"/>
        <w:spacing w:after="0" w:line="259" w:lineRule="auto"/>
        <w:rPr>
          <w:sz w:val="20"/>
          <w:szCs w:val="20"/>
          <w:color w:val="auto"/>
        </w:rPr>
      </w:pPr>
      <w:r>
        <w:rPr>
          <w:rFonts w:ascii="Courier New" w:cs="Courier New" w:eastAsia="Courier New" w:hAnsi="Courier New"/>
          <w:sz w:val="16"/>
          <w:szCs w:val="16"/>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283" w:lineRule="exact"/>
        <w:rPr>
          <w:sz w:val="20"/>
          <w:szCs w:val="20"/>
          <w:color w:val="auto"/>
        </w:rPr>
      </w:pPr>
    </w:p>
    <w:p>
      <w:pPr>
        <w:ind w:right="2439" w:firstLine="591"/>
        <w:spacing w:after="0" w:line="314" w:lineRule="auto"/>
        <w:rPr>
          <w:sz w:val="20"/>
          <w:szCs w:val="20"/>
          <w:color w:val="auto"/>
        </w:rPr>
      </w:pPr>
      <w:r>
        <w:rPr>
          <w:rFonts w:ascii="Courier New" w:cs="Courier New" w:eastAsia="Courier New" w:hAnsi="Courier New"/>
          <w:sz w:val="16"/>
          <w:szCs w:val="16"/>
          <w:color w:val="auto"/>
        </w:rPr>
        <w:t>The following table reconciles the prior periods' reported net income to their prospective pro forma balances adjusted to exclude goodwill amortization, which is no longer recorded under SFAS No. 142: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ENDED MAY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2000</w:t>
            </w:r>
          </w:p>
        </w:tc>
        <w:tc>
          <w:tcPr>
            <w:tcW w:w="19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7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Reported net income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EXCEPT</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PER SHARE DATA)</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$6,068</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$10,978</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 income ..............................</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4"/>
                <w:szCs w:val="14"/>
                <w:color w:val="auto"/>
                <w:w w:val="70"/>
              </w:rPr>
              <w:t>6,106</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c>
          <w:tcPr>
            <w:tcW w:w="0" w:type="dxa"/>
            <w:vAlign w:val="bottom"/>
          </w:tcPr>
          <w:p>
            <w:pPr>
              <w:spacing w:after="0"/>
              <w:rPr>
                <w:sz w:val="1"/>
                <w:szCs w:val="1"/>
                <w:color w:val="auto"/>
              </w:rPr>
            </w:pPr>
          </w:p>
        </w:tc>
      </w:tr>
      <w:tr>
        <w:trPr>
          <w:trHeight w:val="277"/>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BASIC NET INCOME PER ORDINARY SHARE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$ 0.97</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net income per share ..............</w:t>
            </w:r>
          </w:p>
        </w:tc>
        <w:tc>
          <w:tcPr>
            <w:tcW w:w="8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0.55</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$ 0.99</w:t>
            </w:r>
          </w:p>
        </w:tc>
        <w:tc>
          <w:tcPr>
            <w:tcW w:w="0" w:type="dxa"/>
            <w:vAlign w:val="bottom"/>
          </w:tcPr>
          <w:p>
            <w:pPr>
              <w:spacing w:after="0"/>
              <w:rPr>
                <w:sz w:val="1"/>
                <w:szCs w:val="1"/>
                <w:color w:val="auto"/>
              </w:rPr>
            </w:pPr>
          </w:p>
        </w:tc>
      </w:tr>
      <w:tr>
        <w:trPr>
          <w:trHeight w:val="277"/>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DILUTED NET INCOME PER ORDINARY SHARE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$ 0.92</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90"/>
        </w:trPr>
        <w:tc>
          <w:tcPr>
            <w:tcW w:w="51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 net income per share</w:t>
            </w:r>
          </w:p>
        </w:tc>
        <w:tc>
          <w:tcPr>
            <w:tcW w:w="8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w w:val="70"/>
                <w:vertAlign w:val="subscript"/>
              </w:rPr>
              <w:t>$</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0.51</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120" w:type="dxa"/>
            <w:vAlign w:val="bottom"/>
            <w:vMerge w:val="continue"/>
          </w:tcPr>
          <w:p>
            <w:pPr>
              <w:ind w:left="3740"/>
              <w:spacing w:after="0" w:line="167" w:lineRule="exact"/>
              <w:rPr>
                <w:sz w:val="20"/>
                <w:szCs w:val="20"/>
                <w:color w:val="auto"/>
              </w:rPr>
            </w:pPr>
            <w:r>
              <w:rPr>
                <w:rFonts w:ascii="Courier New" w:cs="Courier New" w:eastAsia="Courier New" w:hAnsi="Courier New"/>
                <w:sz w:val="16"/>
                <w:szCs w:val="16"/>
                <w:color w:val="auto"/>
              </w:rPr>
              <w:t>............</w:t>
            </w:r>
          </w:p>
        </w:tc>
        <w:tc>
          <w:tcPr>
            <w:tcW w:w="84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$ 0.94</w:t>
            </w:r>
          </w:p>
        </w:tc>
        <w:tc>
          <w:tcPr>
            <w:tcW w:w="0" w:type="dxa"/>
            <w:vAlign w:val="bottom"/>
          </w:tcPr>
          <w:p>
            <w:pPr>
              <w:spacing w:after="0"/>
              <w:rPr>
                <w:sz w:val="1"/>
                <w:szCs w:val="1"/>
                <w:color w:val="auto"/>
              </w:rPr>
            </w:pPr>
          </w:p>
        </w:tc>
      </w:tr>
      <w:tr>
        <w:trPr>
          <w:trHeight w:val="277"/>
        </w:trPr>
        <w:tc>
          <w:tcPr>
            <w:tcW w:w="5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92"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5" w:right="1440" w:bottom="839" w:gutter="0" w:footer="0" w:header="0"/>
        </w:sectPr>
      </w:pPr>
    </w:p>
    <w:bookmarkStart w:id="29" w:name="page30"/>
    <w:bookmarkEnd w:id="29"/>
    <w:p>
      <w:pPr>
        <w:ind w:right="2339"/>
        <w:spacing w:after="0" w:line="276" w:lineRule="auto"/>
        <w:rPr>
          <w:sz w:val="20"/>
          <w:szCs w:val="20"/>
          <w:color w:val="auto"/>
        </w:rPr>
      </w:pPr>
      <w:r>
        <w:rPr>
          <w:rFonts w:ascii="Courier New" w:cs="Courier New" w:eastAsia="Courier New" w:hAnsi="Courier New"/>
          <w:sz w:val="16"/>
          <w:szCs w:val="16"/>
          <w:color w:val="auto"/>
        </w:rPr>
        <w:t>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76" w:lineRule="exact"/>
        <w:rPr>
          <w:sz w:val="20"/>
          <w:szCs w:val="20"/>
          <w:color w:val="auto"/>
        </w:rPr>
      </w:pPr>
    </w:p>
    <w:p>
      <w:pPr>
        <w:ind w:right="2439" w:firstLine="591"/>
        <w:spacing w:after="0" w:line="269" w:lineRule="auto"/>
        <w:rPr>
          <w:sz w:val="20"/>
          <w:szCs w:val="20"/>
          <w:color w:val="auto"/>
        </w:rPr>
      </w:pPr>
      <w:r>
        <w:rPr>
          <w:rFonts w:ascii="Courier New" w:cs="Courier New" w:eastAsia="Courier New" w:hAnsi="Courier New"/>
          <w:sz w:val="16"/>
          <w:szCs w:val="16"/>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81"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84" w:lineRule="exact"/>
        <w:rPr>
          <w:sz w:val="20"/>
          <w:szCs w:val="20"/>
          <w:color w:val="auto"/>
        </w:rPr>
      </w:pPr>
    </w:p>
    <w:p>
      <w:pPr>
        <w:ind w:right="2439" w:firstLine="591"/>
        <w:spacing w:after="0" w:line="262"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200" w:lineRule="exact"/>
        <w:rPr>
          <w:sz w:val="20"/>
          <w:szCs w:val="20"/>
          <w:color w:val="auto"/>
        </w:rPr>
      </w:pPr>
    </w:p>
    <w:p>
      <w:pPr>
        <w:spacing w:after="0" w:line="27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5" w:right="1440" w:bottom="1440" w:gutter="0" w:footer="0" w:header="0"/>
        </w:sectPr>
      </w:pPr>
    </w:p>
    <w:bookmarkStart w:id="30" w:name="page31"/>
    <w:bookmarkEnd w:id="30"/>
    <w:p>
      <w:pPr>
        <w:ind w:left="3560"/>
        <w:spacing w:after="0"/>
        <w:rPr>
          <w:sz w:val="20"/>
          <w:szCs w:val="20"/>
          <w:color w:val="auto"/>
        </w:rPr>
      </w:pPr>
      <w:r>
        <w:rPr>
          <w:rFonts w:ascii="Courier New" w:cs="Courier New" w:eastAsia="Courier New" w:hAnsi="Courier New"/>
          <w:sz w:val="16"/>
          <w:szCs w:val="16"/>
          <w:color w:val="auto"/>
        </w:rPr>
        <w:t>BUSINESS</w:t>
      </w:r>
    </w:p>
    <w:p>
      <w:pPr>
        <w:spacing w:after="0" w:line="198"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THIS IS A SUMMARY OF THE MATERIAL ASPECTS OF OUR BUSINESS. FOR ADDITIONAL INFORMATION, PLEASE REFER TO OUR FORMS 20-F AND 20-F/A FOR THE FISCAL YEAR ENDED MAY 31, 2002, "ITEM 4. INFORMATION ON THE COMPANY."</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90"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Headquartered in Dublin, Ireland, we began operations in 1990 and have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expanded our business through internal growth and strategic acquisitions. Since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initial public offering, our net revenue, comprised of gross revenue less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subcontractors, grew from $45.2 million in fiscal 1998 to $156.6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fiscal 2002, while our operating income and net income grew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and $4.3 million, respectively to $18.2 million and $14.2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over the same period. In 2002 revenue was earned from over 270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including 19 of the top 20 pharmaceutical companies, as ranked by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16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90"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90" w:lineRule="exact"/>
        <w:rPr>
          <w:sz w:val="20"/>
          <w:szCs w:val="20"/>
          <w:color w:val="auto"/>
        </w:rPr>
      </w:pPr>
    </w:p>
    <w:p>
      <w:pPr>
        <w:ind w:right="2339" w:firstLine="591"/>
        <w:spacing w:after="0" w:line="285"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5" w:right="1440" w:bottom="1440" w:gutter="0" w:footer="0" w:header="0"/>
        </w:sectPr>
      </w:pPr>
    </w:p>
    <w:bookmarkStart w:id="31" w:name="page32"/>
    <w:bookmarkEnd w:id="31"/>
    <w:p>
      <w:pPr>
        <w:ind w:right="2339"/>
        <w:spacing w:after="0" w:line="260" w:lineRule="auto"/>
        <w:rPr>
          <w:sz w:val="20"/>
          <w:szCs w:val="20"/>
          <w:color w:val="auto"/>
        </w:rPr>
      </w:pPr>
      <w:r>
        <w:rPr>
          <w:rFonts w:ascii="Courier New" w:cs="Courier New" w:eastAsia="Courier New" w:hAnsi="Courier New"/>
          <w:sz w:val="16"/>
          <w:szCs w:val="16"/>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AFFECTING THE CRO INDUSTRY</w:t>
      </w:r>
    </w:p>
    <w:p>
      <w:pPr>
        <w:spacing w:after="0" w:line="19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79"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289"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90"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289"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5" w:right="1440" w:bottom="1440" w:gutter="0" w:footer="0" w:header="0"/>
        </w:sectPr>
      </w:pPr>
    </w:p>
    <w:bookmarkStart w:id="32" w:name="page33"/>
    <w:bookmarkEnd w:id="32"/>
    <w:p>
      <w:pPr>
        <w:ind w:right="2339" w:firstLine="591"/>
        <w:spacing w:after="0" w:line="276" w:lineRule="auto"/>
        <w:rPr>
          <w:sz w:val="20"/>
          <w:szCs w:val="20"/>
          <w:color w:val="auto"/>
        </w:rPr>
      </w:pPr>
      <w:r>
        <w:rPr>
          <w:rFonts w:ascii="Courier New" w:cs="Courier New" w:eastAsia="Courier New" w:hAnsi="Courier New"/>
          <w:sz w:val="16"/>
          <w:szCs w:val="16"/>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284"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nine months ended February 28, 2003, approximately 95% of our net revenue was derived from second or subsequent projects with clients. The remaining 5% of the net revenue was derived from 73 initial projects with new clients.</w:t>
      </w:r>
    </w:p>
    <w:p>
      <w:pPr>
        <w:spacing w:after="0" w:line="88"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29 offices in 17 countries and intend to continue expanding into regions that have the potential to increase our client base or increase our investigator and patient populations.</w:t>
      </w:r>
    </w:p>
    <w:p>
      <w:pPr>
        <w:spacing w:after="0" w:line="79"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98" w:lineRule="exact"/>
        <w:rPr>
          <w:sz w:val="20"/>
          <w:szCs w:val="20"/>
          <w:color w:val="auto"/>
        </w:rPr>
      </w:pPr>
    </w:p>
    <w:p>
      <w:pPr>
        <w:ind w:right="2619" w:firstLine="591"/>
        <w:spacing w:after="0" w:line="266" w:lineRule="auto"/>
        <w:rPr>
          <w:sz w:val="20"/>
          <w:szCs w:val="20"/>
          <w:color w:val="auto"/>
        </w:rPr>
      </w:pPr>
      <w:r>
        <w:rPr>
          <w:rFonts w:ascii="Courier New" w:cs="Courier New" w:eastAsia="Courier New" w:hAnsi="Courier New"/>
          <w:sz w:val="16"/>
          <w:szCs w:val="16"/>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8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5" w:right="1440" w:bottom="1440" w:gutter="0" w:footer="0" w:header="0"/>
        </w:sectPr>
      </w:pPr>
    </w:p>
    <w:bookmarkStart w:id="33" w:name="page34"/>
    <w:bookmarkEnd w:id="33"/>
    <w:p>
      <w:pPr>
        <w:ind w:right="2339" w:firstLine="591"/>
        <w:spacing w:after="0" w:line="269" w:lineRule="auto"/>
        <w:rPr>
          <w:sz w:val="20"/>
          <w:szCs w:val="20"/>
          <w:color w:val="auto"/>
        </w:rPr>
      </w:pPr>
      <w:r>
        <w:rPr>
          <w:rFonts w:ascii="Courier New" w:cs="Courier New" w:eastAsia="Courier New" w:hAnsi="Courier New"/>
          <w:sz w:val="16"/>
          <w:szCs w:val="16"/>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98" w:lineRule="exact"/>
        <w:rPr>
          <w:sz w:val="20"/>
          <w:szCs w:val="20"/>
          <w:color w:val="auto"/>
        </w:rPr>
      </w:pPr>
    </w:p>
    <w:p>
      <w:pPr>
        <w:ind w:right="2919" w:firstLine="591"/>
        <w:spacing w:after="0" w:line="376" w:lineRule="auto"/>
        <w:rPr>
          <w:sz w:val="20"/>
          <w:szCs w:val="20"/>
          <w:color w:val="auto"/>
        </w:rPr>
      </w:pPr>
      <w:r>
        <w:rPr>
          <w:rFonts w:ascii="Courier New" w:cs="Courier New" w:eastAsia="Courier New" w:hAnsi="Courier New"/>
          <w:sz w:val="16"/>
          <w:szCs w:val="16"/>
          <w:color w:val="auto"/>
        </w:rPr>
        <w:t>The following list contains all of our principal direct and indirect wholly owned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COUNTRY OF INCORPORATION</w:t>
            </w:r>
          </w:p>
        </w:tc>
        <w:tc>
          <w:tcPr>
            <w:tcW w:w="0" w:type="dxa"/>
            <w:vAlign w:val="bottom"/>
          </w:tcPr>
          <w:p>
            <w:pPr>
              <w:spacing w:after="0"/>
              <w:rPr>
                <w:sz w:val="1"/>
                <w:szCs w:val="1"/>
                <w:color w:val="auto"/>
              </w:rPr>
            </w:pPr>
          </w:p>
        </w:tc>
      </w:tr>
      <w:tr>
        <w:trPr>
          <w:trHeight w:val="190"/>
        </w:trPr>
        <w:tc>
          <w:tcPr>
            <w:tcW w:w="4980" w:type="dxa"/>
            <w:vAlign w:val="bottom"/>
            <w:vMerge w:val="restart"/>
          </w:tcPr>
          <w:p>
            <w:pPr>
              <w:spacing w:after="0"/>
              <w:rPr>
                <w:sz w:val="20"/>
                <w:szCs w:val="20"/>
                <w:color w:val="auto"/>
              </w:rPr>
            </w:pPr>
            <w:r>
              <w:rPr>
                <w:rFonts w:ascii="Courier New" w:cs="Courier New" w:eastAsia="Courier New" w:hAnsi="Courier New"/>
                <w:sz w:val="16"/>
                <w:szCs w:val="16"/>
                <w:color w:val="auto"/>
                <w:w w:val="93"/>
              </w:rPr>
              <w:t>ICON</w:t>
            </w:r>
            <w:r>
              <w:rPr>
                <w:rFonts w:ascii="Courier New" w:cs="Courier New" w:eastAsia="Courier New" w:hAnsi="Courier New"/>
                <w:sz w:val="32"/>
                <w:szCs w:val="32"/>
                <w:color w:val="auto"/>
                <w:w w:val="93"/>
                <w:vertAlign w:val="superscript"/>
              </w:rPr>
              <w:t>------</w:t>
            </w:r>
            <w:r>
              <w:rPr>
                <w:rFonts w:ascii="Courier New" w:cs="Courier New" w:eastAsia="Courier New" w:hAnsi="Courier New"/>
                <w:sz w:val="16"/>
                <w:szCs w:val="16"/>
                <w:color w:val="auto"/>
                <w:w w:val="93"/>
              </w:rPr>
              <w:t>Clinical Research S.A. ....................</w:t>
            </w:r>
          </w:p>
        </w:tc>
        <w:tc>
          <w:tcPr>
            <w:tcW w:w="26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Argentina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Pty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(Canada)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Canada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SARL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Protocole SAS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GmbH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Germany</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Israel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Israel</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Japan K.K.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Republic of Ireland</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Pte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Singapore</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South Africa</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(UK)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Medeval Group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YRCR Limited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Barton &amp; Polansky Associates,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Clinical Research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ICON Laboratories,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Managed Clinical Solutions,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277"/>
        </w:trPr>
        <w:tc>
          <w:tcPr>
            <w:tcW w:w="4980" w:type="dxa"/>
            <w:vAlign w:val="bottom"/>
          </w:tcPr>
          <w:p>
            <w:pPr>
              <w:spacing w:after="0"/>
              <w:rPr>
                <w:sz w:val="20"/>
                <w:szCs w:val="20"/>
                <w:color w:val="auto"/>
              </w:rPr>
            </w:pPr>
            <w:r>
              <w:rPr>
                <w:rFonts w:ascii="Courier New" w:cs="Courier New" w:eastAsia="Courier New" w:hAnsi="Courier New"/>
                <w:sz w:val="16"/>
                <w:szCs w:val="16"/>
                <w:color w:val="auto"/>
              </w:rPr>
              <w:t>Pacific Research Associates Inc. ...............</w:t>
            </w: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c>
          <w:tcPr>
            <w:tcW w:w="0" w:type="dxa"/>
            <w:vAlign w:val="bottom"/>
          </w:tcPr>
          <w:p>
            <w:pPr>
              <w:spacing w:after="0"/>
              <w:rPr>
                <w:sz w:val="1"/>
                <w:szCs w:val="1"/>
                <w:color w:val="auto"/>
              </w:rPr>
            </w:pPr>
          </w:p>
        </w:tc>
      </w:tr>
      <w:tr>
        <w:trPr>
          <w:trHeight w:val="379"/>
        </w:trPr>
        <w:tc>
          <w:tcPr>
            <w:tcW w:w="4980" w:type="dxa"/>
            <w:vAlign w:val="bottom"/>
          </w:tcPr>
          <w:p>
            <w:pPr>
              <w:spacing w:after="0"/>
              <w:rPr>
                <w:sz w:val="20"/>
                <w:szCs w:val="20"/>
                <w:color w:val="auto"/>
              </w:rPr>
            </w:pPr>
            <w:r>
              <w:rPr>
                <w:rFonts w:ascii="Courier New" w:cs="Courier New" w:eastAsia="Courier New" w:hAnsi="Courier New"/>
                <w:sz w:val="16"/>
                <w:szCs w:val="16"/>
                <w:color w:val="auto"/>
              </w:rPr>
              <w:t>INFORMATION SYSTEMS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619" w:firstLine="591"/>
        <w:spacing w:after="0" w:line="293" w:lineRule="auto"/>
        <w:rPr>
          <w:sz w:val="20"/>
          <w:szCs w:val="20"/>
          <w:color w:val="auto"/>
        </w:rPr>
      </w:pPr>
      <w:r>
        <w:rPr>
          <w:rFonts w:ascii="Courier New" w:cs="Courier New" w:eastAsia="Courier New" w:hAnsi="Courier New"/>
          <w:sz w:val="16"/>
          <w:szCs w:val="16"/>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63"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81"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5" w:right="1440" w:bottom="1440" w:gutter="0" w:footer="0" w:header="0"/>
        </w:sectPr>
      </w:pPr>
    </w:p>
    <w:bookmarkStart w:id="34" w:name="page35"/>
    <w:bookmarkEnd w:id="34"/>
    <w:p>
      <w:pPr>
        <w:ind w:right="2519" w:firstLine="591"/>
        <w:spacing w:after="0" w:line="314" w:lineRule="auto"/>
        <w:rPr>
          <w:sz w:val="20"/>
          <w:szCs w:val="20"/>
          <w:color w:val="auto"/>
        </w:rPr>
      </w:pPr>
      <w:r>
        <w:rPr>
          <w:rFonts w:ascii="Courier New" w:cs="Courier New" w:eastAsia="Courier New" w:hAnsi="Courier New"/>
          <w:sz w:val="16"/>
          <w:szCs w:val="16"/>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47"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76"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73" w:lineRule="exact"/>
        <w:rPr>
          <w:sz w:val="20"/>
          <w:szCs w:val="20"/>
          <w:color w:val="auto"/>
        </w:rPr>
      </w:pPr>
    </w:p>
    <w:p>
      <w:pPr>
        <w:ind w:right="2519" w:firstLine="591"/>
        <w:spacing w:after="0" w:line="276" w:lineRule="auto"/>
        <w:rPr>
          <w:sz w:val="20"/>
          <w:szCs w:val="20"/>
          <w:color w:val="auto"/>
        </w:rPr>
      </w:pPr>
      <w:r>
        <w:rPr>
          <w:rFonts w:ascii="Courier New" w:cs="Courier New" w:eastAsia="Courier New" w:hAnsi="Courier New"/>
          <w:sz w:val="16"/>
          <w:szCs w:val="16"/>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9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79" w:lineRule="exact"/>
        <w:rPr>
          <w:sz w:val="20"/>
          <w:szCs w:val="20"/>
          <w:color w:val="auto"/>
        </w:rPr>
      </w:pPr>
    </w:p>
    <w:p>
      <w:pPr>
        <w:ind w:right="2439" w:firstLine="591"/>
        <w:spacing w:after="0" w:line="262"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major projects or clients. Over the years, we have managed to reduce this concentration and for the first nine months of fiscal 2003, our top five clients comprised 51%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90"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We have expanded geographically in order to pursue larger multi-national clinical trials in markets worldwide and have expanded through acquisition to offer a broader range of services. For the nine months ended February 28, 2003, we generated 71.0% of our net revenue in the United States, 26.4% in Europe and 2.6% in the Rest of the World.</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ARRANGEMENTS</w:t>
      </w:r>
    </w:p>
    <w:p>
      <w:pPr>
        <w:spacing w:after="0" w:line="198" w:lineRule="exact"/>
        <w:rPr>
          <w:sz w:val="20"/>
          <w:szCs w:val="20"/>
          <w:color w:val="auto"/>
        </w:rPr>
      </w:pPr>
    </w:p>
    <w:p>
      <w:pPr>
        <w:ind w:right="2339" w:firstLine="591"/>
        <w:spacing w:after="0" w:line="377" w:lineRule="auto"/>
        <w:rPr>
          <w:sz w:val="20"/>
          <w:szCs w:val="20"/>
          <w:color w:val="auto"/>
        </w:rPr>
      </w:pPr>
      <w:r>
        <w:rPr>
          <w:rFonts w:ascii="Courier New" w:cs="Courier New" w:eastAsia="Courier New" w:hAnsi="Courier New"/>
          <w:sz w:val="16"/>
          <w:szCs w:val="16"/>
          <w:color w:val="auto"/>
        </w:rPr>
        <w:t>We are generally awarded contracts based upon our response to requests for proposals received from pharmaceutical and biotechnology companies.</w:t>
      </w:r>
    </w:p>
    <w:p>
      <w:pPr>
        <w:spacing w:after="0" w:line="1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5" w:right="1440" w:bottom="1440" w:gutter="0" w:footer="0" w:header="0"/>
        </w:sectPr>
      </w:pPr>
    </w:p>
    <w:bookmarkStart w:id="35" w:name="page36"/>
    <w:bookmarkEnd w:id="35"/>
    <w:p>
      <w:pPr>
        <w:ind w:right="2339" w:firstLine="591"/>
        <w:spacing w:after="0" w:line="265" w:lineRule="auto"/>
        <w:rPr>
          <w:sz w:val="20"/>
          <w:szCs w:val="20"/>
          <w:color w:val="auto"/>
        </w:rPr>
      </w:pPr>
      <w:r>
        <w:rPr>
          <w:rFonts w:ascii="Courier New" w:cs="Courier New" w:eastAsia="Courier New" w:hAnsi="Courier New"/>
          <w:sz w:val="16"/>
          <w:szCs w:val="16"/>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84"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92"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63"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At February 28, 2003, we estimate that we had backlog to be earned in the following twelve months of $195 million, compared with approximately $130 million at February 28, 2002.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8" w:lineRule="exact"/>
        <w:rPr>
          <w:sz w:val="20"/>
          <w:szCs w:val="20"/>
          <w:color w:val="auto"/>
        </w:rPr>
      </w:pPr>
    </w:p>
    <w:p>
      <w:pPr>
        <w:ind w:right="2339" w:firstLine="591"/>
        <w:spacing w:after="0" w:line="258"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Ingenix Inc. (United Health), Inveresk Research Group, Inc., Kendle International Inc., MDS Inc., Omnicare, Inc., PAREXEL International Corp., Pharmaceutical Product Development, Inc., PRA Inc. and Quintiles Transnational Corporation. The trend</w:t>
      </w:r>
    </w:p>
    <w:p>
      <w:pPr>
        <w:spacing w:after="0" w:line="200" w:lineRule="exact"/>
        <w:rPr>
          <w:sz w:val="20"/>
          <w:szCs w:val="20"/>
          <w:color w:val="auto"/>
        </w:rPr>
      </w:pPr>
    </w:p>
    <w:p>
      <w:pPr>
        <w:spacing w:after="0" w:line="2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5" w:right="1440" w:bottom="1440" w:gutter="0" w:footer="0" w:header="0"/>
        </w:sectPr>
      </w:pPr>
    </w:p>
    <w:bookmarkStart w:id="36" w:name="page37"/>
    <w:bookmarkEnd w:id="36"/>
    <w:p>
      <w:pPr>
        <w:ind w:right="2519"/>
        <w:spacing w:after="0" w:line="376" w:lineRule="auto"/>
        <w:rPr>
          <w:sz w:val="20"/>
          <w:szCs w:val="20"/>
          <w:color w:val="auto"/>
        </w:rPr>
      </w:pPr>
      <w:r>
        <w:rPr>
          <w:rFonts w:ascii="Courier New" w:cs="Courier New" w:eastAsia="Courier New" w:hAnsi="Courier New"/>
          <w:sz w:val="16"/>
          <w:szCs w:val="16"/>
          <w:color w:val="auto"/>
        </w:rPr>
        <w:t>toward CRO industry consolidation has resulted in heightened competition among the larger CROs for clients and acquisition candidates.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 OF CLINICAL TRIALS</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90"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90" w:lineRule="exact"/>
        <w:rPr>
          <w:sz w:val="20"/>
          <w:szCs w:val="20"/>
          <w:color w:val="auto"/>
        </w:rPr>
      </w:pPr>
    </w:p>
    <w:p>
      <w:pPr>
        <w:ind w:right="2339" w:firstLine="591"/>
        <w:spacing w:after="0" w:line="273" w:lineRule="auto"/>
        <w:rPr>
          <w:sz w:val="20"/>
          <w:szCs w:val="20"/>
          <w:color w:val="auto"/>
        </w:rPr>
      </w:pPr>
      <w:r>
        <w:rPr>
          <w:rFonts w:ascii="Courier New" w:cs="Courier New" w:eastAsia="Courier New" w:hAnsi="Courier New"/>
          <w:sz w:val="16"/>
          <w:szCs w:val="16"/>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280" w:lineRule="exact"/>
        <w:rPr>
          <w:sz w:val="20"/>
          <w:szCs w:val="20"/>
          <w:color w:val="auto"/>
        </w:rPr>
      </w:pPr>
    </w:p>
    <w:p>
      <w:pPr>
        <w:ind w:right="2519" w:firstLine="591"/>
        <w:spacing w:after="0" w:line="272" w:lineRule="auto"/>
        <w:rPr>
          <w:sz w:val="20"/>
          <w:szCs w:val="20"/>
          <w:color w:val="auto"/>
        </w:rPr>
      </w:pPr>
      <w:r>
        <w:rPr>
          <w:rFonts w:ascii="Courier New" w:cs="Courier New" w:eastAsia="Courier New" w:hAnsi="Courier New"/>
          <w:sz w:val="16"/>
          <w:szCs w:val="16"/>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79"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DRUG DEVELOPMENT -- AN OVERVIEW</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73" w:lineRule="exact"/>
        <w:rPr>
          <w:sz w:val="20"/>
          <w:szCs w:val="20"/>
          <w:color w:val="auto"/>
        </w:rPr>
      </w:pPr>
    </w:p>
    <w:p>
      <w:pPr>
        <w:ind w:left="600" w:right="2439"/>
        <w:spacing w:after="0" w:line="282" w:lineRule="auto"/>
        <w:rPr>
          <w:sz w:val="20"/>
          <w:szCs w:val="20"/>
          <w:color w:val="auto"/>
        </w:rPr>
      </w:pPr>
      <w:r>
        <w:rPr>
          <w:rFonts w:ascii="Courier New" w:cs="Courier New" w:eastAsia="Courier New" w:hAnsi="Courier New"/>
          <w:sz w:val="16"/>
          <w:szCs w:val="16"/>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55" w:right="1440" w:bottom="1440" w:gutter="0" w:footer="0" w:header="0"/>
        </w:sectPr>
      </w:pPr>
    </w:p>
    <w:bookmarkStart w:id="37" w:name="page38"/>
    <w:bookmarkEnd w:id="37"/>
    <w:p>
      <w:pPr>
        <w:ind w:right="2619"/>
        <w:spacing w:after="0" w:line="376" w:lineRule="auto"/>
        <w:rPr>
          <w:sz w:val="20"/>
          <w:szCs w:val="20"/>
          <w:color w:val="auto"/>
        </w:rPr>
      </w:pPr>
      <w:r>
        <w:rPr>
          <w:rFonts w:ascii="Courier New" w:cs="Courier New" w:eastAsia="Courier New" w:hAnsi="Courier New"/>
          <w:sz w:val="16"/>
          <w:szCs w:val="16"/>
          <w:color w:val="auto"/>
        </w:rPr>
        <w:t>will file for an Investigational New Drug Application, or IND, upon which the FDA may grant permission to begin human trials.</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CLINICAL TRIALS (3.5 TO 6 YEARS)</w:t>
      </w:r>
    </w:p>
    <w:p>
      <w:pPr>
        <w:spacing w:after="0" w:line="198" w:lineRule="exact"/>
        <w:rPr>
          <w:sz w:val="20"/>
          <w:szCs w:val="20"/>
          <w:color w:val="auto"/>
        </w:rPr>
      </w:pPr>
    </w:p>
    <w:p>
      <w:pPr>
        <w:ind w:left="1180" w:right="2439"/>
        <w:spacing w:after="0" w:line="276" w:lineRule="auto"/>
        <w:rPr>
          <w:sz w:val="20"/>
          <w:szCs w:val="20"/>
          <w:color w:val="auto"/>
        </w:rPr>
      </w:pPr>
      <w:r>
        <w:rPr>
          <w:rFonts w:ascii="Courier New" w:cs="Courier New" w:eastAsia="Courier New" w:hAnsi="Courier New"/>
          <w:sz w:val="16"/>
          <w:szCs w:val="16"/>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76" w:lineRule="exact"/>
        <w:rPr>
          <w:sz w:val="20"/>
          <w:szCs w:val="20"/>
          <w:color w:val="auto"/>
        </w:rPr>
      </w:pPr>
    </w:p>
    <w:p>
      <w:pPr>
        <w:ind w:left="1180" w:right="2339"/>
        <w:spacing w:after="0" w:line="293" w:lineRule="auto"/>
        <w:rPr>
          <w:sz w:val="20"/>
          <w:szCs w:val="20"/>
          <w:color w:val="auto"/>
        </w:rPr>
      </w:pPr>
      <w:r>
        <w:rPr>
          <w:rFonts w:ascii="Courier New" w:cs="Courier New" w:eastAsia="Courier New" w:hAnsi="Courier New"/>
          <w:sz w:val="16"/>
          <w:szCs w:val="16"/>
          <w:color w:val="auto"/>
        </w:rPr>
        <w:t>PHASE II (1 TO 2 YEARS). Basic efficacy (effectiveness) and dose-range testing in 100 to 200 patients to help determine the best effective dose, confirm that the drug works as expected, and provide additional safety data.</w:t>
      </w:r>
    </w:p>
    <w:p>
      <w:pPr>
        <w:spacing w:after="0" w:line="63" w:lineRule="exact"/>
        <w:rPr>
          <w:sz w:val="20"/>
          <w:szCs w:val="20"/>
          <w:color w:val="auto"/>
        </w:rPr>
      </w:pPr>
    </w:p>
    <w:p>
      <w:pPr>
        <w:ind w:left="1180" w:right="2339"/>
        <w:spacing w:after="0" w:line="276" w:lineRule="auto"/>
        <w:rPr>
          <w:sz w:val="20"/>
          <w:szCs w:val="20"/>
          <w:color w:val="auto"/>
        </w:rPr>
      </w:pPr>
      <w:r>
        <w:rPr>
          <w:rFonts w:ascii="Courier New" w:cs="Courier New" w:eastAsia="Courier New" w:hAnsi="Courier New"/>
          <w:sz w:val="16"/>
          <w:szCs w:val="16"/>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76" w:lineRule="exact"/>
        <w:rPr>
          <w:sz w:val="20"/>
          <w:szCs w:val="20"/>
          <w:color w:val="auto"/>
        </w:rPr>
      </w:pPr>
    </w:p>
    <w:p>
      <w:pPr>
        <w:ind w:left="600" w:right="2339"/>
        <w:spacing w:after="0" w:line="267" w:lineRule="auto"/>
        <w:rPr>
          <w:sz w:val="20"/>
          <w:szCs w:val="20"/>
          <w:color w:val="auto"/>
        </w:rPr>
      </w:pPr>
      <w:r>
        <w:rPr>
          <w:rFonts w:ascii="Courier New" w:cs="Courier New" w:eastAsia="Courier New" w:hAnsi="Courier New"/>
          <w:sz w:val="16"/>
          <w:szCs w:val="16"/>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283" w:lineRule="exact"/>
        <w:rPr>
          <w:sz w:val="20"/>
          <w:szCs w:val="20"/>
          <w:color w:val="auto"/>
        </w:rPr>
      </w:pPr>
    </w:p>
    <w:p>
      <w:pPr>
        <w:ind w:left="600" w:right="2439"/>
        <w:spacing w:after="0" w:line="293" w:lineRule="auto"/>
        <w:rPr>
          <w:sz w:val="20"/>
          <w:szCs w:val="20"/>
          <w:color w:val="auto"/>
        </w:rPr>
      </w:pPr>
      <w:r>
        <w:rPr>
          <w:rFonts w:ascii="Courier New" w:cs="Courier New" w:eastAsia="Courier New" w:hAnsi="Courier New"/>
          <w:sz w:val="16"/>
          <w:szCs w:val="16"/>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63" w:lineRule="exact"/>
        <w:rPr>
          <w:sz w:val="20"/>
          <w:szCs w:val="20"/>
          <w:color w:val="auto"/>
        </w:rPr>
      </w:pPr>
    </w:p>
    <w:p>
      <w:pPr>
        <w:ind w:left="600" w:right="2519"/>
        <w:spacing w:after="0" w:line="293" w:lineRule="auto"/>
        <w:rPr>
          <w:sz w:val="20"/>
          <w:szCs w:val="20"/>
          <w:color w:val="auto"/>
        </w:rPr>
      </w:pPr>
      <w:r>
        <w:rPr>
          <w:rFonts w:ascii="Courier New" w:cs="Courier New" w:eastAsia="Courier New" w:hAnsi="Courier New"/>
          <w:sz w:val="16"/>
          <w:szCs w:val="16"/>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63" w:lineRule="exact"/>
        <w:rPr>
          <w:sz w:val="20"/>
          <w:szCs w:val="20"/>
          <w:color w:val="auto"/>
        </w:rPr>
      </w:pPr>
    </w:p>
    <w:p>
      <w:pPr>
        <w:ind w:left="600" w:right="2439"/>
        <w:spacing w:after="0" w:line="266" w:lineRule="auto"/>
        <w:rPr>
          <w:sz w:val="20"/>
          <w:szCs w:val="20"/>
          <w:color w:val="auto"/>
        </w:rPr>
      </w:pPr>
      <w:r>
        <w:rPr>
          <w:rFonts w:ascii="Courier New" w:cs="Courier New" w:eastAsia="Courier New" w:hAnsi="Courier New"/>
          <w:sz w:val="16"/>
          <w:szCs w:val="16"/>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98"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88"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5" w:right="1440" w:bottom="1440" w:gutter="0" w:footer="0" w:header="0"/>
        </w:sectPr>
      </w:pPr>
    </w:p>
    <w:bookmarkStart w:id="38" w:name="page39"/>
    <w:bookmarkEnd w:id="38"/>
    <w:p>
      <w:pPr>
        <w:ind w:right="2339"/>
        <w:spacing w:after="0" w:line="293" w:lineRule="auto"/>
        <w:rPr>
          <w:sz w:val="20"/>
          <w:szCs w:val="20"/>
          <w:color w:val="auto"/>
        </w:rPr>
      </w:pPr>
      <w:r>
        <w:rPr>
          <w:rFonts w:ascii="Courier New" w:cs="Courier New" w:eastAsia="Courier New" w:hAnsi="Courier New"/>
          <w:sz w:val="16"/>
          <w:szCs w:val="16"/>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63" w:lineRule="exact"/>
        <w:rPr>
          <w:sz w:val="20"/>
          <w:szCs w:val="20"/>
          <w:color w:val="auto"/>
        </w:rPr>
      </w:pPr>
    </w:p>
    <w:p>
      <w:pPr>
        <w:ind w:right="2339" w:firstLine="591"/>
        <w:spacing w:after="0" w:line="259" w:lineRule="auto"/>
        <w:rPr>
          <w:sz w:val="20"/>
          <w:szCs w:val="20"/>
          <w:color w:val="auto"/>
        </w:rPr>
      </w:pPr>
      <w:r>
        <w:rPr>
          <w:rFonts w:ascii="Courier New" w:cs="Courier New" w:eastAsia="Courier New" w:hAnsi="Courier New"/>
          <w:sz w:val="16"/>
          <w:szCs w:val="16"/>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We lease all but one of our facilities under operating leases.</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76"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We also maintain U.S. offices in Chicago, Illinois; Philadelphia, Pennsylvania; Nashville, Tennessee; Irvine, San Bruno and Mountain View, California; Houston, Texas; Wilmington, Delaware; Farmingdale and New York, New York; and Raleigh, North Carolina. Our European subsidiaries maintain offices in Frankfurt, Germany; Paris, France; Amsterdam, The Netherlands; Southampton, Marlow and Manchester, United Kingdom; Tel Aviv, Israel; Stockholm, Sweden; Moscow, Russia and Riga, Latvia. Our Rest of World offices are located in Tokyo, Japan; Sydney, Australia; Bangalore, India; Buenos Aires, Argentina; Johannesburg, South Africa; Montreal, Canada and Singapore.</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8"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From time to time, we may be involved in litigation incidental to the conduct of our business. To date, we have not been a party to any material legal proceedings.</w:t>
      </w:r>
    </w:p>
    <w:p>
      <w:pPr>
        <w:spacing w:after="0" w:line="4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5" w:right="1440" w:bottom="1440" w:gutter="0" w:footer="0" w:header="0"/>
        </w:sectPr>
      </w:pPr>
    </w:p>
    <w:bookmarkStart w:id="39" w:name="page40"/>
    <w:bookmarkEnd w:id="39"/>
    <w:p>
      <w:pPr>
        <w:jc w:val="center"/>
        <w:ind w:right="2580"/>
        <w:spacing w:after="0"/>
        <w:rPr>
          <w:sz w:val="20"/>
          <w:szCs w:val="20"/>
          <w:color w:val="auto"/>
        </w:rPr>
      </w:pPr>
      <w:r>
        <w:rPr>
          <w:rFonts w:ascii="Courier New" w:cs="Courier New" w:eastAsia="Courier New" w:hAnsi="Courier New"/>
          <w:sz w:val="16"/>
          <w:szCs w:val="16"/>
          <w:color w:val="auto"/>
        </w:rPr>
        <w:t>MANAGEMENT</w:t>
      </w:r>
    </w:p>
    <w:p>
      <w:pPr>
        <w:spacing w:after="0" w:line="198" w:lineRule="exact"/>
        <w:rPr>
          <w:sz w:val="20"/>
          <w:szCs w:val="20"/>
          <w:color w:val="auto"/>
        </w:rPr>
      </w:pPr>
    </w:p>
    <w:p>
      <w:pPr>
        <w:ind w:right="2580" w:firstLine="591"/>
        <w:spacing w:after="0" w:line="293" w:lineRule="auto"/>
        <w:rPr>
          <w:sz w:val="20"/>
          <w:szCs w:val="20"/>
          <w:color w:val="auto"/>
        </w:rPr>
      </w:pPr>
      <w:r>
        <w:rPr>
          <w:rFonts w:ascii="Courier New" w:cs="Courier New" w:eastAsia="Courier New" w:hAnsi="Courier New"/>
          <w:sz w:val="16"/>
          <w:szCs w:val="16"/>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AGE</w:t>
            </w:r>
          </w:p>
        </w:tc>
        <w:tc>
          <w:tcPr>
            <w:tcW w:w="158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c>
          <w:tcPr>
            <w:tcW w:w="0" w:type="dxa"/>
            <w:vAlign w:val="bottom"/>
          </w:tcPr>
          <w:p>
            <w:pPr>
              <w:spacing w:after="0"/>
              <w:rPr>
                <w:sz w:val="1"/>
                <w:szCs w:val="1"/>
                <w:color w:val="auto"/>
              </w:rPr>
            </w:pPr>
          </w:p>
        </w:tc>
      </w:tr>
      <w:tr>
        <w:trPr>
          <w:trHeight w:val="277"/>
        </w:trPr>
        <w:tc>
          <w:tcPr>
            <w:tcW w:w="4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5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John Climax(1)(2)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50</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Chairman of the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Board</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Peter Gray(1)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48</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Executive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Officer, Director</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Sean Leech(1)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32</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Financial</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Officer</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62</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Thomas Lynch(2)(3)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47</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Edward Roberts(2)(3)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68</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Lee Jones(3)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47</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Allan Morgan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48</w:t>
            </w:r>
          </w:p>
        </w:tc>
        <w:tc>
          <w:tcPr>
            <w:tcW w:w="5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Chief Medical Officer, Director ICON Clinical Research</w:t>
            </w:r>
          </w:p>
        </w:tc>
        <w:tc>
          <w:tcPr>
            <w:tcW w:w="0" w:type="dxa"/>
            <w:vAlign w:val="bottom"/>
          </w:tcPr>
          <w:p>
            <w:pPr>
              <w:spacing w:after="0"/>
              <w:rPr>
                <w:sz w:val="1"/>
                <w:szCs w:val="1"/>
                <w:color w:val="auto"/>
              </w:rPr>
            </w:pPr>
          </w:p>
        </w:tc>
      </w:tr>
      <w:tr>
        <w:trPr>
          <w:trHeight w:val="190"/>
        </w:trPr>
        <w:tc>
          <w:tcPr>
            <w:tcW w:w="4380" w:type="dxa"/>
            <w:vAlign w:val="bottom"/>
            <w:vMerge w:val="restart"/>
          </w:tcPr>
          <w:p>
            <w:pPr>
              <w:spacing w:after="0"/>
              <w:rPr>
                <w:sz w:val="20"/>
                <w:szCs w:val="20"/>
                <w:color w:val="auto"/>
              </w:rPr>
            </w:pPr>
            <w:r>
              <w:rPr>
                <w:rFonts w:ascii="Courier New" w:cs="Courier New" w:eastAsia="Courier New" w:hAnsi="Courier New"/>
                <w:sz w:val="16"/>
                <w:szCs w:val="16"/>
                <w:color w:val="auto"/>
              </w:rPr>
              <w:t>William Taaffe ............................</w:t>
            </w:r>
          </w:p>
        </w:tc>
        <w:tc>
          <w:tcPr>
            <w:tcW w:w="70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54</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(UK) Limited</w:t>
            </w:r>
          </w:p>
        </w:tc>
        <w:tc>
          <w:tcPr>
            <w:tcW w:w="38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Officer and President, ICON Clinical</w:t>
            </w:r>
          </w:p>
        </w:tc>
        <w:tc>
          <w:tcPr>
            <w:tcW w:w="0" w:type="dxa"/>
            <w:vAlign w:val="bottom"/>
          </w:tcPr>
          <w:p>
            <w:pPr>
              <w:spacing w:after="0"/>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Executive</w:t>
            </w: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vMerge w:val="restart"/>
          </w:tcPr>
          <w:p>
            <w:pPr>
              <w:spacing w:after="0"/>
              <w:rPr>
                <w:sz w:val="20"/>
                <w:szCs w:val="20"/>
                <w:color w:val="auto"/>
              </w:rPr>
            </w:pPr>
            <w:r>
              <w:rPr>
                <w:rFonts w:ascii="Courier New" w:cs="Courier New" w:eastAsia="Courier New" w:hAnsi="Courier New"/>
                <w:sz w:val="16"/>
                <w:szCs w:val="16"/>
                <w:color w:val="auto"/>
              </w:rPr>
              <w:t>Dr. Thomas Frey ...........................</w:t>
            </w:r>
          </w:p>
        </w:tc>
        <w:tc>
          <w:tcPr>
            <w:tcW w:w="70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51</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Research - U.S.</w:t>
            </w:r>
          </w:p>
        </w:tc>
        <w:tc>
          <w:tcPr>
            <w:tcW w:w="38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Officer, Europe</w:t>
            </w:r>
          </w:p>
        </w:tc>
        <w:tc>
          <w:tcPr>
            <w:tcW w:w="0" w:type="dxa"/>
            <w:vAlign w:val="bottom"/>
          </w:tcPr>
          <w:p>
            <w:pPr>
              <w:spacing w:after="0"/>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Operating</w:t>
            </w: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Edward Caffrey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49</w:t>
            </w:r>
          </w:p>
        </w:tc>
        <w:tc>
          <w:tcPr>
            <w:tcW w:w="5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President of ICON Laboratories</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Dr. John Hubbard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47</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Chief Operating</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Officer, ICON Clinical Research - U.S.</w:t>
            </w:r>
          </w:p>
        </w:tc>
        <w:tc>
          <w:tcPr>
            <w:tcW w:w="0" w:type="dxa"/>
            <w:vAlign w:val="bottom"/>
          </w:tcPr>
          <w:p>
            <w:pPr>
              <w:spacing w:after="0"/>
              <w:rPr>
                <w:sz w:val="1"/>
                <w:szCs w:val="1"/>
                <w:color w:val="auto"/>
              </w:rPr>
            </w:pPr>
          </w:p>
        </w:tc>
      </w:tr>
      <w:tr>
        <w:trPr>
          <w:trHeight w:val="277"/>
        </w:trPr>
        <w:tc>
          <w:tcPr>
            <w:tcW w:w="4380" w:type="dxa"/>
            <w:vAlign w:val="bottom"/>
          </w:tcPr>
          <w:p>
            <w:pPr>
              <w:spacing w:after="0"/>
              <w:rPr>
                <w:sz w:val="20"/>
                <w:szCs w:val="20"/>
                <w:color w:val="auto"/>
              </w:rPr>
            </w:pPr>
            <w:r>
              <w:rPr>
                <w:rFonts w:ascii="Courier New" w:cs="Courier New" w:eastAsia="Courier New" w:hAnsi="Courier New"/>
                <w:sz w:val="16"/>
                <w:szCs w:val="16"/>
                <w:color w:val="auto"/>
              </w:rPr>
              <w:t>Josephine Coyle ...........................</w:t>
            </w:r>
          </w:p>
        </w:tc>
        <w:tc>
          <w:tcPr>
            <w:tcW w:w="700" w:type="dxa"/>
            <w:vAlign w:val="bottom"/>
          </w:tcPr>
          <w:p>
            <w:pPr>
              <w:ind w:left="160"/>
              <w:spacing w:after="0"/>
              <w:rPr>
                <w:sz w:val="20"/>
                <w:szCs w:val="20"/>
                <w:color w:val="auto"/>
              </w:rPr>
            </w:pPr>
            <w:r>
              <w:rPr>
                <w:rFonts w:ascii="Courier New" w:cs="Courier New" w:eastAsia="Courier New" w:hAnsi="Courier New"/>
                <w:sz w:val="16"/>
                <w:szCs w:val="16"/>
                <w:color w:val="auto"/>
              </w:rPr>
              <w:t>46</w:t>
            </w:r>
          </w:p>
        </w:tc>
        <w:tc>
          <w:tcPr>
            <w:tcW w:w="5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for Corporate Quality Assurance</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 w:lineRule="exact"/>
        <w:rPr>
          <w:sz w:val="20"/>
          <w:szCs w:val="20"/>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w:t>
      </w:r>
    </w:p>
    <w:p>
      <w:pPr>
        <w:spacing w:after="0" w:line="8"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8"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68" w:lineRule="exact"/>
        <w:rPr>
          <w:sz w:val="20"/>
          <w:szCs w:val="20"/>
          <w:color w:val="auto"/>
        </w:rPr>
      </w:pPr>
    </w:p>
    <w:p>
      <w:pPr>
        <w:ind w:right="2680" w:firstLine="591"/>
        <w:spacing w:after="0" w:line="266" w:lineRule="auto"/>
        <w:rPr>
          <w:sz w:val="20"/>
          <w:szCs w:val="20"/>
          <w:color w:val="auto"/>
        </w:rPr>
      </w:pPr>
      <w:r>
        <w:rPr>
          <w:rFonts w:ascii="Courier New" w:cs="Courier New" w:eastAsia="Courier New" w:hAnsi="Courier New"/>
          <w:sz w:val="16"/>
          <w:szCs w:val="16"/>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88" w:lineRule="exact"/>
        <w:rPr>
          <w:sz w:val="20"/>
          <w:szCs w:val="20"/>
          <w:color w:val="auto"/>
        </w:rPr>
      </w:pPr>
    </w:p>
    <w:p>
      <w:pPr>
        <w:ind w:right="2580" w:firstLine="591"/>
        <w:spacing w:after="0" w:line="269" w:lineRule="auto"/>
        <w:rPr>
          <w:sz w:val="20"/>
          <w:szCs w:val="20"/>
          <w:color w:val="auto"/>
        </w:rPr>
      </w:pPr>
      <w:r>
        <w:rPr>
          <w:rFonts w:ascii="Courier New" w:cs="Courier New" w:eastAsia="Courier New" w:hAnsi="Courier New"/>
          <w:sz w:val="16"/>
          <w:szCs w:val="16"/>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284" w:lineRule="exact"/>
        <w:rPr>
          <w:sz w:val="20"/>
          <w:szCs w:val="20"/>
          <w:color w:val="auto"/>
        </w:rPr>
      </w:pPr>
    </w:p>
    <w:p>
      <w:pPr>
        <w:ind w:right="2760" w:firstLine="591"/>
        <w:spacing w:after="0" w:line="276" w:lineRule="auto"/>
        <w:rPr>
          <w:sz w:val="20"/>
          <w:szCs w:val="20"/>
          <w:color w:val="auto"/>
        </w:rPr>
      </w:pPr>
      <w:r>
        <w:rPr>
          <w:rFonts w:ascii="Courier New" w:cs="Courier New" w:eastAsia="Courier New" w:hAnsi="Courier New"/>
          <w:sz w:val="16"/>
          <w:szCs w:val="16"/>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76" w:lineRule="exact"/>
        <w:rPr>
          <w:sz w:val="20"/>
          <w:szCs w:val="20"/>
          <w:color w:val="auto"/>
        </w:rPr>
      </w:pPr>
    </w:p>
    <w:p>
      <w:pPr>
        <w:ind w:right="2580" w:firstLine="591"/>
        <w:spacing w:after="0" w:line="272" w:lineRule="auto"/>
        <w:rPr>
          <w:sz w:val="20"/>
          <w:szCs w:val="20"/>
          <w:color w:val="auto"/>
        </w:rPr>
      </w:pPr>
      <w:r>
        <w:rPr>
          <w:rFonts w:ascii="Courier New" w:cs="Courier New" w:eastAsia="Courier New" w:hAnsi="Courier New"/>
          <w:sz w:val="16"/>
          <w:szCs w:val="16"/>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26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460"/>
          </w:cols>
          <w:pgMar w:left="240" w:top="655" w:right="1199" w:bottom="1440" w:gutter="0" w:footer="0" w:header="0"/>
        </w:sectPr>
      </w:pPr>
    </w:p>
    <w:bookmarkStart w:id="40" w:name="page41"/>
    <w:bookmarkEnd w:id="40"/>
    <w:p>
      <w:pPr>
        <w:ind w:right="2339" w:firstLine="591"/>
        <w:spacing w:after="0" w:line="272" w:lineRule="auto"/>
        <w:rPr>
          <w:sz w:val="20"/>
          <w:szCs w:val="20"/>
          <w:color w:val="auto"/>
        </w:rPr>
      </w:pPr>
      <w:r>
        <w:rPr>
          <w:rFonts w:ascii="Courier New" w:cs="Courier New" w:eastAsia="Courier New" w:hAnsi="Courier New"/>
          <w:sz w:val="16"/>
          <w:szCs w:val="16"/>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79"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284"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LEE JONES has served as an outside director of the Company since June 1,</w:t>
      </w:r>
    </w:p>
    <w:p>
      <w:pPr>
        <w:spacing w:after="0" w:line="38" w:lineRule="exact"/>
        <w:rPr>
          <w:sz w:val="20"/>
          <w:szCs w:val="20"/>
          <w:color w:val="auto"/>
        </w:rPr>
      </w:pPr>
    </w:p>
    <w:p>
      <w:pPr>
        <w:ind w:right="2819"/>
        <w:spacing w:after="0" w:line="272" w:lineRule="auto"/>
        <w:rPr>
          <w:sz w:val="20"/>
          <w:szCs w:val="20"/>
          <w:color w:val="auto"/>
        </w:rPr>
      </w:pPr>
      <w:r>
        <w:rPr>
          <w:rFonts w:ascii="Courier New" w:cs="Courier New" w:eastAsia="Courier New" w:hAnsi="Courier New"/>
          <w:sz w:val="16"/>
          <w:szCs w:val="16"/>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80"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63"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76" w:lineRule="exact"/>
        <w:rPr>
          <w:sz w:val="20"/>
          <w:szCs w:val="20"/>
          <w:color w:val="auto"/>
        </w:rPr>
      </w:pPr>
    </w:p>
    <w:p>
      <w:pPr>
        <w:ind w:right="2439" w:firstLine="591"/>
        <w:spacing w:after="0" w:line="272" w:lineRule="auto"/>
        <w:rPr>
          <w:sz w:val="20"/>
          <w:szCs w:val="20"/>
          <w:color w:val="auto"/>
        </w:rPr>
      </w:pPr>
      <w:r>
        <w:rPr>
          <w:rFonts w:ascii="Courier New" w:cs="Courier New" w:eastAsia="Courier New" w:hAnsi="Courier New"/>
          <w:sz w:val="16"/>
          <w:szCs w:val="16"/>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79"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79"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284" w:lineRule="exact"/>
        <w:rPr>
          <w:sz w:val="20"/>
          <w:szCs w:val="20"/>
          <w:color w:val="auto"/>
        </w:rPr>
      </w:pPr>
    </w:p>
    <w:p>
      <w:pPr>
        <w:ind w:right="2719" w:firstLine="591"/>
        <w:spacing w:after="0" w:line="293" w:lineRule="auto"/>
        <w:rPr>
          <w:sz w:val="20"/>
          <w:szCs w:val="20"/>
          <w:color w:val="auto"/>
        </w:rPr>
      </w:pPr>
      <w:r>
        <w:rPr>
          <w:rFonts w:ascii="Courier New" w:cs="Courier New" w:eastAsia="Courier New" w:hAnsi="Courier New"/>
          <w:sz w:val="16"/>
          <w:szCs w:val="16"/>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2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5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EMPLOYEES</w:t>
      </w:r>
    </w:p>
    <w:p>
      <w:pPr>
        <w:spacing w:after="0" w:line="198" w:lineRule="exact"/>
        <w:rPr>
          <w:sz w:val="20"/>
          <w:szCs w:val="20"/>
          <w:color w:val="auto"/>
        </w:rPr>
      </w:pPr>
    </w:p>
    <w:p>
      <w:pPr>
        <w:ind w:right="2519" w:firstLine="591"/>
        <w:spacing w:after="0" w:line="282" w:lineRule="auto"/>
        <w:rPr>
          <w:sz w:val="20"/>
          <w:szCs w:val="20"/>
          <w:color w:val="auto"/>
        </w:rPr>
      </w:pPr>
      <w:r>
        <w:rPr>
          <w:rFonts w:ascii="Courier New" w:cs="Courier New" w:eastAsia="Courier New" w:hAnsi="Courier New"/>
          <w:sz w:val="16"/>
          <w:szCs w:val="16"/>
          <w:color w:val="auto"/>
        </w:rPr>
        <w:t>As of May 31, 2003, we had 2,280 employees worldwide. There were 2,051 employees working in our clinical research segment and 229 employees in our central laboratory segment. Globally, there were 1,369 employees in the United States, 823 employees in Europe (of which 291 employees are in Ireland) and 88 employees in the Rest of the World.</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SHARE OPTION SCHEMES</w:t>
      </w:r>
    </w:p>
    <w:p>
      <w:pPr>
        <w:spacing w:after="0" w:line="198"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84"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79"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55" w:right="1440" w:bottom="1440" w:gutter="0" w:footer="0" w:header="0"/>
        </w:sectPr>
      </w:pPr>
    </w:p>
    <w:bookmarkStart w:id="42" w:name="page43"/>
    <w:bookmarkEnd w:id="42"/>
    <w:p>
      <w:pPr>
        <w:ind w:left="2960"/>
        <w:spacing w:after="0"/>
        <w:rPr>
          <w:sz w:val="20"/>
          <w:szCs w:val="20"/>
          <w:color w:val="auto"/>
        </w:rPr>
      </w:pPr>
      <w:r>
        <w:rPr>
          <w:rFonts w:ascii="Courier New" w:cs="Courier New" w:eastAsia="Courier New" w:hAnsi="Courier New"/>
          <w:sz w:val="16"/>
          <w:szCs w:val="16"/>
          <w:color w:val="auto"/>
        </w:rPr>
        <w:t>SELLING SHAREHOLDERS</w:t>
      </w:r>
    </w:p>
    <w:p>
      <w:pPr>
        <w:spacing w:after="0" w:line="198" w:lineRule="exact"/>
        <w:rPr>
          <w:sz w:val="20"/>
          <w:szCs w:val="20"/>
          <w:color w:val="auto"/>
        </w:rPr>
      </w:pPr>
    </w:p>
    <w:p>
      <w:pPr>
        <w:ind w:right="3740" w:firstLine="591"/>
        <w:spacing w:after="0" w:line="314"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ordinary shares as of June 30, 2003 by the selling shareholders in this offering.</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BENEFICIALLY</w:t>
            </w:r>
          </w:p>
        </w:tc>
        <w:tc>
          <w:tcPr>
            <w:tcW w:w="2320" w:type="dxa"/>
            <w:vAlign w:val="bottom"/>
            <w:gridSpan w:val="2"/>
            <w:vMerge w:val="restart"/>
          </w:tcPr>
          <w:p>
            <w:pPr>
              <w:ind w:left="240"/>
              <w:spacing w:after="0"/>
              <w:rPr>
                <w:sz w:val="20"/>
                <w:szCs w:val="20"/>
                <w:color w:val="auto"/>
              </w:rPr>
            </w:pPr>
            <w:r>
              <w:rPr>
                <w:rFonts w:ascii="Courier New" w:cs="Courier New" w:eastAsia="Courier New" w:hAnsi="Courier New"/>
                <w:sz w:val="16"/>
                <w:szCs w:val="16"/>
                <w:color w:val="auto"/>
              </w:rPr>
              <w:t>SHARES BENEFICIALLY</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OWNED AFTER</w:t>
            </w:r>
          </w:p>
        </w:tc>
        <w:tc>
          <w:tcPr>
            <w:tcW w:w="2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rPr>
              <w:t>SHARES</w:t>
            </w: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THIS OFFERING(1)</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OWNED AFTER THIS</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(ASSUMING NO</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OFFERING(1) (ASSUMING</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BENEFICIALLY</w:t>
            </w:r>
          </w:p>
        </w:tc>
        <w:tc>
          <w:tcPr>
            <w:tcW w:w="158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EXERCISE OF THE</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FULL EXERCISE OF THE</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980" w:type="dxa"/>
            <w:vAlign w:val="bottom"/>
          </w:tcPr>
          <w:p>
            <w:pPr>
              <w:spacing w:after="0"/>
              <w:rPr>
                <w:sz w:val="16"/>
                <w:szCs w:val="16"/>
                <w:color w:val="auto"/>
              </w:rPr>
            </w:pPr>
          </w:p>
        </w:tc>
        <w:tc>
          <w:tcPr>
            <w:tcW w:w="1580" w:type="dxa"/>
            <w:vAlign w:val="bottom"/>
            <w:vMerge w:val="restart"/>
          </w:tcPr>
          <w:p>
            <w:pPr>
              <w:jc w:val="center"/>
              <w:ind w:left="18"/>
              <w:spacing w:after="0"/>
              <w:rPr>
                <w:sz w:val="20"/>
                <w:szCs w:val="20"/>
                <w:color w:val="auto"/>
              </w:rPr>
            </w:pPr>
            <w:r>
              <w:rPr>
                <w:rFonts w:ascii="Courier New" w:cs="Courier New" w:eastAsia="Courier New" w:hAnsi="Courier New"/>
                <w:sz w:val="16"/>
                <w:szCs w:val="16"/>
                <w:color w:val="auto"/>
              </w:rPr>
              <w:t>NUMBER OF</w:t>
            </w: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UNDERWRITERS'</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UNDERWRITERS' OPTION</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PRIOR TO</w:t>
            </w:r>
          </w:p>
        </w:tc>
        <w:tc>
          <w:tcPr>
            <w:tcW w:w="1580" w:type="dxa"/>
            <w:vAlign w:val="bottom"/>
            <w:vMerge w:val="continue"/>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OPTION TO PURCHASE</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TO PURCHASE</w:t>
            </w:r>
          </w:p>
        </w:tc>
        <w:tc>
          <w:tcPr>
            <w:tcW w:w="0" w:type="dxa"/>
            <w:vAlign w:val="bottom"/>
          </w:tcPr>
          <w:p>
            <w:pPr>
              <w:spacing w:after="0"/>
              <w:rPr>
                <w:sz w:val="1"/>
                <w:szCs w:val="1"/>
                <w:color w:val="auto"/>
              </w:rPr>
            </w:pPr>
          </w:p>
        </w:tc>
      </w:tr>
      <w:tr>
        <w:trPr>
          <w:trHeight w:val="190"/>
        </w:trPr>
        <w:tc>
          <w:tcPr>
            <w:tcW w:w="30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NAME AND ADDRESS OF</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THIS OFFERING(1)</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SHARES BEING</w:t>
            </w: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ADDITIONAL ADSs)</w:t>
            </w: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ADDITIONAL ADSs)</w:t>
            </w:r>
          </w:p>
        </w:tc>
        <w:tc>
          <w:tcPr>
            <w:tcW w:w="0" w:type="dxa"/>
            <w:vAlign w:val="bottom"/>
          </w:tcPr>
          <w:p>
            <w:pPr>
              <w:spacing w:after="0"/>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NUMBER</w:t>
            </w:r>
          </w:p>
        </w:tc>
        <w:tc>
          <w:tcPr>
            <w:tcW w:w="98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w w:val="98"/>
              </w:rPr>
              <w:t>PERCENT</w:t>
            </w:r>
          </w:p>
        </w:tc>
        <w:tc>
          <w:tcPr>
            <w:tcW w:w="15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SOLD IN</w:t>
            </w:r>
          </w:p>
        </w:tc>
        <w:tc>
          <w:tcPr>
            <w:tcW w:w="1180" w:type="dxa"/>
            <w:vAlign w:val="bottom"/>
            <w:vMerge w:val="restart"/>
          </w:tcPr>
          <w:p>
            <w:pPr>
              <w:ind w:left="10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NUMBER</w:t>
            </w:r>
          </w:p>
        </w:tc>
        <w:tc>
          <w:tcPr>
            <w:tcW w:w="10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PERCENT</w:t>
            </w: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00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w:t>
            </w:r>
          </w:p>
        </w:tc>
        <w:tc>
          <w:tcPr>
            <w:tcW w:w="1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THIS OFFERING</w:t>
            </w:r>
          </w:p>
        </w:tc>
        <w:tc>
          <w:tcPr>
            <w:tcW w:w="11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6"/>
                <w:szCs w:val="16"/>
                <w:color w:val="auto"/>
              </w:rPr>
              <w:t>NUMBER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277"/>
        </w:trPr>
        <w:tc>
          <w:tcPr>
            <w:tcW w:w="300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300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1340" w:type="dxa"/>
            <w:vAlign w:val="bottom"/>
          </w:tcPr>
          <w:p>
            <w:pPr>
              <w:ind w:left="160"/>
              <w:spacing w:after="0"/>
              <w:rPr>
                <w:sz w:val="20"/>
                <w:szCs w:val="20"/>
                <w:color w:val="auto"/>
              </w:rPr>
            </w:pPr>
            <w:r>
              <w:rPr>
                <w:rFonts w:ascii="Courier New" w:cs="Courier New" w:eastAsia="Courier New" w:hAnsi="Courier New"/>
                <w:sz w:val="16"/>
                <w:szCs w:val="16"/>
                <w:color w:val="auto"/>
              </w:rPr>
              <w:t>2,408,720</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20.3%</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1,000,000</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1,408,720</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10.6%</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1,327,493</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South County Business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Park, Leopardstown,</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Dublin 18, Ireland</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000" w:type="dxa"/>
            <w:vAlign w:val="bottom"/>
          </w:tcPr>
          <w:p>
            <w:pPr>
              <w:spacing w:after="0"/>
              <w:rPr>
                <w:sz w:val="20"/>
                <w:szCs w:val="20"/>
                <w:color w:val="auto"/>
              </w:rPr>
            </w:pPr>
            <w:r>
              <w:rPr>
                <w:rFonts w:ascii="Courier New" w:cs="Courier New" w:eastAsia="Courier New" w:hAnsi="Courier New"/>
                <w:sz w:val="16"/>
                <w:szCs w:val="16"/>
                <w:color w:val="auto"/>
              </w:rPr>
              <w:t>Dr. John Climax(2) ..........</w:t>
            </w:r>
          </w:p>
        </w:tc>
        <w:tc>
          <w:tcPr>
            <w:tcW w:w="1340" w:type="dxa"/>
            <w:vAlign w:val="bottom"/>
          </w:tcPr>
          <w:p>
            <w:pPr>
              <w:ind w:left="160"/>
              <w:spacing w:after="0"/>
              <w:rPr>
                <w:sz w:val="20"/>
                <w:szCs w:val="20"/>
                <w:color w:val="auto"/>
              </w:rPr>
            </w:pPr>
            <w:r>
              <w:rPr>
                <w:rFonts w:ascii="Courier New" w:cs="Courier New" w:eastAsia="Courier New" w:hAnsi="Courier New"/>
                <w:sz w:val="16"/>
                <w:szCs w:val="16"/>
                <w:color w:val="auto"/>
              </w:rPr>
              <w:t>2,639,120</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22.3%</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684,744</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1,954,376</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14.6%</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1,557,892</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11.7%</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South County Business</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Park, Leopardstown,</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Dublin 18, Ireland</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 w:lineRule="exact"/>
        <w:rPr>
          <w:sz w:val="20"/>
          <w:szCs w:val="20"/>
          <w:color w:val="auto"/>
        </w:rPr>
      </w:pPr>
    </w:p>
    <w:p>
      <w:pPr>
        <w:ind w:left="500" w:right="3560" w:hanging="499"/>
        <w:spacing w:after="0" w:line="268" w:lineRule="auto"/>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82" w:lineRule="exact"/>
        <w:rPr>
          <w:rFonts w:ascii="Courier New" w:cs="Courier New" w:eastAsia="Courier New" w:hAnsi="Courier New"/>
          <w:sz w:val="16"/>
          <w:szCs w:val="16"/>
          <w:color w:val="auto"/>
        </w:rPr>
      </w:pPr>
    </w:p>
    <w:p>
      <w:pPr>
        <w:ind w:left="500" w:right="3940" w:hanging="499"/>
        <w:spacing w:after="0" w:line="282" w:lineRule="auto"/>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1440"/>
          </w:cols>
          <w:pgMar w:left="240" w:top="655" w:right="219" w:bottom="1440" w:gutter="0" w:footer="0" w:header="0"/>
        </w:sectPr>
      </w:pPr>
    </w:p>
    <w:bookmarkStart w:id="43" w:name="page44"/>
    <w:bookmarkEnd w:id="43"/>
    <w:p>
      <w:pPr>
        <w:ind w:left="2560"/>
        <w:spacing w:after="0"/>
        <w:rPr>
          <w:sz w:val="20"/>
          <w:szCs w:val="20"/>
          <w:color w:val="auto"/>
        </w:rPr>
      </w:pPr>
      <w:r>
        <w:rPr>
          <w:rFonts w:ascii="Courier New" w:cs="Courier New" w:eastAsia="Courier New" w:hAnsi="Courier New"/>
          <w:sz w:val="16"/>
          <w:szCs w:val="16"/>
          <w:color w:val="auto"/>
        </w:rPr>
        <w:t>U.S. TAXATION CONSIDERATIONS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w:t>
      </w:r>
    </w:p>
    <w:p>
      <w:pPr>
        <w:spacing w:after="0" w:line="8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81" w:lineRule="exact"/>
        <w:rPr>
          <w:sz w:val="20"/>
          <w:szCs w:val="20"/>
          <w:color w:val="auto"/>
        </w:rPr>
      </w:pPr>
    </w:p>
    <w:p>
      <w:pPr>
        <w:ind w:right="2439" w:firstLine="591"/>
        <w:spacing w:after="0" w:line="258" w:lineRule="auto"/>
        <w:rPr>
          <w:sz w:val="20"/>
          <w:szCs w:val="20"/>
          <w:color w:val="auto"/>
        </w:rPr>
      </w:pPr>
      <w:r>
        <w:rPr>
          <w:rFonts w:ascii="Courier New" w:cs="Courier New" w:eastAsia="Courier New" w:hAnsi="Courier New"/>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285"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76" w:lineRule="exact"/>
        <w:rPr>
          <w:sz w:val="20"/>
          <w:szCs w:val="20"/>
          <w:color w:val="auto"/>
        </w:rPr>
      </w:pPr>
    </w:p>
    <w:p>
      <w:pPr>
        <w:ind w:left="1080" w:right="2339" w:hanging="487"/>
        <w:spacing w:after="0" w:line="314" w:lineRule="auto"/>
        <w:tabs>
          <w:tab w:leader="none" w:pos="10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U.S. court is able to exercise primary supervision over the administration of the trust and one or more U.S. fiduciaries have the authority to control all substantial decisions of the trust; or</w:t>
      </w:r>
    </w:p>
    <w:p>
      <w:pPr>
        <w:spacing w:after="0" w:line="46" w:lineRule="exact"/>
        <w:rPr>
          <w:rFonts w:ascii="Courier New" w:cs="Courier New" w:eastAsia="Courier New" w:hAnsi="Courier New"/>
          <w:sz w:val="16"/>
          <w:szCs w:val="16"/>
          <w:color w:val="auto"/>
        </w:rPr>
      </w:pPr>
    </w:p>
    <w:p>
      <w:pPr>
        <w:ind w:left="1080" w:right="3019" w:hanging="487"/>
        <w:spacing w:after="0" w:line="376" w:lineRule="auto"/>
        <w:tabs>
          <w:tab w:leader="none" w:pos="10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valid election in effect under applicable U.S. Treasury Regulations to be treated as a U.S. person.</w:t>
      </w:r>
    </w:p>
    <w:p>
      <w:pPr>
        <w:spacing w:after="0" w:line="1" w:lineRule="exact"/>
        <w:rPr>
          <w:sz w:val="20"/>
          <w:szCs w:val="20"/>
          <w:color w:val="auto"/>
        </w:rPr>
      </w:pPr>
    </w:p>
    <w:p>
      <w:pPr>
        <w:ind w:right="2439" w:firstLine="591"/>
        <w:spacing w:after="0" w:line="376" w:lineRule="auto"/>
        <w:rPr>
          <w:sz w:val="20"/>
          <w:szCs w:val="20"/>
          <w:color w:val="auto"/>
        </w:rPr>
      </w:pPr>
      <w:r>
        <w:rPr>
          <w:rFonts w:ascii="Courier New" w:cs="Courier New" w:eastAsia="Courier New" w:hAnsi="Courier New"/>
          <w:sz w:val="16"/>
          <w:szCs w:val="16"/>
          <w:color w:val="auto"/>
        </w:rPr>
        <w:t>For U.S. federal income tax purposes, U.S. Holders of ADSs are treated as the owners of the underlying ordinary shares.</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Subject to the foregoing, it is the opinion of Cahill Gordon Reindel LLP</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DIVIDENDS</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90" w:lineRule="exact"/>
        <w:rPr>
          <w:sz w:val="20"/>
          <w:szCs w:val="20"/>
          <w:color w:val="auto"/>
        </w:rPr>
      </w:pPr>
    </w:p>
    <w:p>
      <w:pPr>
        <w:ind w:right="2439" w:firstLine="591"/>
        <w:spacing w:after="0" w:line="266" w:lineRule="auto"/>
        <w:rPr>
          <w:sz w:val="20"/>
          <w:szCs w:val="20"/>
          <w:color w:val="auto"/>
        </w:rPr>
      </w:pPr>
      <w:r>
        <w:rPr>
          <w:rFonts w:ascii="Courier New" w:cs="Courier New" w:eastAsia="Courier New" w:hAnsi="Courier New"/>
          <w:sz w:val="16"/>
          <w:szCs w:val="16"/>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88"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8" w:lineRule="exact"/>
        <w:rPr>
          <w:sz w:val="20"/>
          <w:szCs w:val="20"/>
          <w:color w:val="auto"/>
        </w:rPr>
      </w:pPr>
    </w:p>
    <w:p>
      <w:pPr>
        <w:ind w:right="2339" w:firstLine="591"/>
        <w:spacing w:after="0" w:line="266" w:lineRule="auto"/>
        <w:rPr>
          <w:sz w:val="20"/>
          <w:szCs w:val="20"/>
          <w:color w:val="auto"/>
        </w:rPr>
      </w:pPr>
      <w:r>
        <w:rPr>
          <w:rFonts w:ascii="Courier New" w:cs="Courier New" w:eastAsia="Courier New" w:hAnsi="Courier New"/>
          <w:sz w:val="16"/>
          <w:szCs w:val="16"/>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PASSIVE FOREIGN INVESTMENT COMPANY ("PFIC") STATUS</w:t>
      </w:r>
    </w:p>
    <w:p>
      <w:pPr>
        <w:spacing w:after="0" w:line="198" w:lineRule="exact"/>
        <w:rPr>
          <w:sz w:val="20"/>
          <w:szCs w:val="20"/>
          <w:color w:val="auto"/>
        </w:rPr>
      </w:pPr>
    </w:p>
    <w:p>
      <w:pPr>
        <w:ind w:right="2339" w:firstLine="591"/>
        <w:spacing w:after="0" w:line="257" w:lineRule="auto"/>
        <w:rPr>
          <w:sz w:val="20"/>
          <w:szCs w:val="20"/>
          <w:color w:val="auto"/>
        </w:rPr>
      </w:pPr>
      <w:r>
        <w:rPr>
          <w:rFonts w:ascii="Courier New" w:cs="Courier New" w:eastAsia="Courier New" w:hAnsi="Courier New"/>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current and former nature and amount of its income and assets and the manner in which it has managed and conducted its business are accurate (without regard to any knowledge or belief qualifiers expressed by management), ICON plc was not a PFIC for its taxable year ended May 31, 2002.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May 31, 2004 or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be able to avoid or mitigate these</w:t>
      </w:r>
    </w:p>
    <w:p>
      <w:pPr>
        <w:spacing w:after="0" w:line="2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55" w:right="1440" w:bottom="1440" w:gutter="0" w:footer="0" w:header="0"/>
        </w:sectPr>
      </w:pPr>
    </w:p>
    <w:bookmarkStart w:id="45" w:name="page46"/>
    <w:bookmarkEnd w:id="45"/>
    <w:p>
      <w:pPr>
        <w:ind w:right="2519"/>
        <w:spacing w:after="0" w:line="314" w:lineRule="auto"/>
        <w:rPr>
          <w:sz w:val="20"/>
          <w:szCs w:val="20"/>
          <w:color w:val="auto"/>
        </w:rPr>
      </w:pPr>
      <w:r>
        <w:rPr>
          <w:rFonts w:ascii="Courier New" w:cs="Courier New" w:eastAsia="Courier New" w:hAnsi="Courier New"/>
          <w:sz w:val="16"/>
          <w:szCs w:val="16"/>
          <w:color w:val="auto"/>
        </w:rPr>
        <w:t>adverse tax consequences by making a timely "qualified electing fund" or "mark-to-market" election. U.S. Holders should consult with their tax advisors as to the effect of these rules.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HOLDING COMPANY ("PHC") STATUS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 (the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95"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subsidiaries is currently a PHC because it appears unlikely that five or fewer individuals (or entities treated as individuals) have owned in the aggregate (directly or indirectly) more than 47% of the ICON plc shares at any time during the current taxable year (and because the ownership is expected to become less concentrated as a result of this offering).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PERSONAL HOLDING COMPANY ("FPHC") STATUS</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81"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81" w:lineRule="exact"/>
        <w:rPr>
          <w:sz w:val="20"/>
          <w:szCs w:val="20"/>
          <w:color w:val="auto"/>
        </w:rPr>
      </w:pPr>
    </w:p>
    <w:p>
      <w:pPr>
        <w:ind w:right="2339" w:firstLine="591"/>
        <w:spacing w:after="0" w:line="262"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2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5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BACKUP WITHHOLDING TAX AND INFORMATION REPORTING</w:t>
      </w:r>
    </w:p>
    <w:p>
      <w:pPr>
        <w:spacing w:after="0" w:line="198"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63" w:lineRule="exact"/>
        <w:rPr>
          <w:sz w:val="20"/>
          <w:szCs w:val="20"/>
          <w:color w:val="auto"/>
        </w:rPr>
      </w:pPr>
    </w:p>
    <w:p>
      <w:pPr>
        <w:ind w:left="1080" w:right="2339" w:hanging="487"/>
        <w:spacing w:after="0" w:line="376" w:lineRule="auto"/>
        <w:tabs>
          <w:tab w:leader="none" w:pos="10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or comes within certain other exempt categories, and when required, demonstrates this fact; or</w:t>
      </w:r>
    </w:p>
    <w:p>
      <w:pPr>
        <w:ind w:left="1080" w:right="2339" w:hanging="487"/>
        <w:spacing w:after="0" w:line="293" w:lineRule="auto"/>
        <w:tabs>
          <w:tab w:leader="none" w:pos="10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a correct taxpayer identification number, or T.I.N., certifies that he, she or it is not subject to backup withholding and otherwise complies with applicable requirements of the backup withholding rules.</w:t>
      </w:r>
    </w:p>
    <w:p>
      <w:pPr>
        <w:spacing w:after="0" w:line="63"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63"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IRISH TAXATION CONSIDERATIONS</w:t>
      </w:r>
    </w:p>
    <w:p>
      <w:pPr>
        <w:spacing w:after="0" w:line="198"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8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8"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92"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8" w:lineRule="exact"/>
        <w:rPr>
          <w:sz w:val="20"/>
          <w:szCs w:val="20"/>
          <w:color w:val="auto"/>
        </w:rPr>
      </w:pPr>
    </w:p>
    <w:p>
      <w:pPr>
        <w:ind w:left="1080" w:hanging="487"/>
        <w:spacing w:after="0"/>
        <w:tabs>
          <w:tab w:leader="none" w:pos="10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ultimately controlled by residents of a Relevant Territory;</w:t>
      </w:r>
    </w:p>
    <w:p>
      <w:pPr>
        <w:spacing w:after="0" w:line="197" w:lineRule="exact"/>
        <w:rPr>
          <w:rFonts w:ascii="Courier New" w:cs="Courier New" w:eastAsia="Courier New" w:hAnsi="Courier New"/>
          <w:sz w:val="16"/>
          <w:szCs w:val="16"/>
          <w:color w:val="auto"/>
        </w:rPr>
      </w:pPr>
    </w:p>
    <w:p>
      <w:pPr>
        <w:ind w:left="1080" w:right="2439" w:hanging="487"/>
        <w:spacing w:after="0" w:line="376" w:lineRule="auto"/>
        <w:tabs>
          <w:tab w:leader="none" w:pos="10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ind w:left="1080" w:right="2439" w:hanging="487"/>
        <w:spacing w:after="0" w:line="314" w:lineRule="auto"/>
        <w:tabs>
          <w:tab w:leader="none" w:pos="10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55" w:right="1440" w:bottom="1440" w:gutter="0" w:footer="0" w:header="0"/>
        </w:sectPr>
      </w:pPr>
    </w:p>
    <w:bookmarkStart w:id="47" w:name="page48"/>
    <w:bookmarkEnd w:id="47"/>
    <w:p>
      <w:pPr>
        <w:ind w:left="1080" w:right="2439" w:hanging="487"/>
        <w:spacing w:after="0" w:line="314" w:lineRule="auto"/>
        <w:tabs>
          <w:tab w:leader="none" w:pos="10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47" w:lineRule="exact"/>
        <w:rPr>
          <w:sz w:val="20"/>
          <w:szCs w:val="20"/>
          <w:color w:val="auto"/>
        </w:rPr>
      </w:pPr>
    </w:p>
    <w:p>
      <w:pPr>
        <w:ind w:right="2519" w:firstLine="591"/>
        <w:spacing w:after="0" w:line="376"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1" w:lineRule="exact"/>
        <w:rPr>
          <w:sz w:val="20"/>
          <w:szCs w:val="20"/>
          <w:color w:val="auto"/>
        </w:rPr>
      </w:pPr>
    </w:p>
    <w:p>
      <w:pPr>
        <w:ind w:right="2619" w:firstLine="591"/>
        <w:spacing w:after="0" w:line="282"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73"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63" w:lineRule="exact"/>
        <w:rPr>
          <w:sz w:val="20"/>
          <w:szCs w:val="20"/>
          <w:color w:val="auto"/>
        </w:rPr>
      </w:pPr>
    </w:p>
    <w:p>
      <w:pPr>
        <w:ind w:left="1080" w:right="2339" w:hanging="487"/>
        <w:spacing w:after="0" w:line="314" w:lineRule="auto"/>
        <w:tabs>
          <w:tab w:leader="none" w:pos="1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46" w:lineRule="exact"/>
        <w:rPr>
          <w:rFonts w:ascii="Courier New" w:cs="Courier New" w:eastAsia="Courier New" w:hAnsi="Courier New"/>
          <w:sz w:val="16"/>
          <w:szCs w:val="16"/>
          <w:color w:val="auto"/>
        </w:rPr>
      </w:pPr>
    </w:p>
    <w:p>
      <w:pPr>
        <w:ind w:left="1080" w:right="2619" w:hanging="487"/>
        <w:spacing w:after="0" w:line="376" w:lineRule="auto"/>
        <w:tabs>
          <w:tab w:leader="none" w:pos="1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ind w:left="1080" w:right="2339" w:hanging="487"/>
        <w:spacing w:after="0" w:line="293" w:lineRule="auto"/>
        <w:tabs>
          <w:tab w:leader="none" w:pos="1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8"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63"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47" w:lineRule="exact"/>
        <w:rPr>
          <w:sz w:val="20"/>
          <w:szCs w:val="20"/>
          <w:color w:val="auto"/>
        </w:rPr>
      </w:pPr>
    </w:p>
    <w:p>
      <w:pPr>
        <w:ind w:left="1080" w:hanging="487"/>
        <w:spacing w:after="0"/>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7" w:lineRule="exact"/>
        <w:rPr>
          <w:rFonts w:ascii="Courier New" w:cs="Courier New" w:eastAsia="Courier New" w:hAnsi="Courier New"/>
          <w:sz w:val="16"/>
          <w:szCs w:val="16"/>
          <w:color w:val="auto"/>
        </w:rPr>
      </w:pPr>
    </w:p>
    <w:p>
      <w:pPr>
        <w:ind w:left="1080" w:right="2619" w:hanging="487"/>
        <w:spacing w:after="0" w:line="376"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ind w:left="1080" w:right="2439" w:hanging="487"/>
        <w:spacing w:after="0" w:line="293"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62" w:lineRule="exact"/>
        <w:rPr>
          <w:rFonts w:ascii="Courier New" w:cs="Courier New" w:eastAsia="Courier New" w:hAnsi="Courier New"/>
          <w:sz w:val="16"/>
          <w:szCs w:val="16"/>
          <w:color w:val="auto"/>
        </w:rPr>
      </w:pPr>
    </w:p>
    <w:p>
      <w:pPr>
        <w:ind w:left="1080" w:right="2519" w:hanging="487"/>
        <w:spacing w:after="0" w:line="314"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46" w:lineRule="exact"/>
        <w:rPr>
          <w:rFonts w:ascii="Courier New" w:cs="Courier New" w:eastAsia="Courier New" w:hAnsi="Courier New"/>
          <w:sz w:val="16"/>
          <w:szCs w:val="16"/>
          <w:color w:val="auto"/>
        </w:rPr>
      </w:pPr>
    </w:p>
    <w:p>
      <w:pPr>
        <w:ind w:left="1080" w:right="2519" w:hanging="487"/>
        <w:spacing w:after="0" w:line="293" w:lineRule="auto"/>
        <w:tabs>
          <w:tab w:leader="none" w:pos="10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63" w:lineRule="exact"/>
        <w:rPr>
          <w:sz w:val="20"/>
          <w:szCs w:val="20"/>
          <w:color w:val="auto"/>
        </w:rPr>
      </w:pPr>
    </w:p>
    <w:p>
      <w:pPr>
        <w:ind w:right="2439" w:firstLine="591"/>
        <w:spacing w:after="0" w:line="314"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5" w:right="1440" w:bottom="1440" w:gutter="0" w:footer="0" w:header="0"/>
        </w:sectPr>
      </w:pPr>
    </w:p>
    <w:bookmarkStart w:id="48" w:name="page49"/>
    <w:bookmarkEnd w:id="48"/>
    <w:p>
      <w:pPr>
        <w:ind w:right="2439"/>
        <w:spacing w:after="0" w:line="376"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90" w:lineRule="exact"/>
        <w:rPr>
          <w:sz w:val="20"/>
          <w:szCs w:val="20"/>
          <w:color w:val="auto"/>
        </w:rPr>
      </w:pPr>
    </w:p>
    <w:p>
      <w:pPr>
        <w:ind w:left="1080" w:hanging="487"/>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7"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7" w:lineRule="exact"/>
        <w:rPr>
          <w:rFonts w:ascii="Courier New" w:cs="Courier New" w:eastAsia="Courier New" w:hAnsi="Courier New"/>
          <w:sz w:val="16"/>
          <w:szCs w:val="16"/>
          <w:color w:val="auto"/>
        </w:rPr>
      </w:pPr>
    </w:p>
    <w:p>
      <w:pPr>
        <w:ind w:left="1080" w:right="3519" w:hanging="487"/>
        <w:spacing w:after="0" w:line="376" w:lineRule="auto"/>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ind w:left="1080" w:right="3019" w:hanging="487"/>
        <w:spacing w:after="0" w:line="376" w:lineRule="auto"/>
        <w:tabs>
          <w:tab w:leader="none" w:pos="10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(Euro)500,000.</w:t>
      </w:r>
    </w:p>
    <w:p>
      <w:pPr>
        <w:spacing w:after="0" w:line="1" w:lineRule="exact"/>
        <w:rPr>
          <w:sz w:val="20"/>
          <w:szCs w:val="20"/>
          <w:color w:val="auto"/>
        </w:rPr>
      </w:pPr>
    </w:p>
    <w:p>
      <w:pPr>
        <w:ind w:right="2339" w:firstLine="591"/>
        <w:spacing w:after="0" w:line="293"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90" w:lineRule="exact"/>
        <w:rPr>
          <w:sz w:val="20"/>
          <w:szCs w:val="20"/>
          <w:color w:val="auto"/>
        </w:rPr>
      </w:pPr>
    </w:p>
    <w:p>
      <w:pPr>
        <w:ind w:right="2439" w:firstLine="591"/>
        <w:spacing w:after="0" w:line="269"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(Euro)12.70 (the nominal rate) will apply.</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8" w:lineRule="exact"/>
        <w:rPr>
          <w:sz w:val="20"/>
          <w:szCs w:val="20"/>
          <w:color w:val="auto"/>
        </w:rPr>
      </w:pPr>
    </w:p>
    <w:p>
      <w:pPr>
        <w:ind w:right="2339" w:firstLine="591"/>
        <w:spacing w:after="0" w:line="267"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pacing w:after="0" w:line="200" w:lineRule="exact"/>
        <w:rPr>
          <w:sz w:val="20"/>
          <w:szCs w:val="20"/>
          <w:color w:val="auto"/>
        </w:rPr>
      </w:pPr>
    </w:p>
    <w:p>
      <w:pPr>
        <w:spacing w:after="0" w:line="2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5" w:right="1440" w:bottom="1440" w:gutter="0" w:footer="0" w:header="0"/>
        </w:sectPr>
      </w:pPr>
    </w:p>
    <w:bookmarkStart w:id="49" w:name="page50"/>
    <w:bookmarkEnd w:id="49"/>
    <w:p>
      <w:pPr>
        <w:ind w:right="2339"/>
        <w:spacing w:after="0" w:line="273"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(Euro)12.70 applies.</w:t>
      </w:r>
    </w:p>
    <w:p>
      <w:pPr>
        <w:spacing w:after="0" w:line="280" w:lineRule="exact"/>
        <w:rPr>
          <w:sz w:val="20"/>
          <w:szCs w:val="20"/>
          <w:color w:val="auto"/>
        </w:rPr>
      </w:pPr>
    </w:p>
    <w:p>
      <w:pPr>
        <w:ind w:right="2339" w:firstLine="591"/>
        <w:spacing w:after="0" w:line="314"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47"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8" w:lineRule="exact"/>
        <w:rPr>
          <w:sz w:val="20"/>
          <w:szCs w:val="20"/>
          <w:color w:val="auto"/>
        </w:rPr>
      </w:pPr>
    </w:p>
    <w:p>
      <w:pPr>
        <w:ind w:right="2339" w:firstLine="591"/>
        <w:spacing w:after="0" w:line="263"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90"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5" w:right="1440" w:bottom="1440" w:gutter="0" w:footer="0" w:header="0"/>
        </w:sectPr>
      </w:pPr>
    </w:p>
    <w:bookmarkStart w:id="50" w:name="page51"/>
    <w:bookmarkEnd w:id="50"/>
    <w:p>
      <w:pPr>
        <w:ind w:left="3360"/>
        <w:spacing w:after="0"/>
        <w:rPr>
          <w:sz w:val="20"/>
          <w:szCs w:val="20"/>
          <w:color w:val="auto"/>
        </w:rPr>
      </w:pPr>
      <w:r>
        <w:rPr>
          <w:rFonts w:ascii="Courier New" w:cs="Courier New" w:eastAsia="Courier New" w:hAnsi="Courier New"/>
          <w:sz w:val="16"/>
          <w:szCs w:val="16"/>
          <w:color w:val="auto"/>
        </w:rPr>
        <w:t>UNDERWRITING</w:t>
      </w:r>
    </w:p>
    <w:p>
      <w:pPr>
        <w:spacing w:after="0" w:line="198" w:lineRule="exact"/>
        <w:rPr>
          <w:sz w:val="20"/>
          <w:szCs w:val="20"/>
          <w:color w:val="auto"/>
        </w:rPr>
      </w:pPr>
    </w:p>
    <w:p>
      <w:pPr>
        <w:ind w:right="1200" w:firstLine="591"/>
        <w:spacing w:after="0" w:line="293" w:lineRule="auto"/>
        <w:rPr>
          <w:sz w:val="20"/>
          <w:szCs w:val="20"/>
          <w:color w:val="auto"/>
        </w:rPr>
      </w:pPr>
      <w:r>
        <w:rPr>
          <w:rFonts w:ascii="Courier New" w:cs="Courier New" w:eastAsia="Courier New" w:hAnsi="Courier New"/>
          <w:sz w:val="16"/>
          <w:szCs w:val="16"/>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63"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5520" w:type="dxa"/>
            <w:vAlign w:val="bottom"/>
          </w:tcPr>
          <w:p>
            <w:pPr>
              <w:jc w:val="right"/>
              <w:ind w:right="2198"/>
              <w:spacing w:after="0"/>
              <w:rPr>
                <w:sz w:val="20"/>
                <w:szCs w:val="20"/>
                <w:color w:val="auto"/>
              </w:rPr>
            </w:pPr>
            <w:r>
              <w:rPr>
                <w:rFonts w:ascii="Courier New" w:cs="Courier New" w:eastAsia="Courier New" w:hAnsi="Courier New"/>
                <w:sz w:val="16"/>
                <w:szCs w:val="16"/>
                <w:color w:val="auto"/>
              </w:rPr>
              <w:t>Underwriters</w:t>
            </w:r>
          </w:p>
        </w:tc>
        <w:tc>
          <w:tcPr>
            <w:tcW w:w="17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Number of ADSs</w:t>
            </w:r>
          </w:p>
        </w:tc>
        <w:tc>
          <w:tcPr>
            <w:tcW w:w="0" w:type="dxa"/>
            <w:vAlign w:val="bottom"/>
          </w:tcPr>
          <w:p>
            <w:pPr>
              <w:spacing w:after="0"/>
              <w:rPr>
                <w:sz w:val="1"/>
                <w:szCs w:val="1"/>
                <w:color w:val="auto"/>
              </w:rPr>
            </w:pPr>
          </w:p>
        </w:tc>
      </w:tr>
      <w:tr>
        <w:trPr>
          <w:trHeight w:val="190"/>
        </w:trPr>
        <w:tc>
          <w:tcPr>
            <w:tcW w:w="55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w w:val="77"/>
              </w:rPr>
              <w:t xml:space="preserve">Goldman, Sachs &amp; Co. </w:t>
            </w:r>
            <w:r>
              <w:rPr>
                <w:rFonts w:ascii="Courier New" w:cs="Courier New" w:eastAsia="Courier New" w:hAnsi="Courier New"/>
                <w:sz w:val="32"/>
                <w:szCs w:val="32"/>
                <w:color w:val="auto"/>
                <w:w w:val="77"/>
                <w:vertAlign w:val="superscript"/>
              </w:rPr>
              <w:t>-------------</w:t>
            </w:r>
            <w:r>
              <w:rPr>
                <w:rFonts w:ascii="Courier New" w:cs="Courier New" w:eastAsia="Courier New" w:hAnsi="Courier New"/>
                <w:sz w:val="16"/>
                <w:szCs w:val="16"/>
                <w:color w:val="auto"/>
                <w:w w:val="77"/>
              </w:rPr>
              <w:t>.................................</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1,687,914</w:t>
            </w:r>
          </w:p>
        </w:tc>
        <w:tc>
          <w:tcPr>
            <w:tcW w:w="0" w:type="dxa"/>
            <w:vAlign w:val="bottom"/>
          </w:tcPr>
          <w:p>
            <w:pPr>
              <w:spacing w:after="0"/>
              <w:rPr>
                <w:sz w:val="1"/>
                <w:szCs w:val="1"/>
                <w:color w:val="auto"/>
              </w:rPr>
            </w:pPr>
          </w:p>
        </w:tc>
      </w:tr>
      <w:tr>
        <w:trPr>
          <w:trHeight w:val="190"/>
        </w:trPr>
        <w:tc>
          <w:tcPr>
            <w:tcW w:w="5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William Blair &amp; Company, L.L.C.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668,796</w:t>
            </w:r>
          </w:p>
        </w:tc>
        <w:tc>
          <w:tcPr>
            <w:tcW w:w="0" w:type="dxa"/>
            <w:vAlign w:val="bottom"/>
          </w:tcPr>
          <w:p>
            <w:pPr>
              <w:spacing w:after="0"/>
              <w:rPr>
                <w:sz w:val="1"/>
                <w:szCs w:val="1"/>
                <w:color w:val="auto"/>
              </w:rPr>
            </w:pPr>
          </w:p>
        </w:tc>
      </w:tr>
      <w:tr>
        <w:trPr>
          <w:trHeight w:val="190"/>
        </w:trPr>
        <w:tc>
          <w:tcPr>
            <w:tcW w:w="5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Bear, Stearns &amp; Co. Inc.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573,254</w:t>
            </w:r>
          </w:p>
        </w:tc>
        <w:tc>
          <w:tcPr>
            <w:tcW w:w="0" w:type="dxa"/>
            <w:vAlign w:val="bottom"/>
          </w:tcPr>
          <w:p>
            <w:pPr>
              <w:spacing w:after="0"/>
              <w:rPr>
                <w:sz w:val="1"/>
                <w:szCs w:val="1"/>
                <w:color w:val="auto"/>
              </w:rPr>
            </w:pPr>
          </w:p>
        </w:tc>
      </w:tr>
      <w:tr>
        <w:trPr>
          <w:trHeight w:val="190"/>
        </w:trPr>
        <w:tc>
          <w:tcPr>
            <w:tcW w:w="5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J&amp;E Davy (trading as Davy Stockbrokers)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254,780</w:t>
            </w:r>
          </w:p>
        </w:tc>
        <w:tc>
          <w:tcPr>
            <w:tcW w:w="0" w:type="dxa"/>
            <w:vAlign w:val="bottom"/>
          </w:tcPr>
          <w:p>
            <w:pPr>
              <w:spacing w:after="0"/>
              <w:rPr>
                <w:sz w:val="1"/>
                <w:szCs w:val="1"/>
                <w:color w:val="auto"/>
              </w:rPr>
            </w:pPr>
          </w:p>
        </w:tc>
      </w:tr>
      <w:tr>
        <w:trPr>
          <w:trHeight w:val="190"/>
        </w:trPr>
        <w:tc>
          <w:tcPr>
            <w:tcW w:w="55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Total ............................................</w:t>
            </w: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3,184,744</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17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right="1380" w:firstLine="591"/>
        <w:spacing w:after="0" w:line="314" w:lineRule="auto"/>
        <w:rPr>
          <w:sz w:val="20"/>
          <w:szCs w:val="20"/>
          <w:color w:val="auto"/>
        </w:rPr>
      </w:pPr>
      <w:r>
        <w:rPr>
          <w:rFonts w:ascii="Courier New" w:cs="Courier New" w:eastAsia="Courier New" w:hAnsi="Courier New"/>
          <w:sz w:val="16"/>
          <w:szCs w:val="16"/>
          <w:color w:val="auto"/>
        </w:rPr>
        <w:t>The underwriters are committed to take and pay for all of the ADSs being offered, if any are taken, other than the ADSs covered by the option described below unless and until the option is exercised.</w:t>
      </w:r>
    </w:p>
    <w:p>
      <w:pPr>
        <w:spacing w:after="0" w:line="47" w:lineRule="exact"/>
        <w:rPr>
          <w:sz w:val="20"/>
          <w:szCs w:val="20"/>
          <w:color w:val="auto"/>
        </w:rPr>
      </w:pPr>
    </w:p>
    <w:p>
      <w:pPr>
        <w:ind w:right="1300" w:firstLine="591"/>
        <w:spacing w:after="0" w:line="276" w:lineRule="auto"/>
        <w:rPr>
          <w:sz w:val="20"/>
          <w:szCs w:val="20"/>
          <w:color w:val="auto"/>
        </w:rPr>
      </w:pPr>
      <w:r>
        <w:rPr>
          <w:rFonts w:ascii="Courier New" w:cs="Courier New" w:eastAsia="Courier New" w:hAnsi="Courier New"/>
          <w:sz w:val="16"/>
          <w:szCs w:val="16"/>
          <w:color w:val="auto"/>
        </w:rPr>
        <w:t>If the underwriters sell more ADSs than the total number set forth in the table above, the underwriters have an option to buy up to an additional 477,711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76" w:lineRule="exact"/>
        <w:rPr>
          <w:sz w:val="20"/>
          <w:szCs w:val="20"/>
          <w:color w:val="auto"/>
        </w:rPr>
      </w:pPr>
    </w:p>
    <w:p>
      <w:pPr>
        <w:ind w:right="1200" w:firstLine="591"/>
        <w:spacing w:after="0" w:line="293" w:lineRule="auto"/>
        <w:rPr>
          <w:sz w:val="20"/>
          <w:szCs w:val="20"/>
          <w:color w:val="auto"/>
        </w:rPr>
      </w:pPr>
      <w:r>
        <w:rPr>
          <w:rFonts w:ascii="Courier New" w:cs="Courier New" w:eastAsia="Courier New" w:hAnsi="Courier New"/>
          <w:sz w:val="16"/>
          <w:szCs w:val="16"/>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477,711 ADSs.</w:t>
      </w:r>
    </w:p>
    <w:p>
      <w:pPr>
        <w:spacing w:after="0" w:line="200" w:lineRule="exact"/>
        <w:rPr>
          <w:sz w:val="20"/>
          <w:szCs w:val="20"/>
          <w:color w:val="auto"/>
        </w:rPr>
      </w:pPr>
    </w:p>
    <w:p>
      <w:pPr>
        <w:spacing w:after="0" w:line="242" w:lineRule="exact"/>
        <w:rPr>
          <w:sz w:val="20"/>
          <w:szCs w:val="20"/>
          <w:color w:val="auto"/>
        </w:rPr>
      </w:pPr>
    </w:p>
    <w:p>
      <w:pPr>
        <w:jc w:val="right"/>
        <w:ind w:right="100"/>
        <w:spacing w:after="0"/>
        <w:tabs>
          <w:tab w:leader="none" w:pos="1180" w:val="left"/>
        </w:tabs>
        <w:rPr>
          <w:sz w:val="20"/>
          <w:szCs w:val="20"/>
          <w:color w:val="auto"/>
        </w:rPr>
      </w:pPr>
      <w:r>
        <w:rPr>
          <w:rFonts w:ascii="Courier New" w:cs="Courier New" w:eastAsia="Courier New" w:hAnsi="Courier New"/>
          <w:sz w:val="16"/>
          <w:szCs w:val="16"/>
          <w:color w:val="auto"/>
        </w:rPr>
        <w:t>Paid by the Company and the Selling Shareholders</w:t>
      </w:r>
      <w:r>
        <w:rPr>
          <w:sz w:val="20"/>
          <w:szCs w:val="20"/>
          <w:color w:val="auto"/>
        </w:rPr>
        <w:tab/>
      </w:r>
      <w:r>
        <w:rPr>
          <w:rFonts w:ascii="Courier New" w:cs="Courier New" w:eastAsia="Courier New" w:hAnsi="Courier New"/>
          <w:sz w:val="16"/>
          <w:szCs w:val="16"/>
          <w:color w:val="auto"/>
        </w:rPr>
        <w:t>No Exercise</w:t>
      </w:r>
    </w:p>
    <w:p>
      <w:pPr>
        <w:spacing w:after="0" w:line="38" w:lineRule="exact"/>
        <w:rPr>
          <w:sz w:val="20"/>
          <w:szCs w:val="20"/>
          <w:color w:val="auto"/>
        </w:rPr>
      </w:pPr>
    </w:p>
    <w:p>
      <w:pPr>
        <w:ind w:left="158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8" w:lineRule="exact"/>
        <w:rPr>
          <w:sz w:val="20"/>
          <w:szCs w:val="20"/>
          <w:color w:val="auto"/>
        </w:rPr>
      </w:pPr>
    </w:p>
    <w:p>
      <w:pPr>
        <w:ind w:left="600"/>
        <w:spacing w:after="0"/>
        <w:tabs>
          <w:tab w:leader="none" w:pos="7760" w:val="left"/>
          <w:tab w:leader="none" w:pos="8660" w:val="left"/>
        </w:tabs>
        <w:rPr>
          <w:sz w:val="20"/>
          <w:szCs w:val="20"/>
          <w:color w:val="auto"/>
        </w:rPr>
      </w:pPr>
      <w:r>
        <w:rPr>
          <w:rFonts w:ascii="Courier New" w:cs="Courier New" w:eastAsia="Courier New" w:hAnsi="Courier New"/>
          <w:sz w:val="16"/>
          <w:szCs w:val="16"/>
          <w:color w:val="auto"/>
        </w:rPr>
        <w:t>Per ADS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1.78</w:t>
      </w:r>
    </w:p>
    <w:p>
      <w:pPr>
        <w:spacing w:after="0" w:line="38" w:lineRule="exact"/>
        <w:rPr>
          <w:sz w:val="20"/>
          <w:szCs w:val="20"/>
          <w:color w:val="auto"/>
        </w:rPr>
      </w:pPr>
    </w:p>
    <w:p>
      <w:pPr>
        <w:ind w:left="600"/>
        <w:spacing w:after="0"/>
        <w:tabs>
          <w:tab w:leader="none" w:pos="7760" w:val="left"/>
          <w:tab w:leader="none" w:pos="816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5,668,844</w:t>
      </w:r>
    </w:p>
    <w:p>
      <w:pPr>
        <w:spacing w:after="0" w:line="35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ADSs sold by the underwriters to the public will initially be offered at</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initial price to public set forth on the cover of this prospectus. Any ADSs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by the underwriters to securities dealers may be sold at a discount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$1.068 per ADS from the initial price to public. Any such securities dealers may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resell any ADSs purchased from the underwriters to certain other brokers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dealers at a discount of up to $0.10 per ADS from the initial price to public.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all the ADSs are not sold at the initial price to public, the underwriters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change this offering price and the other selling terms.</w:t>
      </w:r>
    </w:p>
    <w:p>
      <w:pPr>
        <w:spacing w:after="0" w:line="168" w:lineRule="exact"/>
        <w:rPr>
          <w:sz w:val="20"/>
          <w:szCs w:val="20"/>
          <w:color w:val="auto"/>
        </w:rPr>
      </w:pPr>
    </w:p>
    <w:p>
      <w:pPr>
        <w:ind w:right="1480" w:firstLine="591"/>
        <w:spacing w:after="0" w:line="376" w:lineRule="auto"/>
        <w:rPr>
          <w:sz w:val="20"/>
          <w:szCs w:val="20"/>
          <w:color w:val="auto"/>
        </w:rPr>
      </w:pPr>
      <w:r>
        <w:rPr>
          <w:rFonts w:ascii="Courier New" w:cs="Courier New" w:eastAsia="Courier New" w:hAnsi="Courier New"/>
          <w:sz w:val="16"/>
          <w:szCs w:val="16"/>
          <w:color w:val="auto"/>
        </w:rPr>
        <w:t>J&amp;E Davy (trading as Davy Stockbrokers) has advised us that it will not offer or sell the ADSs in the United States or to U.S. persons.</w:t>
      </w:r>
    </w:p>
    <w:p>
      <w:pPr>
        <w:spacing w:after="0" w:line="1" w:lineRule="exact"/>
        <w:rPr>
          <w:sz w:val="20"/>
          <w:szCs w:val="20"/>
          <w:color w:val="auto"/>
        </w:rPr>
      </w:pPr>
    </w:p>
    <w:p>
      <w:pPr>
        <w:ind w:right="1200" w:firstLine="591"/>
        <w:spacing w:after="0" w:line="262" w:lineRule="auto"/>
        <w:rPr>
          <w:sz w:val="20"/>
          <w:szCs w:val="20"/>
          <w:color w:val="auto"/>
        </w:rPr>
      </w:pPr>
      <w:r>
        <w:rPr>
          <w:rFonts w:ascii="Courier New" w:cs="Courier New" w:eastAsia="Courier New" w:hAnsi="Courier New"/>
          <w:sz w:val="16"/>
          <w:szCs w:val="16"/>
          <w:color w:val="auto"/>
        </w:rPr>
        <w:t>We, and our executive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90" w:lineRule="exact"/>
        <w:rPr>
          <w:sz w:val="20"/>
          <w:szCs w:val="20"/>
          <w:color w:val="auto"/>
        </w:rPr>
      </w:pPr>
    </w:p>
    <w:p>
      <w:pPr>
        <w:ind w:right="1200" w:firstLine="591"/>
        <w:spacing w:after="0" w:line="276" w:lineRule="auto"/>
        <w:rPr>
          <w:sz w:val="20"/>
          <w:szCs w:val="20"/>
          <w:color w:val="auto"/>
        </w:rPr>
      </w:pPr>
      <w:r>
        <w:rPr>
          <w:rFonts w:ascii="Courier New" w:cs="Courier New" w:eastAsia="Courier New" w:hAnsi="Courier New"/>
          <w:sz w:val="16"/>
          <w:szCs w:val="16"/>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Exercise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8" w:lineRule="exact"/>
        <w:rPr>
          <w:sz w:val="20"/>
          <w:szCs w:val="20"/>
          <w:color w:val="auto"/>
        </w:rPr>
      </w:pPr>
    </w:p>
    <w:p>
      <w:pPr>
        <w:ind w:left="780" w:hanging="779"/>
        <w:spacing w:after="0"/>
        <w:tabs>
          <w:tab w:leader="none" w:pos="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1.78</w:t>
      </w:r>
    </w:p>
    <w:p>
      <w:pPr>
        <w:spacing w:after="0" w:line="38"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6,519,170</w:t>
      </w:r>
    </w:p>
    <w:p>
      <w:pPr>
        <w:sectPr>
          <w:pgSz w:w="11900" w:h="16838" w:orient="portrait"/>
          <w:cols w:equalWidth="0" w:num="2">
            <w:col w:w="9080" w:space="680"/>
            <w:col w:w="1280"/>
          </w:cols>
          <w:pgMar w:left="240" w:top="655" w:right="619" w:bottom="1440" w:gutter="0" w:footer="0" w:header="0"/>
        </w:sectPr>
      </w:pPr>
    </w:p>
    <w:bookmarkStart w:id="51" w:name="page52"/>
    <w:bookmarkEnd w:id="51"/>
    <w:p>
      <w:pPr>
        <w:ind w:right="2339"/>
        <w:spacing w:after="0" w:line="260" w:lineRule="auto"/>
        <w:rPr>
          <w:sz w:val="20"/>
          <w:szCs w:val="20"/>
          <w:color w:val="auto"/>
        </w:rPr>
      </w:pPr>
      <w:r>
        <w:rPr>
          <w:rFonts w:ascii="Courier New" w:cs="Courier New" w:eastAsia="Courier New" w:hAnsi="Courier New"/>
          <w:sz w:val="16"/>
          <w:szCs w:val="16"/>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88" w:lineRule="exact"/>
        <w:rPr>
          <w:sz w:val="20"/>
          <w:szCs w:val="20"/>
          <w:color w:val="auto"/>
        </w:rPr>
      </w:pPr>
    </w:p>
    <w:p>
      <w:pPr>
        <w:ind w:right="2339" w:firstLine="591"/>
        <w:spacing w:after="0" w:line="285"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277"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8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The underwriters have represented and agreed that:</w:t>
      </w:r>
    </w:p>
    <w:p>
      <w:pPr>
        <w:spacing w:after="0" w:line="198" w:lineRule="exact"/>
        <w:rPr>
          <w:sz w:val="20"/>
          <w:szCs w:val="20"/>
          <w:color w:val="auto"/>
        </w:rPr>
      </w:pPr>
    </w:p>
    <w:p>
      <w:pPr>
        <w:ind w:left="1080" w:right="2439" w:hanging="487"/>
        <w:spacing w:after="0" w:line="282" w:lineRule="auto"/>
        <w:tabs>
          <w:tab w:leader="none" w:pos="10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72" w:lineRule="exact"/>
        <w:rPr>
          <w:rFonts w:ascii="Courier New" w:cs="Courier New" w:eastAsia="Courier New" w:hAnsi="Courier New"/>
          <w:sz w:val="16"/>
          <w:szCs w:val="16"/>
          <w:color w:val="auto"/>
        </w:rPr>
      </w:pPr>
    </w:p>
    <w:p>
      <w:pPr>
        <w:ind w:left="1080" w:right="2619" w:hanging="487"/>
        <w:spacing w:after="0" w:line="293" w:lineRule="auto"/>
        <w:tabs>
          <w:tab w:leader="none" w:pos="10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63" w:lineRule="exact"/>
        <w:rPr>
          <w:sz w:val="20"/>
          <w:szCs w:val="20"/>
          <w:color w:val="auto"/>
        </w:rPr>
      </w:pPr>
    </w:p>
    <w:p>
      <w:pPr>
        <w:ind w:right="2339" w:firstLine="591"/>
        <w:spacing w:after="0" w:line="259" w:lineRule="auto"/>
        <w:rPr>
          <w:sz w:val="20"/>
          <w:szCs w:val="20"/>
          <w:color w:val="auto"/>
        </w:rPr>
      </w:pPr>
      <w:r>
        <w:rPr>
          <w:rFonts w:ascii="Courier New" w:cs="Courier New" w:eastAsia="Courier New" w:hAnsi="Courier New"/>
          <w:sz w:val="16"/>
          <w:szCs w:val="16"/>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93"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5" w:right="1440" w:bottom="1440" w:gutter="0" w:footer="0" w:header="0"/>
        </w:sectPr>
      </w:pPr>
    </w:p>
    <w:bookmarkStart w:id="52" w:name="page53"/>
    <w:bookmarkEnd w:id="52"/>
    <w:p>
      <w:pPr>
        <w:ind w:right="3119"/>
        <w:spacing w:after="0" w:line="376" w:lineRule="auto"/>
        <w:rPr>
          <w:sz w:val="20"/>
          <w:szCs w:val="20"/>
          <w:color w:val="auto"/>
        </w:rPr>
      </w:pPr>
      <w:r>
        <w:rPr>
          <w:rFonts w:ascii="Courier New" w:cs="Courier New" w:eastAsia="Courier New" w:hAnsi="Courier New"/>
          <w:sz w:val="16"/>
          <w:szCs w:val="16"/>
          <w:color w:val="auto"/>
        </w:rPr>
        <w:t>undertakings with a treasury department, who or which trade or invest in securities in the conduct of a business or profession.</w:t>
      </w:r>
    </w:p>
    <w:p>
      <w:pPr>
        <w:spacing w:after="0" w:line="1" w:lineRule="exact"/>
        <w:rPr>
          <w:sz w:val="20"/>
          <w:szCs w:val="20"/>
          <w:color w:val="auto"/>
        </w:rPr>
      </w:pPr>
    </w:p>
    <w:p>
      <w:pPr>
        <w:ind w:right="2339" w:firstLine="591"/>
        <w:spacing w:after="0" w:line="261" w:lineRule="auto"/>
        <w:rPr>
          <w:sz w:val="20"/>
          <w:szCs w:val="20"/>
          <w:color w:val="auto"/>
        </w:rPr>
      </w:pPr>
      <w:r>
        <w:rPr>
          <w:rFonts w:ascii="Courier New" w:cs="Courier New" w:eastAsia="Courier New" w:hAnsi="Courier New"/>
          <w:sz w:val="16"/>
          <w:szCs w:val="16"/>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289" w:lineRule="exact"/>
        <w:rPr>
          <w:sz w:val="20"/>
          <w:szCs w:val="20"/>
          <w:color w:val="auto"/>
        </w:rPr>
      </w:pPr>
    </w:p>
    <w:p>
      <w:pPr>
        <w:ind w:right="2439" w:firstLine="591"/>
        <w:spacing w:after="0" w:line="265" w:lineRule="auto"/>
        <w:rPr>
          <w:sz w:val="20"/>
          <w:szCs w:val="20"/>
          <w:color w:val="auto"/>
        </w:rPr>
      </w:pPr>
      <w:r>
        <w:rPr>
          <w:rFonts w:ascii="Courier New" w:cs="Courier New" w:eastAsia="Courier New" w:hAnsi="Courier New"/>
          <w:sz w:val="16"/>
          <w:szCs w:val="16"/>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284"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81" w:lineRule="exact"/>
        <w:rPr>
          <w:sz w:val="20"/>
          <w:szCs w:val="20"/>
          <w:color w:val="auto"/>
        </w:rPr>
      </w:pPr>
    </w:p>
    <w:p>
      <w:pPr>
        <w:ind w:right="2339" w:firstLine="591"/>
        <w:spacing w:after="0" w:line="265" w:lineRule="auto"/>
        <w:rPr>
          <w:sz w:val="20"/>
          <w:szCs w:val="20"/>
          <w:color w:val="auto"/>
        </w:rPr>
      </w:pPr>
      <w:r>
        <w:rPr>
          <w:rFonts w:ascii="Courier New" w:cs="Courier New" w:eastAsia="Courier New" w:hAnsi="Courier New"/>
          <w:sz w:val="16"/>
          <w:szCs w:val="16"/>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84"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79" w:lineRule="exact"/>
        <w:rPr>
          <w:sz w:val="20"/>
          <w:szCs w:val="20"/>
          <w:color w:val="auto"/>
        </w:rPr>
      </w:pPr>
    </w:p>
    <w:p>
      <w:pPr>
        <w:ind w:right="2719" w:firstLine="591"/>
        <w:spacing w:after="0" w:line="314" w:lineRule="auto"/>
        <w:rPr>
          <w:sz w:val="20"/>
          <w:szCs w:val="20"/>
          <w:color w:val="auto"/>
        </w:rPr>
      </w:pPr>
      <w:r>
        <w:rPr>
          <w:rFonts w:ascii="Courier New" w:cs="Courier New" w:eastAsia="Courier New" w:hAnsi="Courier New"/>
          <w:sz w:val="16"/>
          <w:szCs w:val="16"/>
          <w:color w:val="auto"/>
        </w:rPr>
        <w:t>We estimate that our share of the total expenses of this offering, excluding underwriting discounts and commissions, will be approximately $1.2 million.</w:t>
      </w:r>
    </w:p>
    <w:p>
      <w:pPr>
        <w:spacing w:after="0" w:line="47" w:lineRule="exact"/>
        <w:rPr>
          <w:sz w:val="20"/>
          <w:szCs w:val="20"/>
          <w:color w:val="auto"/>
        </w:rPr>
      </w:pPr>
    </w:p>
    <w:p>
      <w:pPr>
        <w:ind w:right="2919" w:firstLine="591"/>
        <w:spacing w:after="0" w:line="314" w:lineRule="auto"/>
        <w:rPr>
          <w:sz w:val="20"/>
          <w:szCs w:val="20"/>
          <w:color w:val="auto"/>
        </w:rPr>
      </w:pPr>
      <w:r>
        <w:rPr>
          <w:rFonts w:ascii="Courier New" w:cs="Courier New" w:eastAsia="Courier New" w:hAnsi="Courier New"/>
          <w:sz w:val="16"/>
          <w:szCs w:val="16"/>
          <w:color w:val="auto"/>
        </w:rPr>
        <w:t>We and the selling shareholders have agreed to indemnify the several underwriters against certain liabilities, including liabilities under the Securities Act of 1933.</w:t>
      </w:r>
    </w:p>
    <w:p>
      <w:pPr>
        <w:spacing w:after="0" w:line="47"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5" w:right="1440" w:bottom="1440" w:gutter="0" w:footer="0" w:header="0"/>
        </w:sectPr>
      </w:pPr>
    </w:p>
    <w:bookmarkStart w:id="53" w:name="page54"/>
    <w:bookmarkEnd w:id="53"/>
    <w:p>
      <w:pPr>
        <w:ind w:right="2339" w:firstLine="591"/>
        <w:spacing w:after="0" w:line="293" w:lineRule="auto"/>
        <w:rPr>
          <w:sz w:val="20"/>
          <w:szCs w:val="20"/>
          <w:color w:val="auto"/>
        </w:rPr>
      </w:pPr>
      <w:r>
        <w:rPr>
          <w:rFonts w:ascii="Courier New" w:cs="Courier New" w:eastAsia="Courier New" w:hAnsi="Courier New"/>
          <w:sz w:val="16"/>
          <w:szCs w:val="16"/>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63"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7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EXCHANGE CONTROLS AND OTHER LIMITATIONS AFFECTING SECURITY HOLDERS</w:t>
      </w:r>
    </w:p>
    <w:p>
      <w:pPr>
        <w:spacing w:after="0" w:line="198"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76" w:lineRule="exact"/>
        <w:rPr>
          <w:sz w:val="20"/>
          <w:szCs w:val="20"/>
          <w:color w:val="auto"/>
        </w:rPr>
      </w:pPr>
    </w:p>
    <w:p>
      <w:pPr>
        <w:ind w:right="2339" w:firstLine="591"/>
        <w:spacing w:after="0" w:line="260" w:lineRule="auto"/>
        <w:rPr>
          <w:sz w:val="20"/>
          <w:szCs w:val="20"/>
          <w:color w:val="auto"/>
        </w:rPr>
      </w:pPr>
      <w:r>
        <w:rPr>
          <w:rFonts w:ascii="Courier New" w:cs="Courier New" w:eastAsia="Courier New" w:hAnsi="Courier New"/>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291" w:lineRule="exact"/>
        <w:rPr>
          <w:sz w:val="20"/>
          <w:szCs w:val="20"/>
          <w:color w:val="auto"/>
        </w:rPr>
      </w:pPr>
    </w:p>
    <w:p>
      <w:pPr>
        <w:ind w:right="2439" w:firstLine="591"/>
        <w:spacing w:after="0" w:line="263" w:lineRule="auto"/>
        <w:rPr>
          <w:sz w:val="20"/>
          <w:szCs w:val="20"/>
          <w:color w:val="auto"/>
        </w:rPr>
      </w:pPr>
      <w:r>
        <w:rPr>
          <w:rFonts w:ascii="Courier New" w:cs="Courier New" w:eastAsia="Courier New" w:hAnsi="Courier New"/>
          <w:sz w:val="16"/>
          <w:szCs w:val="16"/>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90"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VALIDITY OF THE ADSs AND ORDINARY SHARES</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The validity of the ADSs offered hereby and certain matters of U.S. and New York law with respect to this offering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LLP and Sullivan &amp; Cromwell LLP may rely upon A&amp;L Goodbody with respect to certain matters governed by Irish law.</w:t>
      </w:r>
    </w:p>
    <w:p>
      <w:pPr>
        <w:spacing w:after="0" w:line="81"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EXPERTS</w:t>
      </w:r>
    </w:p>
    <w:p>
      <w:pPr>
        <w:spacing w:after="0" w:line="198" w:lineRule="exact"/>
        <w:rPr>
          <w:sz w:val="20"/>
          <w:szCs w:val="20"/>
          <w:color w:val="auto"/>
        </w:rPr>
      </w:pPr>
    </w:p>
    <w:p>
      <w:pPr>
        <w:ind w:right="2339" w:firstLine="591"/>
        <w:spacing w:after="0" w:line="282" w:lineRule="auto"/>
        <w:rPr>
          <w:sz w:val="20"/>
          <w:szCs w:val="20"/>
          <w:color w:val="auto"/>
        </w:rPr>
      </w:pPr>
      <w:r>
        <w:rPr>
          <w:rFonts w:ascii="Courier New" w:cs="Courier New" w:eastAsia="Courier New" w:hAnsi="Courier New"/>
          <w:sz w:val="16"/>
          <w:szCs w:val="16"/>
          <w:color w:val="auto"/>
        </w:rPr>
        <w:t>The consolidated financial statements of ICON plc as of May 31, 2003 and 2002 and for each of the years in the three-year period ended May 31, 2003, have been incorporated by reference herein in reliance upon the report of KPMG, independent chartered accountants, incorporated by reference herein, and upon the authority of said firm as experts in accounting and auditing.</w:t>
      </w:r>
    </w:p>
    <w:p>
      <w:pPr>
        <w:spacing w:after="0" w:line="73" w:lineRule="exact"/>
        <w:rPr>
          <w:sz w:val="20"/>
          <w:szCs w:val="20"/>
          <w:color w:val="auto"/>
        </w:rPr>
      </w:pPr>
    </w:p>
    <w:p>
      <w:pPr>
        <w:jc w:val="both"/>
        <w:ind w:right="2819" w:firstLine="591"/>
        <w:spacing w:after="0" w:line="314" w:lineRule="auto"/>
        <w:rPr>
          <w:sz w:val="20"/>
          <w:szCs w:val="20"/>
          <w:color w:val="auto"/>
        </w:rPr>
      </w:pPr>
      <w:r>
        <w:rPr>
          <w:rFonts w:ascii="Courier New" w:cs="Courier New" w:eastAsia="Courier New" w:hAnsi="Courier New"/>
          <w:sz w:val="16"/>
          <w:szCs w:val="16"/>
          <w:color w:val="auto"/>
        </w:rPr>
        <w:t>KPMG and A&amp;L Goodbody have given and have not withdrawn their written consent to the references in this prospectus to their names in the form and context in which they appear.</w:t>
      </w:r>
    </w:p>
    <w:p>
      <w:pPr>
        <w:spacing w:after="0" w:line="23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5" w:right="1440" w:bottom="1440" w:gutter="0" w:footer="0" w:header="0"/>
        </w:sectPr>
      </w:pPr>
    </w:p>
    <w:bookmarkStart w:id="54" w:name="page55"/>
    <w:bookmarkEnd w:id="54"/>
    <w:p>
      <w:pPr>
        <w:ind w:left="2180"/>
        <w:spacing w:after="0"/>
        <w:rPr>
          <w:sz w:val="20"/>
          <w:szCs w:val="20"/>
          <w:color w:val="auto"/>
        </w:rPr>
      </w:pPr>
      <w:r>
        <w:rPr>
          <w:rFonts w:ascii="Courier New" w:cs="Courier New" w:eastAsia="Courier New" w:hAnsi="Courier New"/>
          <w:sz w:val="16"/>
          <w:szCs w:val="16"/>
          <w:color w:val="auto"/>
        </w:rPr>
        <w:t>EXPENSES OF ISSUANCE AND DISTRIBUTION</w:t>
      </w:r>
    </w:p>
    <w:p>
      <w:pPr>
        <w:spacing w:after="0" w:line="198" w:lineRule="exact"/>
        <w:rPr>
          <w:sz w:val="20"/>
          <w:szCs w:val="20"/>
          <w:color w:val="auto"/>
        </w:rPr>
      </w:pPr>
    </w:p>
    <w:p>
      <w:pPr>
        <w:ind w:right="2439" w:firstLine="591"/>
        <w:spacing w:after="0" w:line="293"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Securities and Exchange Commission registration fee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9,055</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National Association of Securities Dealers, Inc. filing fee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Nasdaq National Market fees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Legal fees and expenses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Accounting fees and expenses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Printing expenses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Transfer and Registrar fee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Miscellaneous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Subtotal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1,807,055</w:t>
            </w:r>
          </w:p>
        </w:tc>
      </w:tr>
      <w:tr>
        <w:trPr>
          <w:trHeight w:val="190"/>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Capital duty (Company only)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483,750</w:t>
            </w:r>
          </w:p>
        </w:tc>
      </w:tr>
      <w:tr>
        <w:trPr>
          <w:trHeight w:val="277"/>
        </w:trPr>
        <w:tc>
          <w:tcPr>
            <w:tcW w:w="66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Total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2,290,805</w:t>
            </w:r>
          </w:p>
        </w:tc>
      </w:tr>
    </w:tbl>
    <w:p>
      <w:pPr>
        <w:spacing w:after="0" w:line="10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ENFORCEABILITY OF CIVIL LIABILITIES PROVISIONS OF FEDERAL</w:t>
      </w:r>
    </w:p>
    <w:p>
      <w:pPr>
        <w:spacing w:after="0" w:line="3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SECURITIES LAWS AGAINST FOREIGN PERSONS; SHAREHOLDER RIGHTS UNDER IRISH LAW</w:t>
      </w:r>
    </w:p>
    <w:p>
      <w:pPr>
        <w:spacing w:after="0" w:line="168" w:lineRule="exact"/>
        <w:rPr>
          <w:sz w:val="20"/>
          <w:szCs w:val="20"/>
          <w:color w:val="auto"/>
        </w:rPr>
      </w:pPr>
    </w:p>
    <w:p>
      <w:pPr>
        <w:ind w:right="2339" w:firstLine="591"/>
        <w:spacing w:after="0" w:line="256" w:lineRule="auto"/>
        <w:rPr>
          <w:sz w:val="20"/>
          <w:szCs w:val="20"/>
          <w:color w:val="auto"/>
        </w:rPr>
      </w:pPr>
      <w:r>
        <w:rPr>
          <w:rFonts w:ascii="Courier New" w:cs="Courier New" w:eastAsia="Courier New" w:hAnsi="Courier New"/>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297"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Except for decisions to be made by the shareholders, all matters relating to the management and control of an Irish company are generally delegated to its board of directors pursuant to the company's constitutional documents. ICON's constitutional documents contain standard provisions delegating control to the Board of Directors. In certain situations, specific authority is delegated to officers, auditors and examiners.</w:t>
      </w:r>
    </w:p>
    <w:p>
      <w:pPr>
        <w:spacing w:after="0" w:line="76"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76" w:lineRule="exact"/>
        <w:rPr>
          <w:sz w:val="20"/>
          <w:szCs w:val="20"/>
          <w:color w:val="auto"/>
        </w:rPr>
      </w:pPr>
    </w:p>
    <w:p>
      <w:pPr>
        <w:ind w:right="2339" w:firstLine="591"/>
        <w:spacing w:after="0" w:line="285" w:lineRule="auto"/>
        <w:rPr>
          <w:sz w:val="20"/>
          <w:szCs w:val="20"/>
          <w:color w:val="auto"/>
        </w:rPr>
      </w:pPr>
      <w:r>
        <w:rPr>
          <w:rFonts w:ascii="Courier New" w:cs="Courier New" w:eastAsia="Courier New" w:hAnsi="Courier New"/>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SHAREHOLDER RIGHTS UNDER IRISH LAW</w:t>
      </w:r>
    </w:p>
    <w:p>
      <w:pPr>
        <w:spacing w:after="0" w:line="198" w:lineRule="exact"/>
        <w:rPr>
          <w:sz w:val="20"/>
          <w:szCs w:val="20"/>
          <w:color w:val="auto"/>
        </w:rPr>
      </w:pPr>
    </w:p>
    <w:p>
      <w:pPr>
        <w:ind w:right="2339" w:firstLine="591"/>
        <w:spacing w:after="0" w:line="272" w:lineRule="auto"/>
        <w:rPr>
          <w:sz w:val="20"/>
          <w:szCs w:val="20"/>
          <w:color w:val="auto"/>
        </w:rPr>
      </w:pPr>
      <w:r>
        <w:rPr>
          <w:rFonts w:ascii="Courier New" w:cs="Courier New" w:eastAsia="Courier New" w:hAnsi="Courier New"/>
          <w:sz w:val="16"/>
          <w:szCs w:val="16"/>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79" w:lineRule="exact"/>
        <w:rPr>
          <w:sz w:val="20"/>
          <w:szCs w:val="20"/>
          <w:color w:val="auto"/>
        </w:rPr>
      </w:pPr>
    </w:p>
    <w:p>
      <w:pPr>
        <w:ind w:right="2519" w:firstLine="591"/>
        <w:spacing w:after="0" w:line="293" w:lineRule="auto"/>
        <w:rPr>
          <w:sz w:val="20"/>
          <w:szCs w:val="20"/>
          <w:color w:val="auto"/>
        </w:rPr>
      </w:pPr>
      <w:r>
        <w:rPr>
          <w:rFonts w:ascii="Courier New" w:cs="Courier New" w:eastAsia="Courier New" w:hAnsi="Courier New"/>
          <w:sz w:val="16"/>
          <w:szCs w:val="16"/>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63" w:lineRule="exact"/>
        <w:rPr>
          <w:sz w:val="20"/>
          <w:szCs w:val="20"/>
          <w:color w:val="auto"/>
        </w:rPr>
      </w:pPr>
    </w:p>
    <w:p>
      <w:pPr>
        <w:ind w:right="3119" w:firstLine="591"/>
        <w:spacing w:after="0" w:line="376" w:lineRule="auto"/>
        <w:rPr>
          <w:sz w:val="20"/>
          <w:szCs w:val="20"/>
          <w:color w:val="auto"/>
        </w:rPr>
      </w:pPr>
      <w:r>
        <w:rPr>
          <w:rFonts w:ascii="Courier New" w:cs="Courier New" w:eastAsia="Courier New" w:hAnsi="Courier New"/>
          <w:sz w:val="16"/>
          <w:szCs w:val="16"/>
          <w:color w:val="auto"/>
        </w:rPr>
        <w:t>Under Irish law, shareholders holding 10% or more of the Company's outstanding voting shares may call a shareholder meeting.</w:t>
      </w:r>
    </w:p>
    <w:p>
      <w:pPr>
        <w:spacing w:after="0" w:line="1" w:lineRule="exact"/>
        <w:rPr>
          <w:sz w:val="20"/>
          <w:szCs w:val="20"/>
          <w:color w:val="auto"/>
        </w:rPr>
      </w:pPr>
    </w:p>
    <w:p>
      <w:pPr>
        <w:ind w:right="2619" w:firstLine="591"/>
        <w:spacing w:after="0" w:line="272" w:lineRule="auto"/>
        <w:rPr>
          <w:sz w:val="20"/>
          <w:szCs w:val="20"/>
          <w:color w:val="auto"/>
        </w:rPr>
      </w:pPr>
      <w:r>
        <w:rPr>
          <w:rFonts w:ascii="Courier New" w:cs="Courier New" w:eastAsia="Courier New" w:hAnsi="Courier New"/>
          <w:sz w:val="16"/>
          <w:szCs w:val="16"/>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79"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73" w:lineRule="exact"/>
        <w:rPr>
          <w:sz w:val="20"/>
          <w:szCs w:val="20"/>
          <w:color w:val="auto"/>
        </w:rPr>
      </w:pPr>
    </w:p>
    <w:p>
      <w:pPr>
        <w:jc w:val="both"/>
        <w:ind w:right="2339" w:firstLine="591"/>
        <w:spacing w:after="0" w:line="264" w:lineRule="auto"/>
        <w:rPr>
          <w:sz w:val="20"/>
          <w:szCs w:val="20"/>
          <w:color w:val="auto"/>
        </w:rPr>
      </w:pPr>
      <w:r>
        <w:rPr>
          <w:rFonts w:ascii="Courier New" w:cs="Courier New" w:eastAsia="Courier New" w:hAnsi="Courier New"/>
          <w:sz w:val="16"/>
          <w:szCs w:val="16"/>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1" w:lineRule="exact"/>
        <w:rPr>
          <w:sz w:val="20"/>
          <w:szCs w:val="20"/>
          <w:color w:val="auto"/>
        </w:rPr>
      </w:pPr>
    </w:p>
    <w:p>
      <w:pPr>
        <w:ind w:right="3319"/>
        <w:spacing w:after="0" w:line="337" w:lineRule="auto"/>
        <w:rPr>
          <w:sz w:val="20"/>
          <w:szCs w:val="20"/>
          <w:color w:val="auto"/>
        </w:rPr>
      </w:pPr>
      <w:r>
        <w:rPr>
          <w:rFonts w:ascii="Courier New" w:cs="Courier New" w:eastAsia="Courier New" w:hAnsi="Courier New"/>
          <w:sz w:val="16"/>
          <w:szCs w:val="16"/>
          <w:color w:val="auto"/>
        </w:rPr>
        <w:t>ICON's constitutional documents contain standard provisions delegating management and control to its board of directors.</w:t>
      </w:r>
    </w:p>
    <w:p>
      <w:pPr>
        <w:spacing w:after="0" w:line="3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ADDITIONAL INFORMATION</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81"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81" w:lineRule="exact"/>
        <w:rPr>
          <w:sz w:val="20"/>
          <w:szCs w:val="20"/>
          <w:color w:val="auto"/>
        </w:rPr>
      </w:pPr>
    </w:p>
    <w:p>
      <w:pPr>
        <w:ind w:right="2339" w:firstLine="591"/>
        <w:spacing w:after="0" w:line="276" w:lineRule="auto"/>
        <w:rPr>
          <w:sz w:val="20"/>
          <w:szCs w:val="20"/>
          <w:color w:val="auto"/>
        </w:rPr>
      </w:pPr>
      <w:r>
        <w:rPr>
          <w:rFonts w:ascii="Courier New" w:cs="Courier New" w:eastAsia="Courier New" w:hAnsi="Courier New"/>
          <w:sz w:val="16"/>
          <w:szCs w:val="16"/>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2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55" w:right="1440" w:bottom="1440" w:gutter="0" w:footer="0" w:header="0"/>
        </w:sectPr>
      </w:pPr>
    </w:p>
    <w:bookmarkStart w:id="56" w:name="page57"/>
    <w:bookmarkEnd w:id="56"/>
    <w:p>
      <w:pPr>
        <w:jc w:val="center"/>
        <w:ind w:right="2239"/>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8" w:lineRule="exact"/>
        <w:rPr>
          <w:sz w:val="20"/>
          <w:szCs w:val="20"/>
          <w:color w:val="auto"/>
        </w:rPr>
      </w:pPr>
    </w:p>
    <w:p>
      <w:pPr>
        <w:ind w:right="2339" w:firstLine="591"/>
        <w:spacing w:after="0" w:line="269" w:lineRule="auto"/>
        <w:rPr>
          <w:sz w:val="20"/>
          <w:szCs w:val="20"/>
          <w:color w:val="auto"/>
        </w:rPr>
      </w:pPr>
      <w:r>
        <w:rPr>
          <w:rFonts w:ascii="Courier New" w:cs="Courier New" w:eastAsia="Courier New" w:hAnsi="Courier New"/>
          <w:sz w:val="16"/>
          <w:szCs w:val="16"/>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81" w:lineRule="exact"/>
        <w:rPr>
          <w:sz w:val="20"/>
          <w:szCs w:val="20"/>
          <w:color w:val="auto"/>
        </w:rPr>
      </w:pPr>
    </w:p>
    <w:p>
      <w:pPr>
        <w:ind w:right="2439" w:firstLine="591"/>
        <w:spacing w:after="0" w:line="282" w:lineRule="auto"/>
        <w:rPr>
          <w:sz w:val="20"/>
          <w:szCs w:val="20"/>
          <w:color w:val="auto"/>
        </w:rPr>
      </w:pPr>
      <w:r>
        <w:rPr>
          <w:rFonts w:ascii="Courier New" w:cs="Courier New" w:eastAsia="Courier New" w:hAnsi="Courier New"/>
          <w:sz w:val="16"/>
          <w:szCs w:val="16"/>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73" w:lineRule="exact"/>
        <w:rPr>
          <w:sz w:val="20"/>
          <w:szCs w:val="20"/>
          <w:color w:val="auto"/>
        </w:rPr>
      </w:pPr>
    </w:p>
    <w:p>
      <w:pPr>
        <w:ind w:left="1080" w:right="28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 for the fiscal year ended May 31, 2002.</w:t>
      </w:r>
    </w:p>
    <w:p>
      <w:pPr>
        <w:ind w:left="1080" w:right="26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fiscal year ended May 31, 2002.</w:t>
      </w:r>
    </w:p>
    <w:p>
      <w:pPr>
        <w:ind w:left="1080" w:right="23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August 1, 2003.</w:t>
      </w:r>
    </w:p>
    <w:p>
      <w:pPr>
        <w:ind w:left="1080" w:right="24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July 21, 2003.</w:t>
      </w:r>
    </w:p>
    <w:p>
      <w:pPr>
        <w:ind w:left="1080" w:right="26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6-K for the periods ended February 28, 2003 and August 31, 2002.</w:t>
      </w:r>
    </w:p>
    <w:p>
      <w:pPr>
        <w:ind w:left="1080" w:right="23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Form 6-K/A for the period ended November 30, 2002, filed with the Commission on March 11, 2003.</w:t>
      </w:r>
    </w:p>
    <w:p>
      <w:pPr>
        <w:ind w:left="1080" w:right="24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ordinary shares contained on Form 6-K, filed with the Commission on January 31, 2003.</w:t>
      </w:r>
    </w:p>
    <w:p>
      <w:pPr>
        <w:ind w:left="1080" w:right="24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 filed with the Commission on January 31, 2003.</w:t>
      </w:r>
    </w:p>
    <w:p>
      <w:pPr>
        <w:ind w:left="1080" w:right="233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6-K/A filed with the Commission on March 7, 2003.</w:t>
      </w:r>
    </w:p>
    <w:p>
      <w:pPr>
        <w:ind w:left="1080" w:right="2519" w:hanging="487"/>
        <w:spacing w:after="0" w:line="376"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Memorandum and Articles of Association contained on Form 6-K, filed with the Commission on January 31, 2003.</w:t>
      </w:r>
    </w:p>
    <w:p>
      <w:pPr>
        <w:ind w:left="1080" w:right="2519" w:hanging="487"/>
        <w:spacing w:after="0" w:line="314" w:lineRule="auto"/>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Registration Rights Agreement, dated as of December 12, 1997, contained on Form 6-K, filed with the Commission on January 31, 2003.</w:t>
      </w:r>
    </w:p>
    <w:p>
      <w:pPr>
        <w:spacing w:after="0" w:line="47" w:lineRule="exact"/>
        <w:rPr>
          <w:sz w:val="20"/>
          <w:szCs w:val="20"/>
          <w:color w:val="auto"/>
        </w:rPr>
      </w:pPr>
    </w:p>
    <w:p>
      <w:pPr>
        <w:ind w:right="2719" w:firstLine="591"/>
        <w:spacing w:after="0" w:line="293"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this address: ICON plc, Attention: Sean Leech, Chief Financial Officer, South County Business Park, Leopardstown, Dublin 18, Ireland, (353) 1-291-2000.</w:t>
      </w:r>
    </w:p>
    <w:p>
      <w:pPr>
        <w:spacing w:after="0" w:line="2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439" w:firstLine="591"/>
        <w:spacing w:after="0" w:line="276"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440" w:type="dxa"/>
            <w:vAlign w:val="bottom"/>
          </w:tcPr>
          <w:p>
            <w:pPr>
              <w:jc w:val="right"/>
              <w:ind w:right="251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440" w:type="dxa"/>
            <w:vAlign w:val="bottom"/>
          </w:tcPr>
          <w:p>
            <w:pPr>
              <w:jc w:val="right"/>
              <w:ind w:right="2518"/>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77"/>
        </w:trPr>
        <w:tc>
          <w:tcPr>
            <w:tcW w:w="7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7440" w:type="dxa"/>
            <w:vAlign w:val="bottom"/>
          </w:tcPr>
          <w:p>
            <w:pPr>
              <w:spacing w:after="0"/>
              <w:rPr>
                <w:sz w:val="20"/>
                <w:szCs w:val="20"/>
                <w:color w:val="auto"/>
              </w:rPr>
            </w:pPr>
            <w:r>
              <w:rPr>
                <w:rFonts w:ascii="Courier New" w:cs="Courier New" w:eastAsia="Courier New" w:hAnsi="Courier New"/>
                <w:sz w:val="16"/>
                <w:szCs w:val="16"/>
                <w:color w:val="auto"/>
              </w:rPr>
              <w:t>Summary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The Offering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Recent Developments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Summary Historical Consolidated</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Risk Factors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Disclosure Regarding Forward-Looking</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Statements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Price Range of ADSs and Dividend</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Policy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Capitalization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Dilution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 of</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Operations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Business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Management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U.S.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Irish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Underwriting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Exchange Controls and Other Limitations</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Affecting Security Holders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Validity of the ADSs and Ordinary Shares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Experts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Expenses of Issuance and Distribution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Enforceability of Civil Liabilities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Provisions of Federal Securities Laws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Against Foreign Persons; Shareholder</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w:t>
            </w: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Courier New" w:cs="Courier New" w:eastAsia="Courier New" w:hAnsi="Courier New"/>
                <w:sz w:val="16"/>
                <w:szCs w:val="16"/>
                <w:color w:val="auto"/>
              </w:rPr>
              <w:t>Rights Under Irish Law ..................................................</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Courier New" w:cs="Courier New" w:eastAsia="Courier New" w:hAnsi="Courier New"/>
                <w:sz w:val="16"/>
                <w:szCs w:val="16"/>
                <w:color w:val="auto"/>
              </w:rPr>
              <w:t>Additional Information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277"/>
        </w:trPr>
        <w:tc>
          <w:tcPr>
            <w:tcW w:w="744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ICON PLC</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3,184,744</w:t>
      </w:r>
    </w:p>
    <w:p>
      <w:pPr>
        <w:spacing w:after="0" w:line="3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American Depositary Shares</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Representing</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3,184,744 Ordinary Shares</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[ICON LOGO]</w:t>
      </w:r>
    </w:p>
    <w:p>
      <w:pPr>
        <w:spacing w:after="0" w:line="38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GOLDMAN, SACHS &amp; CO.</w:t>
      </w:r>
    </w:p>
    <w:p>
      <w:pPr>
        <w:spacing w:after="0" w:line="3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WILLIAM BLAIR &amp; COMPANY</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BEAR, STEARNS &amp; CO. INC.</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DAVY STOCKBROKERS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8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lvl w:ilvl="1">
      <w:lvlJc w:val="left"/>
      <w:lvlText w:val="(%2)"/>
      <w:numFmt w:val="decimal"/>
      <w:start w:val="1"/>
    </w:lvl>
  </w:abstractNum>
  <w:abstractNum w:abstractNumId="2">
    <w:nsid w:val="140E0F76"/>
    <w:multiLevelType w:val="hybridMultilevel"/>
    <w:lvl w:ilvl="0">
      <w:lvlJc w:val="left"/>
      <w:lvlText w:val="(%1)"/>
      <w:numFmt w:val="decimal"/>
      <w:start w:val="4"/>
    </w:lvl>
  </w:abstractNum>
  <w:abstractNum w:abstractNumId="3">
    <w:nsid w:val="3352255A"/>
    <w:multiLevelType w:val="hybridMultilevel"/>
    <w:lvl w:ilvl="0">
      <w:lvlJc w:val="left"/>
      <w:lvlText w:val="o"/>
      <w:numFmt w:val="bullet"/>
      <w:start w:val="1"/>
    </w:lvl>
  </w:abstractNum>
  <w:abstractNum w:abstractNumId="4">
    <w:nsid w:val="109CF92E"/>
    <w:multiLevelType w:val="hybridMultilevel"/>
    <w:lvl w:ilvl="0">
      <w:lvlJc w:val="left"/>
      <w:lvlText w:val="o"/>
      <w:numFmt w:val="bullet"/>
      <w:start w:val="1"/>
    </w:lvl>
  </w:abstractNum>
  <w:abstractNum w:abstractNumId="5">
    <w:nsid w:val="DED7263"/>
    <w:multiLevelType w:val="hybridMultilevel"/>
    <w:lvl w:ilvl="0">
      <w:lvlJc w:val="left"/>
      <w:lvlText w:val="-"/>
      <w:numFmt w:val="bullet"/>
      <w:start w:val="1"/>
    </w:lvl>
    <w:lvl w:ilvl="1">
      <w:lvlJc w:val="left"/>
      <w:lvlText w:val="(%2)"/>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2)"/>
      <w:numFmt w:val="decimal"/>
      <w:start w:val="1"/>
    </w:lvl>
  </w:abstractNum>
  <w:abstractNum w:abstractNumId="9">
    <w:nsid w:val="6B68079A"/>
    <w:multiLevelType w:val="hybridMultilevel"/>
    <w:lvl w:ilvl="0">
      <w:lvlJc w:val="left"/>
      <w:lvlText w:val="o"/>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o"/>
      <w:numFmt w:val="bullet"/>
      <w:start w:val="1"/>
    </w:lvl>
  </w:abstractNum>
  <w:abstractNum w:abstractNumId="13">
    <w:nsid w:val="431BD7B7"/>
    <w:multiLevelType w:val="hybridMultilevel"/>
    <w:lvl w:ilvl="0">
      <w:lvlJc w:val="left"/>
      <w:lvlText w:val="o"/>
      <w:numFmt w:val="bullet"/>
      <w:start w:val="1"/>
    </w:lvl>
  </w:abstractNum>
  <w:abstractNum w:abstractNumId="14">
    <w:nsid w:val="3F2DBA31"/>
    <w:multiLevelType w:val="hybridMultilevel"/>
    <w:lvl w:ilvl="0">
      <w:lvlJc w:val="left"/>
      <w:lvlText w:val="o"/>
      <w:numFmt w:val="bullet"/>
      <w:start w:val="1"/>
    </w:lvl>
  </w:abstractNum>
  <w:abstractNum w:abstractNumId="15">
    <w:nsid w:val="7C83E458"/>
    <w:multiLevelType w:val="hybridMultilevel"/>
    <w:lvl w:ilvl="0">
      <w:lvlJc w:val="left"/>
      <w:lvlText w:val="o"/>
      <w:numFmt w:val="bullet"/>
      <w:start w:val="1"/>
    </w:lvl>
  </w:abstractNum>
  <w:abstractNum w:abstractNumId="16">
    <w:nsid w:val="257130A3"/>
    <w:multiLevelType w:val="hybridMultilevel"/>
    <w:lvl w:ilvl="0">
      <w:lvlJc w:val="left"/>
      <w:lvlText w:val="o"/>
      <w:numFmt w:val="bullet"/>
      <w:start w:val="1"/>
    </w:lvl>
  </w:abstractNum>
  <w:abstractNum w:abstractNumId="17">
    <w:nsid w:val="62BBD95A"/>
    <w:multiLevelType w:val="hybridMultilevel"/>
    <w:lvl w:ilvl="0">
      <w:lvlJc w:val="left"/>
      <w:lvlText w:val="o"/>
      <w:numFmt w:val="bullet"/>
      <w:start w:val="1"/>
    </w:lvl>
  </w:abstractNum>
  <w:abstractNum w:abstractNumId="18">
    <w:nsid w:val="436C6125"/>
    <w:multiLevelType w:val="hybridMultilevel"/>
    <w:lvl w:ilvl="0">
      <w:lvlJc w:val="left"/>
      <w:lvlText w:val="o"/>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o"/>
      <w:numFmt w:val="bullet"/>
      <w:start w:val="1"/>
    </w:lvl>
  </w:abstractNum>
  <w:abstractNum w:abstractNumId="21">
    <w:nsid w:val="721DA31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2019-12-14T20:33:24Z</dcterms:created>
  <dcterms:modified xsi:type="dcterms:W3CDTF">2019-12-14T20:33:24Z</dcterms:modified>
</cp:coreProperties>
</file>