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Washington, D.C. 20549</w:t>
      </w: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6-K</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Report of Foreign Private Issuer</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Rule 13a-16 or 15d-16 under</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the Securities Exchange Act of 1934</w:t>
      </w:r>
    </w:p>
    <w:p>
      <w:pPr>
        <w:spacing w:after="0" w:line="200" w:lineRule="exact"/>
        <w:rPr>
          <w:sz w:val="24"/>
          <w:szCs w:val="24"/>
          <w:color w:val="auto"/>
        </w:rPr>
      </w:pPr>
    </w:p>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 the month of</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July 2025</w:t>
      </w:r>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333-08704</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w:t>
      </w:r>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ICON plc</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(Translation of registrant's name into English)</w:t>
      </w:r>
    </w:p>
    <w:p>
      <w:pPr>
        <w:spacing w:after="0" w:line="200" w:lineRule="exact"/>
        <w:rPr>
          <w:sz w:val="24"/>
          <w:szCs w:val="24"/>
          <w:color w:val="auto"/>
        </w:rPr>
      </w:pPr>
    </w:p>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South County Business Park, Leopardstown, Dublin 18, D18 X5R3, Ireland</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pacing w:after="0" w:line="200" w:lineRule="exact"/>
        <w:rPr>
          <w:sz w:val="24"/>
          <w:szCs w:val="24"/>
          <w:color w:val="auto"/>
        </w:rPr>
      </w:pPr>
    </w:p>
    <w:p>
      <w:pPr>
        <w:spacing w:after="0" w:line="35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31" w:lineRule="exact"/>
        <w:rPr>
          <w:sz w:val="24"/>
          <w:szCs w:val="24"/>
          <w:color w:val="auto"/>
        </w:rPr>
      </w:pPr>
    </w:p>
    <w:p>
      <w:pPr>
        <w:ind w:left="3280"/>
        <w:spacing w:after="0"/>
        <w:tabs>
          <w:tab w:leader="none" w:pos="5420" w:val="left"/>
        </w:tabs>
        <w:rPr>
          <w:sz w:val="20"/>
          <w:szCs w:val="20"/>
          <w:color w:val="auto"/>
        </w:rPr>
      </w:pPr>
      <w:r>
        <w:rPr>
          <w:rFonts w:ascii="Arial" w:cs="Arial" w:eastAsia="Arial" w:hAnsi="Arial"/>
          <w:sz w:val="16"/>
          <w:szCs w:val="16"/>
          <w:color w:val="auto"/>
        </w:rPr>
        <w:t>Form 20-F___</w:t>
      </w:r>
      <w:r>
        <w:rPr>
          <w:rFonts w:ascii="Arial" w:cs="Arial" w:eastAsia="Arial" w:hAnsi="Arial"/>
          <w:sz w:val="16"/>
          <w:szCs w:val="16"/>
          <w:b w:val="1"/>
          <w:bCs w:val="1"/>
          <w:color w:val="auto"/>
        </w:rPr>
        <w:t>X</w:t>
      </w:r>
      <w:r>
        <w:rPr>
          <w:rFonts w:ascii="Arial" w:cs="Arial" w:eastAsia="Arial" w:hAnsi="Arial"/>
          <w:sz w:val="16"/>
          <w:szCs w:val="16"/>
          <w:color w:val="auto"/>
        </w:rPr>
        <w:t>___</w:t>
      </w:r>
      <w:r>
        <w:rPr>
          <w:sz w:val="20"/>
          <w:szCs w:val="20"/>
          <w:color w:val="auto"/>
        </w:rPr>
        <w:tab/>
      </w:r>
      <w:r>
        <w:rPr>
          <w:rFonts w:ascii="Arial" w:cs="Arial" w:eastAsia="Arial" w:hAnsi="Arial"/>
          <w:sz w:val="24"/>
          <w:szCs w:val="24"/>
          <w:color w:val="auto"/>
          <w:vertAlign w:val="subscript"/>
        </w:rPr>
        <w:t>Form 40-F______</w:t>
      </w:r>
    </w:p>
    <w:p>
      <w:pPr>
        <w:sectPr>
          <w:pgSz w:w="11900" w:h="16838" w:orient="portrait"/>
          <w:cols w:equalWidth="0" w:num="1">
            <w:col w:w="9019"/>
          </w:cols>
          <w:pgMar w:left="1440" w:top="1259" w:right="1440" w:bottom="1440" w:gutter="0" w:footer="0" w:header="0"/>
        </w:sectPr>
      </w:pPr>
    </w:p>
    <w:bookmarkStart w:id="1" w:name="page2"/>
    <w:bookmarkEnd w:id="1"/>
    <w:p>
      <w:pPr>
        <w:spacing w:after="0"/>
        <w:tabs>
          <w:tab w:leader="none" w:pos="5420" w:val="left"/>
        </w:tabs>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5420" w:val="left"/>
        </w:tabs>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spacing w:after="0"/>
        <w:tabs>
          <w:tab w:leader="none" w:pos="5420" w:val="left"/>
        </w:tabs>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080"/>
        <w:spacing w:after="0"/>
        <w:rPr>
          <w:sz w:val="20"/>
          <w:szCs w:val="20"/>
          <w:color w:val="auto"/>
        </w:rPr>
      </w:pPr>
      <w:r>
        <w:rPr>
          <w:rFonts w:ascii="Arial" w:cs="Arial" w:eastAsia="Arial" w:hAnsi="Arial"/>
          <w:sz w:val="16"/>
          <w:szCs w:val="16"/>
          <w:b w:val="1"/>
          <w:bCs w:val="1"/>
          <w:u w:val="single" w:color="auto"/>
          <w:color w:val="auto"/>
        </w:rPr>
        <w:t>EXHIBIT LIST</w:t>
      </w:r>
    </w:p>
    <w:p>
      <w:pPr>
        <w:spacing w:after="0" w:line="200" w:lineRule="exact"/>
        <w:rPr>
          <w:sz w:val="20"/>
          <w:szCs w:val="20"/>
          <w:color w:val="auto"/>
        </w:rPr>
      </w:pPr>
    </w:p>
    <w:p>
      <w:pPr>
        <w:spacing w:after="0" w:line="291"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u w:val="single" w:color="auto"/>
          <w:color w:val="auto"/>
        </w:rPr>
        <w:t>Exhibit</w:t>
      </w:r>
      <w:r>
        <w:rPr>
          <w:sz w:val="20"/>
          <w:szCs w:val="20"/>
          <w:color w:val="auto"/>
        </w:rPr>
        <w:tab/>
      </w:r>
      <w:r>
        <w:rPr>
          <w:rFonts w:ascii="Arial" w:cs="Arial" w:eastAsia="Arial" w:hAnsi="Arial"/>
          <w:sz w:val="16"/>
          <w:szCs w:val="16"/>
          <w:u w:val="single" w:color="auto"/>
          <w:color w:val="auto"/>
        </w:rPr>
        <w:t>Description</w:t>
      </w:r>
    </w:p>
    <w:p>
      <w:pPr>
        <w:spacing w:after="0" w:line="200" w:lineRule="exact"/>
        <w:rPr>
          <w:sz w:val="20"/>
          <w:szCs w:val="20"/>
          <w:color w:val="auto"/>
        </w:rPr>
      </w:pPr>
    </w:p>
    <w:p>
      <w:pPr>
        <w:spacing w:after="0" w:line="318"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u w:val="single" w:color="auto"/>
          <w:color w:val="0000FF"/>
        </w:rPr>
        <w:t>99.1</w:t>
      </w:r>
      <w:r>
        <w:rPr>
          <w:sz w:val="20"/>
          <w:szCs w:val="20"/>
          <w:color w:val="auto"/>
        </w:rPr>
        <w:tab/>
      </w:r>
      <w:r>
        <w:rPr>
          <w:rFonts w:ascii="Arial" w:cs="Arial" w:eastAsia="Arial" w:hAnsi="Arial"/>
          <w:sz w:val="16"/>
          <w:szCs w:val="16"/>
          <w:u w:val="single" w:color="auto"/>
          <w:color w:val="0000FF"/>
        </w:rPr>
        <w:t>ICON plc Press Release issued July 23, 2025 - ICON Announces Results of Annual General Meeting</w:t>
      </w:r>
    </w:p>
    <w:p>
      <w:pPr>
        <w:sectPr>
          <w:pgSz w:w="11900" w:h="16838" w:orient="portrait"/>
          <w:cols w:equalWidth="0" w:num="1">
            <w:col w:w="10119"/>
          </w:cols>
          <w:pgMar w:left="340" w:top="1440" w:right="1440" w:bottom="1440" w:gutter="0" w:footer="0" w:header="0"/>
        </w:sectPr>
      </w:pPr>
    </w:p>
    <w:bookmarkStart w:id="5" w:name="page6"/>
    <w:bookmarkEnd w:id="5"/>
    <w:p>
      <w:pPr>
        <w:spacing w:after="0"/>
        <w:tabs>
          <w:tab w:leader="none" w:pos="1560" w:val="left"/>
        </w:tabs>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SIGNATURES</w:t>
      </w:r>
    </w:p>
    <w:p>
      <w:pPr>
        <w:spacing w:after="0" w:line="248" w:lineRule="exact"/>
        <w:rPr>
          <w:sz w:val="20"/>
          <w:szCs w:val="20"/>
          <w:color w:val="auto"/>
        </w:rPr>
      </w:pPr>
    </w:p>
    <w:p>
      <w:pPr>
        <w:ind w:right="900"/>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48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ICON plc</w:t>
            </w:r>
          </w:p>
        </w:tc>
      </w:tr>
      <w:tr>
        <w:trPr>
          <w:trHeight w:val="676"/>
        </w:trPr>
        <w:tc>
          <w:tcPr>
            <w:tcW w:w="7480" w:type="dxa"/>
            <w:vAlign w:val="bottom"/>
          </w:tcPr>
          <w:p>
            <w:pPr>
              <w:spacing w:after="0"/>
              <w:rPr>
                <w:sz w:val="24"/>
                <w:szCs w:val="24"/>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Nigel Clerkin</w:t>
            </w:r>
          </w:p>
        </w:tc>
      </w:tr>
      <w:tr>
        <w:trPr>
          <w:trHeight w:val="445"/>
        </w:trPr>
        <w:tc>
          <w:tcPr>
            <w:tcW w:w="7480" w:type="dxa"/>
            <w:vAlign w:val="bottom"/>
          </w:tcPr>
          <w:p>
            <w:pPr>
              <w:spacing w:after="0"/>
              <w:rPr>
                <w:sz w:val="20"/>
                <w:szCs w:val="20"/>
                <w:color w:val="auto"/>
              </w:rPr>
            </w:pPr>
            <w:r>
              <w:rPr>
                <w:rFonts w:ascii="Arial" w:cs="Arial" w:eastAsia="Arial" w:hAnsi="Arial"/>
                <w:sz w:val="16"/>
                <w:szCs w:val="16"/>
                <w:color w:val="auto"/>
              </w:rPr>
              <w:t>Date: July 23, 2025</w:t>
            </w:r>
          </w:p>
        </w:tc>
        <w:tc>
          <w:tcPr>
            <w:tcW w:w="3740" w:type="dxa"/>
            <w:vAlign w:val="bottom"/>
          </w:tcPr>
          <w:p>
            <w:pPr>
              <w:ind w:left="20"/>
              <w:spacing w:after="0"/>
              <w:rPr>
                <w:sz w:val="20"/>
                <w:szCs w:val="20"/>
                <w:color w:val="auto"/>
              </w:rPr>
            </w:pPr>
            <w:r>
              <w:rPr>
                <w:rFonts w:ascii="Arial" w:cs="Arial" w:eastAsia="Arial" w:hAnsi="Arial"/>
                <w:sz w:val="16"/>
                <w:szCs w:val="16"/>
                <w:color w:val="auto"/>
              </w:rPr>
              <w:t>Nigel Clerkin</w:t>
            </w:r>
          </w:p>
        </w:tc>
      </w:tr>
      <w:tr>
        <w:trPr>
          <w:trHeight w:val="215"/>
        </w:trPr>
        <w:tc>
          <w:tcPr>
            <w:tcW w:w="748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240"/>
          </w:cols>
          <w:pgMar w:left="320" w:top="895"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434340</wp:posOffset>
            </wp:positionV>
            <wp:extent cx="1619885"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98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Announces Results of Annual General Meeting</w:t>
      </w:r>
    </w:p>
    <w:p>
      <w:pPr>
        <w:spacing w:after="0" w:line="306"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b w:val="1"/>
          <w:bCs w:val="1"/>
          <w:color w:val="auto"/>
        </w:rPr>
        <w:t xml:space="preserve">Dublin, Ireland, July 23, 2025 – </w:t>
      </w:r>
      <w:r>
        <w:rPr>
          <w:rFonts w:ascii="Times New Roman" w:cs="Times New Roman" w:eastAsia="Times New Roman" w:hAnsi="Times New Roman"/>
          <w:sz w:val="18"/>
          <w:szCs w:val="18"/>
          <w:color w:val="auto"/>
        </w:rPr>
        <w:t>ICON plc</w:t>
      </w:r>
      <w:r>
        <w:rPr>
          <w:rFonts w:ascii="Times New Roman" w:cs="Times New Roman" w:eastAsia="Times New Roman" w:hAnsi="Times New Roman"/>
          <w:sz w:val="18"/>
          <w:szCs w:val="18"/>
          <w:b w:val="1"/>
          <w:bCs w:val="1"/>
          <w:color w:val="auto"/>
        </w:rPr>
        <w:t xml:space="preserve"> (NASDAQ: ICLR), </w:t>
      </w:r>
      <w:r>
        <w:rPr>
          <w:rFonts w:ascii="Times New Roman" w:cs="Times New Roman" w:eastAsia="Times New Roman" w:hAnsi="Times New Roman"/>
          <w:sz w:val="18"/>
          <w:szCs w:val="18"/>
          <w:color w:val="auto"/>
        </w:rPr>
        <w:t>a world-leading clinical research organisation powered by healthcare intelligence,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that all resolutions at the Annual General Meeting of the company (AGM) held on July 22, 2025 were duly passed by shareholders. These resolutions were set out in the Notice of the AGM sent to shareholders dated June 11, 2025 and are available on the ICON plc website.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Forms of Proxy were received by ICON plc before the meeting, appointing proxies and giving them the following voting instructions:</w:t>
      </w:r>
    </w:p>
    <w:p>
      <w:pPr>
        <w:spacing w:after="0" w:line="291" w:lineRule="exact"/>
        <w:rPr>
          <w:sz w:val="20"/>
          <w:szCs w:val="20"/>
          <w:color w:val="auto"/>
        </w:rPr>
      </w:pPr>
    </w:p>
    <w:tbl>
      <w:tblPr>
        <w:tblLayout w:type="fixed"/>
        <w:tblInd w:w="130" w:type="dxa"/>
        <w:tblCellMar>
          <w:top w:w="0" w:type="dxa"/>
          <w:left w:w="0" w:type="dxa"/>
          <w:bottom w:w="0" w:type="dxa"/>
          <w:right w:w="0" w:type="dxa"/>
        </w:tblCellMar>
      </w:tblPr>
      <w:tr>
        <w:trPr>
          <w:trHeight w:val="243"/>
        </w:trPr>
        <w:tc>
          <w:tcPr>
            <w:tcW w:w="17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RESOLUTION</w:t>
            </w:r>
          </w:p>
        </w:tc>
        <w:tc>
          <w:tcPr>
            <w:tcW w:w="30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RESOLUTION</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w:t>
            </w:r>
          </w:p>
        </w:tc>
        <w:tc>
          <w:tcPr>
            <w:tcW w:w="13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VOTE FOR</w:t>
            </w:r>
          </w:p>
        </w:tc>
        <w:tc>
          <w:tcPr>
            <w:tcW w:w="1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VOTE</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VOTE</w:t>
            </w:r>
          </w:p>
        </w:tc>
        <w:tc>
          <w:tcPr>
            <w:tcW w:w="0" w:type="dxa"/>
            <w:vAlign w:val="bottom"/>
          </w:tcPr>
          <w:p>
            <w:pPr>
              <w:spacing w:after="0"/>
              <w:rPr>
                <w:sz w:val="1"/>
                <w:szCs w:val="1"/>
                <w:color w:val="auto"/>
              </w:rPr>
            </w:pPr>
          </w:p>
        </w:tc>
      </w:tr>
      <w:tr>
        <w:trPr>
          <w:trHeight w:val="129"/>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020" w:type="dxa"/>
            <w:vAlign w:val="bottom"/>
            <w:tcBorders>
              <w:right w:val="single" w:sz="8" w:color="auto"/>
            </w:tcBorders>
            <w:vMerge w:val="continue"/>
          </w:tcPr>
          <w:p>
            <w:pPr>
              <w:spacing w:after="0"/>
              <w:rPr>
                <w:sz w:val="11"/>
                <w:szCs w:val="11"/>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OF VOTES</w:t>
            </w:r>
          </w:p>
        </w:tc>
        <w:tc>
          <w:tcPr>
            <w:tcW w:w="1340" w:type="dxa"/>
            <w:vAlign w:val="bottom"/>
            <w:tcBorders>
              <w:right w:val="single" w:sz="8" w:color="auto"/>
            </w:tcBorders>
            <w:vMerge w:val="continue"/>
          </w:tcPr>
          <w:p>
            <w:pPr>
              <w:spacing w:after="0"/>
              <w:rPr>
                <w:sz w:val="11"/>
                <w:szCs w:val="11"/>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AGAINST</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WITHHELD</w:t>
            </w:r>
          </w:p>
        </w:tc>
        <w:tc>
          <w:tcPr>
            <w:tcW w:w="0" w:type="dxa"/>
            <w:vAlign w:val="bottom"/>
          </w:tcPr>
          <w:p>
            <w:pPr>
              <w:spacing w:after="0"/>
              <w:rPr>
                <w:sz w:val="1"/>
                <w:szCs w:val="1"/>
                <w:color w:val="auto"/>
              </w:rPr>
            </w:pPr>
          </w:p>
        </w:tc>
      </w:tr>
      <w:tr>
        <w:trPr>
          <w:trHeight w:val="83"/>
        </w:trPr>
        <w:tc>
          <w:tcPr>
            <w:tcW w:w="1700" w:type="dxa"/>
            <w:vAlign w:val="bottom"/>
            <w:tcBorders>
              <w:left w:val="single" w:sz="8" w:color="auto"/>
              <w:right w:val="single" w:sz="8" w:color="auto"/>
            </w:tcBorders>
            <w:vMerge w:val="continue"/>
          </w:tcPr>
          <w:p>
            <w:pPr>
              <w:spacing w:after="0"/>
              <w:rPr>
                <w:sz w:val="7"/>
                <w:szCs w:val="7"/>
                <w:color w:val="auto"/>
              </w:rPr>
            </w:pPr>
          </w:p>
        </w:tc>
        <w:tc>
          <w:tcPr>
            <w:tcW w:w="3020" w:type="dxa"/>
            <w:vAlign w:val="bottom"/>
            <w:tcBorders>
              <w:right w:val="single" w:sz="8" w:color="auto"/>
            </w:tcBorders>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700" w:type="dxa"/>
            <w:vAlign w:val="bottom"/>
            <w:tcBorders>
              <w:left w:val="single" w:sz="8" w:color="auto"/>
              <w:bottom w:val="single" w:sz="8" w:color="auto"/>
              <w:right w:val="single" w:sz="8" w:color="auto"/>
            </w:tcBorders>
          </w:tcPr>
          <w:p>
            <w:pPr>
              <w:spacing w:after="0"/>
              <w:rPr>
                <w:sz w:val="7"/>
                <w:szCs w:val="7"/>
                <w:color w:val="auto"/>
              </w:rPr>
            </w:pPr>
          </w:p>
        </w:tc>
        <w:tc>
          <w:tcPr>
            <w:tcW w:w="302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7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1.1</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To re-elect Mr. Ciaran Murray</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59,889,939</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58,573,183</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1,307,430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9,326</w:t>
            </w:r>
          </w:p>
        </w:tc>
        <w:tc>
          <w:tcPr>
            <w:tcW w:w="0" w:type="dxa"/>
            <w:vAlign w:val="bottom"/>
          </w:tcPr>
          <w:p>
            <w:pPr>
              <w:spacing w:after="0"/>
              <w:rPr>
                <w:sz w:val="1"/>
                <w:szCs w:val="1"/>
                <w:color w:val="auto"/>
              </w:rPr>
            </w:pPr>
          </w:p>
        </w:tc>
      </w:tr>
      <w:tr>
        <w:trPr>
          <w:trHeight w:val="209"/>
        </w:trPr>
        <w:tc>
          <w:tcPr>
            <w:tcW w:w="17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1.2</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To re-elect Dr. Steve Cutler</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59,889,939</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59,259,952</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619,506</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10,481</w:t>
            </w:r>
          </w:p>
        </w:tc>
        <w:tc>
          <w:tcPr>
            <w:tcW w:w="0" w:type="dxa"/>
            <w:vAlign w:val="bottom"/>
          </w:tcPr>
          <w:p>
            <w:pPr>
              <w:spacing w:after="0"/>
              <w:rPr>
                <w:sz w:val="1"/>
                <w:szCs w:val="1"/>
                <w:color w:val="auto"/>
              </w:rPr>
            </w:pPr>
          </w:p>
        </w:tc>
      </w:tr>
      <w:tr>
        <w:trPr>
          <w:trHeight w:val="209"/>
        </w:trPr>
        <w:tc>
          <w:tcPr>
            <w:tcW w:w="17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1.3</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To re-elect Mr. Rónán Murphy</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59,889,939</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58,434,915</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1,444,942</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10,082</w:t>
            </w: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1.4</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To re-elect Dr. John Climax</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59,889,939</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59,225,431</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653,519</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10,989</w:t>
            </w:r>
          </w:p>
        </w:tc>
        <w:tc>
          <w:tcPr>
            <w:tcW w:w="0" w:type="dxa"/>
            <w:vAlign w:val="bottom"/>
          </w:tcPr>
          <w:p>
            <w:pPr>
              <w:spacing w:after="0"/>
              <w:rPr>
                <w:sz w:val="1"/>
                <w:szCs w:val="1"/>
                <w:color w:val="auto"/>
              </w:rPr>
            </w:pPr>
          </w:p>
        </w:tc>
      </w:tr>
      <w:tr>
        <w:trPr>
          <w:trHeight w:val="209"/>
        </w:trPr>
        <w:tc>
          <w:tcPr>
            <w:tcW w:w="17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1.5</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To re-elect Ms. Julie O’Neill</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59,889,939</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59,342,873</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536,081</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10,985</w:t>
            </w:r>
          </w:p>
        </w:tc>
        <w:tc>
          <w:tcPr>
            <w:tcW w:w="0" w:type="dxa"/>
            <w:vAlign w:val="bottom"/>
          </w:tcPr>
          <w:p>
            <w:pPr>
              <w:spacing w:after="0"/>
              <w:rPr>
                <w:sz w:val="1"/>
                <w:szCs w:val="1"/>
                <w:color w:val="auto"/>
              </w:rPr>
            </w:pPr>
          </w:p>
        </w:tc>
      </w:tr>
      <w:tr>
        <w:trPr>
          <w:trHeight w:val="209"/>
        </w:trPr>
        <w:tc>
          <w:tcPr>
            <w:tcW w:w="17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1.6</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To re-elect Mr. Eugene McCague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59,889,939</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59,261,955</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614,569</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13,415</w:t>
            </w: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1.7</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To re-elect Dr. Linda Grais</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59,889,939</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58,644,816</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1,234,062</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11,061</w:t>
            </w:r>
          </w:p>
        </w:tc>
        <w:tc>
          <w:tcPr>
            <w:tcW w:w="0" w:type="dxa"/>
            <w:vAlign w:val="bottom"/>
          </w:tcPr>
          <w:p>
            <w:pPr>
              <w:spacing w:after="0"/>
              <w:rPr>
                <w:sz w:val="1"/>
                <w:szCs w:val="1"/>
                <w:color w:val="auto"/>
              </w:rPr>
            </w:pPr>
          </w:p>
        </w:tc>
      </w:tr>
      <w:tr>
        <w:trPr>
          <w:trHeight w:val="209"/>
        </w:trPr>
        <w:tc>
          <w:tcPr>
            <w:tcW w:w="17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1.8</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To re-elect Ms. Anne Whitaker</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59,889,939</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59,540,334</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338,444</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11,161</w:t>
            </w:r>
          </w:p>
        </w:tc>
        <w:tc>
          <w:tcPr>
            <w:tcW w:w="0" w:type="dxa"/>
            <w:vAlign w:val="bottom"/>
          </w:tcPr>
          <w:p>
            <w:pPr>
              <w:spacing w:after="0"/>
              <w:rPr>
                <w:sz w:val="1"/>
                <w:szCs w:val="1"/>
                <w:color w:val="auto"/>
              </w:rPr>
            </w:pPr>
          </w:p>
        </w:tc>
      </w:tr>
      <w:tr>
        <w:trPr>
          <w:trHeight w:val="157"/>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w:t>
            </w:r>
          </w:p>
        </w:tc>
        <w:tc>
          <w:tcPr>
            <w:tcW w:w="30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To review the Company’s affairs and</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59,889,939</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59,572,121</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248,388</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69,430</w:t>
            </w:r>
          </w:p>
        </w:tc>
        <w:tc>
          <w:tcPr>
            <w:tcW w:w="0" w:type="dxa"/>
            <w:vAlign w:val="bottom"/>
          </w:tcPr>
          <w:p>
            <w:pPr>
              <w:spacing w:after="0"/>
              <w:rPr>
                <w:sz w:val="1"/>
                <w:szCs w:val="1"/>
                <w:color w:val="auto"/>
              </w:rPr>
            </w:pPr>
          </w:p>
        </w:tc>
      </w:tr>
      <w:tr>
        <w:trPr>
          <w:trHeight w:val="129"/>
        </w:trPr>
        <w:tc>
          <w:tcPr>
            <w:tcW w:w="1700" w:type="dxa"/>
            <w:vAlign w:val="bottom"/>
            <w:tcBorders>
              <w:left w:val="single" w:sz="8" w:color="auto"/>
              <w:right w:val="single" w:sz="8" w:color="auto"/>
            </w:tcBorders>
            <w:vMerge w:val="continue"/>
          </w:tcPr>
          <w:p>
            <w:pPr>
              <w:spacing w:after="0"/>
              <w:rPr>
                <w:sz w:val="11"/>
                <w:szCs w:val="11"/>
                <w:color w:val="auto"/>
              </w:rPr>
            </w:pPr>
          </w:p>
        </w:tc>
        <w:tc>
          <w:tcPr>
            <w:tcW w:w="3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consider the Accounts and Reports</w:t>
            </w:r>
          </w:p>
        </w:tc>
        <w:tc>
          <w:tcPr>
            <w:tcW w:w="1460" w:type="dxa"/>
            <w:vAlign w:val="bottom"/>
            <w:tcBorders>
              <w:right w:val="single" w:sz="8" w:color="auto"/>
            </w:tcBorders>
            <w:vMerge w:val="continue"/>
          </w:tcPr>
          <w:p>
            <w:pPr>
              <w:spacing w:after="0"/>
              <w:rPr>
                <w:sz w:val="11"/>
                <w:szCs w:val="11"/>
                <w:color w:val="auto"/>
              </w:rPr>
            </w:pPr>
          </w:p>
        </w:tc>
        <w:tc>
          <w:tcPr>
            <w:tcW w:w="1340" w:type="dxa"/>
            <w:vAlign w:val="bottom"/>
            <w:tcBorders>
              <w:right w:val="single" w:sz="8" w:color="auto"/>
            </w:tcBorders>
            <w:vMerge w:val="continue"/>
          </w:tcPr>
          <w:p>
            <w:pPr>
              <w:spacing w:after="0"/>
              <w:rPr>
                <w:sz w:val="11"/>
                <w:szCs w:val="11"/>
                <w:color w:val="auto"/>
              </w:rPr>
            </w:pPr>
          </w:p>
        </w:tc>
        <w:tc>
          <w:tcPr>
            <w:tcW w:w="1200" w:type="dxa"/>
            <w:vAlign w:val="bottom"/>
            <w:tcBorders>
              <w:right w:val="single" w:sz="8" w:color="auto"/>
            </w:tcBorders>
            <w:vMerge w:val="continue"/>
          </w:tcPr>
          <w:p>
            <w:pPr>
              <w:spacing w:after="0"/>
              <w:rPr>
                <w:sz w:val="11"/>
                <w:szCs w:val="11"/>
                <w:color w:val="auto"/>
              </w:rPr>
            </w:pPr>
          </w:p>
        </w:tc>
        <w:tc>
          <w:tcPr>
            <w:tcW w:w="13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700" w:type="dxa"/>
            <w:vAlign w:val="bottom"/>
            <w:tcBorders>
              <w:left w:val="single" w:sz="8" w:color="auto"/>
              <w:bottom w:val="single" w:sz="8" w:color="auto"/>
              <w:right w:val="single" w:sz="8" w:color="auto"/>
            </w:tcBorders>
          </w:tcPr>
          <w:p>
            <w:pPr>
              <w:spacing w:after="0"/>
              <w:rPr>
                <w:sz w:val="7"/>
                <w:szCs w:val="7"/>
                <w:color w:val="auto"/>
              </w:rPr>
            </w:pPr>
          </w:p>
        </w:tc>
        <w:tc>
          <w:tcPr>
            <w:tcW w:w="3020" w:type="dxa"/>
            <w:vAlign w:val="bottom"/>
            <w:tcBorders>
              <w:bottom w:val="single" w:sz="8" w:color="auto"/>
              <w:right w:val="single" w:sz="8" w:color="auto"/>
            </w:tcBorders>
            <w:vMerge w:val="continue"/>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1700" w:type="dxa"/>
            <w:vAlign w:val="bottom"/>
            <w:tcBorders>
              <w:left w:val="single" w:sz="8" w:color="auto"/>
              <w:right w:val="single" w:sz="8" w:color="auto"/>
            </w:tcBorders>
          </w:tcPr>
          <w:p>
            <w:pPr>
              <w:spacing w:after="0"/>
              <w:rPr>
                <w:sz w:val="13"/>
                <w:szCs w:val="13"/>
                <w:color w:val="auto"/>
              </w:rPr>
            </w:pPr>
          </w:p>
        </w:tc>
        <w:tc>
          <w:tcPr>
            <w:tcW w:w="30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To ratify the appointment of EY as the</w:t>
            </w:r>
          </w:p>
        </w:tc>
        <w:tc>
          <w:tcPr>
            <w:tcW w:w="14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w:t>
            </w:r>
          </w:p>
        </w:tc>
        <w:tc>
          <w:tcPr>
            <w:tcW w:w="30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Auditors of the Company and to authorise</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59,889,939</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58,828,444</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1,052,792</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8,703</w:t>
            </w:r>
          </w:p>
        </w:tc>
        <w:tc>
          <w:tcPr>
            <w:tcW w:w="0" w:type="dxa"/>
            <w:vAlign w:val="bottom"/>
          </w:tcPr>
          <w:p>
            <w:pPr>
              <w:spacing w:after="0"/>
              <w:rPr>
                <w:sz w:val="1"/>
                <w:szCs w:val="1"/>
                <w:color w:val="auto"/>
              </w:rPr>
            </w:pPr>
          </w:p>
        </w:tc>
      </w:tr>
      <w:tr>
        <w:trPr>
          <w:trHeight w:val="162"/>
        </w:trPr>
        <w:tc>
          <w:tcPr>
            <w:tcW w:w="1700" w:type="dxa"/>
            <w:vAlign w:val="bottom"/>
            <w:tcBorders>
              <w:left w:val="single" w:sz="8" w:color="auto"/>
              <w:right w:val="single" w:sz="8" w:color="auto"/>
            </w:tcBorders>
            <w:vMerge w:val="continue"/>
          </w:tcPr>
          <w:p>
            <w:pPr>
              <w:spacing w:after="0"/>
              <w:rPr>
                <w:sz w:val="14"/>
                <w:szCs w:val="14"/>
                <w:color w:val="auto"/>
              </w:rPr>
            </w:pPr>
          </w:p>
        </w:tc>
        <w:tc>
          <w:tcPr>
            <w:tcW w:w="30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the Board, acting through its Audit</w:t>
            </w:r>
          </w:p>
        </w:tc>
        <w:tc>
          <w:tcPr>
            <w:tcW w:w="1460" w:type="dxa"/>
            <w:vAlign w:val="bottom"/>
            <w:tcBorders>
              <w:right w:val="single" w:sz="8" w:color="auto"/>
            </w:tcBorders>
            <w:vMerge w:val="continue"/>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1200" w:type="dxa"/>
            <w:vAlign w:val="bottom"/>
            <w:tcBorders>
              <w:right w:val="single" w:sz="8" w:color="auto"/>
            </w:tcBorders>
            <w:vMerge w:val="continue"/>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Borders>
              <w:left w:val="single" w:sz="8" w:color="auto"/>
              <w:right w:val="single" w:sz="8" w:color="auto"/>
            </w:tcBorders>
          </w:tcPr>
          <w:p>
            <w:pPr>
              <w:spacing w:after="0"/>
              <w:rPr>
                <w:sz w:val="14"/>
                <w:szCs w:val="14"/>
                <w:color w:val="auto"/>
              </w:rPr>
            </w:pPr>
          </w:p>
        </w:tc>
        <w:tc>
          <w:tcPr>
            <w:tcW w:w="30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Committee, to fix the Auditors’</w:t>
            </w:r>
          </w:p>
        </w:tc>
        <w:tc>
          <w:tcPr>
            <w:tcW w:w="146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Remuneration</w:t>
            </w:r>
          </w:p>
        </w:tc>
        <w:tc>
          <w:tcPr>
            <w:tcW w:w="14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7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4</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To authorise the Company to allot shares</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59,889,939</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58,121,368</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1,758,940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9,631</w:t>
            </w: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To disapply the statutory pre-emption rights</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59,889,939</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58,763,717</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1,112,056</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14,166</w:t>
            </w:r>
          </w:p>
        </w:tc>
        <w:tc>
          <w:tcPr>
            <w:tcW w:w="0" w:type="dxa"/>
            <w:vAlign w:val="bottom"/>
          </w:tcPr>
          <w:p>
            <w:pPr>
              <w:spacing w:after="0"/>
              <w:rPr>
                <w:sz w:val="1"/>
                <w:szCs w:val="1"/>
                <w:color w:val="auto"/>
              </w:rPr>
            </w:pPr>
          </w:p>
        </w:tc>
      </w:tr>
      <w:tr>
        <w:trPr>
          <w:trHeight w:val="157"/>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6**</w:t>
            </w:r>
          </w:p>
        </w:tc>
        <w:tc>
          <w:tcPr>
            <w:tcW w:w="30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To disapply the statutory pre-emption rights</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59,889,939</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57,957,914</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1,919,567</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12,458</w:t>
            </w:r>
          </w:p>
        </w:tc>
        <w:tc>
          <w:tcPr>
            <w:tcW w:w="0" w:type="dxa"/>
            <w:vAlign w:val="bottom"/>
          </w:tcPr>
          <w:p>
            <w:pPr>
              <w:spacing w:after="0"/>
              <w:rPr>
                <w:sz w:val="1"/>
                <w:szCs w:val="1"/>
                <w:color w:val="auto"/>
              </w:rPr>
            </w:pPr>
          </w:p>
        </w:tc>
      </w:tr>
      <w:tr>
        <w:trPr>
          <w:trHeight w:val="162"/>
        </w:trPr>
        <w:tc>
          <w:tcPr>
            <w:tcW w:w="1700" w:type="dxa"/>
            <w:vAlign w:val="bottom"/>
            <w:tcBorders>
              <w:left w:val="single" w:sz="8" w:color="auto"/>
              <w:right w:val="single" w:sz="8" w:color="auto"/>
            </w:tcBorders>
            <w:vMerge w:val="continue"/>
          </w:tcPr>
          <w:p>
            <w:pPr>
              <w:spacing w:after="0"/>
              <w:rPr>
                <w:sz w:val="14"/>
                <w:szCs w:val="14"/>
                <w:color w:val="auto"/>
              </w:rPr>
            </w:pPr>
          </w:p>
        </w:tc>
        <w:tc>
          <w:tcPr>
            <w:tcW w:w="30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for funding capital investment or</w:t>
            </w:r>
          </w:p>
        </w:tc>
        <w:tc>
          <w:tcPr>
            <w:tcW w:w="1460" w:type="dxa"/>
            <w:vAlign w:val="bottom"/>
            <w:tcBorders>
              <w:right w:val="single" w:sz="8" w:color="auto"/>
            </w:tcBorders>
            <w:vMerge w:val="continue"/>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1200" w:type="dxa"/>
            <w:vAlign w:val="bottom"/>
            <w:tcBorders>
              <w:right w:val="single" w:sz="8" w:color="auto"/>
            </w:tcBorders>
            <w:vMerge w:val="continue"/>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acquisitions</w:t>
            </w:r>
          </w:p>
        </w:tc>
        <w:tc>
          <w:tcPr>
            <w:tcW w:w="14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4" w:right="339" w:bottom="1440" w:gutter="0" w:footer="0" w:header="0"/>
        </w:sectPr>
      </w:pPr>
    </w:p>
    <w:bookmarkStart w:id="8" w:name="page9"/>
    <w:bookmarkEnd w:id="8"/>
    <w:p>
      <w:pPr>
        <w:spacing w:after="0" w:line="1" w:lineRule="exact"/>
        <w:rPr>
          <w:sz w:val="20"/>
          <w:szCs w:val="20"/>
          <w:color w:val="auto"/>
        </w:rPr>
      </w:pPr>
    </w:p>
    <w:tbl>
      <w:tblPr>
        <w:tblLayout w:type="fixed"/>
        <w:tblInd w:w="130" w:type="dxa"/>
        <w:tblCellMar>
          <w:top w:w="0" w:type="dxa"/>
          <w:left w:w="0" w:type="dxa"/>
          <w:bottom w:w="0" w:type="dxa"/>
          <w:right w:w="0" w:type="dxa"/>
        </w:tblCellMar>
      </w:tblPr>
      <w:tr>
        <w:trPr>
          <w:trHeight w:val="176"/>
        </w:trPr>
        <w:tc>
          <w:tcPr>
            <w:tcW w:w="1700" w:type="dxa"/>
            <w:vAlign w:val="bottom"/>
            <w:tcBorders>
              <w:top w:val="single" w:sz="8" w:color="auto"/>
              <w:left w:val="single" w:sz="8" w:color="auto"/>
              <w:right w:val="single" w:sz="8" w:color="auto"/>
            </w:tcBorders>
            <w:vMerge w:val="restart"/>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7</w:t>
            </w:r>
          </w:p>
        </w:tc>
        <w:tc>
          <w:tcPr>
            <w:tcW w:w="3020" w:type="dxa"/>
            <w:vAlign w:val="bottom"/>
            <w:tcBorders>
              <w:top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To authorise the Company and any</w:t>
            </w:r>
          </w:p>
        </w:tc>
        <w:tc>
          <w:tcPr>
            <w:tcW w:w="1460" w:type="dxa"/>
            <w:vAlign w:val="bottom"/>
            <w:tcBorders>
              <w:top w:val="single" w:sz="8" w:color="auto"/>
              <w:right w:val="single" w:sz="8" w:color="auto"/>
            </w:tcBorders>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rPr>
              <w:t>59,889,939</w:t>
            </w:r>
          </w:p>
        </w:tc>
        <w:tc>
          <w:tcPr>
            <w:tcW w:w="1340" w:type="dxa"/>
            <w:vAlign w:val="bottom"/>
            <w:tcBorders>
              <w:top w:val="single" w:sz="8" w:color="auto"/>
              <w:right w:val="single" w:sz="8" w:color="auto"/>
            </w:tcBorders>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59,470,630</w:t>
            </w:r>
          </w:p>
        </w:tc>
        <w:tc>
          <w:tcPr>
            <w:tcW w:w="1200" w:type="dxa"/>
            <w:vAlign w:val="bottom"/>
            <w:tcBorders>
              <w:top w:val="single" w:sz="8" w:color="auto"/>
              <w:right w:val="single" w:sz="8" w:color="auto"/>
            </w:tcBorders>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380,237</w:t>
            </w:r>
          </w:p>
        </w:tc>
        <w:tc>
          <w:tcPr>
            <w:tcW w:w="1340" w:type="dxa"/>
            <w:vAlign w:val="bottom"/>
            <w:tcBorders>
              <w:top w:val="single" w:sz="8" w:color="auto"/>
              <w:right w:val="single" w:sz="8" w:color="auto"/>
            </w:tcBorders>
            <w:vMerge w:val="restart"/>
          </w:tcPr>
          <w:p>
            <w:pPr>
              <w:jc w:val="right"/>
              <w:ind w:right="379"/>
              <w:spacing w:after="0"/>
              <w:rPr>
                <w:sz w:val="20"/>
                <w:szCs w:val="20"/>
                <w:color w:val="auto"/>
              </w:rPr>
            </w:pPr>
            <w:r>
              <w:rPr>
                <w:rFonts w:ascii="Times New Roman" w:cs="Times New Roman" w:eastAsia="Times New Roman" w:hAnsi="Times New Roman"/>
                <w:sz w:val="16"/>
                <w:szCs w:val="16"/>
                <w:color w:val="auto"/>
              </w:rPr>
              <w:t>39,072</w:t>
            </w:r>
          </w:p>
        </w:tc>
        <w:tc>
          <w:tcPr>
            <w:tcW w:w="0" w:type="dxa"/>
            <w:vAlign w:val="bottom"/>
          </w:tcPr>
          <w:p>
            <w:pPr>
              <w:spacing w:after="0"/>
              <w:rPr>
                <w:sz w:val="1"/>
                <w:szCs w:val="1"/>
                <w:color w:val="auto"/>
              </w:rPr>
            </w:pPr>
          </w:p>
        </w:tc>
      </w:tr>
      <w:tr>
        <w:trPr>
          <w:trHeight w:val="162"/>
        </w:trPr>
        <w:tc>
          <w:tcPr>
            <w:tcW w:w="1700" w:type="dxa"/>
            <w:vAlign w:val="bottom"/>
            <w:tcBorders>
              <w:left w:val="single" w:sz="8" w:color="auto"/>
              <w:right w:val="single" w:sz="8" w:color="auto"/>
            </w:tcBorders>
            <w:vMerge w:val="continue"/>
          </w:tcPr>
          <w:p>
            <w:pPr>
              <w:spacing w:after="0"/>
              <w:rPr>
                <w:sz w:val="14"/>
                <w:szCs w:val="14"/>
                <w:color w:val="auto"/>
              </w:rPr>
            </w:pPr>
          </w:p>
        </w:tc>
        <w:tc>
          <w:tcPr>
            <w:tcW w:w="30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subsidiary of the Company to make overseas</w:t>
            </w:r>
          </w:p>
        </w:tc>
        <w:tc>
          <w:tcPr>
            <w:tcW w:w="1460" w:type="dxa"/>
            <w:vAlign w:val="bottom"/>
            <w:tcBorders>
              <w:right w:val="single" w:sz="8" w:color="auto"/>
            </w:tcBorders>
            <w:vMerge w:val="continue"/>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1200" w:type="dxa"/>
            <w:vAlign w:val="bottom"/>
            <w:tcBorders>
              <w:right w:val="single" w:sz="8" w:color="auto"/>
            </w:tcBorders>
            <w:vMerge w:val="continue"/>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market purchases of shares</w:t>
            </w:r>
          </w:p>
        </w:tc>
        <w:tc>
          <w:tcPr>
            <w:tcW w:w="14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700" w:type="dxa"/>
            <w:vAlign w:val="bottom"/>
            <w:tcBorders>
              <w:left w:val="single" w:sz="8" w:color="auto"/>
              <w:right w:val="single" w:sz="8" w:color="auto"/>
            </w:tcBorders>
            <w:vMerge w:val="restart"/>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8**</w:t>
            </w:r>
          </w:p>
        </w:tc>
        <w:tc>
          <w:tcPr>
            <w:tcW w:w="30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To authorise the price range at which the</w:t>
            </w:r>
          </w:p>
        </w:tc>
        <w:tc>
          <w:tcPr>
            <w:tcW w:w="1460" w:type="dxa"/>
            <w:vAlign w:val="bottom"/>
            <w:tcBorders>
              <w:right w:val="single" w:sz="8" w:color="auto"/>
            </w:tcBorders>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rPr>
              <w:t>59,889,939</w:t>
            </w:r>
          </w:p>
        </w:tc>
        <w:tc>
          <w:tcPr>
            <w:tcW w:w="1340" w:type="dxa"/>
            <w:vAlign w:val="bottom"/>
            <w:tcBorders>
              <w:right w:val="single" w:sz="8" w:color="auto"/>
            </w:tcBorders>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59,269,086</w:t>
            </w:r>
          </w:p>
        </w:tc>
        <w:tc>
          <w:tcPr>
            <w:tcW w:w="1200" w:type="dxa"/>
            <w:vAlign w:val="bottom"/>
            <w:tcBorders>
              <w:right w:val="single" w:sz="8" w:color="auto"/>
            </w:tcBorders>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576,246</w:t>
            </w:r>
          </w:p>
        </w:tc>
        <w:tc>
          <w:tcPr>
            <w:tcW w:w="1340" w:type="dxa"/>
            <w:vAlign w:val="bottom"/>
            <w:tcBorders>
              <w:right w:val="single" w:sz="8" w:color="auto"/>
            </w:tcBorders>
            <w:vMerge w:val="restart"/>
          </w:tcPr>
          <w:p>
            <w:pPr>
              <w:jc w:val="right"/>
              <w:ind w:right="379"/>
              <w:spacing w:after="0"/>
              <w:rPr>
                <w:sz w:val="20"/>
                <w:szCs w:val="20"/>
                <w:color w:val="auto"/>
              </w:rPr>
            </w:pPr>
            <w:r>
              <w:rPr>
                <w:rFonts w:ascii="Times New Roman" w:cs="Times New Roman" w:eastAsia="Times New Roman" w:hAnsi="Times New Roman"/>
                <w:sz w:val="16"/>
                <w:szCs w:val="16"/>
                <w:color w:val="auto"/>
              </w:rPr>
              <w:t>44,607</w:t>
            </w:r>
          </w:p>
        </w:tc>
        <w:tc>
          <w:tcPr>
            <w:tcW w:w="0" w:type="dxa"/>
            <w:vAlign w:val="bottom"/>
          </w:tcPr>
          <w:p>
            <w:pPr>
              <w:spacing w:after="0"/>
              <w:rPr>
                <w:sz w:val="1"/>
                <w:szCs w:val="1"/>
                <w:color w:val="auto"/>
              </w:rPr>
            </w:pPr>
          </w:p>
        </w:tc>
      </w:tr>
      <w:tr>
        <w:trPr>
          <w:trHeight w:val="162"/>
        </w:trPr>
        <w:tc>
          <w:tcPr>
            <w:tcW w:w="1700" w:type="dxa"/>
            <w:vAlign w:val="bottom"/>
            <w:tcBorders>
              <w:left w:val="single" w:sz="8" w:color="auto"/>
              <w:right w:val="single" w:sz="8" w:color="auto"/>
            </w:tcBorders>
            <w:vMerge w:val="continue"/>
          </w:tcPr>
          <w:p>
            <w:pPr>
              <w:spacing w:after="0"/>
              <w:rPr>
                <w:sz w:val="14"/>
                <w:szCs w:val="14"/>
                <w:color w:val="auto"/>
              </w:rPr>
            </w:pPr>
          </w:p>
        </w:tc>
        <w:tc>
          <w:tcPr>
            <w:tcW w:w="30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Company can reissue shares that it holds as</w:t>
            </w:r>
          </w:p>
        </w:tc>
        <w:tc>
          <w:tcPr>
            <w:tcW w:w="1460" w:type="dxa"/>
            <w:vAlign w:val="bottom"/>
            <w:tcBorders>
              <w:right w:val="single" w:sz="8" w:color="auto"/>
            </w:tcBorders>
            <w:vMerge w:val="continue"/>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1200" w:type="dxa"/>
            <w:vAlign w:val="bottom"/>
            <w:tcBorders>
              <w:right w:val="single" w:sz="8" w:color="auto"/>
            </w:tcBorders>
            <w:vMerge w:val="continue"/>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treasury shares</w:t>
            </w:r>
          </w:p>
        </w:tc>
        <w:tc>
          <w:tcPr>
            <w:tcW w:w="14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Special Resolution. All resolutions are ordinary resolutions unless otherwise stated.</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ICON plc</w:t>
      </w:r>
    </w:p>
    <w:p>
      <w:pPr>
        <w:spacing w:after="0" w:line="283"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auto"/>
        </w:rPr>
        <w:t>ICON plc is a world-leading clinical research organisation powered by healthcare intelligence.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39,900 employees in 95 locations in 55 countries as at June 30, 2025. For further information about ICON, visit: www.iconplc.com.</w:t>
      </w:r>
    </w:p>
    <w:p>
      <w:pPr>
        <w:spacing w:after="0" w:line="212"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ICON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Investor Relations +1 888 381 7923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Nigel Clerkin Chief Financial Officer +353 1 291 2000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Kate Haven Vice President Investor Relations +1 888 381 7923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at ICON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ICON/ICLR-F</w:t>
      </w:r>
    </w:p>
    <w:sectPr>
      <w:pgSz w:w="11900" w:h="16838" w:orient="portrait"/>
      <w:cols w:equalWidth="0" w:num="1">
        <w:col w:w="11240"/>
      </w:cols>
      <w:pgMar w:left="320" w:top="10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2025-07-23T15:42:02Z</dcterms:created>
  <dcterms:modified xsi:type="dcterms:W3CDTF">2025-07-23T15:42:02Z</dcterms:modified>
</cp:coreProperties>
</file>