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ind w:left="44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Rule 13a-16 under</w:t>
      </w:r>
    </w:p>
    <w:p>
      <w:pPr>
        <w:ind w:left="42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3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July 24, 2024 - ICON Reports Second Quarter 2024 Results</w:t>
      </w:r>
    </w:p>
    <w:p>
      <w:pPr>
        <w:sectPr>
          <w:pgSz w:w="11900" w:h="16838" w:orient="portrait"/>
          <w:cols w:equalWidth="0" w:num="1">
            <w:col w:w="10119"/>
          </w:cols>
          <w:pgMar w:left="340" w:top="14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176"/>
        </w:trPr>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Date: July 24, 2024</w:t>
            </w: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457200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Reports Second Quarter 2024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right="1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business wins in the quarter of $2,579 million, an increase of 6.6% on quarter two 2023. Reflects a net book to bill in the quarter of 1.22, and a trailing twelve month net book to bill of 1.24.</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backlog of $23.8 billion, an increase of 2.0% on quarter one 2024 and 9.9% on quarter two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two revenue of $2,120.2 million representing an increase of 4.9% on prior year revenue and 5.3% on a constant currency basis.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two adjusted EBITDA of $450.4 million or 21.2% of revenue, an increase of 8.7% on quarter two 2023.</w:t>
      </w:r>
    </w:p>
    <w:p>
      <w:pPr>
        <w:spacing w:after="0" w:line="225"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of $146.9 million or $1.76 per diluted share, an increase of 25.7% on quarter two 2023 diluted earnings per share.</w:t>
      </w:r>
    </w:p>
    <w:p>
      <w:pPr>
        <w:spacing w:after="0" w:line="19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two adjusted net income was $312.6 million or $3.75 per diluted share, an increase of 20.6% on quarter two 2023 adjusted diluted earnings per share.</w:t>
      </w:r>
    </w:p>
    <w:p>
      <w:pPr>
        <w:spacing w:after="0" w:line="18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refinance of $2 billion Term Loan Bond with Investment Grade bond in May 2024. Secures net interest savings of c$110 million for 2024. Net debt balance of $2.9 billion at June 30, 2024 with net debt to adjusted EBITDA ratio of 1.7x.</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full-year 2024 financial revenue guidance in the range of $8,450 - $8,550 million, representing a year over year increase of 4.1% to 5.3%. Updating full-year 2024 adjusted earnings per share* guidance in the range of $15.00 - $15.20, representing a year over year increase of 17.3% to 18.8%. Adjusted earnings per share to exclude amortization, stock compensation, restructuring, foreign exchange and transaction-related / integrated-related adjustments.</w:t>
      </w:r>
    </w:p>
    <w:p>
      <w:pPr>
        <w:spacing w:after="0" w:line="200" w:lineRule="exact"/>
        <w:rPr>
          <w:sz w:val="20"/>
          <w:szCs w:val="20"/>
          <w:color w:val="auto"/>
        </w:rPr>
      </w:pPr>
    </w:p>
    <w:p>
      <w:pPr>
        <w:spacing w:after="0" w:line="2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Dublin, Ireland, July 24, 2024 – ICON plc (NASDAQ: ICLR), a world-leading healthcare intelligence and clinical research organization, today reported its financial results for the second quarter ended June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CEO, Dr. Steve Cutler commented, </w:t>
      </w:r>
      <w:r>
        <w:rPr>
          <w:rFonts w:ascii="Times New Roman" w:cs="Times New Roman" w:eastAsia="Times New Roman" w:hAnsi="Times New Roman"/>
          <w:sz w:val="18"/>
          <w:szCs w:val="18"/>
          <w:i w:val="1"/>
          <w:iCs w:val="1"/>
          <w:color w:val="auto"/>
        </w:rPr>
        <w:t>“ICON delivered positive results in the second quarter, with revenue growth of 5.3% on a constant currency basis year</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over year, coupled with continued momentum in bookings performance, as backlog increased 10% over quarter two 2023. Adjusted earnings per share grew an impressive 21% year over year, driven by strong margin delivery in addition to the benefits realized from our debt refinancing. Importantly, we continue to make progress in winning new strategic customer partnerships and are delighted to announce the award of a new full service partnership with a prominent top 30 pharma customer in quarter two.</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are updating our full-year financial revenue guidance range for 2024 to account for the impact of the strengthening US dollar, as well as delayed trial starts related to next-generation COVID vaccine work. We now expect full year revenue to be in the range of $8,450 - $8,550 million, representing growth of circa 5% year over year at the midpoint of the range. We continue to drive better than expected margin performance through efficient delivery of our services and further leveraging our global business services model, and thus are increasing our full year adjusted earnings per share guidance to $15.00 – $15.20, representing high-teens growth on a year over year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Results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business wins in the second quarter were $3,072 million and cancellations were $493 million. This resulted in net business wins of $2,579 million and a book to bill of 1.22.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second quarter was $2,120.2 million. This represents an increase of 4.9% on prior year revenue or 5.3% on a constant currency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was $146.9 million resulting in $1.76 diluted earnings per share in quarter two 2024 compared to $1.40 diluted earnings per share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quarter two 2023. Adjusted net income for the quarter was $312.6 million resulting in an adjusted diluted earnings per share of $3.75 compared to $3.11 per share for the second quarter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second quarter was $450.4 million or 21.2% of revenue, a year-on-year increase of 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on adjusted net income in quarter two 2024 was 16.5%.</w:t>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Cash generated from operating activities for the quarter was $218.6 million. During the quarter $36.3 million was spent on capital expenditure. At June 30,</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2024, the Group had cash and cash equivalents of $506.6 million, compared to cash and cash equivalents of $396.1 million at March 31, 2024 and $270.2 million at June 30, 2023. During the quarter $2.0 billion of cash from the successful Investment Grade bond issue was used to repay $2,014.9 million of Term Loan B. Additionally, $143.0 million of the revolving credit facility was drawn down in the quarter and $193.0 million was repaid. This resulted in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indebtedness of $2.9 billion at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2024 Results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business wins year to date were $6,185 million and cancellations were $953 million. This resulted in net business wins of $5,232 million and a book to bill of 1.24.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revenue was $4,210.5 million. This represents a year on year increase of 5.3% or 5.4% on a constant currency basis.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GAAP net income attributable to the Group year to date was $334.3 million resulting in $4.02 diluted earnings per share. Adjusted net income attributable to the Group was $601.1 million resulting in an adjusted diluted earnings per share of $7.22 compared to $6.01 per share for the equivalent prior year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year to date was $894.4 million or 21.2% of revenue, a year on year increase of 10.0%.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21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ICON will hold a conference call on July 25, 2024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http://www.sec.gov.</w:t>
      </w:r>
    </w:p>
    <w:p>
      <w:pPr>
        <w:spacing w:after="0" w:line="192" w:lineRule="exact"/>
        <w:rPr>
          <w:sz w:val="20"/>
          <w:szCs w:val="20"/>
          <w:color w:val="auto"/>
        </w:rPr>
      </w:pPr>
    </w:p>
    <w:p>
      <w:pPr>
        <w:jc w:val="both"/>
        <w:ind w:firstLine="8"/>
        <w:spacing w:after="0" w:line="250"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full-year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41,100 employees in 97 locations in 55 countries as at June 30, 2024. For further information about ICON, visit: www.iconplc.com.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37" w:lineRule="auto"/>
        <w:rPr>
          <w:sz w:val="20"/>
          <w:szCs w:val="20"/>
          <w:color w:val="auto"/>
        </w:rPr>
      </w:pPr>
      <w:r>
        <w:rPr>
          <w:rFonts w:ascii="Times New Roman" w:cs="Times New Roman" w:eastAsia="Times New Roman" w:hAnsi="Times New Roman"/>
          <w:sz w:val="18"/>
          <w:szCs w:val="18"/>
          <w:color w:val="auto"/>
        </w:rPr>
        <w:t>Contact: Investor Relations +1 888 381 7923 or</w:t>
      </w:r>
    </w:p>
    <w:p>
      <w:pPr>
        <w:spacing w:after="0" w:line="219" w:lineRule="auto"/>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35" w:lineRule="auto"/>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34" w:lineRule="auto"/>
        <w:rPr>
          <w:sz w:val="20"/>
          <w:szCs w:val="20"/>
          <w:color w:val="auto"/>
        </w:rPr>
      </w:pPr>
      <w:r>
        <w:rPr>
          <w:rFonts w:ascii="Times New Roman" w:cs="Times New Roman" w:eastAsia="Times New Roman" w:hAnsi="Times New Roman"/>
          <w:sz w:val="18"/>
          <w:szCs w:val="18"/>
          <w:color w:val="auto"/>
        </w:rPr>
        <w:t>All at ICON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p>
      <w:pPr>
        <w:sectPr>
          <w:pgSz w:w="11900" w:h="16838" w:orient="portrait"/>
          <w:cols w:equalWidth="0" w:num="1">
            <w:col w:w="11240"/>
          </w:cols>
          <w:pgMar w:left="320" w:top="999" w:right="339" w:bottom="1440" w:gutter="0" w:footer="0" w:header="0"/>
        </w:sectPr>
      </w:pPr>
    </w:p>
    <w:bookmarkStart w:id="5" w:name="page6"/>
    <w:bookmarkEnd w:id="5"/>
    <w:p>
      <w:pPr>
        <w:ind w:left="5220"/>
        <w:spacing w:after="0"/>
        <w:rPr>
          <w:sz w:val="20"/>
          <w:szCs w:val="20"/>
          <w:color w:val="auto"/>
        </w:rPr>
      </w:pPr>
      <w:r>
        <w:rPr>
          <w:rFonts w:ascii="Arial" w:cs="Arial" w:eastAsia="Arial" w:hAnsi="Arial"/>
          <w:sz w:val="16"/>
          <w:szCs w:val="16"/>
          <w:b w:val="1"/>
          <w:bCs w:val="1"/>
          <w:color w:val="auto"/>
        </w:rPr>
        <w:t>I</w:t>
      </w:r>
      <w:r>
        <w:rPr>
          <w:rFonts w:ascii="Times New Roman" w:cs="Times New Roman" w:eastAsia="Times New Roman" w:hAnsi="Times New Roman"/>
          <w:sz w:val="16"/>
          <w:szCs w:val="16"/>
          <w:b w:val="1"/>
          <w:bCs w:val="1"/>
          <w:color w:val="auto"/>
        </w:rPr>
        <w:t>CON plc</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19"/>
        <w:spacing w:after="0" w:line="228" w:lineRule="auto"/>
        <w:rPr>
          <w:sz w:val="20"/>
          <w:szCs w:val="20"/>
          <w:color w:val="auto"/>
        </w:rPr>
      </w:pPr>
      <w:r>
        <w:rPr>
          <w:rFonts w:ascii="Times New Roman" w:cs="Times New Roman" w:eastAsia="Times New Roman" w:hAnsi="Times New Roman"/>
          <w:sz w:val="16"/>
          <w:szCs w:val="16"/>
          <w:b w:val="1"/>
          <w:bCs w:val="1"/>
          <w:color w:val="auto"/>
        </w:rPr>
        <w:t>FOR THE THREE AND SIX MONTHS ENDED JUNE 30, 2024 AND JUNE 30,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19"/>
                <w:szCs w:val="19"/>
                <w:color w:val="auto"/>
              </w:rPr>
            </w:pPr>
          </w:p>
        </w:tc>
      </w:tr>
      <w:tr>
        <w:trPr>
          <w:trHeight w:val="189"/>
        </w:trPr>
        <w:tc>
          <w:tcPr>
            <w:tcW w:w="3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16"/>
                <w:szCs w:val="16"/>
                <w:color w:val="auto"/>
              </w:rPr>
            </w:pPr>
          </w:p>
        </w:tc>
        <w:tc>
          <w:tcPr>
            <w:tcW w:w="1320" w:type="dxa"/>
            <w:vAlign w:val="bottom"/>
          </w:tcPr>
          <w:p>
            <w:pPr>
              <w:ind w:left="620"/>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29"/>
        </w:trPr>
        <w:tc>
          <w:tcPr>
            <w:tcW w:w="3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3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2,120,159</w:t>
            </w: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2,020,251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4,210,545</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3,998,829</w:t>
            </w:r>
          </w:p>
        </w:tc>
      </w:tr>
      <w:tr>
        <w:trPr>
          <w:trHeight w:val="49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3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Direct costs (excluding depreciation and</w:t>
            </w: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1,493,600</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1,429,540</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2,964,967</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2,825,086</w:t>
            </w: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194,458</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187,806</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371,808</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387,812</w:t>
            </w: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149,635</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145,059</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298,816</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290,185</w:t>
            </w:r>
          </w:p>
        </w:tc>
      </w:tr>
      <w:tr>
        <w:trPr>
          <w:trHeight w:val="23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6,820</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13,811</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35,661</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23"/>
        </w:trPr>
        <w:tc>
          <w:tcPr>
            <w:tcW w:w="3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1,890,302</w:t>
            </w:r>
          </w:p>
        </w:tc>
        <w:tc>
          <w:tcPr>
            <w:tcW w:w="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1,810,767</w:t>
            </w:r>
          </w:p>
        </w:tc>
        <w:tc>
          <w:tcPr>
            <w:tcW w:w="5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3,695,191</w:t>
            </w: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3,572,556</w:t>
            </w:r>
          </w:p>
        </w:tc>
      </w:tr>
      <w:tr>
        <w:trPr>
          <w:trHeight w:val="47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229,857</w:t>
            </w:r>
          </w:p>
        </w:tc>
        <w:tc>
          <w:tcPr>
            <w:tcW w:w="9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209,484</w:t>
            </w:r>
          </w:p>
        </w:tc>
        <w:tc>
          <w:tcPr>
            <w:tcW w:w="56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515,354</w:t>
            </w: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426,273</w:t>
            </w:r>
          </w:p>
        </w:tc>
      </w:tr>
      <w:tr>
        <w:trPr>
          <w:trHeight w:val="22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3,167</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(60,840)</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(85,206)</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(132,505)</w:t>
            </w: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(171,757)</w:t>
            </w:r>
          </w:p>
        </w:tc>
      </w:tr>
      <w:tr>
        <w:trPr>
          <w:trHeight w:val="47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4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170,254</w:t>
            </w:r>
          </w:p>
        </w:tc>
        <w:tc>
          <w:tcPr>
            <w:tcW w:w="9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125,227</w:t>
            </w:r>
          </w:p>
        </w:tc>
        <w:tc>
          <w:tcPr>
            <w:tcW w:w="56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386,016</w:t>
            </w: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256,537</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(23,902)</w:t>
            </w:r>
          </w:p>
        </w:tc>
      </w:tr>
      <w:tr>
        <w:trPr>
          <w:trHeight w:val="4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share of losses from equity</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6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146,910</w:t>
            </w:r>
          </w:p>
        </w:tc>
        <w:tc>
          <w:tcPr>
            <w:tcW w:w="9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115,598</w:t>
            </w:r>
          </w:p>
        </w:tc>
        <w:tc>
          <w:tcPr>
            <w:tcW w:w="5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334,348</w:t>
            </w: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232,635</w:t>
            </w:r>
          </w:p>
        </w:tc>
      </w:tr>
      <w:tr>
        <w:trPr>
          <w:trHeight w:val="189"/>
        </w:trPr>
        <w:tc>
          <w:tcPr>
            <w:tcW w:w="35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Share of losses from equity method</w:t>
            </w: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146,910</w:t>
            </w:r>
          </w:p>
        </w:tc>
        <w:tc>
          <w:tcPr>
            <w:tcW w:w="9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115,598</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334,348</w:t>
            </w:r>
          </w:p>
        </w:tc>
        <w:tc>
          <w:tcPr>
            <w:tcW w:w="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232,252</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6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5"/>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9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9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21"/>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5"/>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82,738,765</w:t>
            </w:r>
          </w:p>
        </w:tc>
        <w:tc>
          <w:tcPr>
            <w:tcW w:w="9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81,999,746</w:t>
            </w:r>
          </w:p>
        </w:tc>
        <w:tc>
          <w:tcPr>
            <w:tcW w:w="56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82,658,984</w:t>
            </w: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81,892,662</w:t>
            </w:r>
          </w:p>
        </w:tc>
      </w:tr>
      <w:tr>
        <w:trPr>
          <w:trHeight w:val="234"/>
        </w:trPr>
        <w:tc>
          <w:tcPr>
            <w:tcW w:w="3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83,360,841</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82,627,933</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83,260,144</w:t>
            </w: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82,617,391</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60"/>
          </w:cols>
          <w:pgMar w:left="400" w:top="1015" w:right="439" w:bottom="1440" w:gutter="0" w:footer="0" w:header="0"/>
        </w:sectPr>
      </w:pPr>
    </w:p>
    <w:bookmarkStart w:id="6" w:name="page7"/>
    <w:bookmarkEnd w:id="6"/>
    <w:p>
      <w:pPr>
        <w:ind w:left="5220"/>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AT JUNE 30, 2024 AND DECEMBER 31, 2023</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9"/>
        </w:trPr>
        <w:tc>
          <w:tcPr>
            <w:tcW w:w="6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0"/>
                <w:szCs w:val="20"/>
                <w:color w:val="auto"/>
              </w:rPr>
            </w:pP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tcPr>
          <w:p>
            <w:pPr>
              <w:spacing w:after="0"/>
              <w:rPr>
                <w:sz w:val="20"/>
                <w:szCs w:val="20"/>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506,553</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378,102</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1,569,642</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1,790,322</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1,230,948</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951,936</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78,113</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65,797</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139,244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79,216</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91,254</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3,603,716</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3,411,470</w:t>
            </w:r>
          </w:p>
        </w:tc>
      </w:tr>
      <w:tr>
        <w:trPr>
          <w:trHeight w:val="4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353,844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361,184</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9,016,549</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9,022,075</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3,632,354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3,855,865</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149,782</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140,333</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87,609</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78,470</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74,787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73,662</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Investments in equity- long term</w:t>
            </w: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50,220</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46,804</w:t>
            </w:r>
          </w:p>
        </w:tc>
      </w:tr>
      <w:tr>
        <w:trPr>
          <w:trHeight w:val="223"/>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16,968,861</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16,989,863</w:t>
            </w:r>
          </w:p>
        </w:tc>
      </w:tr>
      <w:tr>
        <w:trPr>
          <w:trHeight w:val="21"/>
        </w:trPr>
        <w:tc>
          <w:tcPr>
            <w:tcW w:w="6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7"/>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83,037</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131,584</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1,602,526</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1,654,507</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999,071</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915,399</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27,935</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bank credit lines, loan facilities and notes</w:t>
            </w: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29,762</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110,150</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2,742,331</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2,825,608</w:t>
            </w:r>
          </w:p>
        </w:tc>
      </w:tr>
      <w:tr>
        <w:trPr>
          <w:trHeight w:val="4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bank credit lines, loan facilities and notes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3,408,157</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3,665,439</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145,464</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126,321</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48,372</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45,998</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195,778</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186,654</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843,633</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899,100</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7,383,735</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7,749,120</w:t>
            </w:r>
          </w:p>
        </w:tc>
      </w:tr>
      <w:tr>
        <w:trPr>
          <w:trHeight w:val="42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 par value 6 euro cents per share; 100,000,000 shares authorized,</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82,816,600 shares issued and outstanding at June 30, 2024 and</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9"/>
        </w:trPr>
        <w:tc>
          <w:tcPr>
            <w:tcW w:w="68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82,495,086 shares issued and outstanding at December 31, 2023</w:t>
            </w:r>
          </w:p>
        </w:tc>
        <w:tc>
          <w:tcPr>
            <w:tcW w:w="1120" w:type="dxa"/>
            <w:vAlign w:val="bottom"/>
          </w:tcPr>
          <w:p>
            <w:pPr>
              <w:spacing w:after="0"/>
              <w:rPr>
                <w:sz w:val="16"/>
                <w:szCs w:val="16"/>
                <w:color w:val="auto"/>
              </w:rPr>
            </w:pPr>
          </w:p>
        </w:tc>
        <w:tc>
          <w:tcPr>
            <w:tcW w:w="13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6,720</w:t>
            </w:r>
          </w:p>
        </w:tc>
        <w:tc>
          <w:tcPr>
            <w:tcW w:w="6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6,699</w:t>
            </w:r>
          </w:p>
        </w:tc>
      </w:tr>
      <w:tr>
        <w:trPr>
          <w:trHeight w:val="270"/>
        </w:trPr>
        <w:tc>
          <w:tcPr>
            <w:tcW w:w="6800" w:type="dxa"/>
            <w:vAlign w:val="bottom"/>
          </w:tcPr>
          <w:p>
            <w:pPr>
              <w:ind w:left="34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1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6,988,736</w:t>
            </w:r>
          </w:p>
        </w:tc>
        <w:tc>
          <w:tcPr>
            <w:tcW w:w="6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6,942,669</w:t>
            </w: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1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(179,559)</w:t>
            </w:r>
          </w:p>
        </w:tc>
        <w:tc>
          <w:tcPr>
            <w:tcW w:w="6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(143,506)</w:t>
            </w:r>
          </w:p>
        </w:tc>
      </w:tr>
      <w:tr>
        <w:trPr>
          <w:trHeight w:val="234"/>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2,768,067</w:t>
            </w: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2,433,719</w:t>
            </w:r>
          </w:p>
        </w:tc>
      </w:tr>
      <w:tr>
        <w:trPr>
          <w:trHeight w:val="223"/>
        </w:trPr>
        <w:tc>
          <w:tcPr>
            <w:tcW w:w="68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9,585,126</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9,240,743</w:t>
            </w:r>
          </w:p>
        </w:tc>
      </w:tr>
      <w:tr>
        <w:trPr>
          <w:trHeight w:val="223"/>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16,968,861</w:t>
            </w:r>
          </w:p>
        </w:tc>
        <w:tc>
          <w:tcPr>
            <w:tcW w:w="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16,989,863</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40"/>
          </w:cols>
          <w:pgMar w:left="380" w:top="1015"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ICON plc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 AND JUNE 30, 2023</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16"/>
                <w:szCs w:val="16"/>
                <w:color w:val="auto"/>
              </w:rPr>
            </w:pPr>
          </w:p>
        </w:tc>
        <w:tc>
          <w:tcPr>
            <w:tcW w:w="9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8"/>
        </w:trPr>
        <w:tc>
          <w:tcPr>
            <w:tcW w:w="6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Pr>
          <w:p>
            <w:pPr>
              <w:spacing w:after="0"/>
              <w:rPr>
                <w:sz w:val="20"/>
                <w:szCs w:val="20"/>
                <w:color w:val="auto"/>
              </w:rPr>
            </w:pPr>
          </w:p>
        </w:tc>
        <w:tc>
          <w:tcPr>
            <w:tcW w:w="2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8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334,348</w:t>
            </w:r>
          </w:p>
        </w:tc>
        <w:tc>
          <w:tcPr>
            <w:tcW w:w="1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232,252</w:t>
            </w:r>
          </w:p>
        </w:tc>
        <w:tc>
          <w:tcPr>
            <w:tcW w:w="0" w:type="dxa"/>
            <w:vAlign w:val="bottom"/>
          </w:tcPr>
          <w:p>
            <w:pPr>
              <w:spacing w:after="0"/>
              <w:rPr>
                <w:sz w:val="1"/>
                <w:szCs w:val="1"/>
                <w:color w:val="auto"/>
              </w:rPr>
            </w:pPr>
          </w:p>
        </w:tc>
      </w:tr>
      <w:tr>
        <w:trPr>
          <w:trHeight w:val="441"/>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298,816</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290,185</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operating right-of-use assets and related property, plant and equipment</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12,559</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in carrying value of operating right-of-use assets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19,367</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Acquisition-related gain</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financing costs and debt discount</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20,604</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28,145</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31,357</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benefit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(61,239)</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foreign exchange movements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13,761</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12,463</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198,749</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Unbilled revenue</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(287,183)</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revenue</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(52,081)</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65,266</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net assets</w:t>
            </w: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7,356</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(161,816)</w:t>
            </w:r>
          </w:p>
        </w:tc>
        <w:tc>
          <w:tcPr>
            <w:tcW w:w="0" w:type="dxa"/>
            <w:vAlign w:val="bottom"/>
          </w:tcPr>
          <w:p>
            <w:pPr>
              <w:spacing w:after="0"/>
              <w:rPr>
                <w:sz w:val="1"/>
                <w:szCs w:val="1"/>
                <w:color w:val="auto"/>
              </w:rPr>
            </w:pPr>
          </w:p>
        </w:tc>
      </w:tr>
      <w:tr>
        <w:trPr>
          <w:trHeight w:val="228"/>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545,665</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379,381</w:t>
            </w:r>
          </w:p>
        </w:tc>
        <w:tc>
          <w:tcPr>
            <w:tcW w:w="0" w:type="dxa"/>
            <w:vAlign w:val="bottom"/>
          </w:tcPr>
          <w:p>
            <w:pPr>
              <w:spacing w:after="0"/>
              <w:rPr>
                <w:sz w:val="1"/>
                <w:szCs w:val="1"/>
                <w:color w:val="auto"/>
              </w:rPr>
            </w:pPr>
          </w:p>
        </w:tc>
      </w:tr>
      <w:tr>
        <w:trPr>
          <w:trHeight w:val="43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(63,440)</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(58,880)</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of subsidiary undertakings (net of cash acquired)</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Movement of available for sale investments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1,954</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investments in equity - long term</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Purchase of investments in equity - long term</w:t>
            </w: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28"/>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(73,565)</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(68,653)</w:t>
            </w:r>
          </w:p>
        </w:tc>
        <w:tc>
          <w:tcPr>
            <w:tcW w:w="0" w:type="dxa"/>
            <w:vAlign w:val="bottom"/>
          </w:tcPr>
          <w:p>
            <w:pPr>
              <w:spacing w:after="0"/>
              <w:rPr>
                <w:sz w:val="1"/>
                <w:szCs w:val="1"/>
                <w:color w:val="auto"/>
              </w:rPr>
            </w:pPr>
          </w:p>
        </w:tc>
      </w:tr>
      <w:tr>
        <w:trPr>
          <w:trHeight w:val="43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Notes issue costs</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Drawdown of credit lines and loan facilities</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2,192,480</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0" w:type="dxa"/>
            <w:vAlign w:val="bottom"/>
          </w:tcPr>
          <w:p>
            <w:pPr>
              <w:spacing w:after="0"/>
              <w:rPr>
                <w:sz w:val="1"/>
                <w:szCs w:val="1"/>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credit lines and loan facilities</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(2,537,882)</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0" w:type="dxa"/>
            <w:vAlign w:val="bottom"/>
          </w:tcPr>
          <w:p>
            <w:pPr>
              <w:spacing w:after="0"/>
              <w:rPr>
                <w:sz w:val="1"/>
                <w:szCs w:val="1"/>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10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21,645</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Share issue costs</w:t>
            </w: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(335,450)</w:t>
            </w:r>
          </w:p>
        </w:tc>
        <w:tc>
          <w:tcPr>
            <w:tcW w:w="10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(329,832)</w:t>
            </w:r>
          </w:p>
        </w:tc>
        <w:tc>
          <w:tcPr>
            <w:tcW w:w="0" w:type="dxa"/>
            <w:vAlign w:val="bottom"/>
          </w:tcPr>
          <w:p>
            <w:pPr>
              <w:spacing w:after="0"/>
              <w:rPr>
                <w:sz w:val="1"/>
                <w:szCs w:val="1"/>
                <w:color w:val="auto"/>
              </w:rPr>
            </w:pPr>
          </w:p>
        </w:tc>
      </w:tr>
      <w:tr>
        <w:trPr>
          <w:trHeight w:val="441"/>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0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128,451</w:t>
            </w:r>
          </w:p>
        </w:tc>
        <w:tc>
          <w:tcPr>
            <w:tcW w:w="1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378,102</w:t>
            </w:r>
          </w:p>
        </w:tc>
        <w:tc>
          <w:tcPr>
            <w:tcW w:w="10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288,768</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506,553</w:t>
            </w:r>
          </w:p>
        </w:tc>
        <w:tc>
          <w:tcPr>
            <w:tcW w:w="10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270,176</w:t>
            </w:r>
          </w:p>
        </w:tc>
        <w:tc>
          <w:tcPr>
            <w:tcW w:w="0" w:type="dxa"/>
            <w:vAlign w:val="bottom"/>
          </w:tcPr>
          <w:p>
            <w:pPr>
              <w:spacing w:after="0"/>
              <w:rPr>
                <w:sz w:val="1"/>
                <w:szCs w:val="1"/>
                <w:color w:val="auto"/>
              </w:rPr>
            </w:pPr>
          </w:p>
        </w:tc>
      </w:tr>
      <w:tr>
        <w:trPr>
          <w:trHeight w:val="21"/>
        </w:trPr>
        <w:tc>
          <w:tcPr>
            <w:tcW w:w="6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15" w:right="3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jc w:val="center"/>
              <w:ind w:left="4691"/>
              <w:spacing w:after="0"/>
              <w:rPr>
                <w:sz w:val="20"/>
                <w:szCs w:val="20"/>
                <w:color w:val="auto"/>
              </w:rPr>
            </w:pPr>
            <w:r>
              <w:rPr>
                <w:rFonts w:ascii="Times New Roman" w:cs="Times New Roman" w:eastAsia="Times New Roman" w:hAnsi="Times New Roman"/>
                <w:sz w:val="16"/>
                <w:szCs w:val="16"/>
                <w:b w:val="1"/>
                <w:bCs w:val="1"/>
                <w:color w:val="auto"/>
              </w:rPr>
              <w:t>ICON plc</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800" w:type="dxa"/>
            <w:vAlign w:val="bottom"/>
            <w:gridSpan w:val="3"/>
          </w:tcPr>
          <w:p>
            <w:pPr>
              <w:jc w:val="center"/>
              <w:ind w:left="3371"/>
              <w:spacing w:after="0"/>
              <w:rPr>
                <w:sz w:val="20"/>
                <w:szCs w:val="20"/>
                <w:color w:val="auto"/>
              </w:rPr>
            </w:pPr>
            <w:r>
              <w:rPr>
                <w:rFonts w:ascii="Times New Roman" w:cs="Times New Roman" w:eastAsia="Times New Roman" w:hAnsi="Times New Roman"/>
                <w:sz w:val="16"/>
                <w:szCs w:val="16"/>
                <w:b w:val="1"/>
                <w:bCs w:val="1"/>
                <w:color w:val="auto"/>
              </w:rPr>
              <w:t>RECONCILIATION OF NON-GAAP MEASURES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8940" w:type="dxa"/>
            <w:vAlign w:val="bottom"/>
            <w:gridSpan w:val="5"/>
          </w:tcPr>
          <w:p>
            <w:pPr>
              <w:jc w:val="center"/>
              <w:ind w:left="2231"/>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2024 AND JUNE 30, 2023</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6460" w:type="dxa"/>
            <w:vAlign w:val="bottom"/>
          </w:tcPr>
          <w:p>
            <w:pPr>
              <w:jc w:val="center"/>
              <w:ind w:left="47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7"/>
        </w:trPr>
        <w:tc>
          <w:tcPr>
            <w:tcW w:w="6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3"/>
                <w:szCs w:val="23"/>
                <w:color w:val="auto"/>
              </w:rPr>
            </w:pPr>
          </w:p>
        </w:tc>
        <w:tc>
          <w:tcPr>
            <w:tcW w:w="2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4"/>
        </w:trPr>
        <w:tc>
          <w:tcPr>
            <w:tcW w:w="6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9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9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4"/>
        </w:trPr>
        <w:tc>
          <w:tcPr>
            <w:tcW w:w="6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6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40" w:type="dxa"/>
            <w:vAlign w:val="bottom"/>
            <w:gridSpan w:val="7"/>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r>
      <w:tr>
        <w:trPr>
          <w:trHeight w:val="495"/>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334,348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232,252</w:t>
            </w:r>
          </w:p>
        </w:tc>
      </w:tr>
      <w:tr>
        <w:trPr>
          <w:trHeight w:val="229"/>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losses from equity method investments</w:t>
            </w: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23,344</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9,629</w:t>
            </w: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51,668</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w:t>
            </w:r>
          </w:p>
        </w:tc>
      </w:tr>
      <w:tr>
        <w:trPr>
          <w:trHeight w:val="29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59,603</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84,257</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129,338</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169,736</w:t>
            </w:r>
          </w:p>
        </w:tc>
      </w:tr>
      <w:tr>
        <w:trPr>
          <w:trHeight w:val="25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149,635</w:t>
            </w:r>
          </w:p>
        </w:tc>
        <w:tc>
          <w:tcPr>
            <w:tcW w:w="1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145,059</w:t>
            </w:r>
          </w:p>
        </w:tc>
        <w:tc>
          <w:tcPr>
            <w:tcW w:w="2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298,816</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290,185</w:t>
            </w:r>
          </w:p>
        </w:tc>
      </w:tr>
      <w:tr>
        <w:trPr>
          <w:trHeight w:val="360"/>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14,964</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16,598</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28,145</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31,357</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(gains)/losses, net </w:t>
            </w:r>
            <w:r>
              <w:rPr>
                <w:rFonts w:ascii="Times New Roman" w:cs="Times New Roman" w:eastAsia="Times New Roman" w:hAnsi="Times New Roman"/>
                <w:sz w:val="23"/>
                <w:szCs w:val="23"/>
                <w:color w:val="auto"/>
                <w:vertAlign w:val="superscript"/>
              </w:rPr>
              <w:t>(b)</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(g)</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35,661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88"/>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costs </w:t>
            </w:r>
            <w:r>
              <w:rPr>
                <w:rFonts w:ascii="Times New Roman" w:cs="Times New Roman" w:eastAsia="Times New Roman" w:hAnsi="Times New Roman"/>
                <w:sz w:val="23"/>
                <w:szCs w:val="23"/>
                <w:color w:val="auto"/>
                <w:vertAlign w:val="superscript"/>
              </w:rPr>
              <w:t>(d)</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13,811</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24,083</w:t>
            </w:r>
          </w:p>
        </w:tc>
      </w:tr>
      <w:tr>
        <w:trPr>
          <w:trHeight w:val="223"/>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450,405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414,246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894,441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813,369</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7"/>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net income per Ordinary Share</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334,348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232,252</w:t>
            </w:r>
          </w:p>
        </w:tc>
      </w:tr>
      <w:tr>
        <w:trPr>
          <w:trHeight w:val="230"/>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23,344</w:t>
            </w: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9,629</w:t>
            </w:r>
          </w:p>
        </w:tc>
        <w:tc>
          <w:tcPr>
            <w:tcW w:w="2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51,668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w:t>
            </w:r>
          </w:p>
        </w:tc>
      </w:tr>
      <w:tr>
        <w:trPr>
          <w:trHeight w:val="23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116,489</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114,617</w:t>
            </w:r>
          </w:p>
        </w:tc>
        <w:tc>
          <w:tcPr>
            <w:tcW w:w="2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232,987</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229,295</w:t>
            </w:r>
          </w:p>
        </w:tc>
      </w:tr>
      <w:tr>
        <w:trPr>
          <w:trHeight w:val="360"/>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14,964</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16,598</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28,145</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31,357</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(gains)/losses, net </w:t>
            </w:r>
            <w:r>
              <w:rPr>
                <w:rFonts w:ascii="Times New Roman" w:cs="Times New Roman" w:eastAsia="Times New Roman" w:hAnsi="Times New Roman"/>
                <w:sz w:val="23"/>
                <w:szCs w:val="23"/>
                <w:color w:val="auto"/>
                <w:vertAlign w:val="superscript"/>
              </w:rPr>
              <w:t>(b)</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35,661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45,789</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(g)</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costs </w:t>
            </w:r>
            <w:r>
              <w:rPr>
                <w:rFonts w:ascii="Times New Roman" w:cs="Times New Roman" w:eastAsia="Times New Roman" w:hAnsi="Times New Roman"/>
                <w:sz w:val="23"/>
                <w:szCs w:val="23"/>
                <w:color w:val="auto"/>
                <w:vertAlign w:val="superscript"/>
              </w:rPr>
              <w:t>(d)</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6,820</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13,811</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r>
      <w:tr>
        <w:trPr>
          <w:trHeight w:val="32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Transaction-related financing costs </w:t>
            </w:r>
            <w:r>
              <w:rPr>
                <w:rFonts w:ascii="Times New Roman" w:cs="Times New Roman" w:eastAsia="Times New Roman" w:hAnsi="Times New Roman"/>
                <w:sz w:val="23"/>
                <w:szCs w:val="23"/>
                <w:color w:val="auto"/>
                <w:vertAlign w:val="superscript"/>
              </w:rPr>
              <w:t>(e)</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16,697</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3,401</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20,604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w:t>
            </w:r>
          </w:p>
        </w:tc>
      </w:tr>
      <w:tr>
        <w:trPr>
          <w:trHeight w:val="288"/>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3"/>
                <w:szCs w:val="23"/>
                <w:color w:val="auto"/>
                <w:vertAlign w:val="superscript"/>
              </w:rPr>
              <w:t>(f)</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(118,780)</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(93,517)</w:t>
            </w:r>
          </w:p>
        </w:tc>
      </w:tr>
      <w:tr>
        <w:trPr>
          <w:trHeight w:val="223"/>
        </w:trPr>
        <w:tc>
          <w:tcPr>
            <w:tcW w:w="6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312,585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256,900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601,098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496,742</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2"/>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number of Ordinary Shares outstanding</w:t>
            </w: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83,360,841</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82,627,933</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83,260,144</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82,617,391</w:t>
            </w:r>
          </w:p>
        </w:tc>
      </w:tr>
      <w:tr>
        <w:trPr>
          <w:trHeight w:val="216"/>
        </w:trPr>
        <w:tc>
          <w:tcPr>
            <w:tcW w:w="6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64"/>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 Share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40"/>
        </w:trPr>
        <w:tc>
          <w:tcPr>
            <w:tcW w:w="6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20" w:top="1028" w:right="399" w:bottom="1440" w:gutter="0" w:footer="0" w:header="0"/>
        </w:sectPr>
      </w:pPr>
    </w:p>
    <w:bookmarkStart w:id="9" w:name="page10"/>
    <w:bookmarkEnd w:id="9"/>
    <w:p>
      <w:pPr>
        <w:ind w:left="660" w:hanging="328"/>
        <w:spacing w:after="0" w:line="289"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the amount of recurring expense related to the company’s equity compensation programs (inclusive of employer related taxes).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(gains)/losses, net relates to gains or losses that arise in connection with the revaluation, or settlement, of non-US dollar</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assets and liabilities. We exclude these gains and losses from adjusted EBITDA and adjusted net income because fluctuations from period- to- period do not necessarily correspond to changes in our operating results.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9"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spacing w:after="0" w:line="1" w:lineRule="exact"/>
        <w:rPr>
          <w:rFonts w:ascii="Times New Roman" w:cs="Times New Roman" w:eastAsia="Times New Roman" w:hAnsi="Times New Roman"/>
          <w:sz w:val="18"/>
          <w:szCs w:val="18"/>
          <w:color w:val="auto"/>
        </w:rPr>
      </w:pPr>
    </w:p>
    <w:p>
      <w:pPr>
        <w:ind w:left="660" w:right="360" w:hanging="328"/>
        <w:spacing w:after="0" w:line="289"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related costs include expenses associated with our acquisitions and any other costs incurred directly related to the integration of these acquisitions.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financing costs includes costs incurred in connection with changes to our long-term debt and amortization of financing fees.</w:t>
      </w:r>
    </w:p>
    <w:p>
      <w:pPr>
        <w:spacing w:after="0" w:line="49" w:lineRule="exact"/>
        <w:rPr>
          <w:rFonts w:ascii="Times New Roman" w:cs="Times New Roman" w:eastAsia="Times New Roman" w:hAnsi="Times New Roman"/>
          <w:sz w:val="18"/>
          <w:szCs w:val="18"/>
          <w:color w:val="auto"/>
        </w:rPr>
      </w:pPr>
    </w:p>
    <w:p>
      <w:pPr>
        <w:ind w:left="660"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these costs from adjusted EBITDA and adjusted net income because they result from financing decisions rather than from decisions made related to our ongoing operations.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pre-tax income at our estimated effective tax rate.</w:t>
      </w:r>
    </w:p>
    <w:p>
      <w:pPr>
        <w:spacing w:after="0" w:line="27" w:lineRule="exact"/>
        <w:rPr>
          <w:rFonts w:ascii="Times New Roman" w:cs="Times New Roman" w:eastAsia="Times New Roman" w:hAnsi="Times New Roman"/>
          <w:sz w:val="18"/>
          <w:szCs w:val="18"/>
          <w:color w:val="auto"/>
        </w:rPr>
      </w:pPr>
    </w:p>
    <w:p>
      <w:pPr>
        <w:ind w:left="660" w:right="460" w:hanging="328"/>
        <w:spacing w:after="0" w:line="224"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ectPr>
          <w:pgSz w:w="11900" w:h="16838" w:orient="portrait"/>
          <w:cols w:equalWidth="0" w:num="1">
            <w:col w:w="11180"/>
          </w:cols>
          <w:pgMar w:left="320" w:top="1269" w:right="39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Kate Haven Vice President Investor Relations +1 888 381 7923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http://www.iconplc.com</w:t>
      </w:r>
    </w:p>
    <w:sectPr>
      <w:pgSz w:w="11900" w:h="16838" w:orient="portrait"/>
      <w:cols w:equalWidth="0" w:num="2">
        <w:col w:w="640" w:space="580"/>
        <w:col w:w="9960"/>
      </w:cols>
      <w:pgMar w:left="320" w:top="126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2024-07-24T15:30:04Z</dcterms:created>
  <dcterms:modified xsi:type="dcterms:W3CDTF">2024-07-24T15:30:04Z</dcterms:modified>
</cp:coreProperties>
</file>