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For the month ended </w:t>
      </w:r>
      <w:r>
        <w:rPr>
          <w:rFonts w:ascii="Times New Roman" w:cs="Times New Roman" w:eastAsia="Times New Roman" w:hAnsi="Times New Roman"/>
          <w:sz w:val="18"/>
          <w:szCs w:val="18"/>
          <w:color w:val="auto"/>
        </w:rPr>
        <w:t>February,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ICON plc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8"/>
          <w:szCs w:val="18"/>
          <w:color w:val="auto"/>
        </w:rPr>
        <w:t>egistrant's name)</w:t>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Brendan Brennan, Chief Financial Officer</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119"/>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02" w:lineRule="exact"/>
        <w:rPr>
          <w:sz w:val="24"/>
          <w:szCs w:val="24"/>
          <w:color w:val="auto"/>
        </w:rPr>
      </w:pPr>
    </w:p>
    <w:p>
      <w:pPr>
        <w:ind w:left="4080"/>
        <w:spacing w:after="0"/>
        <w:tabs>
          <w:tab w:leader="none" w:pos="706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101(b)(1):</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101(b)(7):</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4"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color w:val="auto"/>
        </w:rPr>
        <w:t>_</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ectPr>
          <w:pgSz w:w="11900" w:h="16838" w:orient="portrait"/>
          <w:cols w:equalWidth="0" w:num="1">
            <w:col w:w="11300"/>
          </w:cols>
          <w:pgMar w:left="240" w:top="462"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Times New Roman" w:cs="Times New Roman" w:eastAsia="Times New Roman" w:hAnsi="Times New Roman"/>
          <w:sz w:val="22"/>
          <w:szCs w:val="22"/>
          <w:color w:val="auto"/>
        </w:rPr>
        <w:t>If "Yes" is marked, indicate below the file number assigned to the registrant in connection with Rule 12g3-2(b):82</w:t>
      </w:r>
      <w:r>
        <w:rPr>
          <w:sz w:val="20"/>
          <w:szCs w:val="20"/>
          <w:color w:val="auto"/>
        </w:rPr>
        <w:tab/>
      </w:r>
      <w:r>
        <w:rPr>
          <w:rFonts w:ascii="Times New Roman" w:cs="Times New Roman" w:eastAsia="Times New Roman" w:hAnsi="Times New Roman"/>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2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gridSpan w:val="3"/>
          </w:tcPr>
          <w:p>
            <w:pPr>
              <w:spacing w:after="0" w:line="20" w:lineRule="exact"/>
              <w:rPr>
                <w:sz w:val="1"/>
                <w:szCs w:val="1"/>
                <w:color w:val="auto"/>
              </w:rPr>
            </w:pPr>
          </w:p>
        </w:tc>
      </w:tr>
      <w:tr>
        <w:trPr>
          <w:trHeight w:val="4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ICON plc Press Release issued February 23, 2016 - ICON Reports Fourth Quarter and Full Year 2015 Results and Issues 2016</w:t>
            </w:r>
          </w:p>
        </w:tc>
      </w:tr>
      <w:tr>
        <w:trPr>
          <w:trHeight w:val="234"/>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Earnings Guidance</w:t>
            </w:r>
          </w:p>
        </w:tc>
      </w:tr>
      <w:tr>
        <w:trPr>
          <w:trHeight w:val="230"/>
        </w:trPr>
        <w:tc>
          <w:tcPr>
            <w:tcW w:w="54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5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5100" w:type="dxa"/>
            <w:vAlign w:val="bottom"/>
            <w:tcBorders>
              <w:bottom w:val="single" w:sz="8" w:color="9A9A9A"/>
            </w:tcBorders>
          </w:tcPr>
          <w:p>
            <w:pPr>
              <w:spacing w:after="0"/>
              <w:rPr>
                <w:sz w:val="19"/>
                <w:szCs w:val="19"/>
                <w:color w:val="auto"/>
              </w:rPr>
            </w:pPr>
          </w:p>
        </w:tc>
      </w:tr>
      <w:tr>
        <w:trPr>
          <w:trHeight w:val="21"/>
        </w:trPr>
        <w:tc>
          <w:tcPr>
            <w:tcW w:w="5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240"/>
          </w:cols>
          <w:pgMar w:left="240" w:top="360"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Reports Fourth Quarter and Full Year 2015 Results and Issues 2016 Earnings Guidance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right="480"/>
        <w:spacing w:after="0" w:line="262" w:lineRule="auto"/>
        <w:rPr>
          <w:sz w:val="20"/>
          <w:szCs w:val="20"/>
          <w:color w:val="auto"/>
        </w:rPr>
      </w:pPr>
      <w:r>
        <w:rPr>
          <w:rFonts w:ascii="Times New Roman" w:cs="Times New Roman" w:eastAsia="Times New Roman" w:hAnsi="Times New Roman"/>
          <w:sz w:val="22"/>
          <w:szCs w:val="22"/>
          <w:b w:val="1"/>
          <w:bCs w:val="1"/>
          <w:color w:val="auto"/>
        </w:rPr>
        <w:t>Quarter 4 gross business wins of $565 million, a gross book to bill of 1.40. Net business wins of $471 million, a net book to bill of 1.17. Full year net business wins of $1.9 billion, a net book to bill of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280"/>
        <w:spacing w:after="0" w:line="262" w:lineRule="auto"/>
        <w:rPr>
          <w:sz w:val="20"/>
          <w:szCs w:val="20"/>
          <w:color w:val="auto"/>
        </w:rPr>
      </w:pPr>
      <w:r>
        <w:rPr>
          <w:rFonts w:ascii="Times New Roman" w:cs="Times New Roman" w:eastAsia="Times New Roman" w:hAnsi="Times New Roman"/>
          <w:sz w:val="22"/>
          <w:szCs w:val="22"/>
          <w:b w:val="1"/>
          <w:bCs w:val="1"/>
          <w:color w:val="auto"/>
        </w:rPr>
        <w:t>Quarter 4 net revenue increased 8.0% year on year on a constant currency basis to $403 million. Full Year 2015 net revenue increased 10.0% on a constant currency basis to $1,575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b w:val="1"/>
          <w:bCs w:val="1"/>
          <w:color w:val="auto"/>
        </w:rPr>
        <w:t>Quarter 4 income from operations up 24.7% year on year to $75.3 million or 18.7% of revenue. Full year 2015 income from operations up 33% to $281.5 million or 17.9%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400"/>
        <w:spacing w:after="0" w:line="262" w:lineRule="auto"/>
        <w:rPr>
          <w:sz w:val="20"/>
          <w:szCs w:val="20"/>
          <w:color w:val="auto"/>
        </w:rPr>
      </w:pPr>
      <w:r>
        <w:rPr>
          <w:rFonts w:ascii="Times New Roman" w:cs="Times New Roman" w:eastAsia="Times New Roman" w:hAnsi="Times New Roman"/>
          <w:sz w:val="22"/>
          <w:szCs w:val="22"/>
          <w:b w:val="1"/>
          <w:bCs w:val="1"/>
          <w:color w:val="auto"/>
        </w:rPr>
        <w:t>Earnings per share for Quarter 4 of $1.11, up 28% year on year. Earnings per share on a pro forma full year 2015 basis were $3.98, up 39% on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b w:val="1"/>
          <w:bCs w:val="1"/>
          <w:color w:val="auto"/>
        </w:rPr>
        <w:t>Full year 2016 revenue guidance in the range of $1,670 - $1,730 million, representing growth of 6 - 9.8%. Earnings per share guidance in the range of $4.60 - $4.80 representing an increase of 15.6 –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2"/>
          <w:szCs w:val="22"/>
          <w:color w:val="auto"/>
        </w:rPr>
        <w:t>DUBLIN--(BUSINESS WIRE)--February 23, 2016--</w:t>
      </w:r>
      <w:r>
        <w:rPr>
          <w:rFonts w:ascii="Times New Roman" w:cs="Times New Roman" w:eastAsia="Times New Roman" w:hAnsi="Times New Roman"/>
          <w:sz w:val="22"/>
          <w:szCs w:val="22"/>
          <w:b w:val="1"/>
          <w:bCs w:val="1"/>
          <w:color w:val="auto"/>
        </w:rPr>
        <w:t>ICON plc (NASDAQ:ICLR),</w:t>
      </w:r>
      <w:r>
        <w:rPr>
          <w:rFonts w:ascii="Times New Roman" w:cs="Times New Roman" w:eastAsia="Times New Roman" w:hAnsi="Times New Roman"/>
          <w:sz w:val="22"/>
          <w:szCs w:val="22"/>
          <w:color w:val="auto"/>
        </w:rPr>
        <w:t xml:space="preserve"> a global provider of drug development solutions and services to the pharmaceutical, biotechnology and medical device industries, today reported its financial results for the fourth quarter and full year ended December 31, 2015.</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 the fourth quarter net revenue grew 3.4% year on year to $403.3 million from $390.1 million in the same quarter last year. This represented 8.0% constant currency growth and 3.7% constant dollar organic growth year on year.</w:t>
      </w:r>
    </w:p>
    <w:p>
      <w:pPr>
        <w:spacing w:after="0" w:line="158"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Income from operations in the quarter, increased by 24.7% to $73.3 million or 18.7% of revenue compared to $60.4 million or 15.5% for the same quarter last year.</w:t>
      </w:r>
    </w:p>
    <w:p>
      <w:pPr>
        <w:spacing w:after="0" w:line="1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Net income in the quarter increased by 17.5% to $63.4 million or $1.11 per share on a diluted basis, compared with $54.0 million or $0.87 per share for the same quarter last year.</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Full year revenue increased by 4.8% to $1,575 million from $1,503.3 million in 2015. This represented 10.0% constant currency growth and 5.1% constant dollar organic growth year on year.</w:t>
      </w:r>
    </w:p>
    <w:p>
      <w:pPr>
        <w:spacing w:after="0" w:line="15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Full year income from operations increased by 33.3% to $281.5 million or 17.9% of revenue, compared with $211.1 million or 14.0% of revenue in the previous year.</w:t>
      </w:r>
    </w:p>
    <w:p>
      <w:pPr>
        <w:spacing w:after="0" w:line="15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Full year net income increased by 32.1% to $239.5 million, compared with $181.3 million last year. Full year earnings per share increased by 38.7% to a pro-forma $3.98 per share on a diluted basis compared to $2.87 per diluted share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Full year diluted earnings per share on a US GAAP basis amounted to $3.97 compared to the pro-forma $3.98 as reported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difference occurs as a result of the method used to calculate the quarterly EPS versus annual EPS.</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Day’s sales outstanding, comprising accounts receivable and unbilled revenue less payments on account were 41 days at December 31, 2015, compared with 46 days at the end of September 2015 and 40 days at the end of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20"/>
        <w:spacing w:after="0" w:line="238" w:lineRule="auto"/>
        <w:rPr>
          <w:sz w:val="20"/>
          <w:szCs w:val="20"/>
          <w:color w:val="auto"/>
        </w:rPr>
      </w:pPr>
      <w:r>
        <w:rPr>
          <w:rFonts w:ascii="Times New Roman" w:cs="Times New Roman" w:eastAsia="Times New Roman" w:hAnsi="Times New Roman"/>
          <w:sz w:val="22"/>
          <w:szCs w:val="22"/>
          <w:color w:val="auto"/>
        </w:rPr>
        <w:t>Cash generated from operating activities for the quarter was $116.1 million and $279.5 million for the full year. Capital expenditure for the quarter was $13.5 million and $49.7 million for the full year. During the quarter ICON spent $171 million on share repurchases which brought the value of total shares repurchased during 2015 to $459 million. In addition, $166 million was spent on acquisitions in 2015. As a result, at December 31, 2015, the company had net debt of $160 million, compared to net debt of $33 million at September 30, 2015 and net cash of $216 million at end of December 2014.</w:t>
      </w:r>
    </w:p>
    <w:p>
      <w:pPr>
        <w:spacing w:after="0" w:line="17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 xml:space="preserve">CEO, Ciaran Murray commented </w:t>
      </w:r>
      <w:r>
        <w:rPr>
          <w:rFonts w:ascii="Times New Roman" w:cs="Times New Roman" w:eastAsia="Times New Roman" w:hAnsi="Times New Roman"/>
          <w:sz w:val="21"/>
          <w:szCs w:val="21"/>
          <w:i w:val="1"/>
          <w:iCs w:val="1"/>
          <w:color w:val="auto"/>
        </w:rPr>
        <w:t>“During 2015, our operational excellence and market leading innovation helped our customers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enhance the productivity of their development programmes, further enhancing ICON’s position as their trusted partner in drug development. As a result we booked $1.9 billion of new business and have grown our backlog by 9% year on year to $3.9 billion. Our revenues have grown by 10% on a constant currency basis to $1.575 billion and we have continued to expand our operating margin. This enabled us to grow EPS by 39% year on year to $3.98. For 2016, we are guiding revenue to be in the range of $1,670</w:t>
      </w:r>
    </w:p>
    <w:p>
      <w:pPr>
        <w:spacing w:after="0" w:line="1" w:lineRule="exact"/>
        <w:rPr>
          <w:sz w:val="20"/>
          <w:szCs w:val="20"/>
          <w:color w:val="auto"/>
        </w:rPr>
      </w:pPr>
    </w:p>
    <w:p>
      <w:pPr>
        <w:ind w:right="620" w:firstLine="8"/>
        <w:spacing w:after="0" w:line="237" w:lineRule="auto"/>
        <w:tabs>
          <w:tab w:leader="none" w:pos="126"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$1,730 million an increase of 6.0 -9.8%, and earnings to be in the range of $4.60 - $4.80 representing an increase of 15.6 – 20.6%”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8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 xml:space="preserve">ICON will hold its fourth quarter conference call today, February 23, 2016 at 9:00 EST [14:00 Ireland &amp; UK]. This call and linked slide presentation can be accessed live from our website at </w:t>
      </w:r>
      <w:r>
        <w:rPr>
          <w:rFonts w:ascii="Times New Roman" w:cs="Times New Roman" w:eastAsia="Times New Roman" w:hAnsi="Times New Roman"/>
          <w:sz w:val="22"/>
          <w:szCs w:val="22"/>
          <w:u w:val="single" w:color="auto"/>
          <w:color w:val="auto"/>
        </w:rPr>
        <w:t>http://investor.iconplc.com</w:t>
      </w:r>
      <w:r>
        <w:rPr>
          <w:rFonts w:ascii="Times New Roman" w:cs="Times New Roman" w:eastAsia="Times New Roman" w:hAnsi="Times New Roman"/>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Times New Roman" w:cs="Times New Roman" w:eastAsia="Times New Roman" w:hAnsi="Times New Roman"/>
          <w:sz w:val="22"/>
          <w:szCs w:val="22"/>
          <w:u w:val="single" w:color="auto"/>
          <w:color w:val="auto"/>
        </w:rPr>
        <w:t>http://www.sec.gov</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90 locations in 37 countries and has approximately 11,900 employees. Further information is available at </w:t>
      </w:r>
      <w:r>
        <w:rPr>
          <w:rFonts w:ascii="Times New Roman" w:cs="Times New Roman" w:eastAsia="Times New Roman" w:hAnsi="Times New Roman"/>
          <w:sz w:val="22"/>
          <w:szCs w:val="22"/>
          <w:u w:val="single" w:color="auto"/>
          <w:color w:val="auto"/>
        </w:rPr>
        <w:t>www.iconplc.com</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ICON plc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(Before restructuring and other items)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Twelve Months ended December 31, 2015 and December 31, 2014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gridSpan w:val="10"/>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321"/>
        </w:trPr>
        <w:tc>
          <w:tcPr>
            <w:tcW w:w="6480" w:type="dxa"/>
            <w:vAlign w:val="bottom"/>
          </w:tcPr>
          <w:p>
            <w:pPr>
              <w:spacing w:after="0"/>
              <w:rPr>
                <w:sz w:val="24"/>
                <w:szCs w:val="24"/>
                <w:color w:val="auto"/>
              </w:rPr>
            </w:pPr>
          </w:p>
        </w:tc>
        <w:tc>
          <w:tcPr>
            <w:tcW w:w="13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December</w:t>
            </w:r>
          </w:p>
        </w:tc>
        <w:tc>
          <w:tcPr>
            <w:tcW w:w="13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December</w:t>
            </w:r>
          </w:p>
        </w:tc>
        <w:tc>
          <w:tcPr>
            <w:tcW w:w="13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8"/>
              </w:rPr>
              <w:t>December</w:t>
            </w:r>
          </w:p>
        </w:tc>
        <w:tc>
          <w:tcPr>
            <w:tcW w:w="9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2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top w:val="single" w:sz="8" w:color="auto"/>
            </w:tcBorders>
            <w:gridSpan w:val="2"/>
          </w:tcPr>
          <w:p>
            <w:pPr>
              <w:spacing w:after="0"/>
              <w:rPr>
                <w:sz w:val="11"/>
                <w:szCs w:val="11"/>
                <w:color w:val="auto"/>
              </w:rPr>
            </w:pPr>
          </w:p>
        </w:tc>
        <w:tc>
          <w:tcPr>
            <w:tcW w:w="24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Borders>
              <w:top w:val="single" w:sz="8" w:color="auto"/>
            </w:tcBorders>
            <w:gridSpan w:val="4"/>
          </w:tcPr>
          <w:p>
            <w:pPr>
              <w:jc w:val="center"/>
              <w:ind w:left="88"/>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Borders>
              <w:top w:val="single" w:sz="8" w:color="auto"/>
            </w:tcBorders>
            <w:gridSpan w:val="4"/>
          </w:tcPr>
          <w:p>
            <w:pPr>
              <w:jc w:val="center"/>
              <w:ind w:left="88"/>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w:t>
            </w:r>
          </w:p>
        </w:tc>
        <w:tc>
          <w:tcPr>
            <w:tcW w:w="6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720" w:type="dxa"/>
            <w:vAlign w:val="bottom"/>
          </w:tcPr>
          <w:p>
            <w:pPr>
              <w:spacing w:after="0"/>
              <w:rPr>
                <w:sz w:val="13"/>
                <w:szCs w:val="13"/>
                <w:color w:val="auto"/>
              </w:rPr>
            </w:pPr>
          </w:p>
        </w:tc>
        <w:tc>
          <w:tcPr>
            <w:tcW w:w="6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Pr>
          <w:p>
            <w:pPr>
              <w:spacing w:after="0"/>
              <w:rPr>
                <w:sz w:val="13"/>
                <w:szCs w:val="13"/>
                <w:color w:val="auto"/>
              </w:rPr>
            </w:pPr>
          </w:p>
        </w:tc>
        <w:tc>
          <w:tcPr>
            <w:tcW w:w="6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740" w:type="dxa"/>
            <w:vAlign w:val="bottom"/>
          </w:tcPr>
          <w:p>
            <w:pPr>
              <w:spacing w:after="0"/>
              <w:rPr>
                <w:sz w:val="13"/>
                <w:szCs w:val="13"/>
                <w:color w:val="auto"/>
              </w:rPr>
            </w:pPr>
          </w:p>
        </w:tc>
        <w:tc>
          <w:tcPr>
            <w:tcW w:w="6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Gross revenue</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577,059</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528,211</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2,161,618</w:t>
            </w:r>
          </w:p>
        </w:tc>
        <w:tc>
          <w:tcPr>
            <w:tcW w:w="740" w:type="dxa"/>
            <w:vAlign w:val="bottom"/>
          </w:tcPr>
          <w:p>
            <w:pPr>
              <w:spacing w:after="0"/>
              <w:rPr>
                <w:sz w:val="15"/>
                <w:szCs w:val="15"/>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9"/>
              </w:rPr>
              <w:t>2,030,286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(173,710)</w:t>
            </w: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(138,138)</w:t>
            </w: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(586,640)</w:t>
            </w: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(526,970)</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403,349</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390,073</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1,574,978</w:t>
            </w:r>
          </w:p>
        </w:tc>
        <w:tc>
          <w:tcPr>
            <w:tcW w:w="74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9"/>
              </w:rPr>
              <w:t>1,503,316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229,386</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229,876</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908,979</w:t>
            </w:r>
          </w:p>
        </w:tc>
        <w:tc>
          <w:tcPr>
            <w:tcW w:w="740" w:type="dxa"/>
            <w:vAlign w:val="bottom"/>
          </w:tcPr>
          <w:p>
            <w:pPr>
              <w:spacing w:after="0"/>
              <w:rPr>
                <w:sz w:val="15"/>
                <w:szCs w:val="15"/>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903,167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83,476</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8"/>
              </w:rPr>
              <w:t>85,425</w:t>
            </w:r>
          </w:p>
        </w:tc>
        <w:tc>
          <w:tcPr>
            <w:tcW w:w="72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326,786</w:t>
            </w:r>
          </w:p>
        </w:tc>
        <w:tc>
          <w:tcPr>
            <w:tcW w:w="740" w:type="dxa"/>
            <w:vAlign w:val="bottom"/>
          </w:tcPr>
          <w:p>
            <w:pPr>
              <w:spacing w:after="0"/>
              <w:rPr>
                <w:sz w:val="15"/>
                <w:szCs w:val="15"/>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336,461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15,142</w:t>
            </w: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w w:val="98"/>
              </w:rPr>
              <w:t>14,335</w:t>
            </w: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57,677</w:t>
            </w: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52,542</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328,004</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329,636</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1,293,442</w:t>
            </w: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w w:val="99"/>
              </w:rPr>
              <w:t>1,292,170</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75,345</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8"/>
              </w:rPr>
              <w:t>60,437</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281,536</w:t>
            </w:r>
          </w:p>
        </w:tc>
        <w:tc>
          <w:tcPr>
            <w:tcW w:w="74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211,146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center"/>
              <w:ind w:left="88"/>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(2,686)</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center"/>
              <w:ind w:left="108"/>
              <w:spacing w:after="0"/>
              <w:rPr>
                <w:sz w:val="20"/>
                <w:szCs w:val="20"/>
                <w:color w:val="auto"/>
              </w:rPr>
            </w:pPr>
            <w:r>
              <w:rPr>
                <w:rFonts w:ascii="Times New Roman" w:cs="Times New Roman" w:eastAsia="Times New Roman" w:hAnsi="Times New Roman"/>
                <w:sz w:val="14"/>
                <w:szCs w:val="14"/>
                <w:color w:val="auto"/>
                <w:w w:val="95"/>
              </w:rPr>
              <w:t>366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73,319</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8"/>
              </w:rPr>
              <w:t>60,641</w:t>
            </w:r>
          </w:p>
        </w:tc>
        <w:tc>
          <w:tcPr>
            <w:tcW w:w="720" w:type="dxa"/>
            <w:vAlign w:val="bottom"/>
          </w:tcPr>
          <w:p>
            <w:pPr>
              <w:spacing w:after="0"/>
              <w:rPr>
                <w:sz w:val="24"/>
                <w:szCs w:val="2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278,850</w:t>
            </w:r>
          </w:p>
        </w:tc>
        <w:tc>
          <w:tcPr>
            <w:tcW w:w="74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211,512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(9,890)</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(6,671)</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(39,311)</w:t>
            </w: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(30,248)</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63,429</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w w:val="98"/>
              </w:rPr>
              <w:t>53,970</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239,539</w:t>
            </w: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181,264</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Net income per Ordinary Share: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$1.14</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ind w:right="880"/>
              <w:spacing w:after="0"/>
              <w:rPr>
                <w:sz w:val="20"/>
                <w:szCs w:val="20"/>
                <w:color w:val="auto"/>
              </w:rPr>
            </w:pPr>
            <w:r>
              <w:rPr>
                <w:rFonts w:ascii="Times New Roman" w:cs="Times New Roman" w:eastAsia="Times New Roman" w:hAnsi="Times New Roman"/>
                <w:sz w:val="14"/>
                <w:szCs w:val="14"/>
                <w:color w:val="auto"/>
              </w:rPr>
              <w:t>89c</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$4.08</w:t>
            </w: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$2.95</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 forma Diluted</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$1.11</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center"/>
              <w:ind w:right="880"/>
              <w:spacing w:after="0"/>
              <w:rPr>
                <w:sz w:val="20"/>
                <w:szCs w:val="20"/>
                <w:color w:val="auto"/>
              </w:rPr>
            </w:pPr>
            <w:r>
              <w:rPr>
                <w:rFonts w:ascii="Times New Roman" w:cs="Times New Roman" w:eastAsia="Times New Roman" w:hAnsi="Times New Roman"/>
                <w:sz w:val="14"/>
                <w:szCs w:val="14"/>
                <w:color w:val="auto"/>
              </w:rPr>
              <w:t>87c</w:t>
            </w:r>
          </w:p>
        </w:tc>
        <w:tc>
          <w:tcPr>
            <w:tcW w:w="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$3.98</w:t>
            </w: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$2.87</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Weighted average number of Ordinary Shares outstanding:</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13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55,783,113</w:t>
            </w:r>
          </w:p>
        </w:tc>
        <w:tc>
          <w:tcPr>
            <w:tcW w:w="13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60,394,465</w:t>
            </w:r>
          </w:p>
        </w:tc>
        <w:tc>
          <w:tcPr>
            <w:tcW w:w="13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color w:val="auto"/>
              </w:rPr>
              <w:t>58,746,935</w:t>
            </w: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61,496,115</w:t>
            </w:r>
          </w:p>
        </w:tc>
        <w:tc>
          <w:tcPr>
            <w:tcW w:w="0" w:type="dxa"/>
            <w:vAlign w:val="bottom"/>
          </w:tcPr>
          <w:p>
            <w:pPr>
              <w:spacing w:after="0"/>
              <w:rPr>
                <w:sz w:val="1"/>
                <w:szCs w:val="1"/>
                <w:color w:val="auto"/>
              </w:rPr>
            </w:pPr>
          </w:p>
        </w:tc>
      </w:tr>
      <w:tr>
        <w:trPr>
          <w:trHeight w:val="345"/>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 forma Diluted</w:t>
            </w:r>
          </w:p>
        </w:tc>
        <w:tc>
          <w:tcPr>
            <w:tcW w:w="13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56,919,553</w:t>
            </w:r>
          </w:p>
        </w:tc>
        <w:tc>
          <w:tcPr>
            <w:tcW w:w="13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61,908,135</w:t>
            </w:r>
          </w:p>
        </w:tc>
        <w:tc>
          <w:tcPr>
            <w:tcW w:w="13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color w:val="auto"/>
              </w:rPr>
              <w:t>60,185,678</w:t>
            </w: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63,131,417</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Income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GAAP)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Twelve Months ended December 31, 2015 and December 31, 2014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321"/>
        </w:trPr>
        <w:tc>
          <w:tcPr>
            <w:tcW w:w="4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36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360" w:type="dxa"/>
            <w:vAlign w:val="bottom"/>
          </w:tcPr>
          <w:p>
            <w:pPr>
              <w:spacing w:after="0"/>
              <w:rPr>
                <w:sz w:val="24"/>
                <w:szCs w:val="24"/>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3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top w:val="single" w:sz="8" w:color="auto"/>
            </w:tcBorders>
            <w:gridSpan w:val="2"/>
          </w:tcPr>
          <w:p>
            <w:pPr>
              <w:spacing w:after="0"/>
              <w:rPr>
                <w:sz w:val="11"/>
                <w:szCs w:val="11"/>
                <w:color w:val="auto"/>
              </w:rPr>
            </w:pPr>
          </w:p>
        </w:tc>
        <w:tc>
          <w:tcPr>
            <w:tcW w:w="24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top w:val="single" w:sz="8" w:color="auto"/>
            </w:tcBorders>
            <w:gridSpan w:val="4"/>
          </w:tcPr>
          <w:p>
            <w:pPr>
              <w:jc w:val="center"/>
              <w:ind w:left="88"/>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top w:val="single" w:sz="8" w:color="auto"/>
            </w:tcBorders>
            <w:gridSpan w:val="4"/>
          </w:tcPr>
          <w:p>
            <w:pPr>
              <w:jc w:val="center"/>
              <w:ind w:left="88"/>
              <w:spacing w:after="0" w:line="129" w:lineRule="exact"/>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w:t>
            </w:r>
          </w:p>
        </w:tc>
        <w:tc>
          <w:tcPr>
            <w:tcW w:w="2160" w:type="dxa"/>
            <w:vAlign w:val="bottom"/>
            <w:gridSpan w:val="6"/>
          </w:tcPr>
          <w:p>
            <w:pPr>
              <w:jc w:val="center"/>
              <w:ind w:left="14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Pr>
          <w:p>
            <w:pPr>
              <w:spacing w:after="0"/>
              <w:rPr>
                <w:sz w:val="13"/>
                <w:szCs w:val="13"/>
                <w:color w:val="auto"/>
              </w:rPr>
            </w:pPr>
          </w:p>
        </w:tc>
        <w:tc>
          <w:tcPr>
            <w:tcW w:w="980" w:type="dxa"/>
            <w:vAlign w:val="bottom"/>
            <w:gridSpan w:val="6"/>
          </w:tcPr>
          <w:p>
            <w:pPr>
              <w:jc w:val="center"/>
              <w:ind w:left="28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3"/>
                <w:szCs w:val="13"/>
                <w:color w:val="auto"/>
              </w:rPr>
            </w:pPr>
          </w:p>
        </w:tc>
        <w:tc>
          <w:tcPr>
            <w:tcW w:w="980" w:type="dxa"/>
            <w:vAlign w:val="bottom"/>
            <w:gridSpan w:val="6"/>
          </w:tcPr>
          <w:p>
            <w:pPr>
              <w:jc w:val="center"/>
              <w:ind w:left="30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Pr>
          <w:p>
            <w:pPr>
              <w:spacing w:after="0"/>
              <w:rPr>
                <w:sz w:val="13"/>
                <w:szCs w:val="13"/>
                <w:color w:val="auto"/>
              </w:rPr>
            </w:pPr>
          </w:p>
        </w:tc>
        <w:tc>
          <w:tcPr>
            <w:tcW w:w="1000" w:type="dxa"/>
            <w:vAlign w:val="bottom"/>
            <w:gridSpan w:val="6"/>
          </w:tcPr>
          <w:p>
            <w:pPr>
              <w:jc w:val="center"/>
              <w:ind w:left="2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Gross revenue</w:t>
            </w:r>
          </w:p>
        </w:tc>
        <w:tc>
          <w:tcPr>
            <w:tcW w:w="2160" w:type="dxa"/>
            <w:vAlign w:val="bottom"/>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577,059</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528,211</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2,161,618</w:t>
            </w:r>
          </w:p>
        </w:tc>
        <w:tc>
          <w:tcPr>
            <w:tcW w:w="380" w:type="dxa"/>
            <w:vAlign w:val="bottom"/>
          </w:tcPr>
          <w:p>
            <w:pPr>
              <w:spacing w:after="0"/>
              <w:rPr>
                <w:sz w:val="15"/>
                <w:szCs w:val="15"/>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9"/>
              </w:rPr>
              <w:t>2,030,286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2160" w:type="dxa"/>
            <w:vAlign w:val="bottom"/>
            <w:tcBorders>
              <w:bottom w:val="single" w:sz="8" w:color="auto"/>
            </w:tcBorders>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(173,710)</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(138,138)</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color w:val="auto"/>
              </w:rPr>
              <w:t>(586,640)</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(526,970)</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160" w:type="dxa"/>
            <w:vAlign w:val="bottom"/>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403,349</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390,073</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1,574,978</w:t>
            </w:r>
          </w:p>
        </w:tc>
        <w:tc>
          <w:tcPr>
            <w:tcW w:w="380" w:type="dxa"/>
            <w:vAlign w:val="bottom"/>
          </w:tcPr>
          <w:p>
            <w:pPr>
              <w:spacing w:after="0"/>
              <w:rPr>
                <w:sz w:val="24"/>
                <w:szCs w:val="24"/>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9"/>
              </w:rPr>
              <w:t>1,503,316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2160" w:type="dxa"/>
            <w:vAlign w:val="bottom"/>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229,386</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229,876</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908,979</w:t>
            </w:r>
          </w:p>
        </w:tc>
        <w:tc>
          <w:tcPr>
            <w:tcW w:w="380" w:type="dxa"/>
            <w:vAlign w:val="bottom"/>
          </w:tcPr>
          <w:p>
            <w:pPr>
              <w:spacing w:after="0"/>
              <w:rPr>
                <w:sz w:val="15"/>
                <w:szCs w:val="15"/>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903,167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2160" w:type="dxa"/>
            <w:vAlign w:val="bottom"/>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83,476</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8"/>
              </w:rPr>
              <w:t>85,425</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326,786</w:t>
            </w:r>
          </w:p>
        </w:tc>
        <w:tc>
          <w:tcPr>
            <w:tcW w:w="380" w:type="dxa"/>
            <w:vAlign w:val="bottom"/>
          </w:tcPr>
          <w:p>
            <w:pPr>
              <w:spacing w:after="0"/>
              <w:rPr>
                <w:sz w:val="15"/>
                <w:szCs w:val="15"/>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336,461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160" w:type="dxa"/>
            <w:vAlign w:val="bottom"/>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15,142</w:t>
            </w:r>
          </w:p>
        </w:tc>
        <w:tc>
          <w:tcPr>
            <w:tcW w:w="360" w:type="dxa"/>
            <w:vAlign w:val="bottom"/>
          </w:tcPr>
          <w:p>
            <w:pPr>
              <w:spacing w:after="0"/>
              <w:rPr>
                <w:sz w:val="15"/>
                <w:szCs w:val="15"/>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8"/>
              </w:rPr>
              <w:t>14,335</w:t>
            </w:r>
          </w:p>
        </w:tc>
        <w:tc>
          <w:tcPr>
            <w:tcW w:w="360" w:type="dxa"/>
            <w:vAlign w:val="bottom"/>
          </w:tcPr>
          <w:p>
            <w:pPr>
              <w:spacing w:after="0"/>
              <w:rPr>
                <w:sz w:val="15"/>
                <w:szCs w:val="15"/>
                <w:color w:val="auto"/>
              </w:rPr>
            </w:pPr>
          </w:p>
        </w:tc>
        <w:tc>
          <w:tcPr>
            <w:tcW w:w="980" w:type="dxa"/>
            <w:vAlign w:val="bottom"/>
            <w:gridSpan w:val="6"/>
          </w:tcPr>
          <w:p>
            <w:pPr>
              <w:jc w:val="center"/>
              <w:ind w:left="308"/>
              <w:spacing w:after="0"/>
              <w:rPr>
                <w:sz w:val="20"/>
                <w:szCs w:val="20"/>
                <w:color w:val="auto"/>
              </w:rPr>
            </w:pPr>
            <w:r>
              <w:rPr>
                <w:rFonts w:ascii="Times New Roman" w:cs="Times New Roman" w:eastAsia="Times New Roman" w:hAnsi="Times New Roman"/>
                <w:sz w:val="14"/>
                <w:szCs w:val="14"/>
                <w:color w:val="auto"/>
              </w:rPr>
              <w:t>57,677</w:t>
            </w:r>
          </w:p>
        </w:tc>
        <w:tc>
          <w:tcPr>
            <w:tcW w:w="380" w:type="dxa"/>
            <w:vAlign w:val="bottom"/>
          </w:tcPr>
          <w:p>
            <w:pPr>
              <w:spacing w:after="0"/>
              <w:rPr>
                <w:sz w:val="15"/>
                <w:szCs w:val="15"/>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52,542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Restructuring and other items</w:t>
            </w:r>
          </w:p>
        </w:tc>
        <w:tc>
          <w:tcPr>
            <w:tcW w:w="1940" w:type="dxa"/>
            <w:vAlign w:val="bottom"/>
            <w:tcBorders>
              <w:bottom w:val="single" w:sz="8" w:color="auto"/>
            </w:tcBorders>
            <w:gridSpan w:val="4"/>
          </w:tcPr>
          <w:p>
            <w:pPr>
              <w:jc w:val="center"/>
              <w:ind w:left="1708"/>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8,796</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center"/>
              <w:ind w:left="528"/>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8,796</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2160" w:type="dxa"/>
            <w:vAlign w:val="bottom"/>
            <w:tcBorders>
              <w:bottom w:val="single" w:sz="8" w:color="auto"/>
            </w:tcBorders>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328,004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338,432</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1,293,442</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9"/>
              </w:rPr>
              <w:t>1,300,966</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160" w:type="dxa"/>
            <w:vAlign w:val="bottom"/>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75,345</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8"/>
              </w:rPr>
              <w:t>51,641</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281,536</w:t>
            </w:r>
          </w:p>
        </w:tc>
        <w:tc>
          <w:tcPr>
            <w:tcW w:w="380" w:type="dxa"/>
            <w:vAlign w:val="bottom"/>
          </w:tcPr>
          <w:p>
            <w:pPr>
              <w:spacing w:after="0"/>
              <w:rPr>
                <w:sz w:val="24"/>
                <w:szCs w:val="24"/>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202,350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2160" w:type="dxa"/>
            <w:vAlign w:val="bottom"/>
            <w:tcBorders>
              <w:bottom w:val="single" w:sz="8" w:color="auto"/>
            </w:tcBorders>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center"/>
              <w:ind w:left="448"/>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(2,686)</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center"/>
              <w:ind w:left="468"/>
              <w:spacing w:after="0"/>
              <w:rPr>
                <w:sz w:val="20"/>
                <w:szCs w:val="20"/>
                <w:color w:val="auto"/>
              </w:rPr>
            </w:pPr>
            <w:r>
              <w:rPr>
                <w:rFonts w:ascii="Times New Roman" w:cs="Times New Roman" w:eastAsia="Times New Roman" w:hAnsi="Times New Roman"/>
                <w:sz w:val="14"/>
                <w:szCs w:val="14"/>
                <w:color w:val="auto"/>
                <w:w w:val="95"/>
              </w:rPr>
              <w:t>366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2160" w:type="dxa"/>
            <w:vAlign w:val="bottom"/>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73,319</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8"/>
              </w:rPr>
              <w:t>51,845</w:t>
            </w:r>
          </w:p>
        </w:tc>
        <w:tc>
          <w:tcPr>
            <w:tcW w:w="360" w:type="dxa"/>
            <w:vAlign w:val="bottom"/>
          </w:tcPr>
          <w:p>
            <w:pPr>
              <w:spacing w:after="0"/>
              <w:rPr>
                <w:sz w:val="24"/>
                <w:szCs w:val="24"/>
                <w:color w:val="auto"/>
              </w:rPr>
            </w:pPr>
          </w:p>
        </w:tc>
        <w:tc>
          <w:tcPr>
            <w:tcW w:w="98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278,850</w:t>
            </w:r>
          </w:p>
        </w:tc>
        <w:tc>
          <w:tcPr>
            <w:tcW w:w="380" w:type="dxa"/>
            <w:vAlign w:val="bottom"/>
          </w:tcPr>
          <w:p>
            <w:pPr>
              <w:spacing w:after="0"/>
              <w:rPr>
                <w:sz w:val="24"/>
                <w:szCs w:val="24"/>
                <w:color w:val="auto"/>
              </w:rPr>
            </w:pPr>
          </w:p>
        </w:tc>
        <w:tc>
          <w:tcPr>
            <w:tcW w:w="10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202,716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160" w:type="dxa"/>
            <w:vAlign w:val="bottom"/>
            <w:tcBorders>
              <w:bottom w:val="single" w:sz="8" w:color="auto"/>
            </w:tcBorders>
            <w:gridSpan w:val="6"/>
          </w:tcPr>
          <w:p>
            <w:pPr>
              <w:jc w:val="center"/>
              <w:ind w:left="1468"/>
              <w:spacing w:after="0"/>
              <w:rPr>
                <w:sz w:val="20"/>
                <w:szCs w:val="20"/>
                <w:color w:val="auto"/>
              </w:rPr>
            </w:pPr>
            <w:r>
              <w:rPr>
                <w:rFonts w:ascii="Times New Roman" w:cs="Times New Roman" w:eastAsia="Times New Roman" w:hAnsi="Times New Roman"/>
                <w:sz w:val="14"/>
                <w:szCs w:val="14"/>
                <w:color w:val="auto"/>
              </w:rPr>
              <w:t>(9,890)</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(6,671)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color w:val="auto"/>
              </w:rPr>
              <w:t>(39,311)</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(30,248)</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160" w:type="dxa"/>
            <w:vAlign w:val="bottom"/>
            <w:tcBorders>
              <w:bottom w:val="single" w:sz="8" w:color="auto"/>
            </w:tcBorders>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63,429</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w w:val="98"/>
              </w:rPr>
              <w:t>45,174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239,539</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172,468</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Net income per Ordinary Share:</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2160" w:type="dxa"/>
            <w:vAlign w:val="bottom"/>
            <w:tcBorders>
              <w:bottom w:val="single" w:sz="8" w:color="auto"/>
            </w:tcBorders>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$1.14</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color w:val="auto"/>
              </w:rPr>
              <w:t>74c</w:t>
            </w:r>
          </w:p>
        </w:tc>
        <w:tc>
          <w:tcPr>
            <w:tcW w:w="98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color w:val="auto"/>
              </w:rPr>
              <w:t>$4.08</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2160" w:type="dxa"/>
            <w:vAlign w:val="bottom"/>
            <w:tcBorders>
              <w:bottom w:val="single" w:sz="8" w:color="auto"/>
            </w:tcBorders>
            <w:gridSpan w:val="6"/>
          </w:tcPr>
          <w:p>
            <w:pPr>
              <w:jc w:val="center"/>
              <w:ind w:left="1488"/>
              <w:spacing w:after="0"/>
              <w:rPr>
                <w:sz w:val="20"/>
                <w:szCs w:val="20"/>
                <w:color w:val="auto"/>
              </w:rPr>
            </w:pPr>
            <w:r>
              <w:rPr>
                <w:rFonts w:ascii="Times New Roman" w:cs="Times New Roman" w:eastAsia="Times New Roman" w:hAnsi="Times New Roman"/>
                <w:sz w:val="14"/>
                <w:szCs w:val="14"/>
                <w:color w:val="auto"/>
              </w:rPr>
              <w:t>$1.11</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color w:val="auto"/>
              </w:rPr>
              <w:t>73c</w:t>
            </w:r>
          </w:p>
        </w:tc>
        <w:tc>
          <w:tcPr>
            <w:tcW w:w="98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color w:val="auto"/>
              </w:rPr>
              <w:t>$3.97</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$2.73</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Weighted average number of Ordinary Shares outstanding:</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2520" w:type="dxa"/>
            <w:vAlign w:val="bottom"/>
            <w:tcBorders>
              <w:bottom w:val="single" w:sz="8" w:color="auto"/>
            </w:tcBorders>
            <w:gridSpan w:val="7"/>
          </w:tcPr>
          <w:p>
            <w:pPr>
              <w:jc w:val="center"/>
              <w:ind w:left="1128"/>
              <w:spacing w:after="0"/>
              <w:rPr>
                <w:sz w:val="20"/>
                <w:szCs w:val="20"/>
                <w:color w:val="auto"/>
              </w:rPr>
            </w:pPr>
            <w:r>
              <w:rPr>
                <w:rFonts w:ascii="Times New Roman" w:cs="Times New Roman" w:eastAsia="Times New Roman" w:hAnsi="Times New Roman"/>
                <w:sz w:val="14"/>
                <w:szCs w:val="14"/>
                <w:color w:val="auto"/>
              </w:rPr>
              <w:t>55,783,113</w:t>
            </w: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color w:val="auto"/>
              </w:rPr>
              <w:t>60,394,465</w:t>
            </w:r>
          </w:p>
        </w:tc>
        <w:tc>
          <w:tcPr>
            <w:tcW w:w="13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color w:val="auto"/>
              </w:rPr>
              <w:t>58,746,935</w:t>
            </w:r>
          </w:p>
        </w:tc>
        <w:tc>
          <w:tcPr>
            <w:tcW w:w="1260" w:type="dxa"/>
            <w:vAlign w:val="bottom"/>
            <w:tcBorders>
              <w:bottom w:val="single" w:sz="8" w:color="auto"/>
            </w:tcBorders>
            <w:gridSpan w:val="7"/>
          </w:tcPr>
          <w:p>
            <w:pPr>
              <w:jc w:val="center"/>
              <w:ind w:left="28"/>
              <w:spacing w:after="0"/>
              <w:rPr>
                <w:sz w:val="20"/>
                <w:szCs w:val="20"/>
                <w:color w:val="auto"/>
              </w:rPr>
            </w:pPr>
            <w:r>
              <w:rPr>
                <w:rFonts w:ascii="Times New Roman" w:cs="Times New Roman" w:eastAsia="Times New Roman" w:hAnsi="Times New Roman"/>
                <w:sz w:val="14"/>
                <w:szCs w:val="14"/>
                <w:color w:val="auto"/>
              </w:rPr>
              <w:t>61,496,115</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2520" w:type="dxa"/>
            <w:vAlign w:val="bottom"/>
            <w:tcBorders>
              <w:bottom w:val="single" w:sz="8" w:color="auto"/>
            </w:tcBorders>
            <w:gridSpan w:val="7"/>
          </w:tcPr>
          <w:p>
            <w:pPr>
              <w:jc w:val="center"/>
              <w:ind w:left="1128"/>
              <w:spacing w:after="0"/>
              <w:rPr>
                <w:sz w:val="20"/>
                <w:szCs w:val="20"/>
                <w:color w:val="auto"/>
              </w:rPr>
            </w:pPr>
            <w:r>
              <w:rPr>
                <w:rFonts w:ascii="Times New Roman" w:cs="Times New Roman" w:eastAsia="Times New Roman" w:hAnsi="Times New Roman"/>
                <w:sz w:val="14"/>
                <w:szCs w:val="14"/>
                <w:color w:val="auto"/>
              </w:rPr>
              <w:t>56,919,553</w:t>
            </w: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color w:val="auto"/>
              </w:rPr>
              <w:t>61,908,135</w:t>
            </w:r>
          </w:p>
        </w:tc>
        <w:tc>
          <w:tcPr>
            <w:tcW w:w="13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color w:val="auto"/>
              </w:rPr>
              <w:t>60,290,033</w:t>
            </w:r>
          </w:p>
        </w:tc>
        <w:tc>
          <w:tcPr>
            <w:tcW w:w="1260" w:type="dxa"/>
            <w:vAlign w:val="bottom"/>
            <w:tcBorders>
              <w:bottom w:val="single" w:sz="8" w:color="auto"/>
            </w:tcBorders>
            <w:gridSpan w:val="7"/>
          </w:tcPr>
          <w:p>
            <w:pPr>
              <w:jc w:val="center"/>
              <w:ind w:left="28"/>
              <w:spacing w:after="0"/>
              <w:rPr>
                <w:sz w:val="20"/>
                <w:szCs w:val="20"/>
                <w:color w:val="auto"/>
              </w:rPr>
            </w:pPr>
            <w:r>
              <w:rPr>
                <w:rFonts w:ascii="Times New Roman" w:cs="Times New Roman" w:eastAsia="Times New Roman" w:hAnsi="Times New Roman"/>
                <w:sz w:val="14"/>
                <w:szCs w:val="14"/>
                <w:color w:val="auto"/>
              </w:rPr>
              <w:t>63,131,417</w:t>
            </w:r>
          </w:p>
        </w:tc>
        <w:tc>
          <w:tcPr>
            <w:tcW w:w="0" w:type="dxa"/>
            <w:vAlign w:val="bottom"/>
          </w:tcPr>
          <w:p>
            <w:pPr>
              <w:spacing w:after="0"/>
              <w:rPr>
                <w:sz w:val="1"/>
                <w:szCs w:val="1"/>
                <w:color w:val="auto"/>
              </w:rPr>
            </w:pPr>
          </w:p>
        </w:tc>
      </w:tr>
      <w:tr>
        <w:trPr>
          <w:trHeight w:val="304"/>
        </w:trPr>
        <w:tc>
          <w:tcPr>
            <w:tcW w:w="49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7" w:name="page8"/>
    <w:bookmarkEnd w:id="7"/>
    <w:p>
      <w:pPr>
        <w:jc w:val="center"/>
        <w:ind w:right="-799"/>
        <w:spacing w:after="0"/>
        <w:rPr>
          <w:sz w:val="20"/>
          <w:szCs w:val="20"/>
          <w:color w:val="auto"/>
        </w:rPr>
      </w:pPr>
      <w:r>
        <w:rPr>
          <w:rFonts w:ascii="Times New Roman" w:cs="Times New Roman" w:eastAsia="Times New Roman" w:hAnsi="Times New Roman"/>
          <w:sz w:val="14"/>
          <w:szCs w:val="14"/>
          <w:b w:val="1"/>
          <w:bCs w:val="1"/>
          <w:color w:val="auto"/>
        </w:rPr>
        <w:t>ICON plc</w:t>
      </w:r>
    </w:p>
    <w:p>
      <w:pPr>
        <w:jc w:val="center"/>
        <w:ind w:right="-799"/>
        <w:spacing w:after="0" w:line="229" w:lineRule="auto"/>
        <w:rPr>
          <w:sz w:val="20"/>
          <w:szCs w:val="20"/>
          <w:color w:val="auto"/>
        </w:rPr>
      </w:pPr>
      <w:r>
        <w:rPr>
          <w:rFonts w:ascii="Times New Roman" w:cs="Times New Roman" w:eastAsia="Times New Roman" w:hAnsi="Times New Roman"/>
          <w:sz w:val="14"/>
          <w:szCs w:val="14"/>
          <w:b w:val="1"/>
          <w:bCs w:val="1"/>
          <w:color w:val="auto"/>
        </w:rPr>
        <w:t>Summary Balance Sheet Data</w:t>
      </w:r>
    </w:p>
    <w:p>
      <w:pPr>
        <w:jc w:val="center"/>
        <w:ind w:right="-799"/>
        <w:spacing w:after="0" w:line="222" w:lineRule="auto"/>
        <w:rPr>
          <w:sz w:val="20"/>
          <w:szCs w:val="20"/>
          <w:color w:val="auto"/>
        </w:rPr>
      </w:pPr>
      <w:r>
        <w:rPr>
          <w:rFonts w:ascii="Times New Roman" w:cs="Times New Roman" w:eastAsia="Times New Roman" w:hAnsi="Times New Roman"/>
          <w:sz w:val="14"/>
          <w:szCs w:val="14"/>
          <w:b w:val="1"/>
          <w:bCs w:val="1"/>
          <w:color w:val="auto"/>
        </w:rPr>
        <w:t>December 31, 2015 and December 31, 2014</w:t>
      </w:r>
    </w:p>
    <w:p>
      <w:pPr>
        <w:jc w:val="center"/>
        <w:ind w:right="-799"/>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4360" w:type="dxa"/>
            <w:vAlign w:val="bottom"/>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4340" w:type="dxa"/>
            <w:vAlign w:val="bottom"/>
          </w:tcPr>
          <w:p>
            <w:pPr>
              <w:spacing w:after="0"/>
              <w:rPr>
                <w:sz w:val="15"/>
                <w:szCs w:val="15"/>
                <w:color w:val="auto"/>
              </w:rPr>
            </w:pP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9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190"/>
        </w:trPr>
        <w:tc>
          <w:tcPr>
            <w:tcW w:w="4340" w:type="dxa"/>
            <w:vAlign w:val="bottom"/>
          </w:tcPr>
          <w:p>
            <w:pPr>
              <w:spacing w:after="0"/>
              <w:rPr>
                <w:sz w:val="16"/>
                <w:szCs w:val="16"/>
                <w:color w:val="auto"/>
              </w:rPr>
            </w:pP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514"/>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Cash and short-term investments</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189,901</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216,000</w:t>
            </w:r>
          </w:p>
        </w:tc>
      </w:tr>
      <w:tr>
        <w:trPr>
          <w:trHeight w:val="17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436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(350,000)</w:t>
            </w:r>
          </w:p>
        </w:tc>
        <w:tc>
          <w:tcPr>
            <w:tcW w:w="1920" w:type="dxa"/>
            <w:vAlign w:val="bottom"/>
          </w:tcPr>
          <w:p>
            <w:pPr>
              <w:jc w:val="center"/>
              <w:ind w:left="1008"/>
              <w:spacing w:after="0"/>
              <w:rPr>
                <w:sz w:val="20"/>
                <w:szCs w:val="20"/>
                <w:color w:val="auto"/>
              </w:rPr>
            </w:pPr>
            <w:r>
              <w:rPr>
                <w:rFonts w:ascii="Times New Roman" w:cs="Times New Roman" w:eastAsia="Times New Roman" w:hAnsi="Times New Roman"/>
                <w:sz w:val="14"/>
                <w:szCs w:val="14"/>
                <w:color w:val="auto"/>
                <w:w w:val="84"/>
              </w:rPr>
              <w:t>-</w:t>
            </w:r>
          </w:p>
        </w:tc>
      </w:tr>
      <w:tr>
        <w:trPr>
          <w:trHeight w:val="18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(debt)/cash</w:t>
            </w:r>
          </w:p>
        </w:tc>
        <w:tc>
          <w:tcPr>
            <w:tcW w:w="436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(160,099)</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216,000</w:t>
            </w:r>
          </w:p>
        </w:tc>
      </w:tr>
      <w:tr>
        <w:trPr>
          <w:trHeight w:val="33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409,165</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370,956</w:t>
            </w:r>
          </w:p>
        </w:tc>
      </w:tr>
      <w:tr>
        <w:trPr>
          <w:trHeight w:val="17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173,649</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146,163</w:t>
            </w:r>
          </w:p>
        </w:tc>
      </w:tr>
      <w:tr>
        <w:trPr>
          <w:trHeight w:val="17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436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(318,697)</w:t>
            </w:r>
          </w:p>
        </w:tc>
        <w:tc>
          <w:tcPr>
            <w:tcW w:w="1920" w:type="dxa"/>
            <w:vAlign w:val="bottom"/>
          </w:tcPr>
          <w:p>
            <w:pPr>
              <w:jc w:val="center"/>
              <w:ind w:left="1008"/>
              <w:spacing w:after="0"/>
              <w:rPr>
                <w:sz w:val="20"/>
                <w:szCs w:val="20"/>
                <w:color w:val="auto"/>
              </w:rPr>
            </w:pPr>
            <w:r>
              <w:rPr>
                <w:rFonts w:ascii="Times New Roman" w:cs="Times New Roman" w:eastAsia="Times New Roman" w:hAnsi="Times New Roman"/>
                <w:sz w:val="14"/>
                <w:szCs w:val="14"/>
                <w:color w:val="auto"/>
              </w:rPr>
              <w:t>(280,097)</w:t>
            </w:r>
          </w:p>
        </w:tc>
      </w:tr>
      <w:tr>
        <w:trPr>
          <w:trHeight w:val="18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264,117</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237,022</w:t>
            </w:r>
          </w:p>
        </w:tc>
      </w:tr>
      <w:tr>
        <w:trPr>
          <w:trHeight w:val="35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292,633</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281,148</w:t>
            </w:r>
          </w:p>
        </w:tc>
      </w:tr>
      <w:tr>
        <w:trPr>
          <w:trHeight w:val="35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1,718,903</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1,528,850</w:t>
            </w:r>
          </w:p>
        </w:tc>
      </w:tr>
      <w:tr>
        <w:trPr>
          <w:trHeight w:val="35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43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764,195</w:t>
            </w:r>
          </w:p>
        </w:tc>
        <w:tc>
          <w:tcPr>
            <w:tcW w:w="19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950,206</w:t>
            </w:r>
          </w:p>
        </w:tc>
      </w:tr>
    </w:tbl>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230" w:lineRule="auto"/>
        <w:rPr>
          <w:sz w:val="20"/>
          <w:szCs w:val="20"/>
          <w:color w:val="auto"/>
        </w:rPr>
      </w:pPr>
      <w:r>
        <w:rPr>
          <w:rFonts w:ascii="Times New Roman" w:cs="Times New Roman" w:eastAsia="Times New Roman" w:hAnsi="Times New Roman"/>
          <w:sz w:val="22"/>
          <w:szCs w:val="22"/>
          <w:color w:val="auto"/>
        </w:rPr>
        <w:t>Investor Relations, 1-888-381-7923</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Brendan Brennan, + 353 1 291 2000</w:t>
      </w:r>
    </w:p>
    <w:p>
      <w:pPr>
        <w:spacing w:after="0" w:line="231" w:lineRule="auto"/>
        <w:rPr>
          <w:sz w:val="20"/>
          <w:szCs w:val="20"/>
          <w:color w:val="auto"/>
        </w:rPr>
      </w:pPr>
      <w:r>
        <w:rPr>
          <w:rFonts w:ascii="Times New Roman" w:cs="Times New Roman" w:eastAsia="Times New Roman" w:hAnsi="Times New Roman"/>
          <w:sz w:val="22"/>
          <w:szCs w:val="22"/>
          <w:color w:val="auto"/>
        </w:rPr>
        <w:t>CFO</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Simon Holmes, +353 1 291 2000</w:t>
      </w:r>
    </w:p>
    <w:p>
      <w:pPr>
        <w:spacing w:after="0" w:line="231" w:lineRule="auto"/>
        <w:rPr>
          <w:sz w:val="20"/>
          <w:szCs w:val="20"/>
          <w:color w:val="auto"/>
        </w:rPr>
      </w:pPr>
      <w:r>
        <w:rPr>
          <w:rFonts w:ascii="Times New Roman" w:cs="Times New Roman" w:eastAsia="Times New Roman" w:hAnsi="Times New Roman"/>
          <w:sz w:val="22"/>
          <w:szCs w:val="22"/>
          <w:color w:val="auto"/>
        </w:rPr>
        <w:t>EVP IR &amp; Corporate Development</w:t>
      </w:r>
    </w:p>
    <w:p>
      <w:pPr>
        <w:spacing w:after="0"/>
        <w:rPr>
          <w:sz w:val="20"/>
          <w:szCs w:val="20"/>
          <w:color w:val="auto"/>
        </w:rPr>
      </w:pPr>
      <w:r>
        <w:rPr>
          <w:rFonts w:ascii="Times New Roman" w:cs="Times New Roman" w:eastAsia="Times New Roman" w:hAnsi="Times New Roman"/>
          <w:sz w:val="22"/>
          <w:szCs w:val="22"/>
          <w:u w:val="single" w:color="auto"/>
          <w:color w:val="auto"/>
        </w:rPr>
        <w:t>http://www.iconplc.com</w:t>
      </w:r>
    </w:p>
    <w:sectPr>
      <w:pgSz w:w="11900" w:h="16838" w:orient="portrait"/>
      <w:cols w:equalWidth="0" w:num="1">
        <w:col w:w="10620"/>
      </w:cols>
      <w:pgMar w:left="240" w:top="304"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2019-12-06T22:13:34Z</dcterms:created>
  <dcterms:modified xsi:type="dcterms:W3CDTF">2019-12-06T22:13:34Z</dcterms:modified>
</cp:coreProperties>
</file>