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29"/>
          <w:szCs w:val="29"/>
          <w:b w:val="1"/>
          <w:bCs w:val="1"/>
          <w:color w:val="auto"/>
        </w:rPr>
        <w:t>FORM 6-K</w:t>
      </w:r>
    </w:p>
    <w:p>
      <w:pPr>
        <w:spacing w:after="0" w:line="342"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080"/>
        <w:spacing w:after="0"/>
        <w:rPr>
          <w:sz w:val="20"/>
          <w:szCs w:val="20"/>
          <w:color w:val="auto"/>
        </w:rPr>
      </w:pPr>
      <w:r>
        <w:rPr>
          <w:rFonts w:ascii="Arial" w:cs="Arial" w:eastAsia="Arial" w:hAnsi="Arial"/>
          <w:sz w:val="22"/>
          <w:szCs w:val="22"/>
          <w:color w:val="auto"/>
        </w:rPr>
        <w:t>For the month ended October, 2020</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ind w:left="488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6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Press Release issued October 21, 2020 - ICON Reports Third Quarter 2020 Results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480" w:type="dxa"/>
            <w:vAlign w:val="bottom"/>
            <w:vMerge w:val="restart"/>
          </w:tcPr>
          <w:p>
            <w:pPr>
              <w:spacing w:after="0"/>
              <w:rPr>
                <w:sz w:val="20"/>
                <w:szCs w:val="20"/>
                <w:color w:val="auto"/>
              </w:rPr>
            </w:pPr>
            <w:r>
              <w:rPr>
                <w:rFonts w:ascii="Arial" w:cs="Arial" w:eastAsia="Arial" w:hAnsi="Arial"/>
                <w:sz w:val="18"/>
                <w:szCs w:val="18"/>
                <w:color w:val="auto"/>
              </w:rPr>
              <w:t>Date: October 21, 2020</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480" w:type="dxa"/>
            <w:vAlign w:val="bottom"/>
            <w:vMerge w:val="continue"/>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Reports Third Quarter 2020 Results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Record net business wins in the quarter of $990 million; a book to bill of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-82550</wp:posOffset>
            </wp:positionV>
            <wp:extent cx="42545"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Record closing backlog of $9.4 billion, an increase of 11.8%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-82550</wp:posOffset>
            </wp:positionV>
            <wp:extent cx="4254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86" w:lineRule="exact"/>
        <w:rPr>
          <w:sz w:val="20"/>
          <w:szCs w:val="20"/>
          <w:color w:val="auto"/>
        </w:rPr>
      </w:pPr>
    </w:p>
    <w:p>
      <w:pPr>
        <w:ind w:left="540" w:right="220"/>
        <w:spacing w:after="0" w:line="256" w:lineRule="auto"/>
        <w:rPr>
          <w:sz w:val="20"/>
          <w:szCs w:val="20"/>
          <w:color w:val="auto"/>
        </w:rPr>
      </w:pPr>
      <w:r>
        <w:rPr>
          <w:rFonts w:ascii="Arial" w:cs="Arial" w:eastAsia="Arial" w:hAnsi="Arial"/>
          <w:sz w:val="22"/>
          <w:szCs w:val="22"/>
          <w:b w:val="1"/>
          <w:bCs w:val="1"/>
          <w:color w:val="auto"/>
        </w:rPr>
        <w:t>Quarter 3 reported revenue of $701.7 million representing a year on year decrease of 1.2% and 13.1% increase on Quarter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-264795</wp:posOffset>
            </wp:positionV>
            <wp:extent cx="42545"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42" w:lineRule="exact"/>
        <w:rPr>
          <w:sz w:val="20"/>
          <w:szCs w:val="20"/>
          <w:color w:val="auto"/>
        </w:rPr>
      </w:pPr>
    </w:p>
    <w:p>
      <w:pPr>
        <w:ind w:left="540" w:right="40"/>
        <w:spacing w:after="0" w:line="243" w:lineRule="auto"/>
        <w:rPr>
          <w:sz w:val="20"/>
          <w:szCs w:val="20"/>
          <w:color w:val="auto"/>
        </w:rPr>
      </w:pPr>
      <w:r>
        <w:rPr>
          <w:rFonts w:ascii="Arial" w:cs="Arial" w:eastAsia="Arial" w:hAnsi="Arial"/>
          <w:sz w:val="22"/>
          <w:szCs w:val="22"/>
          <w:b w:val="1"/>
          <w:bCs w:val="1"/>
          <w:color w:val="auto"/>
        </w:rPr>
        <w:t>Adjusted earnings per share attributable to the Group for the quarter of $1.72, compared to $1.74 in Quarter 3 2019. Year to date earnings per share* attributable to the group of $4.63, compared to $5.06 for the equivalent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-409575</wp:posOffset>
            </wp:positionV>
            <wp:extent cx="4254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57" w:lineRule="exact"/>
        <w:rPr>
          <w:sz w:val="20"/>
          <w:szCs w:val="20"/>
          <w:color w:val="auto"/>
        </w:rPr>
      </w:pPr>
    </w:p>
    <w:p>
      <w:pPr>
        <w:ind w:left="540" w:right="240"/>
        <w:spacing w:after="0" w:line="280" w:lineRule="auto"/>
        <w:rPr>
          <w:sz w:val="20"/>
          <w:szCs w:val="20"/>
          <w:color w:val="auto"/>
        </w:rPr>
      </w:pPr>
      <w:r>
        <w:rPr>
          <w:rFonts w:ascii="Arial" w:cs="Arial" w:eastAsia="Arial" w:hAnsi="Arial"/>
          <w:sz w:val="21"/>
          <w:szCs w:val="21"/>
          <w:b w:val="1"/>
          <w:bCs w:val="1"/>
          <w:color w:val="auto"/>
        </w:rPr>
        <w:t>Strong balance sheet and liquidity position remains, exceptional cash generation delivers net cash position of $360 million. Days sales outstanding reduced to 45 days from 56 days at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-280035</wp:posOffset>
            </wp:positionV>
            <wp:extent cx="4254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Successful refinance of the existing private placement $350 million senior notes on a delayed drawdown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-60960</wp:posOffset>
            </wp:positionV>
            <wp:extent cx="42545"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221" w:lineRule="exact"/>
        <w:rPr>
          <w:sz w:val="20"/>
          <w:szCs w:val="20"/>
          <w:color w:val="auto"/>
        </w:rPr>
      </w:pPr>
    </w:p>
    <w:p>
      <w:pPr>
        <w:ind w:left="540" w:right="460"/>
        <w:spacing w:after="0" w:line="256" w:lineRule="auto"/>
        <w:rPr>
          <w:sz w:val="20"/>
          <w:szCs w:val="20"/>
          <w:color w:val="auto"/>
        </w:rPr>
      </w:pPr>
      <w:r>
        <w:rPr>
          <w:rFonts w:ascii="Arial" w:cs="Arial" w:eastAsia="Arial" w:hAnsi="Arial"/>
          <w:sz w:val="22"/>
          <w:szCs w:val="22"/>
          <w:b w:val="1"/>
          <w:bCs w:val="1"/>
          <w:color w:val="auto"/>
        </w:rPr>
        <w:t>Raising full year 2020 revenue guidance to a range of $2,750 - $2,810 million. Full Year 2020 earnings per share guidance in the range of $6.35 - $6.50.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-264795</wp:posOffset>
            </wp:positionV>
            <wp:extent cx="4254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*before non-recurring charges.</w:t>
      </w:r>
    </w:p>
    <w:p>
      <w:pPr>
        <w:spacing w:after="0" w:line="206" w:lineRule="exact"/>
        <w:rPr>
          <w:sz w:val="20"/>
          <w:szCs w:val="20"/>
          <w:color w:val="auto"/>
        </w:rPr>
      </w:pPr>
    </w:p>
    <w:p>
      <w:pPr>
        <w:ind w:right="460"/>
        <w:spacing w:after="0" w:line="300" w:lineRule="auto"/>
        <w:rPr>
          <w:sz w:val="20"/>
          <w:szCs w:val="20"/>
          <w:color w:val="auto"/>
        </w:rPr>
      </w:pPr>
      <w:r>
        <w:rPr>
          <w:rFonts w:ascii="Arial" w:cs="Arial" w:eastAsia="Arial" w:hAnsi="Arial"/>
          <w:sz w:val="19"/>
          <w:szCs w:val="19"/>
          <w:color w:val="auto"/>
        </w:rPr>
        <w:t xml:space="preserve">DUBLIN--(BUSINESS WIRE)--October 21, 2020-- </w:t>
      </w:r>
      <w:r>
        <w:rPr>
          <w:rFonts w:ascii="Arial" w:cs="Arial" w:eastAsia="Arial" w:hAnsi="Arial"/>
          <w:sz w:val="19"/>
          <w:szCs w:val="19"/>
          <w:b w:val="1"/>
          <w:bCs w:val="1"/>
          <w:color w:val="auto"/>
        </w:rPr>
        <w:t>ICONplc (NASDAQ: ICLR),</w:t>
      </w:r>
      <w:r>
        <w:rPr>
          <w:rFonts w:ascii="Arial" w:cs="Arial" w:eastAsia="Arial" w:hAnsi="Arial"/>
          <w:sz w:val="19"/>
          <w:szCs w:val="19"/>
          <w:color w:val="auto"/>
        </w:rPr>
        <w:t xml:space="preserve"> a global provider of outsourced drug and device development and commercialisation services to pharmaceutical, biotechnology, medical device and government and public health organisations, today reported its financial results for the third quarter ended September 30, 2020.</w:t>
      </w:r>
    </w:p>
    <w:p>
      <w:pPr>
        <w:spacing w:after="0" w:line="13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 xml:space="preserve">CEO Dr. Steve Cutler commented, </w:t>
      </w:r>
      <w:r>
        <w:rPr>
          <w:rFonts w:ascii="Arial" w:cs="Arial" w:eastAsia="Arial" w:hAnsi="Arial"/>
          <w:sz w:val="22"/>
          <w:szCs w:val="22"/>
          <w:i w:val="1"/>
          <w:iCs w:val="1"/>
          <w:color w:val="auto"/>
        </w:rPr>
        <w:t>“Driven by positive market demand in conjunction with our ability to win COVID-19 related</w:t>
      </w:r>
      <w:r>
        <w:rPr>
          <w:rFonts w:ascii="Arial" w:cs="Arial" w:eastAsia="Arial" w:hAnsi="Arial"/>
          <w:sz w:val="22"/>
          <w:szCs w:val="22"/>
          <w:color w:val="auto"/>
        </w:rPr>
        <w:t xml:space="preserve"> </w:t>
      </w:r>
      <w:r>
        <w:rPr>
          <w:rFonts w:ascii="Arial" w:cs="Arial" w:eastAsia="Arial" w:hAnsi="Arial"/>
          <w:sz w:val="22"/>
          <w:szCs w:val="22"/>
          <w:i w:val="1"/>
          <w:iCs w:val="1"/>
          <w:color w:val="auto"/>
        </w:rPr>
        <w:t>opportunities we delivered a new record $990 million of net business wins during quarter three. This represented a quarterly book to bill of 1.41 and resulted in our backlog growing to $9.4 billion, an increase of 12% year over year. Our financial position remains robust with a strong balance sheet supplemented further by solid quarterly cash collections helping to improve days sales outstanding to 45 days.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21"/>
          <w:szCs w:val="21"/>
          <w:i w:val="1"/>
          <w:iCs w:val="1"/>
          <w:color w:val="auto"/>
        </w:rPr>
        <w:t>We remain well placed to face the challenges of COVID-19 and take advantage of opportunities into the future. We are therefore increasing our 2020 revenue guidance from a range of $2,650 million - $2,750 million to $2,750 million - $2,810 million and narrowing our earnings guidance from a range of $6.00 - $6.50 to a range of $6.35 - $6.50.”</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2020 Results</w:t>
      </w:r>
    </w:p>
    <w:p>
      <w:pPr>
        <w:spacing w:after="0" w:line="212"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Gross business wins in the third quarter were $1.2 billion and cancellations were $190 million. This resulted in net business wins of $990 million and a book to bill of 1.41.</w:t>
      </w:r>
    </w:p>
    <w:p>
      <w:pPr>
        <w:spacing w:after="0" w:line="175" w:lineRule="exact"/>
        <w:rPr>
          <w:sz w:val="20"/>
          <w:szCs w:val="20"/>
          <w:color w:val="auto"/>
        </w:rPr>
      </w:pPr>
    </w:p>
    <w:p>
      <w:pPr>
        <w:ind w:right="640"/>
        <w:spacing w:after="0" w:line="250" w:lineRule="auto"/>
        <w:rPr>
          <w:sz w:val="20"/>
          <w:szCs w:val="20"/>
          <w:color w:val="auto"/>
        </w:rPr>
      </w:pPr>
      <w:r>
        <w:rPr>
          <w:rFonts w:ascii="Arial" w:cs="Arial" w:eastAsia="Arial" w:hAnsi="Arial"/>
          <w:sz w:val="22"/>
          <w:szCs w:val="22"/>
          <w:color w:val="auto"/>
        </w:rPr>
        <w:t>Reported revenue for Quarter 3 was $701.7 million. This represents a year on year decrease of 1.2% or 1.9% on a constant currency basis.</w:t>
      </w:r>
    </w:p>
    <w:p>
      <w:pPr>
        <w:spacing w:after="0" w:line="175"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Reported income from operations in the quarter was $108.4 million or 15.4% of revenue compared to $110.0 million or 15.5% of revenue for Quarter 3 2019.</w:t>
      </w:r>
    </w:p>
    <w:p>
      <w:pPr>
        <w:spacing w:after="0" w:line="175" w:lineRule="exact"/>
        <w:rPr>
          <w:sz w:val="20"/>
          <w:szCs w:val="20"/>
          <w:color w:val="auto"/>
        </w:rPr>
      </w:pPr>
    </w:p>
    <w:p>
      <w:pPr>
        <w:ind w:right="640"/>
        <w:spacing w:after="0" w:line="250" w:lineRule="auto"/>
        <w:rPr>
          <w:sz w:val="20"/>
          <w:szCs w:val="20"/>
          <w:color w:val="auto"/>
        </w:rPr>
      </w:pPr>
      <w:r>
        <w:rPr>
          <w:rFonts w:ascii="Arial" w:cs="Arial" w:eastAsia="Arial" w:hAnsi="Arial"/>
          <w:sz w:val="22"/>
          <w:szCs w:val="22"/>
          <w:color w:val="auto"/>
        </w:rPr>
        <w:t>Reported net income attributable to the Group for the quarter was $91.6 million or 13.1% of revenue compared with $94.8 million or 13.3% of revenue in Quarter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60"/>
        <w:spacing w:after="0"/>
        <w:rPr>
          <w:sz w:val="20"/>
          <w:szCs w:val="20"/>
          <w:color w:val="auto"/>
        </w:rPr>
      </w:pPr>
      <w:r>
        <w:rPr>
          <w:rFonts w:ascii="Arial" w:cs="Arial" w:eastAsia="Arial" w:hAnsi="Arial"/>
          <w:sz w:val="22"/>
          <w:szCs w:val="22"/>
          <w:color w:val="auto"/>
        </w:rPr>
        <w:t>Adjusted earnings per share attributable to the Group on a diluted basis was $1.72, compared to $1.74 per share for Quarter 3 2019. GAAP earnings per share attributable to the Group on a diluted basis was $1.72, compared to $1.72 per share for Quarter 3 2019.</w:t>
      </w:r>
    </w:p>
    <w:p>
      <w:pPr>
        <w:spacing w:after="0" w:line="186"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On a comparative basis, non-GAAP days sales outstanding were 45 days at September 30, 2020, compared with 53 days at the end of June 2020 and 56 Days at the end of September 2019.</w:t>
      </w:r>
    </w:p>
    <w:p>
      <w:pPr>
        <w:spacing w:after="0" w:line="175" w:lineRule="exact"/>
        <w:rPr>
          <w:sz w:val="20"/>
          <w:szCs w:val="20"/>
          <w:color w:val="auto"/>
        </w:rPr>
      </w:pPr>
    </w:p>
    <w:p>
      <w:pPr>
        <w:ind w:right="80"/>
        <w:spacing w:after="0"/>
        <w:rPr>
          <w:sz w:val="20"/>
          <w:szCs w:val="20"/>
          <w:color w:val="auto"/>
        </w:rPr>
      </w:pPr>
      <w:r>
        <w:rPr>
          <w:rFonts w:ascii="Arial" w:cs="Arial" w:eastAsia="Arial" w:hAnsi="Arial"/>
          <w:sz w:val="22"/>
          <w:szCs w:val="22"/>
          <w:color w:val="auto"/>
        </w:rPr>
        <w:t>Cash generated from operating activities for the quarter was $112.0 million and capital expenditure was $6.9 million. As a result, at September 30, 2020, the Group had net cash of $359.8 million, compared to net cash of $244.0 million at June 30, 2020 and net cash of $121.7 million at the end of September 2019.</w:t>
      </w:r>
    </w:p>
    <w:p>
      <w:pPr>
        <w:spacing w:after="0" w:line="186"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During the quarter the company completed the successful refinance of the existing private placement of $350 million senior notes maturing on December 15, 2020. The transaction has been successfully priced over three and five year tenors at a blended rate of 2.41% compared to the current private placement blended rate of 3.37%. The drawdown of funds will coincide with the maturity of the senior notes in December 2020.</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Year to date 2020 Results</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Gross business wins year to date were $3.3 billion and cancellations were $520 million. This resulted in net business wins of $2.8 billion and a book to bill of 1.36.</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Year to date reported revenue was $2,037 million. This represents a year on year decrease of 2.1% or 2.0% on a constant currency basis.</w:t>
      </w:r>
    </w:p>
    <w:p>
      <w:pPr>
        <w:spacing w:after="0" w:line="17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Reported income from operations* year to date was $289.7 million or 14.2% of revenue compared to $318.1 million or 15.3% of revenue for the equivalent prior year period.</w:t>
      </w:r>
    </w:p>
    <w:p>
      <w:pPr>
        <w:spacing w:after="0" w:line="175" w:lineRule="exact"/>
        <w:rPr>
          <w:sz w:val="20"/>
          <w:szCs w:val="20"/>
          <w:color w:val="auto"/>
        </w:rPr>
      </w:pPr>
    </w:p>
    <w:p>
      <w:pPr>
        <w:ind w:right="560"/>
        <w:spacing w:after="0" w:line="250" w:lineRule="auto"/>
        <w:rPr>
          <w:sz w:val="20"/>
          <w:szCs w:val="20"/>
          <w:color w:val="auto"/>
        </w:rPr>
      </w:pPr>
      <w:r>
        <w:rPr>
          <w:rFonts w:ascii="Arial" w:cs="Arial" w:eastAsia="Arial" w:hAnsi="Arial"/>
          <w:sz w:val="22"/>
          <w:szCs w:val="22"/>
          <w:color w:val="auto"/>
        </w:rPr>
        <w:t>Reported net income* attributable to the Group year to date was $246.9 million or 12.1% of revenue compared with $275.0 million or 13.2% of revenue for the equivalent prior year period.</w:t>
      </w:r>
    </w:p>
    <w:p>
      <w:pPr>
        <w:spacing w:after="0" w:line="175" w:lineRule="exact"/>
        <w:rPr>
          <w:sz w:val="20"/>
          <w:szCs w:val="20"/>
          <w:color w:val="auto"/>
        </w:rPr>
      </w:pPr>
    </w:p>
    <w:p>
      <w:pPr>
        <w:ind w:right="860"/>
        <w:spacing w:after="0" w:line="250" w:lineRule="auto"/>
        <w:rPr>
          <w:sz w:val="20"/>
          <w:szCs w:val="20"/>
          <w:color w:val="auto"/>
        </w:rPr>
      </w:pPr>
      <w:r>
        <w:rPr>
          <w:rFonts w:ascii="Arial" w:cs="Arial" w:eastAsia="Arial" w:hAnsi="Arial"/>
          <w:sz w:val="22"/>
          <w:szCs w:val="22"/>
          <w:color w:val="auto"/>
        </w:rPr>
        <w:t>Adjusted earnings per share* attributable to the Group on a diluted basis was $4.63, compared to $5.06 per share for the equivalent prior year period.</w:t>
      </w:r>
    </w:p>
    <w:p>
      <w:pPr>
        <w:spacing w:after="0" w:line="175"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During the year the company recorded a charge of $18.1 million in relation to restructuring costs. US GAAP income from operations year to date amounted to $271.6 million or 13.3% of revenue. US GAAP net income attributable to the Group year to date was $231.1 million or $4.25 per diluted share, compared to $5.03 per share for the equivalent prior year period.</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*before non-recurring charges.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COVID-19 Update</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ICON continues to closely monitor and assess the evolving pandemic situation. The welfare and safety of ICON’s employees, customers and patients remains the Company’s highest priority. ICON is taking guidance from global health authorities, such as World Health Organisation (WHO) and Centers for Disease Control and Prevention (CDC), as well as regional health authorities and governments to ensure that ICON protects the safety and welfare of employees and abides by government directives in various jurisdictions.</w:t>
      </w:r>
    </w:p>
    <w:p>
      <w:pPr>
        <w:spacing w:after="0" w:line="187" w:lineRule="exact"/>
        <w:rPr>
          <w:sz w:val="20"/>
          <w:szCs w:val="20"/>
          <w:color w:val="auto"/>
        </w:rPr>
      </w:pPr>
    </w:p>
    <w:p>
      <w:pPr>
        <w:ind w:right="340"/>
        <w:spacing w:after="0" w:line="297" w:lineRule="auto"/>
        <w:rPr>
          <w:sz w:val="20"/>
          <w:szCs w:val="20"/>
          <w:color w:val="auto"/>
        </w:rPr>
      </w:pPr>
      <w:r>
        <w:rPr>
          <w:rFonts w:ascii="Arial" w:cs="Arial" w:eastAsia="Arial" w:hAnsi="Arial"/>
          <w:sz w:val="19"/>
          <w:szCs w:val="19"/>
          <w:color w:val="auto"/>
        </w:rPr>
        <w:t>COVID-19 continues to affect our global business. However, the impact has reduced in recent months as sites reopened and patient recruitment gradually improved. Where on-site monitoring is not possible we continue to use alternative approaches including remote and risk based monitoring and ‘at home’ services delivered through our Symphony Clinical Research group.</w:t>
      </w:r>
    </w:p>
    <w:p>
      <w:pPr>
        <w:spacing w:after="0" w:line="134" w:lineRule="exact"/>
        <w:rPr>
          <w:sz w:val="20"/>
          <w:szCs w:val="20"/>
          <w:color w:val="auto"/>
        </w:rPr>
      </w:pPr>
    </w:p>
    <w:p>
      <w:pPr>
        <w:ind w:right="60"/>
        <w:spacing w:after="0"/>
        <w:rPr>
          <w:sz w:val="20"/>
          <w:szCs w:val="20"/>
          <w:color w:val="auto"/>
        </w:rPr>
      </w:pPr>
      <w:r>
        <w:rPr>
          <w:rFonts w:ascii="Arial" w:cs="Arial" w:eastAsia="Arial" w:hAnsi="Arial"/>
          <w:sz w:val="22"/>
          <w:szCs w:val="22"/>
          <w:color w:val="auto"/>
        </w:rPr>
        <w:t>Since February, ICON has mobilised its vaccine resources to address the COVID-19 global threat, including its ability to conduct home-based trials to minimise infection. The company is currently providing clinical monitoring and safety oversight on more than 100 COVID-19 trials for both the private and government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Other Information</w:t>
      </w:r>
    </w:p>
    <w:p>
      <w:pPr>
        <w:spacing w:after="0" w:line="212" w:lineRule="exact"/>
        <w:rPr>
          <w:sz w:val="20"/>
          <w:szCs w:val="20"/>
          <w:color w:val="auto"/>
        </w:rPr>
      </w:pPr>
    </w:p>
    <w:p>
      <w:pPr>
        <w:jc w:val="both"/>
        <w:ind w:right="12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color w:val="auto"/>
        </w:rPr>
        <w:t>Adjusted earnings per share attributable to the Group (Non-GAAP) has been computed by dividing non-GAAP net income attributable to the Group by the weighted average number of shares outstanding. GAAP earnings per share attributable to the Group has been computed by dividing net income attributable to the Group plus a GAAP charge associated with non-controlling interest in MeDiNova Research (“MeDiNova”) by the weighted average number of shares outstanding. ICON purchased a majority shareholding in MeDiNova on May 23, 2019. ICON exercised its call on the outstanding shares in MeDiNova and derecognized the non-controlling interest effective from March 2020.</w:t>
      </w:r>
    </w:p>
    <w:p>
      <w:pPr>
        <w:spacing w:after="0" w:line="177"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The Company entered into an agreement with a third party to jointly establish Oncacare. Oncacare will operate a specialized oncology site network in the US and EMEA regions. The Company holds a 49% interest in the voting share capital of Oncacare. The Company’s investment in Oncacare is accounted for under the equity method and records its pro rata share of the earnings/losses of this investment in Share of equity method investments in the Condensed Consolidated Statement of Operations.</w:t>
      </w:r>
    </w:p>
    <w:p>
      <w:pPr>
        <w:spacing w:after="0" w:line="181"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ICON will hold its third quarter conference call tomorrow, October 22</w:t>
      </w:r>
      <w:r>
        <w:rPr>
          <w:rFonts w:ascii="Arial" w:cs="Arial" w:eastAsia="Arial" w:hAnsi="Arial"/>
          <w:sz w:val="32"/>
          <w:szCs w:val="32"/>
          <w:color w:val="auto"/>
          <w:vertAlign w:val="superscript"/>
        </w:rPr>
        <w:t>nd</w:t>
      </w:r>
      <w:r>
        <w:rPr>
          <w:rFonts w:ascii="Arial" w:cs="Arial" w:eastAsia="Arial" w:hAnsi="Arial"/>
          <w:sz w:val="20"/>
          <w:szCs w:val="20"/>
          <w:color w:val="auto"/>
        </w:rPr>
        <w:t>, 2020 at 9:00 EDT [14:00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200" w:lineRule="exact"/>
        <w:rPr>
          <w:sz w:val="20"/>
          <w:szCs w:val="20"/>
          <w:color w:val="auto"/>
        </w:rPr>
      </w:pPr>
    </w:p>
    <w:p>
      <w:pPr>
        <w:spacing w:after="0" w:line="207"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15,250 employees in 94 locations in 40 countries as at September 30, 2020. Further information is available at www.iconplc.com.</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38" w:lineRule="auto"/>
        <w:rPr>
          <w:sz w:val="20"/>
          <w:szCs w:val="20"/>
          <w:color w:val="auto"/>
        </w:rPr>
      </w:pPr>
      <w:r>
        <w:rPr>
          <w:rFonts w:ascii="Arial" w:cs="Arial" w:eastAsia="Arial" w:hAnsi="Arial"/>
          <w:sz w:val="22"/>
          <w:szCs w:val="22"/>
          <w:color w:val="auto"/>
        </w:rPr>
        <w:t>Contact: Investor Relations +1888 381 7923 or</w:t>
      </w:r>
    </w:p>
    <w:p>
      <w:pPr>
        <w:spacing w:after="0" w:line="230" w:lineRule="auto"/>
        <w:rPr>
          <w:sz w:val="20"/>
          <w:szCs w:val="20"/>
          <w:color w:val="auto"/>
        </w:rPr>
      </w:pPr>
      <w:r>
        <w:rPr>
          <w:rFonts w:ascii="Arial" w:cs="Arial" w:eastAsia="Arial" w:hAnsi="Arial"/>
          <w:sz w:val="22"/>
          <w:szCs w:val="22"/>
          <w:color w:val="auto"/>
        </w:rPr>
        <w:t>Brendan Brennan Chief Financial Officer +353 1 291 2000</w:t>
      </w:r>
    </w:p>
    <w:p>
      <w:pPr>
        <w:spacing w:after="0" w:line="231" w:lineRule="auto"/>
        <w:rPr>
          <w:sz w:val="20"/>
          <w:szCs w:val="20"/>
          <w:color w:val="auto"/>
        </w:rPr>
      </w:pPr>
      <w:r>
        <w:rPr>
          <w:rFonts w:ascii="Arial" w:cs="Arial" w:eastAsia="Arial" w:hAnsi="Arial"/>
          <w:sz w:val="22"/>
          <w:szCs w:val="22"/>
          <w:color w:val="auto"/>
        </w:rPr>
        <w:t>Jonathan Curtain Vice President Corporate Finance and Investor Relations +353 1 291 2000</w:t>
      </w:r>
    </w:p>
    <w:p>
      <w:pPr>
        <w:spacing w:after="0"/>
        <w:rPr>
          <w:sz w:val="20"/>
          <w:szCs w:val="20"/>
          <w:color w:val="auto"/>
        </w:rPr>
      </w:pPr>
      <w:r>
        <w:rPr>
          <w:rFonts w:ascii="Arial" w:cs="Arial" w:eastAsia="Arial" w:hAnsi="Arial"/>
          <w:sz w:val="22"/>
          <w:szCs w:val="22"/>
          <w:color w:val="auto"/>
        </w:rPr>
        <w:t>All at 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22"/>
          <w:szCs w:val="22"/>
          <w:b w:val="1"/>
          <w:bCs w:val="1"/>
          <w:color w:val="auto"/>
        </w:rPr>
        <w:t>ICON plc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ind w:right="40"/>
        <w:spacing w:after="0" w:line="230" w:lineRule="auto"/>
        <w:rPr>
          <w:sz w:val="20"/>
          <w:szCs w:val="20"/>
          <w:color w:val="auto"/>
        </w:rPr>
      </w:pPr>
      <w:r>
        <w:rPr>
          <w:rFonts w:ascii="Arial" w:cs="Arial" w:eastAsia="Arial" w:hAnsi="Arial"/>
          <w:sz w:val="22"/>
          <w:szCs w:val="22"/>
          <w:b w:val="1"/>
          <w:bCs w:val="1"/>
          <w:color w:val="auto"/>
        </w:rPr>
        <w:t>(Non-GAAP)</w:t>
      </w:r>
    </w:p>
    <w:p>
      <w:pPr>
        <w:jc w:val="center"/>
        <w:ind w:right="40"/>
        <w:spacing w:after="0" w:line="231" w:lineRule="auto"/>
        <w:rPr>
          <w:sz w:val="20"/>
          <w:szCs w:val="20"/>
          <w:color w:val="auto"/>
        </w:rPr>
      </w:pPr>
      <w:r>
        <w:rPr>
          <w:rFonts w:ascii="Arial" w:cs="Arial" w:eastAsia="Arial" w:hAnsi="Arial"/>
          <w:sz w:val="22"/>
          <w:szCs w:val="22"/>
          <w:b w:val="1"/>
          <w:bCs w:val="1"/>
          <w:color w:val="auto"/>
        </w:rPr>
        <w:t>Three and Nine Months ended September 30, 2020 and September 30, 2019</w:t>
      </w:r>
    </w:p>
    <w:p>
      <w:pPr>
        <w:jc w:val="center"/>
        <w:ind w:right="40"/>
        <w:spacing w:after="0" w:line="230" w:lineRule="auto"/>
        <w:rPr>
          <w:sz w:val="20"/>
          <w:szCs w:val="20"/>
          <w:color w:val="auto"/>
        </w:rPr>
      </w:pPr>
      <w:r>
        <w:rPr>
          <w:rFonts w:ascii="Arial" w:cs="Arial" w:eastAsia="Arial" w:hAnsi="Arial"/>
          <w:sz w:val="22"/>
          <w:szCs w:val="22"/>
          <w:b w:val="1"/>
          <w:bCs w:val="1"/>
          <w:color w:val="auto"/>
        </w:rPr>
        <w:t>(Dollars, 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Three Months Ended</w:t>
            </w:r>
          </w:p>
        </w:tc>
        <w:tc>
          <w:tcPr>
            <w:tcW w:w="1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Nine Months Ended</w:t>
            </w:r>
          </w:p>
        </w:tc>
        <w:tc>
          <w:tcPr>
            <w:tcW w:w="1340" w:type="dxa"/>
            <w:vAlign w:val="bottom"/>
          </w:tcPr>
          <w:p>
            <w:pPr>
              <w:spacing w:after="0"/>
              <w:rPr>
                <w:sz w:val="20"/>
                <w:szCs w:val="20"/>
                <w:color w:val="auto"/>
              </w:rPr>
            </w:pPr>
          </w:p>
        </w:tc>
      </w:tr>
      <w:tr>
        <w:trPr>
          <w:trHeight w:val="250"/>
        </w:trPr>
        <w:tc>
          <w:tcPr>
            <w:tcW w:w="136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352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September SeptemberSeptemberSeptember</w:t>
            </w:r>
          </w:p>
        </w:tc>
        <w:tc>
          <w:tcPr>
            <w:tcW w:w="1340" w:type="dxa"/>
            <w:vAlign w:val="bottom"/>
          </w:tcPr>
          <w:p>
            <w:pPr>
              <w:spacing w:after="0"/>
              <w:rPr>
                <w:sz w:val="21"/>
                <w:szCs w:val="21"/>
                <w:color w:val="auto"/>
              </w:rPr>
            </w:pPr>
          </w:p>
        </w:tc>
      </w:tr>
      <w:tr>
        <w:trPr>
          <w:trHeight w:val="236"/>
        </w:trPr>
        <w:tc>
          <w:tcPr>
            <w:tcW w:w="13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30, 2020</w:t>
            </w: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30, 2019</w:t>
            </w: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30, 2020</w:t>
            </w: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30, 2019</w:t>
            </w:r>
          </w:p>
        </w:tc>
        <w:tc>
          <w:tcPr>
            <w:tcW w:w="1340" w:type="dxa"/>
            <w:vAlign w:val="bottom"/>
          </w:tcPr>
          <w:p>
            <w:pPr>
              <w:spacing w:after="0"/>
              <w:rPr>
                <w:sz w:val="20"/>
                <w:szCs w:val="20"/>
                <w:color w:val="auto"/>
              </w:rPr>
            </w:pPr>
          </w:p>
        </w:tc>
      </w:tr>
      <w:tr>
        <w:trPr>
          <w:trHeight w:val="230"/>
        </w:trPr>
        <w:tc>
          <w:tcPr>
            <w:tcW w:w="13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701,729</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710,441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2,037,059</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2,080,430</w:t>
            </w:r>
          </w:p>
        </w:tc>
        <w:tc>
          <w:tcPr>
            <w:tcW w:w="1340" w:type="dxa"/>
            <w:vAlign w:val="bottom"/>
          </w:tcPr>
          <w:p>
            <w:pPr>
              <w:spacing w:after="0"/>
              <w:rPr>
                <w:sz w:val="20"/>
                <w:szCs w:val="20"/>
                <w:color w:val="auto"/>
              </w:rPr>
            </w:pPr>
          </w:p>
        </w:tc>
      </w:tr>
      <w:tr>
        <w:trPr>
          <w:trHeight w:val="485"/>
        </w:trPr>
        <w:tc>
          <w:tcPr>
            <w:tcW w:w="13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3"/>
        </w:trPr>
        <w:tc>
          <w:tcPr>
            <w:tcW w:w="136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 costs</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0"/>
              </w:rPr>
              <w:t>(493,410)</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w w:val="96"/>
              </w:rPr>
              <w:t>(499,791) (1,444,536)(1,465,944)</w:t>
            </w:r>
          </w:p>
        </w:tc>
        <w:tc>
          <w:tcPr>
            <w:tcW w:w="1340" w:type="dxa"/>
            <w:vAlign w:val="bottom"/>
          </w:tcPr>
          <w:p>
            <w:pPr>
              <w:spacing w:after="0"/>
              <w:rPr>
                <w:sz w:val="21"/>
                <w:szCs w:val="21"/>
                <w:color w:val="auto"/>
              </w:rPr>
            </w:pPr>
          </w:p>
        </w:tc>
      </w:tr>
      <w:tr>
        <w:trPr>
          <w:trHeight w:val="243"/>
        </w:trPr>
        <w:tc>
          <w:tcPr>
            <w:tcW w:w="136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2"/>
              </w:rPr>
              <w:t>(83,117)</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(85,449)</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(253,812)</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(250,564)</w:t>
            </w:r>
          </w:p>
        </w:tc>
        <w:tc>
          <w:tcPr>
            <w:tcW w:w="1340" w:type="dxa"/>
            <w:vAlign w:val="bottom"/>
          </w:tcPr>
          <w:p>
            <w:pPr>
              <w:spacing w:after="0"/>
              <w:rPr>
                <w:sz w:val="21"/>
                <w:szCs w:val="21"/>
                <w:color w:val="auto"/>
              </w:rPr>
            </w:pPr>
          </w:p>
        </w:tc>
      </w:tr>
      <w:tr>
        <w:trPr>
          <w:trHeight w:val="250"/>
        </w:trPr>
        <w:tc>
          <w:tcPr>
            <w:tcW w:w="1360" w:type="dxa"/>
            <w:vAlign w:val="bottom"/>
          </w:tcPr>
          <w:p>
            <w:pPr>
              <w:spacing w:after="0"/>
              <w:rPr>
                <w:sz w:val="21"/>
                <w:szCs w:val="21"/>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(16,801)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(15,157)</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(48,981)</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(45,842)</w:t>
            </w:r>
          </w:p>
        </w:tc>
        <w:tc>
          <w:tcPr>
            <w:tcW w:w="1340" w:type="dxa"/>
            <w:vAlign w:val="bottom"/>
          </w:tcPr>
          <w:p>
            <w:pPr>
              <w:spacing w:after="0"/>
              <w:rPr>
                <w:sz w:val="21"/>
                <w:szCs w:val="21"/>
                <w:color w:val="auto"/>
              </w:rPr>
            </w:pPr>
          </w:p>
        </w:tc>
      </w:tr>
      <w:tr>
        <w:trPr>
          <w:trHeight w:val="479"/>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(593,328)</w:t>
            </w: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(600,397) (1,747,329)(1,762,350)</w:t>
            </w:r>
          </w:p>
        </w:tc>
        <w:tc>
          <w:tcPr>
            <w:tcW w:w="134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9"/>
              </w:rPr>
              <w:t>108,401</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110,044</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289,730</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318,080</w:t>
            </w:r>
          </w:p>
        </w:tc>
        <w:tc>
          <w:tcPr>
            <w:tcW w:w="1340" w:type="dxa"/>
            <w:vAlign w:val="bottom"/>
          </w:tcPr>
          <w:p>
            <w:pPr>
              <w:spacing w:after="0"/>
              <w:rPr>
                <w:sz w:val="24"/>
                <w:szCs w:val="24"/>
                <w:color w:val="auto"/>
              </w:rPr>
            </w:pPr>
          </w:p>
        </w:tc>
      </w:tr>
      <w:tr>
        <w:trPr>
          <w:trHeight w:val="493"/>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expense</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(2,971)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(1,541)</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(7,122)</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(4,569)</w:t>
            </w:r>
          </w:p>
        </w:tc>
        <w:tc>
          <w:tcPr>
            <w:tcW w:w="134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9"/>
              </w:rPr>
              <w:t>105,430</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108,503</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282,608</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313,511</w:t>
            </w:r>
          </w:p>
        </w:tc>
        <w:tc>
          <w:tcPr>
            <w:tcW w:w="1340" w:type="dxa"/>
            <w:vAlign w:val="bottom"/>
          </w:tcPr>
          <w:p>
            <w:pPr>
              <w:spacing w:after="0"/>
              <w:rPr>
                <w:sz w:val="24"/>
                <w:szCs w:val="24"/>
                <w:color w:val="auto"/>
              </w:rPr>
            </w:pPr>
          </w:p>
        </w:tc>
      </w:tr>
      <w:tr>
        <w:trPr>
          <w:trHeight w:val="493"/>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(13,706)</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(13,020)</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(34,967)</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(37,516)</w:t>
            </w:r>
          </w:p>
        </w:tc>
        <w:tc>
          <w:tcPr>
            <w:tcW w:w="134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w w:val="89"/>
              </w:rPr>
              <w:t>Income before share of earnings from equity method investments</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0"/>
              </w:rPr>
              <w:t>91,724</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95,483</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247,641</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275,995</w:t>
            </w:r>
          </w:p>
        </w:tc>
        <w:tc>
          <w:tcPr>
            <w:tcW w:w="1340" w:type="dxa"/>
            <w:vAlign w:val="bottom"/>
          </w:tcPr>
          <w:p>
            <w:pPr>
              <w:spacing w:after="0"/>
              <w:rPr>
                <w:sz w:val="24"/>
                <w:szCs w:val="24"/>
                <w:color w:val="auto"/>
              </w:rPr>
            </w:pPr>
          </w:p>
        </w:tc>
      </w:tr>
      <w:tr>
        <w:trPr>
          <w:trHeight w:val="493"/>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of equity method investments</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(83)</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(83)</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0"/>
              </w:rPr>
              <w:t>91,641</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95,483</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247,558</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275,995</w:t>
            </w:r>
          </w:p>
        </w:tc>
        <w:tc>
          <w:tcPr>
            <w:tcW w:w="1340" w:type="dxa"/>
            <w:vAlign w:val="bottom"/>
          </w:tcPr>
          <w:p>
            <w:pPr>
              <w:spacing w:after="0"/>
              <w:rPr>
                <w:sz w:val="24"/>
                <w:szCs w:val="24"/>
                <w:color w:val="auto"/>
              </w:rPr>
            </w:pPr>
          </w:p>
        </w:tc>
      </w:tr>
      <w:tr>
        <w:trPr>
          <w:trHeight w:val="493"/>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(658)</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(633)</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(1,016)</w:t>
            </w:r>
          </w:p>
        </w:tc>
        <w:tc>
          <w:tcPr>
            <w:tcW w:w="1340" w:type="dxa"/>
            <w:vAlign w:val="bottom"/>
          </w:tcPr>
          <w:p>
            <w:pPr>
              <w:spacing w:after="0"/>
              <w:rPr>
                <w:sz w:val="24"/>
                <w:szCs w:val="24"/>
                <w:color w:val="auto"/>
              </w:rPr>
            </w:pPr>
          </w:p>
        </w:tc>
      </w:tr>
      <w:tr>
        <w:trPr>
          <w:trHeight w:val="480"/>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91,641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94,825</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246,925</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274,979</w:t>
            </w:r>
          </w:p>
        </w:tc>
        <w:tc>
          <w:tcPr>
            <w:tcW w:w="134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5"/>
              </w:rPr>
              <w:t>Adjusted net income per Ordinary Share attributable to the Group:</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93"/>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basic (non-GAAP)</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$1.74</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$1.76</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$4.67</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$5.10</w:t>
            </w:r>
          </w:p>
        </w:tc>
        <w:tc>
          <w:tcPr>
            <w:tcW w:w="1340" w:type="dxa"/>
            <w:vAlign w:val="bottom"/>
          </w:tcPr>
          <w:p>
            <w:pPr>
              <w:spacing w:after="0"/>
              <w:rPr>
                <w:sz w:val="24"/>
                <w:szCs w:val="24"/>
                <w:color w:val="auto"/>
              </w:rPr>
            </w:pPr>
          </w:p>
        </w:tc>
      </w:tr>
      <w:tr>
        <w:trPr>
          <w:trHeight w:val="479"/>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diluted (non-GAAP)</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$1.72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$1.74</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$4.63</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$5.06</w:t>
            </w:r>
          </w:p>
        </w:tc>
        <w:tc>
          <w:tcPr>
            <w:tcW w:w="134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93"/>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52,737,299</w:t>
            </w:r>
          </w:p>
        </w:tc>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54,004,963 52,885,252 53,935,939</w:t>
            </w:r>
          </w:p>
        </w:tc>
        <w:tc>
          <w:tcPr>
            <w:tcW w:w="1340" w:type="dxa"/>
            <w:vAlign w:val="bottom"/>
          </w:tcPr>
          <w:p>
            <w:pPr>
              <w:spacing w:after="0"/>
              <w:rPr>
                <w:sz w:val="24"/>
                <w:szCs w:val="24"/>
                <w:color w:val="auto"/>
              </w:rPr>
            </w:pPr>
          </w:p>
        </w:tc>
      </w:tr>
      <w:tr>
        <w:trPr>
          <w:trHeight w:val="480"/>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53,194,327</w:t>
            </w:r>
          </w:p>
        </w:tc>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54,550,672 53,283,680 54,386,066</w:t>
            </w:r>
          </w:p>
        </w:tc>
        <w:tc>
          <w:tcPr>
            <w:tcW w:w="1340" w:type="dxa"/>
            <w:vAlign w:val="bottom"/>
          </w:tcPr>
          <w:p>
            <w:pPr>
              <w:spacing w:after="0"/>
              <w:rPr>
                <w:sz w:val="24"/>
                <w:szCs w:val="24"/>
                <w:color w:val="auto"/>
              </w:rPr>
            </w:pPr>
          </w:p>
        </w:tc>
      </w:tr>
      <w:tr>
        <w:trPr>
          <w:trHeight w:val="911"/>
        </w:trPr>
        <w:tc>
          <w:tcPr>
            <w:tcW w:w="13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2"/>
          <w:szCs w:val="22"/>
          <w:b w:val="1"/>
          <w:bCs w:val="1"/>
          <w:color w:val="auto"/>
        </w:rPr>
        <w:t>ICON plc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ind w:right="40"/>
        <w:spacing w:after="0" w:line="230" w:lineRule="auto"/>
        <w:rPr>
          <w:sz w:val="20"/>
          <w:szCs w:val="20"/>
          <w:color w:val="auto"/>
        </w:rPr>
      </w:pPr>
      <w:r>
        <w:rPr>
          <w:rFonts w:ascii="Arial" w:cs="Arial" w:eastAsia="Arial" w:hAnsi="Arial"/>
          <w:sz w:val="22"/>
          <w:szCs w:val="22"/>
          <w:b w:val="1"/>
          <w:bCs w:val="1"/>
          <w:color w:val="auto"/>
        </w:rPr>
        <w:t>(US GAAP)</w:t>
      </w:r>
    </w:p>
    <w:p>
      <w:pPr>
        <w:jc w:val="center"/>
        <w:ind w:right="40"/>
        <w:spacing w:after="0" w:line="231" w:lineRule="auto"/>
        <w:rPr>
          <w:sz w:val="20"/>
          <w:szCs w:val="20"/>
          <w:color w:val="auto"/>
        </w:rPr>
      </w:pPr>
      <w:r>
        <w:rPr>
          <w:rFonts w:ascii="Arial" w:cs="Arial" w:eastAsia="Arial" w:hAnsi="Arial"/>
          <w:sz w:val="22"/>
          <w:szCs w:val="22"/>
          <w:b w:val="1"/>
          <w:bCs w:val="1"/>
          <w:color w:val="auto"/>
        </w:rPr>
        <w:t>Three and Nine Months ended September 30, 2020 and September 30, 2019</w:t>
      </w:r>
    </w:p>
    <w:p>
      <w:pPr>
        <w:jc w:val="center"/>
        <w:ind w:right="40"/>
        <w:spacing w:after="0" w:line="230" w:lineRule="auto"/>
        <w:rPr>
          <w:sz w:val="20"/>
          <w:szCs w:val="20"/>
          <w:color w:val="auto"/>
        </w:rPr>
      </w:pPr>
      <w:r>
        <w:rPr>
          <w:rFonts w:ascii="Arial" w:cs="Arial" w:eastAsia="Arial" w:hAnsi="Arial"/>
          <w:sz w:val="22"/>
          <w:szCs w:val="22"/>
          <w:b w:val="1"/>
          <w:bCs w:val="1"/>
          <w:color w:val="auto"/>
        </w:rPr>
        <w:t>(Dollars, 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Three Months Ended</w:t>
            </w:r>
          </w:p>
        </w:tc>
        <w:tc>
          <w:tcPr>
            <w:tcW w:w="1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Nine Months Ended</w:t>
            </w:r>
          </w:p>
        </w:tc>
        <w:tc>
          <w:tcPr>
            <w:tcW w:w="1340" w:type="dxa"/>
            <w:vAlign w:val="bottom"/>
          </w:tcPr>
          <w:p>
            <w:pPr>
              <w:spacing w:after="0"/>
              <w:rPr>
                <w:sz w:val="20"/>
                <w:szCs w:val="20"/>
                <w:color w:val="auto"/>
              </w:rPr>
            </w:pPr>
          </w:p>
        </w:tc>
      </w:tr>
      <w:tr>
        <w:trPr>
          <w:trHeight w:val="250"/>
        </w:trPr>
        <w:tc>
          <w:tcPr>
            <w:tcW w:w="136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352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September SeptemberSeptemberSeptember</w:t>
            </w:r>
          </w:p>
        </w:tc>
        <w:tc>
          <w:tcPr>
            <w:tcW w:w="1340" w:type="dxa"/>
            <w:vAlign w:val="bottom"/>
          </w:tcPr>
          <w:p>
            <w:pPr>
              <w:spacing w:after="0"/>
              <w:rPr>
                <w:sz w:val="21"/>
                <w:szCs w:val="21"/>
                <w:color w:val="auto"/>
              </w:rPr>
            </w:pPr>
          </w:p>
        </w:tc>
      </w:tr>
      <w:tr>
        <w:trPr>
          <w:trHeight w:val="237"/>
        </w:trPr>
        <w:tc>
          <w:tcPr>
            <w:tcW w:w="13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30, 2020</w:t>
            </w: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30, 2019</w:t>
            </w: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30, 2020</w:t>
            </w: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30, 2019</w:t>
            </w:r>
          </w:p>
        </w:tc>
        <w:tc>
          <w:tcPr>
            <w:tcW w:w="1340" w:type="dxa"/>
            <w:vAlign w:val="bottom"/>
          </w:tcPr>
          <w:p>
            <w:pPr>
              <w:spacing w:after="0"/>
              <w:rPr>
                <w:sz w:val="20"/>
                <w:szCs w:val="20"/>
                <w:color w:val="auto"/>
              </w:rPr>
            </w:pPr>
          </w:p>
        </w:tc>
      </w:tr>
      <w:tr>
        <w:trPr>
          <w:trHeight w:val="230"/>
        </w:trPr>
        <w:tc>
          <w:tcPr>
            <w:tcW w:w="13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701,729</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710,441</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2,037,059</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2,080,430</w:t>
            </w:r>
          </w:p>
        </w:tc>
        <w:tc>
          <w:tcPr>
            <w:tcW w:w="1340" w:type="dxa"/>
            <w:vAlign w:val="bottom"/>
          </w:tcPr>
          <w:p>
            <w:pPr>
              <w:spacing w:after="0"/>
              <w:rPr>
                <w:sz w:val="20"/>
                <w:szCs w:val="20"/>
                <w:color w:val="auto"/>
              </w:rPr>
            </w:pPr>
          </w:p>
        </w:tc>
      </w:tr>
      <w:tr>
        <w:trPr>
          <w:trHeight w:val="485"/>
        </w:trPr>
        <w:tc>
          <w:tcPr>
            <w:tcW w:w="13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3"/>
        </w:trPr>
        <w:tc>
          <w:tcPr>
            <w:tcW w:w="136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 costs</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0"/>
              </w:rPr>
              <w:t>(493,410)</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w w:val="96"/>
              </w:rPr>
              <w:t>(499,791) (1,444,536)(1,465,944)</w:t>
            </w:r>
          </w:p>
        </w:tc>
        <w:tc>
          <w:tcPr>
            <w:tcW w:w="1340" w:type="dxa"/>
            <w:vAlign w:val="bottom"/>
          </w:tcPr>
          <w:p>
            <w:pPr>
              <w:spacing w:after="0"/>
              <w:rPr>
                <w:sz w:val="21"/>
                <w:szCs w:val="21"/>
                <w:color w:val="auto"/>
              </w:rPr>
            </w:pPr>
          </w:p>
        </w:tc>
      </w:tr>
      <w:tr>
        <w:trPr>
          <w:trHeight w:val="243"/>
        </w:trPr>
        <w:tc>
          <w:tcPr>
            <w:tcW w:w="136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2"/>
              </w:rPr>
              <w:t>(83,117)</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(85,449)</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(253,812)</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(250,564)</w:t>
            </w:r>
          </w:p>
        </w:tc>
        <w:tc>
          <w:tcPr>
            <w:tcW w:w="1340" w:type="dxa"/>
            <w:vAlign w:val="bottom"/>
          </w:tcPr>
          <w:p>
            <w:pPr>
              <w:spacing w:after="0"/>
              <w:rPr>
                <w:sz w:val="21"/>
                <w:szCs w:val="21"/>
                <w:color w:val="auto"/>
              </w:rPr>
            </w:pPr>
          </w:p>
        </w:tc>
      </w:tr>
      <w:tr>
        <w:trPr>
          <w:trHeight w:val="243"/>
        </w:trPr>
        <w:tc>
          <w:tcPr>
            <w:tcW w:w="1360" w:type="dxa"/>
            <w:vAlign w:val="bottom"/>
          </w:tcPr>
          <w:p>
            <w:pPr>
              <w:spacing w:after="0"/>
              <w:rPr>
                <w:sz w:val="21"/>
                <w:szCs w:val="21"/>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2"/>
              </w:rPr>
              <w:t>(16,801)</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(15,157)</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(48,981)</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(45,842)</w:t>
            </w:r>
          </w:p>
        </w:tc>
        <w:tc>
          <w:tcPr>
            <w:tcW w:w="1340" w:type="dxa"/>
            <w:vAlign w:val="bottom"/>
          </w:tcPr>
          <w:p>
            <w:pPr>
              <w:spacing w:after="0"/>
              <w:rPr>
                <w:sz w:val="21"/>
                <w:szCs w:val="21"/>
                <w:color w:val="auto"/>
              </w:rPr>
            </w:pPr>
          </w:p>
        </w:tc>
      </w:tr>
      <w:tr>
        <w:trPr>
          <w:trHeight w:val="250"/>
        </w:trPr>
        <w:tc>
          <w:tcPr>
            <w:tcW w:w="1360" w:type="dxa"/>
            <w:vAlign w:val="bottom"/>
          </w:tcPr>
          <w:p>
            <w:pPr>
              <w:spacing w:after="0"/>
              <w:rPr>
                <w:sz w:val="21"/>
                <w:szCs w:val="21"/>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Restructuring costs</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(18,089)</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Pr>
          <w:p>
            <w:pPr>
              <w:spacing w:after="0"/>
              <w:rPr>
                <w:sz w:val="21"/>
                <w:szCs w:val="21"/>
                <w:color w:val="auto"/>
              </w:rPr>
            </w:pPr>
          </w:p>
        </w:tc>
      </w:tr>
      <w:tr>
        <w:trPr>
          <w:trHeight w:val="480"/>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(593,328)</w:t>
            </w: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(600,397) (1,765,418)(1,762,350)</w:t>
            </w:r>
          </w:p>
        </w:tc>
        <w:tc>
          <w:tcPr>
            <w:tcW w:w="134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9"/>
              </w:rPr>
              <w:t>108,401</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110,044</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271,641</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318,080</w:t>
            </w:r>
          </w:p>
        </w:tc>
        <w:tc>
          <w:tcPr>
            <w:tcW w:w="1340" w:type="dxa"/>
            <w:vAlign w:val="bottom"/>
          </w:tcPr>
          <w:p>
            <w:pPr>
              <w:spacing w:after="0"/>
              <w:rPr>
                <w:sz w:val="24"/>
                <w:szCs w:val="24"/>
                <w:color w:val="auto"/>
              </w:rPr>
            </w:pPr>
          </w:p>
        </w:tc>
      </w:tr>
      <w:tr>
        <w:trPr>
          <w:trHeight w:val="493"/>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expense</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(2,971)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(1,541)</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(7,122)</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(4,569)</w:t>
            </w:r>
          </w:p>
        </w:tc>
        <w:tc>
          <w:tcPr>
            <w:tcW w:w="134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9"/>
              </w:rPr>
              <w:t>105,430</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108,503</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264,519</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313,511</w:t>
            </w:r>
          </w:p>
        </w:tc>
        <w:tc>
          <w:tcPr>
            <w:tcW w:w="1340" w:type="dxa"/>
            <w:vAlign w:val="bottom"/>
          </w:tcPr>
          <w:p>
            <w:pPr>
              <w:spacing w:after="0"/>
              <w:rPr>
                <w:sz w:val="24"/>
                <w:szCs w:val="24"/>
                <w:color w:val="auto"/>
              </w:rPr>
            </w:pPr>
          </w:p>
        </w:tc>
      </w:tr>
      <w:tr>
        <w:trPr>
          <w:trHeight w:val="493"/>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(13,706)</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(13,020)</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(32,706)</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(37,516)</w:t>
            </w:r>
          </w:p>
        </w:tc>
        <w:tc>
          <w:tcPr>
            <w:tcW w:w="134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w w:val="89"/>
              </w:rPr>
              <w:t>Income before share of earnings from equity method investments</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0"/>
              </w:rPr>
              <w:t>91,724</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95,483</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231,813</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275,995</w:t>
            </w:r>
          </w:p>
        </w:tc>
        <w:tc>
          <w:tcPr>
            <w:tcW w:w="1340" w:type="dxa"/>
            <w:vAlign w:val="bottom"/>
          </w:tcPr>
          <w:p>
            <w:pPr>
              <w:spacing w:after="0"/>
              <w:rPr>
                <w:sz w:val="24"/>
                <w:szCs w:val="24"/>
                <w:color w:val="auto"/>
              </w:rPr>
            </w:pPr>
          </w:p>
        </w:tc>
      </w:tr>
      <w:tr>
        <w:trPr>
          <w:trHeight w:val="493"/>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of equity method investments</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(83)</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(83)</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0"/>
              </w:rPr>
              <w:t>91,641</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95,483</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231,730</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275,995</w:t>
            </w:r>
          </w:p>
        </w:tc>
        <w:tc>
          <w:tcPr>
            <w:tcW w:w="1340" w:type="dxa"/>
            <w:vAlign w:val="bottom"/>
          </w:tcPr>
          <w:p>
            <w:pPr>
              <w:spacing w:after="0"/>
              <w:rPr>
                <w:sz w:val="24"/>
                <w:szCs w:val="24"/>
                <w:color w:val="auto"/>
              </w:rPr>
            </w:pPr>
          </w:p>
        </w:tc>
      </w:tr>
      <w:tr>
        <w:trPr>
          <w:trHeight w:val="493"/>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(658)</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(633)</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(1,016)</w:t>
            </w:r>
          </w:p>
        </w:tc>
        <w:tc>
          <w:tcPr>
            <w:tcW w:w="1340" w:type="dxa"/>
            <w:vAlign w:val="bottom"/>
          </w:tcPr>
          <w:p>
            <w:pPr>
              <w:spacing w:after="0"/>
              <w:rPr>
                <w:sz w:val="24"/>
                <w:szCs w:val="24"/>
                <w:color w:val="auto"/>
              </w:rPr>
            </w:pPr>
          </w:p>
        </w:tc>
      </w:tr>
      <w:tr>
        <w:trPr>
          <w:trHeight w:val="480"/>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91,641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94,825</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231,097</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274,979</w:t>
            </w:r>
          </w:p>
        </w:tc>
        <w:tc>
          <w:tcPr>
            <w:tcW w:w="134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income per Ordinary Share attributable to the Group:</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93"/>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$1.74</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$1.73</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$4.28</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$5.08</w:t>
            </w:r>
          </w:p>
        </w:tc>
        <w:tc>
          <w:tcPr>
            <w:tcW w:w="1340" w:type="dxa"/>
            <w:vAlign w:val="bottom"/>
          </w:tcPr>
          <w:p>
            <w:pPr>
              <w:spacing w:after="0"/>
              <w:rPr>
                <w:sz w:val="24"/>
                <w:szCs w:val="24"/>
                <w:color w:val="auto"/>
              </w:rPr>
            </w:pPr>
          </w:p>
        </w:tc>
      </w:tr>
      <w:tr>
        <w:trPr>
          <w:trHeight w:val="480"/>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$1.72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$1.72</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$4.25</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$5.03</w:t>
            </w:r>
          </w:p>
        </w:tc>
        <w:tc>
          <w:tcPr>
            <w:tcW w:w="134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93"/>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52,737,299</w:t>
            </w:r>
          </w:p>
        </w:tc>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54,004,963 52,885,252 53,935,939</w:t>
            </w:r>
          </w:p>
        </w:tc>
        <w:tc>
          <w:tcPr>
            <w:tcW w:w="1340" w:type="dxa"/>
            <w:vAlign w:val="bottom"/>
          </w:tcPr>
          <w:p>
            <w:pPr>
              <w:spacing w:after="0"/>
              <w:rPr>
                <w:sz w:val="24"/>
                <w:szCs w:val="24"/>
                <w:color w:val="auto"/>
              </w:rPr>
            </w:pPr>
          </w:p>
        </w:tc>
      </w:tr>
      <w:tr>
        <w:trPr>
          <w:trHeight w:val="479"/>
        </w:trPr>
        <w:tc>
          <w:tcPr>
            <w:tcW w:w="13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53,194,327</w:t>
            </w:r>
          </w:p>
        </w:tc>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54,550,672 53,283,680 54,386,066</w:t>
            </w:r>
          </w:p>
        </w:tc>
        <w:tc>
          <w:tcPr>
            <w:tcW w:w="1340" w:type="dxa"/>
            <w:vAlign w:val="bottom"/>
          </w:tcPr>
          <w:p>
            <w:pPr>
              <w:spacing w:after="0"/>
              <w:rPr>
                <w:sz w:val="24"/>
                <w:szCs w:val="24"/>
                <w:color w:val="auto"/>
              </w:rPr>
            </w:pPr>
          </w:p>
        </w:tc>
      </w:tr>
      <w:tr>
        <w:trPr>
          <w:trHeight w:val="425"/>
        </w:trPr>
        <w:tc>
          <w:tcPr>
            <w:tcW w:w="13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1" w:right="339" w:bottom="1440" w:gutter="0" w:footer="0" w:header="0"/>
        </w:sectPr>
      </w:pPr>
    </w:p>
    <w:bookmarkStart w:id="8" w:name="page9"/>
    <w:bookmarkEnd w:id="8"/>
    <w:p>
      <w:pPr>
        <w:jc w:val="center"/>
        <w:ind w:right="-1060"/>
        <w:spacing w:after="0"/>
        <w:rPr>
          <w:sz w:val="20"/>
          <w:szCs w:val="20"/>
          <w:color w:val="auto"/>
        </w:rPr>
      </w:pPr>
      <w:r>
        <w:rPr>
          <w:rFonts w:ascii="Arial" w:cs="Arial" w:eastAsia="Arial" w:hAnsi="Arial"/>
          <w:sz w:val="22"/>
          <w:szCs w:val="22"/>
          <w:b w:val="1"/>
          <w:bCs w:val="1"/>
          <w:color w:val="auto"/>
        </w:rPr>
        <w:t>ICON plc</w:t>
      </w:r>
    </w:p>
    <w:p>
      <w:pPr>
        <w:spacing w:after="0" w:line="14" w:lineRule="exact"/>
        <w:rPr>
          <w:sz w:val="20"/>
          <w:szCs w:val="20"/>
          <w:color w:val="auto"/>
        </w:rPr>
      </w:pPr>
    </w:p>
    <w:p>
      <w:pPr>
        <w:jc w:val="center"/>
        <w:ind w:right="-1060"/>
        <w:spacing w:after="0"/>
        <w:rPr>
          <w:sz w:val="20"/>
          <w:szCs w:val="20"/>
          <w:color w:val="auto"/>
        </w:rPr>
      </w:pPr>
      <w:r>
        <w:rPr>
          <w:rFonts w:ascii="Arial" w:cs="Arial" w:eastAsia="Arial" w:hAnsi="Arial"/>
          <w:sz w:val="21"/>
          <w:szCs w:val="21"/>
          <w:b w:val="1"/>
          <w:bCs w:val="1"/>
          <w:color w:val="auto"/>
        </w:rPr>
        <w:t>Summary Consolidated Balance Sheet Data</w:t>
      </w:r>
    </w:p>
    <w:p>
      <w:pPr>
        <w:jc w:val="center"/>
        <w:ind w:right="-1060"/>
        <w:spacing w:after="0" w:line="231" w:lineRule="auto"/>
        <w:rPr>
          <w:sz w:val="20"/>
          <w:szCs w:val="20"/>
          <w:color w:val="auto"/>
        </w:rPr>
      </w:pPr>
      <w:r>
        <w:rPr>
          <w:rFonts w:ascii="Arial" w:cs="Arial" w:eastAsia="Arial" w:hAnsi="Arial"/>
          <w:sz w:val="22"/>
          <w:szCs w:val="22"/>
          <w:b w:val="1"/>
          <w:bCs w:val="1"/>
          <w:color w:val="auto"/>
        </w:rPr>
        <w:t>September 30, 2020 and June 30, 2020</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(Dollars, in thousands)</w:t>
      </w:r>
    </w:p>
    <w:p>
      <w:pPr>
        <w:spacing w:after="0" w:line="205" w:lineRule="exact"/>
        <w:rPr>
          <w:sz w:val="20"/>
          <w:szCs w:val="20"/>
          <w:color w:val="auto"/>
        </w:rPr>
      </w:pPr>
    </w:p>
    <w:tbl>
      <w:tblPr>
        <w:tblLayout w:type="fixed"/>
        <w:tblInd w:w="340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r>
      <w:tr>
        <w:trPr>
          <w:trHeight w:val="243"/>
        </w:trPr>
        <w:tc>
          <w:tcPr>
            <w:tcW w:w="23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43"/>
        </w:trPr>
        <w:tc>
          <w:tcPr>
            <w:tcW w:w="23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3"/>
              </w:rPr>
              <w:t>(Unaudited)</w:t>
            </w:r>
          </w:p>
        </w:tc>
      </w:tr>
      <w:tr>
        <w:trPr>
          <w:trHeight w:val="729"/>
        </w:trPr>
        <w:tc>
          <w:tcPr>
            <w:tcW w:w="2380" w:type="dxa"/>
            <w:vAlign w:val="bottom"/>
          </w:tcPr>
          <w:p>
            <w:pPr>
              <w:spacing w:after="0"/>
              <w:rPr>
                <w:sz w:val="20"/>
                <w:szCs w:val="20"/>
                <w:color w:val="auto"/>
              </w:rPr>
            </w:pPr>
            <w:r>
              <w:rPr>
                <w:rFonts w:ascii="Arial" w:cs="Arial" w:eastAsia="Arial" w:hAnsi="Arial"/>
                <w:sz w:val="18"/>
                <w:szCs w:val="18"/>
                <w:color w:val="auto"/>
                <w:w w:val="89"/>
              </w:rPr>
              <w:t>Cash and short-term investments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709,724</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593,828</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Debt</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(349,923)</w:t>
            </w: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(349,828)</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Net cash/(debt)</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359,801</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244,000</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Net Accounts Receivable</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500,109</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490,200</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Working Capital</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528,001</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408,405</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Total Assets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3,065,298</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2,858,720</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Shareholder's Equity</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1,711,116</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1,578,483</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pacing w:after="0" w:line="238" w:lineRule="auto"/>
        <w:rPr>
          <w:sz w:val="20"/>
          <w:szCs w:val="20"/>
          <w:color w:val="auto"/>
        </w:rPr>
      </w:pPr>
      <w:r>
        <w:rPr>
          <w:rFonts w:ascii="Arial" w:cs="Arial" w:eastAsia="Arial" w:hAnsi="Arial"/>
          <w:sz w:val="22"/>
          <w:szCs w:val="22"/>
          <w:color w:val="auto"/>
        </w:rPr>
        <w:t>Contact: Investor Relations +1 888 381 7923 or</w:t>
      </w:r>
    </w:p>
    <w:p>
      <w:pPr>
        <w:spacing w:after="0" w:line="230" w:lineRule="auto"/>
        <w:rPr>
          <w:sz w:val="20"/>
          <w:szCs w:val="20"/>
          <w:color w:val="auto"/>
        </w:rPr>
      </w:pPr>
      <w:r>
        <w:rPr>
          <w:rFonts w:ascii="Arial" w:cs="Arial" w:eastAsia="Arial" w:hAnsi="Arial"/>
          <w:sz w:val="22"/>
          <w:szCs w:val="22"/>
          <w:color w:val="auto"/>
        </w:rPr>
        <w:t>Brendan Brennan Chief Financial Officer +353 1 291 2000</w:t>
      </w:r>
    </w:p>
    <w:p>
      <w:pPr>
        <w:spacing w:after="0" w:line="1" w:lineRule="exact"/>
        <w:rPr>
          <w:sz w:val="20"/>
          <w:szCs w:val="20"/>
          <w:color w:val="auto"/>
        </w:rPr>
      </w:pPr>
    </w:p>
    <w:p>
      <w:pPr>
        <w:jc w:val="both"/>
        <w:ind w:right="2319"/>
        <w:spacing w:after="0" w:line="236" w:lineRule="auto"/>
        <w:rPr>
          <w:sz w:val="20"/>
          <w:szCs w:val="20"/>
          <w:color w:val="auto"/>
        </w:rPr>
      </w:pPr>
      <w:r>
        <w:rPr>
          <w:rFonts w:ascii="Arial" w:cs="Arial" w:eastAsia="Arial" w:hAnsi="Arial"/>
          <w:sz w:val="22"/>
          <w:szCs w:val="22"/>
          <w:color w:val="auto"/>
        </w:rPr>
        <w:t>Jonathan Curtain Vice President Corporate Finance &amp; Investor Relations +353 1 291 2000 http://www.iconplc.com</w:t>
      </w:r>
    </w:p>
    <w:sectPr>
      <w:pgSz w:w="11900" w:h="16838" w:orient="portrait"/>
      <w:cols w:equalWidth="0" w:num="1">
        <w:col w:w="10139"/>
      </w:cols>
      <w:pgMar w:left="320" w:top="5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2020-10-21T15:34:16Z</dcterms:created>
  <dcterms:modified xsi:type="dcterms:W3CDTF">2020-10-21T15:34:16Z</dcterms:modified>
</cp:coreProperties>
</file>