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c>
          <w:tcPr>
            <w:tcW w:w="5280" w:type="dxa"/>
            <w:vAlign w:val="bottom"/>
          </w:tcPr>
          <w:p>
            <w:pPr>
              <w:spacing w:after="0"/>
              <w:rPr>
                <w:sz w:val="17"/>
                <w:szCs w:val="17"/>
                <w:color w:val="auto"/>
              </w:rPr>
            </w:pP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w w:val="96"/>
              </w:rPr>
              <w:t>Amendment No. 3</w:t>
            </w:r>
          </w:p>
        </w:tc>
        <w:tc>
          <w:tcPr>
            <w:tcW w:w="5280" w:type="dxa"/>
            <w:vAlign w:val="bottom"/>
          </w:tcPr>
          <w:p>
            <w:pPr>
              <w:spacing w:after="0"/>
              <w:rPr>
                <w:sz w:val="24"/>
                <w:szCs w:val="24"/>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ICON PLC</w:t>
            </w:r>
          </w:p>
        </w:tc>
        <w:tc>
          <w:tcPr>
            <w:tcW w:w="72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G4705A100</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6000" w:type="dxa"/>
            <w:vAlign w:val="bottom"/>
            <w:gridSpan w:val="2"/>
          </w:tcPr>
          <w:p>
            <w:pPr>
              <w:spacing w:after="0"/>
              <w:rPr>
                <w:sz w:val="20"/>
                <w:szCs w:val="20"/>
                <w:color w:val="auto"/>
              </w:rPr>
            </w:pPr>
            <w:r>
              <w:rPr>
                <w:rFonts w:ascii="Courier New" w:cs="Courier New" w:eastAsia="Courier New" w:hAnsi="Courier New"/>
                <w:sz w:val="18"/>
                <w:szCs w:val="18"/>
                <w:color w:val="auto"/>
              </w:rPr>
              <w:t>G4705A100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37,000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1,562,774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1,562,774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11.290%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20" w:type="dxa"/>
            <w:vAlign w:val="bottom"/>
          </w:tcPr>
          <w:p>
            <w:pPr>
              <w:spacing w:after="0"/>
              <w:rPr>
                <w:sz w:val="17"/>
                <w:szCs w:val="17"/>
                <w:color w:val="auto"/>
              </w:rPr>
            </w:pPr>
          </w:p>
        </w:tc>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HC</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6000" w:type="dxa"/>
            <w:vAlign w:val="bottom"/>
            <w:gridSpan w:val="2"/>
          </w:tcPr>
          <w:p>
            <w:pPr>
              <w:spacing w:after="0"/>
              <w:rPr>
                <w:sz w:val="20"/>
                <w:szCs w:val="20"/>
                <w:color w:val="auto"/>
              </w:rPr>
            </w:pPr>
            <w:r>
              <w:rPr>
                <w:rFonts w:ascii="Courier New" w:cs="Courier New" w:eastAsia="Courier New" w:hAnsi="Courier New"/>
                <w:sz w:val="18"/>
                <w:szCs w:val="18"/>
                <w:color w:val="auto"/>
              </w:rPr>
              <w:t>G4705A100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1,562,774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1,562,774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11.290%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w:t>
            </w: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6000" w:type="dxa"/>
            <w:vAlign w:val="bottom"/>
            <w:gridSpan w:val="2"/>
          </w:tcPr>
          <w:p>
            <w:pPr>
              <w:spacing w:after="0"/>
              <w:rPr>
                <w:sz w:val="20"/>
                <w:szCs w:val="20"/>
                <w:color w:val="auto"/>
              </w:rPr>
            </w:pPr>
            <w:r>
              <w:rPr>
                <w:rFonts w:ascii="Courier New" w:cs="Courier New" w:eastAsia="Courier New" w:hAnsi="Courier New"/>
                <w:sz w:val="18"/>
                <w:szCs w:val="18"/>
                <w:color w:val="auto"/>
              </w:rPr>
              <w:t>G4705A100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1,562,774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8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1,562,774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11.290%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20" w:type="dxa"/>
            <w:vAlign w:val="bottom"/>
          </w:tcPr>
          <w:p>
            <w:pPr>
              <w:spacing w:after="0"/>
              <w:rPr>
                <w:sz w:val="17"/>
                <w:szCs w:val="17"/>
                <w:color w:val="auto"/>
              </w:rPr>
            </w:pPr>
          </w:p>
        </w:tc>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w:t>
            </w:r>
          </w:p>
        </w:tc>
      </w:tr>
      <w:tr>
        <w:trPr>
          <w:trHeight w:val="810"/>
        </w:trPr>
        <w:tc>
          <w:tcPr>
            <w:tcW w:w="860" w:type="dxa"/>
            <w:vAlign w:val="bottom"/>
          </w:tcPr>
          <w:p>
            <w:pPr>
              <w:spacing w:after="0"/>
              <w:rPr>
                <w:sz w:val="24"/>
                <w:szCs w:val="24"/>
                <w:color w:val="auto"/>
              </w:rPr>
            </w:pPr>
          </w:p>
        </w:tc>
        <w:tc>
          <w:tcPr>
            <w:tcW w:w="6000" w:type="dxa"/>
            <w:vAlign w:val="bottom"/>
            <w:gridSpan w:val="2"/>
          </w:tcPr>
          <w:p>
            <w:pPr>
              <w:spacing w:after="0"/>
              <w:rPr>
                <w:sz w:val="20"/>
                <w:szCs w:val="20"/>
                <w:color w:val="auto"/>
              </w:rPr>
            </w:pPr>
            <w:r>
              <w:rPr>
                <w:rFonts w:ascii="Courier New" w:cs="Courier New" w:eastAsia="Courier New" w:hAnsi="Courier New"/>
                <w:sz w:val="18"/>
                <w:szCs w:val="18"/>
                <w:color w:val="auto"/>
              </w:rPr>
              <w:t>SCHEDULE 13G - TO BE INCLUDED IN</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STATEMENTS</w:t>
            </w:r>
          </w:p>
        </w:tc>
        <w:tc>
          <w:tcPr>
            <w:tcW w:w="528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FILED PURSUANT TO RULE 13d-1(b) or 13d-2(b)</w:t>
            </w:r>
          </w:p>
        </w:tc>
      </w:tr>
      <w:tr>
        <w:trPr>
          <w:trHeight w:val="1013"/>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1(a).</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ICON PLC</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1(b).</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Name of Issuer's Principal Executive Offices:</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South Business Park</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Leopardstown</w:t>
            </w:r>
          </w:p>
        </w:tc>
      </w:tr>
      <w:tr>
        <w:trPr>
          <w:trHeight w:val="203"/>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Dublin 18, Ireland</w:t>
            </w:r>
          </w:p>
        </w:tc>
      </w:tr>
      <w:tr>
        <w:trPr>
          <w:trHeight w:val="608"/>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2(a).</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FMR Corp.</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2(b).</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w w:val="97"/>
              </w:rPr>
              <w:t>Address or Principal Business Office or, if None,</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528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82 Devonshire Street, Boston,</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Massachusetts</w:t>
            </w:r>
          </w:p>
        </w:tc>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02109</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80" w:type="dxa"/>
            <w:vAlign w:val="bottom"/>
          </w:tcPr>
          <w:p>
            <w:pPr>
              <w:ind w:left="120"/>
              <w:spacing w:after="0"/>
              <w:rPr>
                <w:sz w:val="20"/>
                <w:szCs w:val="20"/>
                <w:color w:val="auto"/>
              </w:rPr>
            </w:pPr>
            <w:r>
              <w:rPr>
                <w:rFonts w:ascii="Courier New" w:cs="Courier New" w:eastAsia="Courier New" w:hAnsi="Courier New"/>
                <w:sz w:val="18"/>
                <w:szCs w:val="18"/>
                <w:color w:val="auto"/>
              </w:rPr>
              <w:t>Common Stock</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G4705A100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1,562,774</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11.290%</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37,000</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1,562,774</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ICON PLC. The interest of one person, Fidelity Low Priced Stock Fund, an investment</w:t>
      </w:r>
    </w:p>
    <w:p>
      <w:pPr>
        <w:spacing w:after="0" w:line="5" w:lineRule="exact"/>
        <w:rPr>
          <w:sz w:val="20"/>
          <w:szCs w:val="20"/>
          <w:color w:val="auto"/>
        </w:rPr>
      </w:pPr>
    </w:p>
    <w:p>
      <w:pPr>
        <w:ind w:right="4519"/>
        <w:spacing w:after="0" w:line="268" w:lineRule="auto"/>
        <w:rPr>
          <w:sz w:val="20"/>
          <w:szCs w:val="20"/>
          <w:color w:val="auto"/>
        </w:rPr>
      </w:pPr>
      <w:r>
        <w:rPr>
          <w:rFonts w:ascii="Courier New" w:cs="Courier New" w:eastAsia="Courier New" w:hAnsi="Courier New"/>
          <w:sz w:val="16"/>
          <w:szCs w:val="16"/>
          <w:color w:val="auto"/>
        </w:rPr>
        <w:t>company registered under the Investment Company Act of 1940, in the Common Stock of ICON PLC, amounted to</w:t>
      </w:r>
    </w:p>
    <w:p>
      <w:pPr>
        <w:ind w:right="4319"/>
        <w:spacing w:after="0" w:line="235" w:lineRule="auto"/>
        <w:rPr>
          <w:sz w:val="20"/>
          <w:szCs w:val="20"/>
          <w:color w:val="auto"/>
        </w:rPr>
      </w:pPr>
      <w:r>
        <w:rPr>
          <w:rFonts w:ascii="Courier New" w:cs="Courier New" w:eastAsia="Courier New" w:hAnsi="Courier New"/>
          <w:sz w:val="18"/>
          <w:szCs w:val="18"/>
          <w:color w:val="auto"/>
        </w:rPr>
        <w:t>837,988 shares or 6.054% of the total outstanding Common Stock at December 31, 2004.</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the Common Stock of ICON PLC at December 31, 2004 is true, complete and correct.</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February 14, 2005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1,525,774 shares or 11.022% of the Common Stock</w:t>
      </w:r>
    </w:p>
    <w:p>
      <w:pPr>
        <w:spacing w:after="0"/>
        <w:tabs>
          <w:tab w:leader="none" w:pos="2620" w:val="left"/>
        </w:tabs>
        <w:rPr>
          <w:sz w:val="20"/>
          <w:szCs w:val="20"/>
          <w:color w:val="auto"/>
        </w:rPr>
      </w:pPr>
      <w:r>
        <w:rPr>
          <w:rFonts w:ascii="Courier New" w:cs="Courier New" w:eastAsia="Courier New" w:hAnsi="Courier New"/>
          <w:sz w:val="18"/>
          <w:szCs w:val="18"/>
          <w:color w:val="auto"/>
        </w:rPr>
        <w:t>outstanding of ICON PLC</w:t>
      </w:r>
      <w:r>
        <w:rPr>
          <w:sz w:val="20"/>
          <w:szCs w:val="20"/>
          <w:color w:val="auto"/>
        </w:rPr>
        <w:tab/>
      </w:r>
      <w:r>
        <w:rPr>
          <w:rFonts w:ascii="Courier New" w:cs="Courier New" w:eastAsia="Courier New" w:hAnsi="Courier New"/>
          <w:sz w:val="16"/>
          <w:szCs w:val="16"/>
          <w:color w:val="auto"/>
        </w:rPr>
        <w:t>("the Company") as a result of</w:t>
      </w:r>
    </w:p>
    <w:p>
      <w:pPr>
        <w:spacing w:after="0" w:line="237" w:lineRule="auto"/>
        <w:rPr>
          <w:sz w:val="20"/>
          <w:szCs w:val="20"/>
          <w:color w:val="auto"/>
        </w:rPr>
      </w:pPr>
      <w:r>
        <w:rPr>
          <w:rFonts w:ascii="Courier New" w:cs="Courier New" w:eastAsia="Courier New" w:hAnsi="Courier New"/>
          <w:sz w:val="18"/>
          <w:szCs w:val="18"/>
          <w:color w:val="auto"/>
        </w:rPr>
        <w:t>acting as investment adviser to various investment companies</w:t>
      </w:r>
    </w:p>
    <w:p>
      <w:pPr>
        <w:spacing w:after="0"/>
        <w:rPr>
          <w:sz w:val="20"/>
          <w:szCs w:val="20"/>
          <w:color w:val="auto"/>
        </w:rPr>
      </w:pPr>
      <w:r>
        <w:rPr>
          <w:rFonts w:ascii="Courier New" w:cs="Courier New" w:eastAsia="Courier New" w:hAnsi="Courier New"/>
          <w:sz w:val="18"/>
          <w:szCs w:val="18"/>
          <w:color w:val="auto"/>
        </w:rPr>
        <w:t>registered under Section 8 of the Investment Company Act of</w:t>
      </w:r>
    </w:p>
    <w:p>
      <w:pPr>
        <w:spacing w:after="0" w:line="237" w:lineRule="auto"/>
        <w:rPr>
          <w:sz w:val="20"/>
          <w:szCs w:val="20"/>
          <w:color w:val="auto"/>
        </w:rPr>
      </w:pPr>
      <w:r>
        <w:rPr>
          <w:rFonts w:ascii="Courier New" w:cs="Courier New" w:eastAsia="Courier New" w:hAnsi="Courier New"/>
          <w:sz w:val="18"/>
          <w:szCs w:val="18"/>
          <w:color w:val="auto"/>
        </w:rPr>
        <w:t>1940.</w:t>
      </w:r>
    </w:p>
    <w:p>
      <w:pPr>
        <w:spacing w:after="0" w:line="207" w:lineRule="exact"/>
        <w:rPr>
          <w:sz w:val="20"/>
          <w:szCs w:val="20"/>
          <w:color w:val="auto"/>
        </w:rPr>
      </w:pPr>
    </w:p>
    <w:p>
      <w:pPr>
        <w:ind w:right="4199" w:firstLine="843"/>
        <w:spacing w:after="0" w:line="273" w:lineRule="auto"/>
        <w:rPr>
          <w:sz w:val="20"/>
          <w:szCs w:val="20"/>
          <w:color w:val="auto"/>
        </w:rPr>
      </w:pPr>
      <w:r>
        <w:rPr>
          <w:rFonts w:ascii="Courier New" w:cs="Courier New" w:eastAsia="Courier New" w:hAnsi="Courier New"/>
          <w:sz w:val="16"/>
          <w:szCs w:val="16"/>
          <w:color w:val="auto"/>
        </w:rPr>
        <w:t>The ownership of one investment company, Fidelity Low Priced Stock Fund, amounted to 837,988 shares or 6.054% of the Common Stock outstanding. Fidelity Low Priced Stock Fund has its principal business office at 82 Devonshire Street, Boston, Massachusetts 02109.</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1,525,774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37,000 shares or 0.267%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37,000 shares and sole power to</w:t>
      </w:r>
    </w:p>
    <w:p>
      <w:pPr>
        <w:spacing w:after="0" w:line="237" w:lineRule="auto"/>
        <w:rPr>
          <w:sz w:val="20"/>
          <w:szCs w:val="20"/>
          <w:color w:val="auto"/>
        </w:rPr>
      </w:pPr>
      <w:r>
        <w:rPr>
          <w:rFonts w:ascii="Courier New" w:cs="Courier New" w:eastAsia="Courier New" w:hAnsi="Courier New"/>
          <w:sz w:val="18"/>
          <w:szCs w:val="18"/>
          <w:color w:val="auto"/>
        </w:rPr>
        <w:t>vote or to direct the voting of 37,000 shares of Common</w:t>
      </w:r>
    </w:p>
    <w:p>
      <w:pPr>
        <w:spacing w:after="0" w:line="238" w:lineRule="auto"/>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206"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Some or all of the shares of Common Stock of ICON</w:t>
      </w:r>
    </w:p>
    <w:p>
      <w:pPr>
        <w:sectPr>
          <w:pgSz w:w="11900" w:h="16838" w:orient="portrait"/>
          <w:cols w:equalWidth="0" w:num="1">
            <w:col w:w="10219"/>
          </w:cols>
          <w:pgMar w:left="240" w:top="136" w:right="1440" w:bottom="0" w:gutter="0" w:footer="0" w:header="0"/>
        </w:sectPr>
      </w:pPr>
    </w:p>
    <w:bookmarkStart w:id="3" w:name="page4"/>
    <w:bookmarkEnd w:id="3"/>
    <w:p>
      <w:pPr>
        <w:ind w:right="4619"/>
        <w:spacing w:after="0" w:line="236" w:lineRule="auto"/>
        <w:rPr>
          <w:sz w:val="20"/>
          <w:szCs w:val="20"/>
          <w:color w:val="auto"/>
        </w:rPr>
      </w:pPr>
      <w:r>
        <w:rPr>
          <w:rFonts w:ascii="Courier New" w:cs="Courier New" w:eastAsia="Courier New" w:hAnsi="Courier New"/>
          <w:sz w:val="18"/>
          <w:szCs w:val="18"/>
          <w:color w:val="auto"/>
        </w:rPr>
        <w:t>PLC owned by the investment companies at December 31, 2004 may include shares represented by American Depository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2005, agree and consent to the joint filing on their behalf of this Schedule 13G in connection with their beneficial ownership of the Common Stock of ICON PLC at December 31, 2004.</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Low Priced Stock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2019-12-12T02:17:00Z</dcterms:created>
  <dcterms:modified xsi:type="dcterms:W3CDTF">2019-12-12T02:17:00Z</dcterms:modified>
</cp:coreProperties>
</file>