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2"/>
          <w:szCs w:val="22"/>
          <w:b w:val="1"/>
          <w:bCs w:val="1"/>
          <w:color w:val="auto"/>
        </w:rPr>
        <w:t>FORM 6-K</w:t>
      </w:r>
    </w:p>
    <w:p>
      <w:pPr>
        <w:spacing w:after="0" w:line="14"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SECURITIES AND EXCHANGE COMMISSION</w:t>
      </w:r>
    </w:p>
    <w:p>
      <w:pPr>
        <w:spacing w:after="0" w:line="222"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Washington, D.C. 20549</w:t>
      </w:r>
    </w:p>
    <w:p>
      <w:pPr>
        <w:spacing w:after="0" w:line="248"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For</w:t>
      </w:r>
    </w:p>
    <w:p>
      <w:pPr>
        <w:spacing w:after="0" w:line="1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the month ended 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November, 2015</w:t>
      </w:r>
    </w:p>
    <w:p>
      <w:pPr>
        <w:spacing w:after="0" w:line="148" w:lineRule="exact"/>
        <w:rPr>
          <w:sz w:val="24"/>
          <w:szCs w:val="24"/>
          <w:color w:val="auto"/>
        </w:rPr>
      </w:pPr>
    </w:p>
    <w:p>
      <w:pPr>
        <w:jc w:val="center"/>
        <w:ind w:right="-799"/>
        <w:spacing w:after="0"/>
        <w:rPr>
          <w:sz w:val="20"/>
          <w:szCs w:val="20"/>
          <w:color w:val="auto"/>
        </w:rPr>
      </w:pPr>
      <w:r>
        <w:rPr>
          <w:rFonts w:ascii="Arial" w:cs="Arial" w:eastAsia="Arial" w:hAnsi="Arial"/>
          <w:sz w:val="22"/>
          <w:szCs w:val="22"/>
          <w:b w:val="1"/>
          <w:bCs w:val="1"/>
          <w:color w:val="auto"/>
        </w:rPr>
        <w:t>ICON plc</w:t>
      </w:r>
    </w:p>
    <w:p>
      <w:pPr>
        <w:spacing w:after="0" w:line="19" w:lineRule="exact"/>
        <w:rPr>
          <w:sz w:val="24"/>
          <w:szCs w:val="24"/>
          <w:color w:val="auto"/>
        </w:rPr>
      </w:pPr>
    </w:p>
    <w:p>
      <w:pPr>
        <w:ind w:left="5020"/>
        <w:spacing w:after="0"/>
        <w:rPr>
          <w:sz w:val="20"/>
          <w:szCs w:val="20"/>
          <w:color w:val="auto"/>
        </w:rPr>
      </w:pPr>
      <w:r>
        <w:rPr>
          <w:rFonts w:ascii="Arial" w:cs="Arial" w:eastAsia="Arial" w:hAnsi="Arial"/>
          <w:sz w:val="18"/>
          <w:szCs w:val="18"/>
          <w:color w:val="auto"/>
        </w:rPr>
        <w:t>(Registrant's name)</w:t>
      </w:r>
    </w:p>
    <w:p>
      <w:pPr>
        <w:spacing w:after="0" w:line="200" w:lineRule="exact"/>
        <w:rPr>
          <w:sz w:val="24"/>
          <w:szCs w:val="24"/>
          <w:color w:val="auto"/>
        </w:rPr>
      </w:pPr>
    </w:p>
    <w:p>
      <w:pPr>
        <w:spacing w:after="0" w:line="27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0-29714</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81"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 Brennan, CFO</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Brendan.Brennan@iconplc.com</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011-353-1-291-2000</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440"/>
        <w:spacing w:after="0"/>
        <w:tabs>
          <w:tab w:leader="none" w:pos="6560" w:val="left"/>
        </w:tabs>
        <w:rPr>
          <w:sz w:val="20"/>
          <w:szCs w:val="20"/>
          <w:color w:val="auto"/>
        </w:rPr>
      </w:pPr>
      <w:r>
        <w:rPr>
          <w:rFonts w:ascii="Arial" w:cs="Arial" w:eastAsia="Arial" w:hAnsi="Arial"/>
          <w:sz w:val="18"/>
          <w:szCs w:val="18"/>
          <w:color w:val="auto"/>
        </w:rPr>
        <w:t>Yes___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_</w:t>
      </w:r>
      <w:r>
        <w:rPr>
          <w:rFonts w:ascii="Arial" w:cs="Arial" w:eastAsia="Arial" w:hAnsi="Arial"/>
          <w:sz w:val="16"/>
          <w:szCs w:val="16"/>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440"/>
        <w:spacing w:after="0"/>
        <w:tabs>
          <w:tab w:leader="none" w:pos="65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440"/>
        <w:spacing w:after="0"/>
        <w:tabs>
          <w:tab w:leader="none" w:pos="65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440"/>
        <w:spacing w:after="0"/>
        <w:tabs>
          <w:tab w:leader="none" w:pos="656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547370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706" w:right="10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Rider A</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on Form 6-K is hereby incorporated by reference in the registration statement on Form F-3 (Registration No. 333-133371) of ICON plc and in the prospectus contained therein, and this report on Form 6-K shall be deemed a part of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 “ICON”, the “Company” and “we” refer to ICON plc and its consolidated subsidiaries, unless the context requires otherwise.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ICON public limited company (“ICON”) is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for the biopharma industry by delivering best in class information, solutions and performance in clinical and outcomes research.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2015 we had approximately 11,700 employees, in 77 locations in 37 countries. During the nine months ended September 30, 2015 we derived approximately 40.6%, 49.0% and 10.4% of our net revenue in the United States, Europe and Rest of World, respectively.</w:t>
      </w:r>
    </w:p>
    <w:p>
      <w:pPr>
        <w:spacing w:after="0" w:line="19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began operations in 1990 and have expanded our business predominately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Republic of Ireland. The contact telephone number of this office is 353 (1) 291 2000.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27, 2015 the Company acquired MediMedia Pharma Solutions for a total cash consideration of $120.0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w:t>
      </w:r>
      <w:r>
        <w:rPr>
          <w:rFonts w:ascii="Arial" w:cs="Arial" w:eastAsia="Arial" w:hAnsi="Arial"/>
          <w:sz w:val="18"/>
          <w:szCs w:val="18"/>
          <w:i w:val="1"/>
          <w:iCs w:val="1"/>
          <w:color w:val="auto"/>
        </w:rPr>
        <w:t>see note 3</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 for further information)</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BuyBack Programs &amp; Financing Arrangements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May 1, 2015 the Company commenced a buyback program of up to $60 million under which the Company could acquire its outstanding ordinary shares (by way of redemption), in accordance with Irish law, the United States securities laws and the Company’s constitutional documents through open market share acquisitions. During the three months ended June 30, 2015, 882,419 ordinary shares were redeemed by the Company under this repurchase plan for a total consideration of $58.2 million. </w:t>
      </w:r>
      <w:r>
        <w:rPr>
          <w:rFonts w:ascii="Arial" w:cs="Arial" w:eastAsia="Arial" w:hAnsi="Arial"/>
          <w:sz w:val="18"/>
          <w:szCs w:val="18"/>
          <w:i w:val="1"/>
          <w:iCs w:val="1"/>
          <w:color w:val="auto"/>
        </w:rPr>
        <w:t>(See note 7 Share Capital for further information.</w:t>
      </w:r>
      <w:r>
        <w:rPr>
          <w:rFonts w:ascii="Arial" w:cs="Arial" w:eastAsia="Arial" w:hAnsi="Arial"/>
          <w:sz w:val="18"/>
          <w:szCs w:val="18"/>
          <w:color w:val="auto"/>
        </w:rPr>
        <w:t>)</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July 27, 2015 the Company entered into a 364 day bridge facility for $350.0 million with Citibank and JP Morgan. Each bank subject to the agreement has committed $175 million to the facility, with equal terms and conditions in place with each institution. The facility bears interest at LIBOR plus a margin and includes certain composite guarantees, indemnities and pledges in favour of the banks. At September 30, 2015, the full amount of this facility was drawn.</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On July 31, 2015 the Company commenced a further buyback program of up to $400 million under which the Company could acquire its outstanding ordinary shares (by way of redemption), in accordance with Irish law, the United States securities laws and the Company’s constitutional documents through open market share acquisitions. During the three months ended September 30, 2015, 2,904,170 ordinary shares were redeemed by the Company under this repurchase plan for a total consideration of $229.5 million. </w:t>
      </w:r>
      <w:r>
        <w:rPr>
          <w:rFonts w:ascii="Arial" w:cs="Arial" w:eastAsia="Arial" w:hAnsi="Arial"/>
          <w:sz w:val="17"/>
          <w:szCs w:val="17"/>
          <w:i w:val="1"/>
          <w:iCs w:val="1"/>
          <w:color w:val="auto"/>
        </w:rPr>
        <w:t>(See note 7 Share Capital for further information.</w:t>
      </w:r>
      <w:r>
        <w:rPr>
          <w:rFonts w:ascii="Arial" w:cs="Arial" w:eastAsia="Arial" w:hAnsi="Arial"/>
          <w:sz w:val="17"/>
          <w:szCs w:val="17"/>
          <w:color w:val="auto"/>
        </w:rPr>
        <w: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AT SEPTEMBER 30, 2015 AND DECEMBER 31, 2014</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(Audited)</w:t>
            </w: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September</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6"/>
              </w:rPr>
              <w:t>December</w:t>
            </w: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w:t>
            </w: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20"/>
        </w:trPr>
        <w:tc>
          <w:tcPr>
            <w:tcW w:w="892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9"/>
                <w:szCs w:val="19"/>
                <w:color w:val="auto"/>
              </w:rPr>
            </w:pPr>
          </w:p>
        </w:tc>
        <w:tc>
          <w:tcPr>
            <w:tcW w:w="228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(in thousands)</w:t>
            </w:r>
          </w:p>
        </w:tc>
      </w:tr>
      <w:tr>
        <w:trPr>
          <w:trHeight w:val="230"/>
        </w:trPr>
        <w:tc>
          <w:tcPr>
            <w:tcW w:w="89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235,248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118,900</w:t>
            </w: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Short term investments - available for sale</w:t>
            </w: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81,739</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97,100</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386,590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370,956</w:t>
            </w: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Unbilled revenue</w:t>
            </w: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195,646</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146,163</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27,349</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17,491</w:t>
            </w: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Deferred tax asset</w:t>
            </w: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31,305</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24,716</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Prepayments and other current 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39,931</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28,465</w:t>
            </w:r>
          </w:p>
        </w:tc>
      </w:tr>
      <w:tr>
        <w:trPr>
          <w:trHeight w:val="223"/>
        </w:trPr>
        <w:tc>
          <w:tcPr>
            <w:tcW w:w="20" w:type="dxa"/>
            <w:vAlign w:val="bottom"/>
          </w:tcPr>
          <w:p>
            <w:pPr>
              <w:spacing w:after="0"/>
              <w:rPr>
                <w:sz w:val="19"/>
                <w:szCs w:val="19"/>
                <w:color w:val="auto"/>
              </w:rPr>
            </w:pPr>
          </w:p>
        </w:tc>
        <w:tc>
          <w:tcPr>
            <w:tcW w:w="8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Income taxes receivable</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19,220</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15,716</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1,017,028</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819,507</w:t>
            </w: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148,835</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148,185</w:t>
            </w: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575,378</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463,324</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other assets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11,271</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11,583</w:t>
            </w: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Non-current income taxes receivable</w:t>
            </w: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14,673</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15,060</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asset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6,766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21,472</w:t>
            </w:r>
          </w:p>
        </w:tc>
      </w:tr>
      <w:tr>
        <w:trPr>
          <w:trHeight w:val="223"/>
        </w:trPr>
        <w:tc>
          <w:tcPr>
            <w:tcW w:w="20" w:type="dxa"/>
            <w:vAlign w:val="bottom"/>
          </w:tcPr>
          <w:p>
            <w:pPr>
              <w:spacing w:after="0"/>
              <w:rPr>
                <w:sz w:val="19"/>
                <w:szCs w:val="19"/>
                <w:color w:val="auto"/>
              </w:rPr>
            </w:pPr>
          </w:p>
        </w:tc>
        <w:tc>
          <w:tcPr>
            <w:tcW w:w="89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38,841</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49,719</w:t>
            </w:r>
          </w:p>
        </w:tc>
      </w:tr>
      <w:tr>
        <w:trPr>
          <w:trHeight w:val="257"/>
        </w:trPr>
        <w:tc>
          <w:tcPr>
            <w:tcW w:w="20" w:type="dxa"/>
            <w:vAlign w:val="bottom"/>
          </w:tcPr>
          <w:p>
            <w:pPr>
              <w:spacing w:after="0"/>
              <w:rPr>
                <w:sz w:val="22"/>
                <w:szCs w:val="22"/>
                <w:color w:val="auto"/>
              </w:rPr>
            </w:pPr>
          </w:p>
        </w:tc>
        <w:tc>
          <w:tcPr>
            <w:tcW w:w="8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1,812,792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1,528,850</w:t>
            </w:r>
          </w:p>
        </w:tc>
      </w:tr>
      <w:tr>
        <w:trPr>
          <w:trHeight w:val="210"/>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4,528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2,793</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on account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294,774</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280,097</w:t>
            </w: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239,556</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251,091</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Bank credit lines and loan facilities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350,000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185</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229</w:t>
            </w:r>
          </w:p>
        </w:tc>
      </w:tr>
      <w:tr>
        <w:trPr>
          <w:trHeight w:val="223"/>
        </w:trPr>
        <w:tc>
          <w:tcPr>
            <w:tcW w:w="20" w:type="dxa"/>
            <w:vAlign w:val="bottom"/>
          </w:tcPr>
          <w:p>
            <w:pPr>
              <w:spacing w:after="0"/>
              <w:rPr>
                <w:sz w:val="19"/>
                <w:szCs w:val="19"/>
                <w:color w:val="auto"/>
              </w:rPr>
            </w:pPr>
          </w:p>
        </w:tc>
        <w:tc>
          <w:tcPr>
            <w:tcW w:w="89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Income taxes payable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20,608</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4,149</w:t>
            </w: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909,651</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538,359</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Non-current other liabilities</w:t>
            </w: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15,445</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13,179</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government grants</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1,002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1,116</w:t>
            </w: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Non-current income taxes payable</w:t>
            </w: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12,929</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12,389</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Non-current deferred tax liability</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10,499</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13,601</w:t>
            </w: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Ordinary shares, par value 6 euro cents per share; 100,000,000 shares authorized,</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57,234,463 shares issued and outstanding at September 30, 2015 and</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60,106,780 shares issued and outstanding at December 31, 2014</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4,832</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5,037</w:t>
            </w: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372,614</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327,234</w:t>
            </w: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 redemption reserve</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556</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305</w:t>
            </w:r>
          </w:p>
        </w:tc>
      </w:tr>
      <w:tr>
        <w:trPr>
          <w:trHeight w:val="216"/>
        </w:trPr>
        <w:tc>
          <w:tcPr>
            <w:tcW w:w="20" w:type="dxa"/>
            <w:vAlign w:val="bottom"/>
          </w:tcPr>
          <w:p>
            <w:pPr>
              <w:spacing w:after="0"/>
              <w:rPr>
                <w:sz w:val="18"/>
                <w:szCs w:val="18"/>
                <w:color w:val="auto"/>
              </w:rPr>
            </w:pPr>
          </w:p>
        </w:tc>
        <w:tc>
          <w:tcPr>
            <w:tcW w:w="890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(58,193)</w:t>
            </w:r>
          </w:p>
        </w:tc>
        <w:tc>
          <w:tcPr>
            <w:tcW w:w="2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(37,555)</w:t>
            </w:r>
          </w:p>
        </w:tc>
      </w:tr>
      <w:tr>
        <w:trPr>
          <w:trHeight w:val="223"/>
        </w:trPr>
        <w:tc>
          <w:tcPr>
            <w:tcW w:w="20" w:type="dxa"/>
            <w:vAlign w:val="bottom"/>
          </w:tcPr>
          <w:p>
            <w:pPr>
              <w:spacing w:after="0"/>
              <w:rPr>
                <w:sz w:val="19"/>
                <w:szCs w:val="19"/>
                <w:color w:val="auto"/>
              </w:rPr>
            </w:pPr>
          </w:p>
        </w:tc>
        <w:tc>
          <w:tcPr>
            <w:tcW w:w="89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543,457</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655,185</w:t>
            </w:r>
          </w:p>
        </w:tc>
      </w:tr>
      <w:tr>
        <w:trPr>
          <w:trHeight w:val="223"/>
        </w:trPr>
        <w:tc>
          <w:tcPr>
            <w:tcW w:w="20" w:type="dxa"/>
            <w:vAlign w:val="bottom"/>
          </w:tcPr>
          <w:p>
            <w:pPr>
              <w:spacing w:after="0"/>
              <w:rPr>
                <w:sz w:val="19"/>
                <w:szCs w:val="19"/>
                <w:color w:val="auto"/>
              </w:rPr>
            </w:pPr>
          </w:p>
        </w:tc>
        <w:tc>
          <w:tcPr>
            <w:tcW w:w="8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863,266</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950,206</w:t>
            </w:r>
          </w:p>
        </w:tc>
      </w:tr>
      <w:tr>
        <w:trPr>
          <w:trHeight w:val="257"/>
        </w:trPr>
        <w:tc>
          <w:tcPr>
            <w:tcW w:w="20" w:type="dxa"/>
            <w:vAlign w:val="bottom"/>
          </w:tcPr>
          <w:p>
            <w:pPr>
              <w:spacing w:after="0"/>
              <w:rPr>
                <w:sz w:val="22"/>
                <w:szCs w:val="22"/>
                <w:color w:val="auto"/>
              </w:rPr>
            </w:pPr>
          </w:p>
        </w:tc>
        <w:tc>
          <w:tcPr>
            <w:tcW w:w="8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1,812,792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1,528,850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2015 AND SEPTEMBER 30, 2014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gridSpan w:val="10"/>
          </w:tcPr>
          <w:p>
            <w:pPr>
              <w:jc w:val="right"/>
              <w:ind w:right="460"/>
              <w:spacing w:after="0"/>
              <w:rPr>
                <w:sz w:val="20"/>
                <w:szCs w:val="20"/>
                <w:color w:val="auto"/>
              </w:rPr>
            </w:pPr>
            <w:r>
              <w:rPr>
                <w:rFonts w:ascii="Arial" w:cs="Arial" w:eastAsia="Arial" w:hAnsi="Arial"/>
                <w:sz w:val="18"/>
                <w:szCs w:val="18"/>
                <w:b w:val="1"/>
                <w:bCs w:val="1"/>
                <w:color w:val="auto"/>
                <w:w w:val="90"/>
              </w:rPr>
              <w:t>Three Months Ended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9"/>
          </w:tcPr>
          <w:p>
            <w:pPr>
              <w:jc w:val="right"/>
              <w:ind w:right="46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September</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September</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2"/>
              </w:rPr>
              <w:t>September</w:t>
            </w:r>
          </w:p>
        </w:tc>
        <w:tc>
          <w:tcPr>
            <w:tcW w:w="260" w:type="dxa"/>
            <w:vAlign w:val="bottom"/>
          </w:tcPr>
          <w:p>
            <w:pPr>
              <w:spacing w:after="0"/>
              <w:rPr>
                <w:sz w:val="19"/>
                <w:szCs w:val="19"/>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60" w:type="dxa"/>
            <w:vAlign w:val="bottom"/>
            <w:gridSpan w:val="5"/>
          </w:tcPr>
          <w:p>
            <w:pPr>
              <w:jc w:val="right"/>
              <w:ind w:right="140"/>
              <w:spacing w:after="0" w:line="196" w:lineRule="exact"/>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17"/>
                <w:szCs w:val="17"/>
                <w:color w:val="auto"/>
              </w:rPr>
            </w:pPr>
          </w:p>
        </w:tc>
        <w:tc>
          <w:tcPr>
            <w:tcW w:w="94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gridSpan w:val="3"/>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2015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74"/>
              </w:rPr>
              <w:t>2014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gridSpan w:val="3"/>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4"/>
              </w:rPr>
              <w:t>2015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80" w:type="dxa"/>
            <w:vAlign w:val="bottom"/>
            <w:gridSpan w:val="19"/>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20" w:type="dxa"/>
            <w:vAlign w:val="bottom"/>
            <w:gridSpan w:val="22"/>
          </w:tcPr>
          <w:p>
            <w:pPr>
              <w:jc w:val="right"/>
              <w:ind w:right="700"/>
              <w:spacing w:after="0"/>
              <w:rPr>
                <w:sz w:val="20"/>
                <w:szCs w:val="20"/>
                <w:color w:val="auto"/>
              </w:rPr>
            </w:pPr>
            <w:r>
              <w:rPr>
                <w:rFonts w:ascii="Arial" w:cs="Arial" w:eastAsia="Arial" w:hAnsi="Arial"/>
                <w:sz w:val="18"/>
                <w:szCs w:val="18"/>
                <w:b w:val="1"/>
                <w:bCs w:val="1"/>
                <w:color w:val="auto"/>
                <w:w w:val="94"/>
              </w:rPr>
              <w:t>(in thousands except share and per share data)</w:t>
            </w:r>
          </w:p>
        </w:tc>
        <w:tc>
          <w:tcPr>
            <w:tcW w:w="0" w:type="dxa"/>
            <w:vAlign w:val="bottom"/>
          </w:tcPr>
          <w:p>
            <w:pPr>
              <w:spacing w:after="0"/>
              <w:rPr>
                <w:sz w:val="1"/>
                <w:szCs w:val="1"/>
                <w:color w:val="auto"/>
              </w:rPr>
            </w:pPr>
          </w:p>
        </w:tc>
      </w:tr>
      <w:tr>
        <w:trPr>
          <w:trHeight w:val="432"/>
        </w:trPr>
        <w:tc>
          <w:tcPr>
            <w:tcW w:w="53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revenue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557,095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519,127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1,584,559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1,502,075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Reimbursable expenses</w:t>
            </w:r>
          </w:p>
        </w:tc>
        <w:tc>
          <w:tcPr>
            <w:tcW w:w="1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(162,354)</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(131,538)</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(412,930)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(388,832)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Net revenue</w:t>
            </w:r>
          </w:p>
        </w:tc>
        <w:tc>
          <w:tcPr>
            <w:tcW w:w="130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394,741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color w:val="auto"/>
              </w:rPr>
              <w:t>387,589</w:t>
            </w:r>
          </w:p>
        </w:tc>
        <w:tc>
          <w:tcPr>
            <w:tcW w:w="200" w:type="dxa"/>
            <w:vAlign w:val="bottom"/>
          </w:tcPr>
          <w:p>
            <w:pPr>
              <w:spacing w:after="0"/>
              <w:rPr>
                <w:sz w:val="18"/>
                <w:szCs w:val="18"/>
                <w:color w:val="auto"/>
              </w:rPr>
            </w:pPr>
          </w:p>
        </w:tc>
        <w:tc>
          <w:tcPr>
            <w:tcW w:w="1020" w:type="dxa"/>
            <w:vAlign w:val="bottom"/>
            <w:gridSpan w:val="6"/>
          </w:tcPr>
          <w:p>
            <w:pPr>
              <w:jc w:val="right"/>
              <w:ind w:right="140"/>
              <w:spacing w:after="0"/>
              <w:rPr>
                <w:sz w:val="20"/>
                <w:szCs w:val="20"/>
                <w:color w:val="auto"/>
              </w:rPr>
            </w:pPr>
            <w:r>
              <w:rPr>
                <w:rFonts w:ascii="Arial" w:cs="Arial" w:eastAsia="Arial" w:hAnsi="Arial"/>
                <w:sz w:val="18"/>
                <w:szCs w:val="18"/>
                <w:color w:val="auto"/>
              </w:rPr>
              <w:t>1,171,629</w:t>
            </w:r>
          </w:p>
        </w:tc>
        <w:tc>
          <w:tcPr>
            <w:tcW w:w="26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1,113,243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Costs and expenses:</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Direct costs</w:t>
            </w:r>
          </w:p>
        </w:tc>
        <w:tc>
          <w:tcPr>
            <w:tcW w:w="130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226,555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229,963</w:t>
            </w:r>
          </w:p>
        </w:tc>
        <w:tc>
          <w:tcPr>
            <w:tcW w:w="20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679,593</w:t>
            </w: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673,291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Selling, general and administrative expense</w:t>
            </w:r>
          </w:p>
        </w:tc>
        <w:tc>
          <w:tcPr>
            <w:tcW w:w="1300" w:type="dxa"/>
            <w:vAlign w:val="bottom"/>
          </w:tcPr>
          <w:p>
            <w:pPr>
              <w:spacing w:after="0"/>
              <w:rPr>
                <w:sz w:val="18"/>
                <w:szCs w:val="18"/>
                <w:color w:val="auto"/>
              </w:rPr>
            </w:pPr>
          </w:p>
        </w:tc>
        <w:tc>
          <w:tcPr>
            <w:tcW w:w="1040" w:type="dxa"/>
            <w:vAlign w:val="bottom"/>
            <w:gridSpan w:val="6"/>
          </w:tcPr>
          <w:p>
            <w:pPr>
              <w:jc w:val="right"/>
              <w:ind w:right="140"/>
              <w:spacing w:after="0"/>
              <w:rPr>
                <w:sz w:val="20"/>
                <w:szCs w:val="20"/>
                <w:color w:val="auto"/>
              </w:rPr>
            </w:pPr>
            <w:r>
              <w:rPr>
                <w:rFonts w:ascii="Arial" w:cs="Arial" w:eastAsia="Arial" w:hAnsi="Arial"/>
                <w:sz w:val="18"/>
                <w:szCs w:val="18"/>
                <w:color w:val="auto"/>
              </w:rPr>
              <w:t>82,435</w:t>
            </w:r>
          </w:p>
        </w:tc>
        <w:tc>
          <w:tcPr>
            <w:tcW w:w="240" w:type="dxa"/>
            <w:vAlign w:val="bottom"/>
          </w:tcPr>
          <w:p>
            <w:pPr>
              <w:spacing w:after="0"/>
              <w:rPr>
                <w:sz w:val="18"/>
                <w:szCs w:val="18"/>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color w:val="auto"/>
              </w:rPr>
              <w:t>84,466</w:t>
            </w:r>
          </w:p>
        </w:tc>
        <w:tc>
          <w:tcPr>
            <w:tcW w:w="200" w:type="dxa"/>
            <w:vAlign w:val="bottom"/>
          </w:tcPr>
          <w:p>
            <w:pPr>
              <w:spacing w:after="0"/>
              <w:rPr>
                <w:sz w:val="18"/>
                <w:szCs w:val="18"/>
                <w:color w:val="auto"/>
              </w:rPr>
            </w:pPr>
          </w:p>
        </w:tc>
        <w:tc>
          <w:tcPr>
            <w:tcW w:w="1020" w:type="dxa"/>
            <w:vAlign w:val="bottom"/>
            <w:gridSpan w:val="6"/>
          </w:tcPr>
          <w:p>
            <w:pPr>
              <w:jc w:val="right"/>
              <w:ind w:right="140"/>
              <w:spacing w:after="0"/>
              <w:rPr>
                <w:sz w:val="20"/>
                <w:szCs w:val="20"/>
                <w:color w:val="auto"/>
              </w:rPr>
            </w:pPr>
            <w:r>
              <w:rPr>
                <w:rFonts w:ascii="Arial" w:cs="Arial" w:eastAsia="Arial" w:hAnsi="Arial"/>
                <w:sz w:val="18"/>
                <w:szCs w:val="18"/>
                <w:color w:val="auto"/>
              </w:rPr>
              <w:t>243,310</w:t>
            </w:r>
          </w:p>
        </w:tc>
        <w:tc>
          <w:tcPr>
            <w:tcW w:w="26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251,036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14,366</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13,737</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42,535</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38,207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costs and expenses</w:t>
            </w:r>
          </w:p>
        </w:tc>
        <w:tc>
          <w:tcPr>
            <w:tcW w:w="1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323,356</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328,166</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965,438</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962,534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71,385</w:t>
            </w:r>
          </w:p>
        </w:tc>
        <w:tc>
          <w:tcPr>
            <w:tcW w:w="2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59,423</w:t>
            </w:r>
          </w:p>
        </w:tc>
        <w:tc>
          <w:tcPr>
            <w:tcW w:w="20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206,191</w:t>
            </w: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150,709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18"/>
                <w:szCs w:val="18"/>
                <w:color w:val="auto"/>
              </w:rPr>
            </w:pPr>
          </w:p>
        </w:tc>
        <w:tc>
          <w:tcPr>
            <w:tcW w:w="900" w:type="dxa"/>
            <w:vAlign w:val="bottom"/>
            <w:gridSpan w:val="5"/>
          </w:tcPr>
          <w:p>
            <w:pPr>
              <w:jc w:val="right"/>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5"/>
          </w:tcPr>
          <w:p>
            <w:pPr>
              <w:jc w:val="right"/>
              <w:ind w:right="140"/>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8"/>
                <w:szCs w:val="18"/>
                <w:color w:val="auto"/>
              </w:rPr>
            </w:pPr>
          </w:p>
        </w:tc>
        <w:tc>
          <w:tcPr>
            <w:tcW w:w="1020" w:type="dxa"/>
            <w:vAlign w:val="bottom"/>
            <w:gridSpan w:val="6"/>
          </w:tcPr>
          <w:p>
            <w:pPr>
              <w:jc w:val="right"/>
              <w:ind w:right="140"/>
              <w:spacing w:after="0"/>
              <w:rPr>
                <w:sz w:val="20"/>
                <w:szCs w:val="20"/>
                <w:color w:val="auto"/>
              </w:rPr>
            </w:pPr>
            <w:r>
              <w:rPr>
                <w:rFonts w:ascii="Arial" w:cs="Arial" w:eastAsia="Arial" w:hAnsi="Arial"/>
                <w:sz w:val="18"/>
                <w:szCs w:val="18"/>
                <w:color w:val="auto"/>
              </w:rPr>
              <w:t>1,026</w:t>
            </w:r>
          </w:p>
        </w:tc>
        <w:tc>
          <w:tcPr>
            <w:tcW w:w="260" w:type="dxa"/>
            <w:vAlign w:val="bottom"/>
          </w:tcPr>
          <w:p>
            <w:pPr>
              <w:spacing w:after="0"/>
              <w:rPr>
                <w:sz w:val="18"/>
                <w:szCs w:val="18"/>
                <w:color w:val="auto"/>
              </w:rPr>
            </w:pPr>
          </w:p>
        </w:tc>
        <w:tc>
          <w:tcPr>
            <w:tcW w:w="940" w:type="dxa"/>
            <w:vAlign w:val="bottom"/>
            <w:gridSpan w:val="4"/>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(1,178)</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(1,686)</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1300" w:type="dxa"/>
            <w:vAlign w:val="bottom"/>
            <w:shd w:val="clear" w:color="auto" w:fill="CCEEFF"/>
          </w:tcPr>
          <w:p>
            <w:pPr>
              <w:spacing w:after="0"/>
              <w:rPr>
                <w:sz w:val="18"/>
                <w:szCs w:val="18"/>
                <w:color w:val="auto"/>
              </w:rPr>
            </w:pPr>
          </w:p>
        </w:tc>
        <w:tc>
          <w:tcPr>
            <w:tcW w:w="104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70,738</w:t>
            </w:r>
          </w:p>
        </w:tc>
        <w:tc>
          <w:tcPr>
            <w:tcW w:w="24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59,532</w:t>
            </w:r>
          </w:p>
        </w:tc>
        <w:tc>
          <w:tcPr>
            <w:tcW w:w="200" w:type="dxa"/>
            <w:vAlign w:val="bottom"/>
            <w:shd w:val="clear" w:color="auto" w:fill="CCEEFF"/>
          </w:tcPr>
          <w:p>
            <w:pPr>
              <w:spacing w:after="0"/>
              <w:rPr>
                <w:sz w:val="18"/>
                <w:szCs w:val="18"/>
                <w:color w:val="auto"/>
              </w:rPr>
            </w:pPr>
          </w:p>
        </w:tc>
        <w:tc>
          <w:tcPr>
            <w:tcW w:w="1020" w:type="dxa"/>
            <w:vAlign w:val="bottom"/>
            <w:gridSpan w:val="6"/>
            <w:shd w:val="clear" w:color="auto" w:fill="CCEEFF"/>
          </w:tcPr>
          <w:p>
            <w:pPr>
              <w:jc w:val="right"/>
              <w:ind w:right="140"/>
              <w:spacing w:after="0"/>
              <w:rPr>
                <w:sz w:val="20"/>
                <w:szCs w:val="20"/>
                <w:color w:val="auto"/>
              </w:rPr>
            </w:pPr>
            <w:r>
              <w:rPr>
                <w:rFonts w:ascii="Arial" w:cs="Arial" w:eastAsia="Arial" w:hAnsi="Arial"/>
                <w:sz w:val="18"/>
                <w:szCs w:val="18"/>
                <w:color w:val="auto"/>
              </w:rPr>
              <w:t>205,531</w:t>
            </w:r>
          </w:p>
        </w:tc>
        <w:tc>
          <w:tcPr>
            <w:tcW w:w="2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150,871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(9,196)</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(9,216)</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color w:val="auto"/>
              </w:rPr>
              <w:t>(29,534)</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(23,577)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61,542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50,316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175,997</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127,294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Net income per Ordinary Share:</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Basic</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1.05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0.81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2.95</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rPr>
              <w:t>0.79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rPr>
              <w:t>2.85</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Weighted average number of Ordinary Shares outstanding:</w:t>
            </w: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Basic</w:t>
            </w:r>
          </w:p>
        </w:tc>
        <w:tc>
          <w:tcPr>
            <w:tcW w:w="1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7"/>
              </w:rPr>
              <w:t>58,659,782</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w w:val="97"/>
              </w:rPr>
              <w:t>61,878,429</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w w:val="95"/>
              </w:rPr>
              <w:t>59,728,608</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0"/>
              </w:rPr>
              <w:t>61,863,332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Diluted</w:t>
            </w:r>
          </w:p>
        </w:tc>
        <w:tc>
          <w:tcPr>
            <w:tcW w:w="1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7"/>
              </w:rPr>
              <w:t>60,369,898</w:t>
            </w: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5"/>
          </w:tcPr>
          <w:p>
            <w:pPr>
              <w:jc w:val="right"/>
              <w:ind w:right="140"/>
              <w:spacing w:after="0"/>
              <w:rPr>
                <w:sz w:val="20"/>
                <w:szCs w:val="20"/>
                <w:color w:val="auto"/>
              </w:rPr>
            </w:pPr>
            <w:r>
              <w:rPr>
                <w:rFonts w:ascii="Arial" w:cs="Arial" w:eastAsia="Arial" w:hAnsi="Arial"/>
                <w:sz w:val="18"/>
                <w:szCs w:val="18"/>
                <w:color w:val="auto"/>
                <w:w w:val="97"/>
              </w:rPr>
              <w:t>63,442,607</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w w:val="95"/>
              </w:rPr>
              <w:t>61,785,849</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0"/>
              </w:rPr>
              <w:t>63,434,260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2015 AND 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06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September</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30,</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4"/>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340" w:type="dxa"/>
            <w:vAlign w:val="bottom"/>
          </w:tcPr>
          <w:p>
            <w:pPr>
              <w:spacing w:after="0"/>
              <w:rPr>
                <w:sz w:val="20"/>
                <w:szCs w:val="20"/>
                <w:color w:val="auto"/>
              </w:rPr>
            </w:pPr>
          </w:p>
        </w:tc>
        <w:tc>
          <w:tcPr>
            <w:tcW w:w="20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7020" w:type="dxa"/>
            <w:vAlign w:val="bottom"/>
            <w:gridSpan w:val="2"/>
            <w:vMerge w:val="continue"/>
          </w:tcPr>
          <w:p>
            <w:pPr>
              <w:spacing w:after="0"/>
              <w:rPr>
                <w:sz w:val="18"/>
                <w:szCs w:val="18"/>
                <w:color w:val="auto"/>
              </w:rPr>
            </w:pPr>
          </w:p>
        </w:tc>
        <w:tc>
          <w:tcPr>
            <w:tcW w:w="2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175,997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127,294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2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Loss/(profit) on disposal of property, plant and equipment</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Depreciation expense</w:t>
            </w:r>
          </w:p>
        </w:tc>
        <w:tc>
          <w:tcPr>
            <w:tcW w:w="2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30,037</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12,498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Amortization of grants</w:t>
            </w:r>
          </w:p>
        </w:tc>
        <w:tc>
          <w:tcPr>
            <w:tcW w:w="2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 expense</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24,043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Deferred taxes</w:t>
            </w:r>
          </w:p>
        </w:tc>
        <w:tc>
          <w:tcPr>
            <w:tcW w:w="2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Increase in accounts receivable</w:t>
            </w:r>
          </w:p>
        </w:tc>
        <w:tc>
          <w:tcPr>
            <w:tcW w:w="2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unbilled revenue</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Increase in other receivables</w:t>
            </w:r>
          </w:p>
        </w:tc>
        <w:tc>
          <w:tcPr>
            <w:tcW w:w="2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(10,701)</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prepayments and other current assets</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Decrease/(increase) in other non-current assets</w:t>
            </w:r>
          </w:p>
        </w:tc>
        <w:tc>
          <w:tcPr>
            <w:tcW w:w="2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Increase/(decrease) in payments on account</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10,615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Decrease in other current liabilities</w:t>
            </w:r>
          </w:p>
        </w:tc>
        <w:tc>
          <w:tcPr>
            <w:tcW w:w="2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(20,363)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other non-current liabilities</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Increase/(decrease) in income taxes payable</w:t>
            </w:r>
          </w:p>
        </w:tc>
        <w:tc>
          <w:tcPr>
            <w:tcW w:w="2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9,097</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Increase/(decrease) in accounts payable</w:t>
            </w:r>
          </w:p>
        </w:tc>
        <w:tc>
          <w:tcPr>
            <w:tcW w:w="2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1,102</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163,427</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94,730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(36,255)</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Purchase of subsidiary undertakings</w:t>
            </w:r>
          </w:p>
        </w:tc>
        <w:tc>
          <w:tcPr>
            <w:tcW w:w="2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(102,756)</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acquired with subsidiary undertakings</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Purchase of short term investments</w:t>
            </w:r>
          </w:p>
        </w:tc>
        <w:tc>
          <w:tcPr>
            <w:tcW w:w="2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(9,652)</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Sale of short term investments</w:t>
            </w:r>
          </w:p>
        </w:tc>
        <w:tc>
          <w:tcPr>
            <w:tcW w:w="2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25,170</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(123,493)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Drawdown of bank credit lines and loan facilities</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350,000</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Proceeds from exercise of share options &amp; restricted share units</w:t>
            </w:r>
          </w:p>
        </w:tc>
        <w:tc>
          <w:tcPr>
            <w:tcW w:w="2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18,375</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issuance costs</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Tax benefit from the exercise of share options</w:t>
            </w:r>
          </w:p>
        </w:tc>
        <w:tc>
          <w:tcPr>
            <w:tcW w:w="23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3,014</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ordinary shares</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(286,923)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Share repurchase costs</w:t>
            </w:r>
          </w:p>
        </w:tc>
        <w:tc>
          <w:tcPr>
            <w:tcW w:w="2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financing activities</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83,658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exchange rate movements on cash</w:t>
            </w:r>
          </w:p>
        </w:tc>
        <w:tc>
          <w:tcPr>
            <w:tcW w:w="2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(7,244)</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(decrease)/increase in cash and cash equivalents</w:t>
            </w: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116,348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2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118,900</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182,519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7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235,248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153,576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CONDENSED CONSOLIDATED STATEMENTS OF SHAREHOLDERS' EQUITY AND COMPREHENSIVE INCOME (UNAUDITED)</w:t>
      </w:r>
    </w:p>
    <w:p>
      <w:pPr>
        <w:spacing w:after="0" w:line="176" w:lineRule="exact"/>
        <w:rPr>
          <w:sz w:val="20"/>
          <w:szCs w:val="20"/>
          <w:color w:val="auto"/>
        </w:rPr>
      </w:pPr>
    </w:p>
    <w:tbl>
      <w:tblPr>
        <w:tblLayout w:type="fixed"/>
        <w:tblInd w:w="378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Accumulated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223"/>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9"/>
              </w:rPr>
              <w:t>Capital</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Other</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Additional</w:t>
            </w:r>
          </w:p>
        </w:tc>
        <w:tc>
          <w:tcPr>
            <w:tcW w:w="1360" w:type="dxa"/>
            <w:vAlign w:val="bottom"/>
            <w:gridSpan w:val="4"/>
          </w:tcPr>
          <w:p>
            <w:pPr>
              <w:jc w:val="right"/>
              <w:ind w:right="200"/>
              <w:spacing w:after="0"/>
              <w:rPr>
                <w:sz w:val="20"/>
                <w:szCs w:val="20"/>
                <w:color w:val="auto"/>
              </w:rPr>
            </w:pPr>
            <w:r>
              <w:rPr>
                <w:rFonts w:ascii="Arial" w:cs="Arial" w:eastAsia="Arial" w:hAnsi="Arial"/>
                <w:sz w:val="18"/>
                <w:szCs w:val="18"/>
                <w:b w:val="1"/>
                <w:bCs w:val="1"/>
                <w:color w:val="auto"/>
              </w:rPr>
              <w:t>Redemption</w:t>
            </w:r>
          </w:p>
        </w:tc>
        <w:tc>
          <w:tcPr>
            <w:tcW w:w="1400" w:type="dxa"/>
            <w:vAlign w:val="bottom"/>
            <w:gridSpan w:val="5"/>
          </w:tcPr>
          <w:p>
            <w:pPr>
              <w:spacing w:after="0"/>
              <w:rPr>
                <w:sz w:val="20"/>
                <w:szCs w:val="20"/>
                <w:color w:val="auto"/>
              </w:rPr>
            </w:pPr>
            <w:r>
              <w:rPr>
                <w:rFonts w:ascii="Arial" w:cs="Arial" w:eastAsia="Arial" w:hAnsi="Arial"/>
                <w:sz w:val="18"/>
                <w:szCs w:val="18"/>
                <w:b w:val="1"/>
                <w:bCs w:val="1"/>
                <w:color w:val="auto"/>
              </w:rPr>
              <w:t>Comprehensive</w:t>
            </w:r>
          </w:p>
        </w:tc>
        <w:tc>
          <w:tcPr>
            <w:tcW w:w="220" w:type="dxa"/>
            <w:vAlign w:val="bottom"/>
          </w:tcPr>
          <w:p>
            <w:pPr>
              <w:spacing w:after="0"/>
              <w:rPr>
                <w:sz w:val="19"/>
                <w:szCs w:val="19"/>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w w:val="89"/>
              </w:rPr>
              <w:t>Retained</w:t>
            </w:r>
          </w:p>
        </w:tc>
        <w:tc>
          <w:tcPr>
            <w:tcW w:w="40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3"/>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Shares</w:t>
            </w: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Amount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Paid-in</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Reserve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Income</w:t>
            </w:r>
          </w:p>
        </w:tc>
        <w:tc>
          <w:tcPr>
            <w:tcW w:w="200" w:type="dxa"/>
            <w:vAlign w:val="bottom"/>
          </w:tcPr>
          <w:p>
            <w:pPr>
              <w:spacing w:after="0"/>
              <w:rPr>
                <w:sz w:val="19"/>
                <w:szCs w:val="19"/>
                <w:color w:val="auto"/>
              </w:rPr>
            </w:pPr>
          </w:p>
        </w:tc>
        <w:tc>
          <w:tcPr>
            <w:tcW w:w="164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Earnings</w:t>
            </w:r>
          </w:p>
        </w:tc>
        <w:tc>
          <w:tcPr>
            <w:tcW w:w="400" w:type="dxa"/>
            <w:vAlign w:val="bottom"/>
          </w:tcPr>
          <w:p>
            <w:pPr>
              <w:spacing w:after="0"/>
              <w:rPr>
                <w:sz w:val="20"/>
                <w:szCs w:val="20"/>
                <w:color w:val="auto"/>
              </w:rPr>
            </w:pPr>
            <w:r>
              <w:rPr>
                <w:rFonts w:ascii="Arial" w:cs="Arial" w:eastAsia="Arial" w:hAnsi="Arial"/>
                <w:sz w:val="18"/>
                <w:szCs w:val="18"/>
                <w:b w:val="1"/>
                <w:bCs w:val="1"/>
                <w:color w:val="auto"/>
                <w:w w:val="88"/>
              </w:rPr>
              <w:t>Total</w:t>
            </w:r>
          </w:p>
        </w:tc>
      </w:tr>
      <w:tr>
        <w:trPr>
          <w:trHeight w:val="20"/>
        </w:trPr>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Capital</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r>
    </w:tbl>
    <w:p>
      <w:pPr>
        <w:spacing w:after="0" w:line="200" w:lineRule="exact"/>
        <w:rPr>
          <w:sz w:val="20"/>
          <w:szCs w:val="20"/>
          <w:color w:val="auto"/>
        </w:rPr>
      </w:pPr>
    </w:p>
    <w:p>
      <w:pPr>
        <w:spacing w:after="0" w:line="32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439"/>
        </w:trPr>
        <w:tc>
          <w:tcPr>
            <w:tcW w:w="20" w:type="dxa"/>
            <w:vAlign w:val="bottom"/>
          </w:tcPr>
          <w:p>
            <w:pPr>
              <w:spacing w:after="0"/>
              <w:rPr>
                <w:sz w:val="24"/>
                <w:szCs w:val="24"/>
                <w:color w:val="auto"/>
              </w:rPr>
            </w:pPr>
          </w:p>
        </w:tc>
        <w:tc>
          <w:tcPr>
            <w:tcW w:w="2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60,106,780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5,037</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327,234</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w:t>
            </w:r>
          </w:p>
        </w:tc>
        <w:tc>
          <w:tcPr>
            <w:tcW w:w="4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(37,555)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655,185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950,206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175,997</w:t>
            </w: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175,997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Currency impact of long term</w:t>
            </w: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funding</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12,236</w:t>
            </w: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12,236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on currency impact of long</w:t>
            </w:r>
          </w:p>
        </w:tc>
        <w:tc>
          <w:tcPr>
            <w:tcW w:w="1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term funding</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Unrealized capital gain -</w:t>
            </w: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2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2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5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spacing w:after="0"/>
              <w:rPr>
                <w:sz w:val="24"/>
                <w:szCs w:val="24"/>
                <w:color w:val="auto"/>
              </w:rPr>
            </w:pPr>
          </w:p>
        </w:tc>
        <w:tc>
          <w:tcPr>
            <w:tcW w:w="7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spacing w:after="0"/>
              <w:rPr>
                <w:sz w:val="24"/>
                <w:szCs w:val="24"/>
                <w:color w:val="auto"/>
              </w:rPr>
            </w:pP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shd w:val="clear" w:color="auto" w:fill="CCEEFF"/>
          </w:tcPr>
          <w:p>
            <w:pPr>
              <w:spacing w:after="0"/>
              <w:rPr>
                <w:sz w:val="24"/>
                <w:szCs w:val="2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(20,638)</w:t>
            </w: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175,997</w:t>
            </w:r>
          </w:p>
        </w:tc>
        <w:tc>
          <w:tcPr>
            <w:tcW w:w="260" w:type="dxa"/>
            <w:vAlign w:val="bottom"/>
            <w:tcBorders>
              <w:top w:val="single" w:sz="8" w:color="auto"/>
              <w:bottom w:val="single" w:sz="8" w:color="auto"/>
            </w:tcBorders>
            <w:shd w:val="clear" w:color="auto" w:fill="CCEEFF"/>
          </w:tcPr>
          <w:p>
            <w:pPr>
              <w:spacing w:after="0"/>
              <w:rPr>
                <w:sz w:val="24"/>
                <w:szCs w:val="24"/>
                <w:color w:val="auto"/>
              </w:rPr>
            </w:pP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155,359</w:t>
            </w:r>
          </w:p>
        </w:tc>
        <w:tc>
          <w:tcPr>
            <w:tcW w:w="0" w:type="dxa"/>
            <w:vAlign w:val="bottom"/>
          </w:tcPr>
          <w:p>
            <w:pPr>
              <w:spacing w:after="0"/>
              <w:rPr>
                <w:sz w:val="1"/>
                <w:szCs w:val="1"/>
                <w:color w:val="auto"/>
              </w:rPr>
            </w:pPr>
          </w:p>
        </w:tc>
      </w:tr>
      <w:tr>
        <w:trPr>
          <w:trHeight w:val="432"/>
        </w:trPr>
        <w:tc>
          <w:tcPr>
            <w:tcW w:w="2920" w:type="dxa"/>
            <w:vAlign w:val="bottom"/>
            <w:gridSpan w:val="2"/>
          </w:tcPr>
          <w:p>
            <w:pPr>
              <w:spacing w:after="0"/>
              <w:rPr>
                <w:sz w:val="20"/>
                <w:szCs w:val="20"/>
                <w:color w:val="auto"/>
              </w:rPr>
            </w:pPr>
            <w:r>
              <w:rPr>
                <w:rFonts w:ascii="Arial" w:cs="Arial" w:eastAsia="Arial" w:hAnsi="Arial"/>
                <w:sz w:val="18"/>
                <w:szCs w:val="18"/>
                <w:color w:val="auto"/>
              </w:rPr>
              <w:t>Exercise of share options</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686,467</w:t>
            </w:r>
          </w:p>
        </w:tc>
        <w:tc>
          <w:tcPr>
            <w:tcW w:w="380" w:type="dxa"/>
            <w:vAlign w:val="bottom"/>
          </w:tcPr>
          <w:p>
            <w:pPr>
              <w:spacing w:after="0"/>
              <w:rPr>
                <w:sz w:val="24"/>
                <w:szCs w:val="24"/>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18,314</w:t>
            </w:r>
          </w:p>
        </w:tc>
        <w:tc>
          <w:tcPr>
            <w:tcW w:w="44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Issue of restricted share units</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227,805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Share issuance costs</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Non-cash stock compensation</w:t>
            </w:r>
          </w:p>
        </w:tc>
        <w:tc>
          <w:tcPr>
            <w:tcW w:w="1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24,043</w:t>
            </w: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Repurchase of ordinary shares</w:t>
            </w:r>
          </w:p>
        </w:tc>
        <w:tc>
          <w:tcPr>
            <w:tcW w:w="1500" w:type="dxa"/>
            <w:vAlign w:val="bottom"/>
          </w:tcPr>
          <w:p>
            <w:pPr>
              <w:jc w:val="right"/>
              <w:spacing w:after="0"/>
              <w:rPr>
                <w:sz w:val="20"/>
                <w:szCs w:val="20"/>
                <w:color w:val="auto"/>
              </w:rPr>
            </w:pPr>
            <w:r>
              <w:rPr>
                <w:rFonts w:ascii="Arial" w:cs="Arial" w:eastAsia="Arial" w:hAnsi="Arial"/>
                <w:sz w:val="18"/>
                <w:szCs w:val="18"/>
                <w:color w:val="auto"/>
              </w:rPr>
              <w:t>(3,786,589)</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251</w:t>
            </w:r>
          </w:p>
        </w:tc>
        <w:tc>
          <w:tcPr>
            <w:tcW w:w="46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(286,923)</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(286,923)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Share repurchase costs</w:t>
            </w:r>
          </w:p>
        </w:tc>
        <w:tc>
          <w:tcPr>
            <w:tcW w:w="1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Tax benefit on exercise of</w:t>
            </w:r>
          </w:p>
        </w:tc>
        <w:tc>
          <w:tcPr>
            <w:tcW w:w="1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920" w:type="dxa"/>
            <w:vAlign w:val="bottom"/>
            <w:gridSpan w:val="2"/>
          </w:tcPr>
          <w:p>
            <w:pPr>
              <w:spacing w:after="0"/>
              <w:rPr>
                <w:sz w:val="20"/>
                <w:szCs w:val="20"/>
                <w:color w:val="auto"/>
              </w:rPr>
            </w:pPr>
            <w:r>
              <w:rPr>
                <w:rFonts w:ascii="Arial" w:cs="Arial" w:eastAsia="Arial" w:hAnsi="Arial"/>
                <w:sz w:val="18"/>
                <w:szCs w:val="18"/>
                <w:color w:val="auto"/>
              </w:rPr>
              <w:t>options</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3,014</w:t>
            </w:r>
          </w:p>
        </w:tc>
        <w:tc>
          <w:tcPr>
            <w:tcW w:w="44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9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September 30, 2015</w:t>
            </w:r>
          </w:p>
        </w:tc>
        <w:tc>
          <w:tcPr>
            <w:tcW w:w="15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57,234,463</w:t>
            </w:r>
          </w:p>
        </w:tc>
        <w:tc>
          <w:tcPr>
            <w:tcW w:w="3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4,832</w:t>
            </w:r>
          </w:p>
        </w:tc>
        <w:tc>
          <w:tcPr>
            <w:tcW w:w="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372,614</w:t>
            </w:r>
          </w:p>
        </w:tc>
        <w:tc>
          <w:tcPr>
            <w:tcW w:w="4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556</w:t>
            </w:r>
          </w:p>
        </w:tc>
        <w:tc>
          <w:tcPr>
            <w:tcW w:w="4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(58,193)</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543,457</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863,266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condensed consolidated financial statements should be read in conjunction with the accounting policies and notes to the consolidated financial statements included in ICON’s Form 20-F for the year ended December 31, 2014. Operating results for the nine months ended September 30, 2015 are not necessarily indicative of the results that may be expected for the fiscal period ending December 31, 2015.</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2. Goodwill</w:t>
            </w:r>
          </w:p>
        </w:tc>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9"/>
              </w:rPr>
              <w:t>Nine months</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2"/>
              </w:rPr>
              <w:t>ended</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8"/>
              </w:rPr>
              <w:t>Year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7"/>
              </w:rPr>
              <w:t>September 30,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140" w:type="dxa"/>
            <w:vAlign w:val="bottom"/>
            <w:gridSpan w:val="8"/>
          </w:tcPr>
          <w:p>
            <w:pPr>
              <w:jc w:val="right"/>
              <w:ind w:right="104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4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463,324</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357,523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Current period acquisitions (Note 3)</w:t>
            </w:r>
          </w:p>
        </w:tc>
        <w:tc>
          <w:tcPr>
            <w:tcW w:w="4500" w:type="dxa"/>
            <w:vAlign w:val="bottom"/>
          </w:tcPr>
          <w:p>
            <w:pPr>
              <w:spacing w:after="0"/>
              <w:rPr>
                <w:sz w:val="18"/>
                <w:szCs w:val="18"/>
                <w:color w:val="auto"/>
              </w:rPr>
            </w:pPr>
          </w:p>
        </w:tc>
        <w:tc>
          <w:tcPr>
            <w:tcW w:w="1240" w:type="dxa"/>
            <w:vAlign w:val="bottom"/>
            <w:gridSpan w:val="5"/>
          </w:tcPr>
          <w:p>
            <w:pPr>
              <w:jc w:val="right"/>
              <w:ind w:right="140"/>
              <w:spacing w:after="0"/>
              <w:rPr>
                <w:sz w:val="20"/>
                <w:szCs w:val="20"/>
                <w:color w:val="auto"/>
              </w:rPr>
            </w:pPr>
            <w:r>
              <w:rPr>
                <w:rFonts w:ascii="Arial" w:cs="Arial" w:eastAsia="Arial" w:hAnsi="Arial"/>
                <w:sz w:val="18"/>
                <w:szCs w:val="18"/>
                <w:color w:val="auto"/>
              </w:rPr>
              <w:t>115,180</w:t>
            </w:r>
          </w:p>
        </w:tc>
        <w:tc>
          <w:tcPr>
            <w:tcW w:w="380" w:type="dxa"/>
            <w:vAlign w:val="bottom"/>
          </w:tcPr>
          <w:p>
            <w:pPr>
              <w:spacing w:after="0"/>
              <w:rPr>
                <w:sz w:val="18"/>
                <w:szCs w:val="18"/>
                <w:color w:val="auto"/>
              </w:rPr>
            </w:pPr>
          </w:p>
        </w:tc>
        <w:tc>
          <w:tcPr>
            <w:tcW w:w="1160" w:type="dxa"/>
            <w:vAlign w:val="bottom"/>
            <w:gridSpan w:val="4"/>
          </w:tcPr>
          <w:p>
            <w:pPr>
              <w:jc w:val="right"/>
              <w:ind w:right="100"/>
              <w:spacing w:after="0"/>
              <w:rPr>
                <w:sz w:val="20"/>
                <w:szCs w:val="20"/>
                <w:color w:val="auto"/>
              </w:rPr>
            </w:pPr>
            <w:r>
              <w:rPr>
                <w:rFonts w:ascii="Arial" w:cs="Arial" w:eastAsia="Arial" w:hAnsi="Arial"/>
                <w:sz w:val="18"/>
                <w:szCs w:val="18"/>
                <w:color w:val="auto"/>
              </w:rPr>
              <w:t>121,209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Prior period acquisitions</w:t>
            </w:r>
          </w:p>
        </w:tc>
        <w:tc>
          <w:tcPr>
            <w:tcW w:w="45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4,418</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exchange movement</w:t>
            </w:r>
          </w:p>
        </w:tc>
        <w:tc>
          <w:tcPr>
            <w:tcW w:w="4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8"/>
                <w:szCs w:val="18"/>
                <w:color w:val="auto"/>
              </w:rPr>
              <w:t>(7,544)</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(15,408)</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45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575,378</w:t>
            </w:r>
          </w:p>
        </w:tc>
        <w:tc>
          <w:tcPr>
            <w:tcW w:w="1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463,324</w:t>
            </w: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500" w:type="dxa"/>
            <w:vAlign w:val="bottom"/>
          </w:tcPr>
          <w:p>
            <w:pPr>
              <w:jc w:val="right"/>
              <w:ind w:right="279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Business Combinations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 MediMedia Pharma Solutions.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27, 2015 the Company acquired MediMedia Pharma Solutions for a total cash consideration of $120.0 million including certain payments to be made on behalf of the company on completion totalling $14.9 million. Headquartered in Yardley, Pennsylvania, MediMedia Pharma Solutions includes MediMedia Managed Markets and Complete Healthcare Communications. MediMedia Managed Markets is a leading provider of strategic payer-validated market access solutions. Complete Healthcare Communications is one of the leading medical and scientific communication agencies working with medical affairs, commercial and brand development teams within life science companies. The acquisition agreement also provides for certain working capital targets to be achieved by MediMedia Pharma Solutions on acquisition. The Company has withheld a provisional amount of $3.6 million on acquisition pending completion of this review. During the three months ended September 30, 2015 a further $383,000 was returned to the Company on completion of the review.</w:t>
      </w:r>
    </w:p>
    <w:p>
      <w:pPr>
        <w:spacing w:after="0" w:line="1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acquisition of MediMedia Pharma Solutions has been accounted for as a business combination in accordance with FASB ASC 805 Business Combinations. The following table summarizes the Company’s provisional estimates of the fair values of the assets acquired and liabilities assumed: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February 27</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r>
      <w:tr>
        <w:trPr>
          <w:trHeight w:val="234"/>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4980" w:type="dxa"/>
            <w:vAlign w:val="bottom"/>
            <w:gridSpan w:val="2"/>
          </w:tcPr>
          <w:p>
            <w:pPr>
              <w:ind w:left="3760"/>
              <w:spacing w:after="0"/>
              <w:rPr>
                <w:sz w:val="20"/>
                <w:szCs w:val="20"/>
                <w:color w:val="auto"/>
              </w:rPr>
            </w:pPr>
            <w:r>
              <w:rPr>
                <w:rFonts w:ascii="Arial" w:cs="Arial" w:eastAsia="Arial" w:hAnsi="Arial"/>
                <w:sz w:val="18"/>
                <w:szCs w:val="18"/>
                <w:b w:val="1"/>
                <w:bCs w:val="1"/>
                <w:color w:val="auto"/>
                <w:w w:val="96"/>
              </w:rPr>
              <w:t>(In thousands)</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88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1,049</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Goodwill*</w:t>
            </w:r>
          </w:p>
        </w:tc>
        <w:tc>
          <w:tcPr>
            <w:tcW w:w="38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115,180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5,240</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Unbilled Revenue</w:t>
            </w:r>
          </w:p>
        </w:tc>
        <w:tc>
          <w:tcPr>
            <w:tcW w:w="388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4,324</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3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w:t>
            </w: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Accounts payable</w:t>
            </w:r>
          </w:p>
        </w:tc>
        <w:tc>
          <w:tcPr>
            <w:tcW w:w="38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(749)</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Payments on account</w:t>
            </w:r>
          </w:p>
        </w:tc>
        <w:tc>
          <w:tcPr>
            <w:tcW w:w="38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w:t>
            </w: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liabilities</w:t>
            </w:r>
          </w:p>
        </w:tc>
        <w:tc>
          <w:tcPr>
            <w:tcW w:w="3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(16,760)</w:t>
            </w:r>
          </w:p>
        </w:tc>
      </w:tr>
      <w:tr>
        <w:trPr>
          <w:trHeight w:val="473"/>
        </w:trPr>
        <w:tc>
          <w:tcPr>
            <w:tcW w:w="20" w:type="dxa"/>
            <w:vAlign w:val="bottom"/>
          </w:tcPr>
          <w:p>
            <w:pPr>
              <w:spacing w:after="0"/>
              <w:rPr>
                <w:sz w:val="24"/>
                <w:szCs w:val="24"/>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880" w:type="dxa"/>
            <w:vAlign w:val="bottom"/>
            <w:tcBorders>
              <w:bottom w:val="single" w:sz="8" w:color="auto"/>
            </w:tcBorders>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104,719</w:t>
            </w:r>
          </w:p>
        </w:tc>
      </w:tr>
      <w:tr>
        <w:trPr>
          <w:trHeight w:val="480"/>
        </w:trPr>
        <w:tc>
          <w:tcPr>
            <w:tcW w:w="6440" w:type="dxa"/>
            <w:vAlign w:val="bottom"/>
            <w:gridSpan w:val="2"/>
          </w:tcPr>
          <w:p>
            <w:pPr>
              <w:spacing w:after="0"/>
              <w:rPr>
                <w:sz w:val="20"/>
                <w:szCs w:val="20"/>
                <w:color w:val="auto"/>
              </w:rPr>
            </w:pPr>
            <w:r>
              <w:rPr>
                <w:rFonts w:ascii="Arial" w:cs="Arial" w:eastAsia="Arial" w:hAnsi="Arial"/>
                <w:sz w:val="18"/>
                <w:szCs w:val="18"/>
                <w:color w:val="auto"/>
              </w:rPr>
              <w:t>Cash consideration</w:t>
            </w:r>
          </w:p>
        </w:tc>
        <w:tc>
          <w:tcPr>
            <w:tcW w:w="3880" w:type="dxa"/>
            <w:vAlign w:val="bottom"/>
          </w:tcPr>
          <w:p>
            <w:pPr>
              <w:ind w:left="37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120,000</w:t>
            </w:r>
          </w:p>
        </w:tc>
      </w:tr>
      <w:tr>
        <w:trPr>
          <w:trHeight w:val="270"/>
        </w:trPr>
        <w:tc>
          <w:tcPr>
            <w:tcW w:w="20" w:type="dxa"/>
            <w:vAlign w:val="bottom"/>
          </w:tcPr>
          <w:p>
            <w:pPr>
              <w:spacing w:after="0"/>
              <w:rPr>
                <w:sz w:val="23"/>
                <w:szCs w:val="23"/>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cash consideration **</w:t>
            </w:r>
          </w:p>
        </w:tc>
        <w:tc>
          <w:tcPr>
            <w:tcW w:w="38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(11,283)</w:t>
            </w:r>
          </w:p>
        </w:tc>
      </w:tr>
      <w:tr>
        <w:trPr>
          <w:trHeight w:val="223"/>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8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r>
      <w:tr>
        <w:trPr>
          <w:trHeight w:val="257"/>
        </w:trPr>
        <w:tc>
          <w:tcPr>
            <w:tcW w:w="20" w:type="dxa"/>
            <w:vAlign w:val="bottom"/>
          </w:tcPr>
          <w:p>
            <w:pPr>
              <w:spacing w:after="0"/>
              <w:rPr>
                <w:sz w:val="22"/>
                <w:szCs w:val="22"/>
                <w:color w:val="auto"/>
              </w:rPr>
            </w:pPr>
          </w:p>
        </w:tc>
        <w:tc>
          <w:tcPr>
            <w:tcW w:w="6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purchase consideration</w:t>
            </w:r>
          </w:p>
        </w:tc>
        <w:tc>
          <w:tcPr>
            <w:tcW w:w="3880" w:type="dxa"/>
            <w:vAlign w:val="bottom"/>
            <w:tcBorders>
              <w:bottom w:val="single" w:sz="8" w:color="auto"/>
            </w:tcBorders>
            <w:shd w:val="clear" w:color="auto" w:fill="CCEEFF"/>
          </w:tcPr>
          <w:p>
            <w:pPr>
              <w:ind w:left="37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104,719</w:t>
            </w:r>
          </w:p>
        </w:tc>
      </w:tr>
    </w:tbl>
    <w:p>
      <w:pPr>
        <w:spacing w:after="0" w:line="229" w:lineRule="exact"/>
        <w:rPr>
          <w:sz w:val="20"/>
          <w:szCs w:val="20"/>
          <w:color w:val="auto"/>
        </w:rPr>
      </w:pPr>
    </w:p>
    <w:p>
      <w:pPr>
        <w:jc w:val="both"/>
        <w:ind w:left="500" w:hanging="492"/>
        <w:spacing w:after="0" w:line="291" w:lineRule="auto"/>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with experience in the provision of strategic payer-validated market access solutions while the acquisition of Complete Healthcare Communications comprises an established workforce with significant communication experience</w:t>
      </w:r>
    </w:p>
    <w:p>
      <w:pPr>
        <w:ind w:left="500"/>
        <w:spacing w:after="0"/>
        <w:rPr>
          <w:sz w:val="20"/>
          <w:szCs w:val="20"/>
          <w:color w:val="auto"/>
        </w:rPr>
      </w:pPr>
      <w:r>
        <w:rPr>
          <w:rFonts w:ascii="Arial" w:cs="Arial" w:eastAsia="Arial" w:hAnsi="Arial"/>
          <w:sz w:val="18"/>
          <w:szCs w:val="18"/>
          <w:color w:val="auto"/>
        </w:rPr>
        <w:t>working with medical affairs, commercial and brand development teams within the life science industry.</w:t>
      </w:r>
    </w:p>
    <w:p>
      <w:pPr>
        <w:spacing w:after="0" w:line="9"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Adjustments to cash consideration represents certain one-time liabilities at the acquisition date which have subsequently been paid.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Acquisitions – Aptiv Solutions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May 7, 2014 the Company acquired 100% of the common stock of Aptiv Solutions (“Aptiv”), a global biopharmaceutical and medical device development services company and leader in adaptive clinical trials for a cash consideration of $143.5 million including certain payments to be made on behalf of the company on completion totalling $22.4 million. Aptiv offers full-service clinical trial consulting and regulatory support for drugs, medical devices and diagnostics with a specific focus on strategy to increase product development efficiency and productivity. It is a market leader in the integrated design and execution of adaptive clinical trials for exploratory and late phase development as well as being an industry leader in medical device and diagnostic development in key medical technology segments. The acquisition agreement also provided for certain working capital targets to be achieved by Aptiv on completion. On March 25, 2015 the Company received $1.9 million on completion of this review.</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right="600"/>
        <w:spacing w:after="0" w:line="277" w:lineRule="auto"/>
        <w:rPr>
          <w:sz w:val="20"/>
          <w:szCs w:val="20"/>
          <w:color w:val="auto"/>
        </w:rPr>
      </w:pPr>
      <w:r>
        <w:rPr>
          <w:rFonts w:ascii="Arial" w:cs="Arial" w:eastAsia="Arial" w:hAnsi="Arial"/>
          <w:sz w:val="18"/>
          <w:szCs w:val="18"/>
          <w:color w:val="auto"/>
        </w:rPr>
        <w:t>The acquisition of Aptiv Solutions has been accounted for as a business combination in accordance with FASB ASC 805 Business Combinations. The following table summarizes the preliminary estimated fair values of the assets acquired and the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May 7</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r>
      <w:tr>
        <w:trPr>
          <w:trHeight w:val="234"/>
        </w:trPr>
        <w:tc>
          <w:tcPr>
            <w:tcW w:w="2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4860" w:type="dxa"/>
            <w:vAlign w:val="bottom"/>
            <w:gridSpan w:val="2"/>
          </w:tcPr>
          <w:p>
            <w:pPr>
              <w:ind w:left="3640"/>
              <w:spacing w:after="0"/>
              <w:rPr>
                <w:sz w:val="20"/>
                <w:szCs w:val="20"/>
                <w:color w:val="auto"/>
              </w:rPr>
            </w:pPr>
            <w:r>
              <w:rPr>
                <w:rFonts w:ascii="Arial" w:cs="Arial" w:eastAsia="Arial" w:hAnsi="Arial"/>
                <w:sz w:val="18"/>
                <w:szCs w:val="18"/>
                <w:b w:val="1"/>
                <w:bCs w:val="1"/>
                <w:color w:val="auto"/>
                <w:w w:val="96"/>
              </w:rPr>
              <w:t>(In thousands)</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940" w:type="dxa"/>
            <w:vAlign w:val="bottom"/>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6,924</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Goodwill*</w:t>
            </w: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125,627</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 customer relationships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21,400</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Intangible asset – order backlog</w:t>
            </w: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7,900</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3,484</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Accounts receivable</w:t>
            </w: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25,091</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Unbilled Revenue</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21,154</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3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4,180</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Accounts payable</w:t>
            </w:r>
          </w:p>
        </w:tc>
        <w:tc>
          <w:tcPr>
            <w:tcW w:w="39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(9,565)</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(26,782)</w:t>
            </w: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Payments on account</w:t>
            </w:r>
          </w:p>
        </w:tc>
        <w:tc>
          <w:tcPr>
            <w:tcW w:w="39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(31,094)</w:t>
            </w: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Non-current other liabilities</w:t>
            </w:r>
          </w:p>
        </w:tc>
        <w:tc>
          <w:tcPr>
            <w:tcW w:w="3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(11,303)</w:t>
            </w: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notes payable</w:t>
            </w:r>
          </w:p>
        </w:tc>
        <w:tc>
          <w:tcPr>
            <w:tcW w:w="3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(20,790)</w:t>
            </w:r>
          </w:p>
        </w:tc>
      </w:tr>
      <w:tr>
        <w:trPr>
          <w:trHeight w:val="473"/>
        </w:trPr>
        <w:tc>
          <w:tcPr>
            <w:tcW w:w="20" w:type="dxa"/>
            <w:vAlign w:val="bottom"/>
          </w:tcPr>
          <w:p>
            <w:pPr>
              <w:spacing w:after="0"/>
              <w:rPr>
                <w:sz w:val="24"/>
                <w:szCs w:val="24"/>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3940" w:type="dxa"/>
            <w:vAlign w:val="bottom"/>
            <w:tcBorders>
              <w:bottom w:val="single" w:sz="8" w:color="auto"/>
            </w:tcBorders>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119,137</w:t>
            </w:r>
          </w:p>
        </w:tc>
      </w:tr>
      <w:tr>
        <w:trPr>
          <w:trHeight w:val="480"/>
        </w:trPr>
        <w:tc>
          <w:tcPr>
            <w:tcW w:w="6560" w:type="dxa"/>
            <w:vAlign w:val="bottom"/>
            <w:gridSpan w:val="2"/>
          </w:tcPr>
          <w:p>
            <w:pPr>
              <w:spacing w:after="0"/>
              <w:rPr>
                <w:sz w:val="20"/>
                <w:szCs w:val="20"/>
                <w:color w:val="auto"/>
              </w:rPr>
            </w:pPr>
            <w:r>
              <w:rPr>
                <w:rFonts w:ascii="Arial" w:cs="Arial" w:eastAsia="Arial" w:hAnsi="Arial"/>
                <w:sz w:val="18"/>
                <w:szCs w:val="18"/>
                <w:color w:val="auto"/>
              </w:rPr>
              <w:t>Cash consideration</w:t>
            </w:r>
          </w:p>
        </w:tc>
        <w:tc>
          <w:tcPr>
            <w:tcW w:w="3940" w:type="dxa"/>
            <w:vAlign w:val="bottom"/>
          </w:tcPr>
          <w:p>
            <w:pPr>
              <w:ind w:left="36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143,500</w:t>
            </w:r>
          </w:p>
        </w:tc>
      </w:tr>
      <w:tr>
        <w:trPr>
          <w:trHeight w:val="270"/>
        </w:trPr>
        <w:tc>
          <w:tcPr>
            <w:tcW w:w="20" w:type="dxa"/>
            <w:vAlign w:val="bottom"/>
          </w:tcPr>
          <w:p>
            <w:pPr>
              <w:spacing w:after="0"/>
              <w:rPr>
                <w:sz w:val="23"/>
                <w:szCs w:val="23"/>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cash consideration **</w:t>
            </w:r>
          </w:p>
        </w:tc>
        <w:tc>
          <w:tcPr>
            <w:tcW w:w="39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(22,399)</w:t>
            </w: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Working capital adjustment</w:t>
            </w:r>
          </w:p>
        </w:tc>
        <w:tc>
          <w:tcPr>
            <w:tcW w:w="3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w:t>
            </w:r>
          </w:p>
        </w:tc>
      </w:tr>
      <w:tr>
        <w:trPr>
          <w:trHeight w:val="257"/>
        </w:trPr>
        <w:tc>
          <w:tcPr>
            <w:tcW w:w="20" w:type="dxa"/>
            <w:vAlign w:val="bottom"/>
          </w:tcPr>
          <w:p>
            <w:pPr>
              <w:spacing w:after="0"/>
              <w:rPr>
                <w:sz w:val="22"/>
                <w:szCs w:val="22"/>
                <w:color w:val="auto"/>
              </w:rPr>
            </w:pPr>
          </w:p>
        </w:tc>
        <w:tc>
          <w:tcPr>
            <w:tcW w:w="6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purchase consideration</w:t>
            </w:r>
          </w:p>
        </w:tc>
        <w:tc>
          <w:tcPr>
            <w:tcW w:w="3940" w:type="dxa"/>
            <w:vAlign w:val="bottom"/>
            <w:tcBorders>
              <w:bottom w:val="single" w:sz="8" w:color="auto"/>
            </w:tcBorders>
            <w:shd w:val="clear" w:color="auto" w:fill="CCEEFF"/>
          </w:tcPr>
          <w:p>
            <w:pPr>
              <w:ind w:left="36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119,137</w:t>
            </w:r>
          </w:p>
        </w:tc>
      </w:tr>
    </w:tbl>
    <w:p>
      <w:pPr>
        <w:spacing w:after="0" w:line="229" w:lineRule="exact"/>
        <w:rPr>
          <w:sz w:val="20"/>
          <w:szCs w:val="20"/>
          <w:color w:val="auto"/>
        </w:rPr>
      </w:pPr>
    </w:p>
    <w:p>
      <w:pPr>
        <w:jc w:val="both"/>
        <w:ind w:left="340" w:hanging="332"/>
        <w:spacing w:after="0" w:line="29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Goodwill represents the acquisition of an established workforce with experience in clinical trial consulting and regulatory support for the development of drugs, medical devices and diagnostics, with a specific focus on strategy to increase efficiency and productivity in product development. Goodwill</w:t>
      </w:r>
    </w:p>
    <w:p>
      <w:pPr>
        <w:ind w:left="340"/>
        <w:spacing w:after="0"/>
        <w:rPr>
          <w:sz w:val="20"/>
          <w:szCs w:val="20"/>
          <w:color w:val="auto"/>
        </w:rPr>
      </w:pPr>
      <w:r>
        <w:rPr>
          <w:rFonts w:ascii="Arial" w:cs="Arial" w:eastAsia="Arial" w:hAnsi="Arial"/>
          <w:sz w:val="18"/>
          <w:szCs w:val="18"/>
          <w:color w:val="auto"/>
        </w:rPr>
        <w:t>related to the US portion of the business acquired is tax deductible.</w:t>
      </w:r>
    </w:p>
    <w:p>
      <w:pPr>
        <w:spacing w:after="0" w:line="9" w:lineRule="exact"/>
        <w:rPr>
          <w:sz w:val="20"/>
          <w:szCs w:val="20"/>
          <w:color w:val="auto"/>
        </w:rPr>
      </w:pPr>
    </w:p>
    <w:p>
      <w:pPr>
        <w:ind w:left="340" w:hanging="332"/>
        <w:spacing w:after="0" w:line="26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Adjustments to cash consideration represent certain one-time liabilities (including loan notes) identified at the acquisition date which have subsequently been paid.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spacing w:after="0"/>
              <w:rPr>
                <w:sz w:val="20"/>
                <w:szCs w:val="20"/>
                <w:color w:val="auto"/>
              </w:rPr>
            </w:pPr>
            <w:r>
              <w:rPr>
                <w:rFonts w:ascii="Arial" w:cs="Arial" w:eastAsia="Arial" w:hAnsi="Arial"/>
                <w:sz w:val="18"/>
                <w:szCs w:val="18"/>
                <w:b w:val="1"/>
                <w:bCs w:val="1"/>
                <w:color w:val="auto"/>
              </w:rPr>
              <w:t>4. Income Taxes</w:t>
            </w: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240" w:type="dxa"/>
            <w:vAlign w:val="bottom"/>
            <w:gridSpan w:val="8"/>
          </w:tcPr>
          <w:p>
            <w:pPr>
              <w:spacing w:after="0"/>
              <w:rPr>
                <w:sz w:val="20"/>
                <w:szCs w:val="20"/>
                <w:color w:val="auto"/>
              </w:rPr>
            </w:pPr>
            <w:r>
              <w:rPr>
                <w:rFonts w:ascii="Arial" w:cs="Arial" w:eastAsia="Arial" w:hAnsi="Arial"/>
                <w:sz w:val="18"/>
                <w:szCs w:val="18"/>
                <w:color w:val="auto"/>
                <w:w w:val="93"/>
              </w:rPr>
              <w:t>Income taxes recognized during the three and nine months ended September 30, 2015 comprise:</w:t>
            </w: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56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11"/>
          </w:tcPr>
          <w:p>
            <w:pPr>
              <w:jc w:val="center"/>
              <w:ind w:right="42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0" w:type="dxa"/>
            <w:vAlign w:val="bottom"/>
            <w:vMerge w:val="restart"/>
          </w:tcPr>
          <w:p>
            <w:pPr>
              <w:spacing w:after="0"/>
              <w:rPr>
                <w:sz w:val="21"/>
                <w:szCs w:val="21"/>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September</w:t>
            </w:r>
          </w:p>
        </w:tc>
        <w:tc>
          <w:tcPr>
            <w:tcW w:w="540" w:type="dxa"/>
            <w:vAlign w:val="bottom"/>
          </w:tcPr>
          <w:p>
            <w:pPr>
              <w:spacing w:after="0"/>
              <w:rPr>
                <w:sz w:val="21"/>
                <w:szCs w:val="21"/>
                <w:color w:val="auto"/>
              </w:rPr>
            </w:pPr>
          </w:p>
        </w:tc>
        <w:tc>
          <w:tcPr>
            <w:tcW w:w="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vMerge w:val="restart"/>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vMerge w:val="restart"/>
          </w:tcPr>
          <w:p>
            <w:pPr>
              <w:spacing w:after="0"/>
              <w:rPr>
                <w:sz w:val="21"/>
                <w:szCs w:val="21"/>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5"/>
              </w:rPr>
              <w:t>September</w:t>
            </w:r>
          </w:p>
        </w:tc>
        <w:tc>
          <w:tcPr>
            <w:tcW w:w="40" w:type="dxa"/>
            <w:vAlign w:val="bottom"/>
            <w:vMerge w:val="restart"/>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4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Borders>
              <w:bottom w:val="single" w:sz="8" w:color="auto"/>
            </w:tcBorders>
            <w:gridSpan w:val="4"/>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00" w:type="dxa"/>
            <w:vAlign w:val="bottom"/>
            <w:gridSpan w:val="3"/>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87"/>
              </w:rPr>
              <w:t>30,</w:t>
            </w:r>
          </w:p>
        </w:tc>
        <w:tc>
          <w:tcPr>
            <w:tcW w:w="540" w:type="dxa"/>
            <w:vAlign w:val="bottom"/>
          </w:tcPr>
          <w:p>
            <w:pPr>
              <w:spacing w:after="0"/>
              <w:rPr>
                <w:sz w:val="17"/>
                <w:szCs w:val="17"/>
                <w:color w:val="auto"/>
              </w:rPr>
            </w:pPr>
          </w:p>
        </w:tc>
        <w:tc>
          <w:tcPr>
            <w:tcW w:w="480" w:type="dxa"/>
            <w:vAlign w:val="bottom"/>
            <w:gridSpan w:val="2"/>
            <w:vMerge w:val="restart"/>
          </w:tcPr>
          <w:p>
            <w:pPr>
              <w:spacing w:after="0"/>
              <w:rPr>
                <w:sz w:val="17"/>
                <w:szCs w:val="17"/>
                <w:color w:val="auto"/>
              </w:rPr>
            </w:pPr>
          </w:p>
        </w:tc>
        <w:tc>
          <w:tcPr>
            <w:tcW w:w="120" w:type="dxa"/>
            <w:vAlign w:val="bottom"/>
            <w:vMerge w:val="restart"/>
          </w:tcPr>
          <w:p>
            <w:pPr>
              <w:spacing w:after="0"/>
              <w:rPr>
                <w:sz w:val="17"/>
                <w:szCs w:val="17"/>
                <w:color w:val="auto"/>
              </w:rPr>
            </w:pPr>
          </w:p>
        </w:tc>
        <w:tc>
          <w:tcPr>
            <w:tcW w:w="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b w:val="1"/>
                <w:bCs w:val="1"/>
                <w:color w:val="auto"/>
                <w:w w:val="87"/>
              </w:rPr>
              <w:t>30,</w:t>
            </w:r>
          </w:p>
        </w:tc>
        <w:tc>
          <w:tcPr>
            <w:tcW w:w="10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3"/>
            <w:vMerge w:val="restart"/>
          </w:tcPr>
          <w:p>
            <w:pPr>
              <w:spacing w:after="0"/>
              <w:rPr>
                <w:sz w:val="17"/>
                <w:szCs w:val="17"/>
                <w:color w:val="auto"/>
              </w:rPr>
            </w:pPr>
          </w:p>
        </w:tc>
        <w:tc>
          <w:tcPr>
            <w:tcW w:w="140" w:type="dxa"/>
            <w:vAlign w:val="bottom"/>
            <w:vMerge w:val="restart"/>
          </w:tcPr>
          <w:p>
            <w:pPr>
              <w:spacing w:after="0"/>
              <w:rPr>
                <w:sz w:val="17"/>
                <w:szCs w:val="17"/>
                <w:color w:val="auto"/>
              </w:rPr>
            </w:pPr>
          </w:p>
        </w:tc>
        <w:tc>
          <w:tcPr>
            <w:tcW w:w="260" w:type="dxa"/>
            <w:vAlign w:val="bottom"/>
            <w:tcBorders>
              <w:bottom w:val="single" w:sz="8" w:color="auto"/>
            </w:tcBorders>
            <w:gridSpan w:val="2"/>
          </w:tcPr>
          <w:p>
            <w:pPr>
              <w:jc w:val="right"/>
              <w:ind w:right="40"/>
              <w:spacing w:after="0" w:line="182" w:lineRule="exact"/>
              <w:rPr>
                <w:sz w:val="20"/>
                <w:szCs w:val="20"/>
                <w:color w:val="auto"/>
              </w:rPr>
            </w:pPr>
            <w:r>
              <w:rPr>
                <w:rFonts w:ascii="Arial" w:cs="Arial" w:eastAsia="Arial" w:hAnsi="Arial"/>
                <w:sz w:val="18"/>
                <w:szCs w:val="18"/>
                <w:b w:val="1"/>
                <w:bCs w:val="1"/>
                <w:color w:val="auto"/>
                <w:w w:val="79"/>
              </w:rPr>
              <w:t>30,</w:t>
            </w:r>
          </w:p>
        </w:tc>
        <w:tc>
          <w:tcPr>
            <w:tcW w:w="480" w:type="dxa"/>
            <w:vAlign w:val="bottom"/>
          </w:tcPr>
          <w:p>
            <w:pPr>
              <w:spacing w:after="0"/>
              <w:rPr>
                <w:sz w:val="17"/>
                <w:szCs w:val="17"/>
                <w:color w:val="auto"/>
              </w:rPr>
            </w:pPr>
          </w:p>
        </w:tc>
        <w:tc>
          <w:tcPr>
            <w:tcW w:w="600" w:type="dxa"/>
            <w:vAlign w:val="bottom"/>
            <w:gridSpan w:val="3"/>
            <w:vMerge w:val="restart"/>
          </w:tcPr>
          <w:p>
            <w:pPr>
              <w:spacing w:after="0"/>
              <w:rPr>
                <w:sz w:val="17"/>
                <w:szCs w:val="17"/>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30,</w:t>
            </w:r>
          </w:p>
        </w:tc>
        <w:tc>
          <w:tcPr>
            <w:tcW w:w="1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2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240" w:type="dxa"/>
            <w:vAlign w:val="bottom"/>
            <w:tcBorders>
              <w:bottom w:val="single" w:sz="8" w:color="auto"/>
            </w:tcBorders>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00" w:type="dxa"/>
            <w:vAlign w:val="bottom"/>
            <w:gridSpan w:val="3"/>
            <w:vMerge w:val="restart"/>
          </w:tcPr>
          <w:p>
            <w:pPr>
              <w:spacing w:after="0"/>
              <w:rPr>
                <w:sz w:val="17"/>
                <w:szCs w:val="17"/>
                <w:color w:val="auto"/>
              </w:rPr>
            </w:pPr>
          </w:p>
        </w:tc>
        <w:tc>
          <w:tcPr>
            <w:tcW w:w="36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w w:val="84"/>
              </w:rPr>
              <w:t>2015</w:t>
            </w:r>
          </w:p>
        </w:tc>
        <w:tc>
          <w:tcPr>
            <w:tcW w:w="540" w:type="dxa"/>
            <w:vAlign w:val="bottom"/>
          </w:tcPr>
          <w:p>
            <w:pPr>
              <w:spacing w:after="0"/>
              <w:rPr>
                <w:sz w:val="17"/>
                <w:szCs w:val="17"/>
                <w:color w:val="auto"/>
              </w:rPr>
            </w:pPr>
          </w:p>
        </w:tc>
        <w:tc>
          <w:tcPr>
            <w:tcW w:w="480" w:type="dxa"/>
            <w:vAlign w:val="bottom"/>
            <w:gridSpan w:val="2"/>
            <w:vMerge w:val="restart"/>
          </w:tcPr>
          <w:p>
            <w:pPr>
              <w:spacing w:after="0"/>
              <w:rPr>
                <w:sz w:val="17"/>
                <w:szCs w:val="17"/>
                <w:color w:val="auto"/>
              </w:rPr>
            </w:pPr>
          </w:p>
        </w:tc>
        <w:tc>
          <w:tcPr>
            <w:tcW w:w="36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w w:val="84"/>
              </w:rPr>
              <w:t>2014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3"/>
            <w:vMerge w:val="restart"/>
          </w:tcPr>
          <w:p>
            <w:pPr>
              <w:spacing w:after="0"/>
              <w:rPr>
                <w:sz w:val="17"/>
                <w:szCs w:val="17"/>
                <w:color w:val="auto"/>
              </w:rPr>
            </w:pPr>
          </w:p>
        </w:tc>
        <w:tc>
          <w:tcPr>
            <w:tcW w:w="36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b w:val="1"/>
                <w:bCs w:val="1"/>
                <w:color w:val="auto"/>
                <w:w w:val="84"/>
              </w:rPr>
              <w:t>2015</w:t>
            </w:r>
          </w:p>
        </w:tc>
        <w:tc>
          <w:tcPr>
            <w:tcW w:w="40" w:type="dxa"/>
            <w:vAlign w:val="bottom"/>
            <w:vMerge w:val="restart"/>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gridSpan w:val="5"/>
            <w:vMerge w:val="restart"/>
          </w:tcPr>
          <w:p>
            <w:pPr>
              <w:jc w:val="right"/>
              <w:ind w:right="10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0" w:type="dxa"/>
            <w:vAlign w:val="bottom"/>
            <w:gridSpan w:val="3"/>
            <w:vMerge w:val="continue"/>
          </w:tcPr>
          <w:p>
            <w:pPr>
              <w:spacing w:after="0"/>
              <w:rPr>
                <w:sz w:val="2"/>
                <w:szCs w:val="2"/>
                <w:color w:val="auto"/>
              </w:rPr>
            </w:pPr>
          </w:p>
        </w:tc>
        <w:tc>
          <w:tcPr>
            <w:tcW w:w="3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gridSpan w:val="3"/>
            <w:vMerge w:val="continue"/>
          </w:tcPr>
          <w:p>
            <w:pPr>
              <w:spacing w:after="0"/>
              <w:rPr>
                <w:sz w:val="2"/>
                <w:szCs w:val="2"/>
                <w:color w:val="auto"/>
              </w:rPr>
            </w:pPr>
          </w:p>
        </w:tc>
        <w:tc>
          <w:tcPr>
            <w:tcW w:w="360" w:type="dxa"/>
            <w:vAlign w:val="bottom"/>
            <w:gridSpan w:val="2"/>
          </w:tcPr>
          <w:p>
            <w:pPr>
              <w:spacing w:after="0"/>
              <w:rPr>
                <w:sz w:val="2"/>
                <w:szCs w:val="2"/>
                <w:color w:val="auto"/>
              </w:rPr>
            </w:pPr>
          </w:p>
        </w:tc>
        <w:tc>
          <w:tcPr>
            <w:tcW w:w="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9"/>
          </w:tcPr>
          <w:p>
            <w:pPr>
              <w:jc w:val="center"/>
              <w:ind w:right="560"/>
              <w:spacing w:after="0"/>
              <w:rPr>
                <w:sz w:val="20"/>
                <w:szCs w:val="20"/>
                <w:color w:val="auto"/>
              </w:rPr>
            </w:pPr>
            <w:r>
              <w:rPr>
                <w:rFonts w:ascii="Arial" w:cs="Arial" w:eastAsia="Arial" w:hAnsi="Arial"/>
                <w:sz w:val="18"/>
                <w:szCs w:val="18"/>
                <w:b w:val="1"/>
                <w:bCs w:val="1"/>
                <w:color w:val="auto"/>
                <w:w w:val="90"/>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Borders>
              <w:top w:val="single" w:sz="8" w:color="auto"/>
            </w:tcBorders>
            <w:gridSpan w:val="2"/>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vMerge w:val="restart"/>
          </w:tcPr>
          <w:p>
            <w:pPr>
              <w:spacing w:after="0"/>
              <w:rPr>
                <w:sz w:val="24"/>
                <w:szCs w:val="24"/>
                <w:color w:val="auto"/>
              </w:rPr>
            </w:pPr>
          </w:p>
        </w:tc>
        <w:tc>
          <w:tcPr>
            <w:tcW w:w="3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9,196</w:t>
            </w: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9,216</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29,534</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23,577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at September 30, 2015 the Company maintains a $28.6 million liability (December 31, 2014: $25.6 million) for unrecognized tax benefit, which is comprised of $25.6 million (December 31, 2014: $23.2 million) related to items generating unrecognized tax benefits and $3.0 million (December 31, 2014: $2.4 million) for interest and related penalties to such items. The Company recognizes interest accrued on unrecognized tax benefits as an additional income tax expense.</w:t>
      </w:r>
    </w:p>
    <w:p>
      <w:pPr>
        <w:spacing w:after="0" w:line="21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analyzed filing positions in all of the significant federal, state and foreign jurisdictions where it is required to file income tax returns, as well as open tax years in these jurisdictions. The only periods subject to examination by the major tax jurisdictions where the Company does business are 2009 through 2014 tax years. The Company does not believe that the outcome of any examination will have a material impact on its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ordinary share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net income per ordinary share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the number of shares used in the computation of basic and diluted net income per ordinary share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Borders>
              <w:bottom w:val="single" w:sz="8" w:color="auto"/>
            </w:tcBorders>
            <w:gridSpan w:val="7"/>
          </w:tcPr>
          <w:p>
            <w:pPr>
              <w:spacing w:after="0"/>
              <w:rPr>
                <w:sz w:val="20"/>
                <w:szCs w:val="20"/>
                <w:color w:val="auto"/>
              </w:rPr>
            </w:pPr>
            <w:r>
              <w:rPr>
                <w:rFonts w:ascii="Arial" w:cs="Arial" w:eastAsia="Arial" w:hAnsi="Arial"/>
                <w:sz w:val="18"/>
                <w:szCs w:val="18"/>
                <w:b w:val="1"/>
                <w:bCs w:val="1"/>
                <w:color w:val="auto"/>
                <w:w w:val="90"/>
              </w:rPr>
              <w:t>Three Months Ended</w:t>
            </w:r>
          </w:p>
        </w:tc>
        <w:tc>
          <w:tcPr>
            <w:tcW w:w="54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w w:val="91"/>
              </w:rPr>
              <w:t>Nine Months Ended</w:t>
            </w:r>
          </w:p>
        </w:tc>
        <w:tc>
          <w:tcPr>
            <w:tcW w:w="44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200" w:type="dxa"/>
            <w:vAlign w:val="bottom"/>
          </w:tcPr>
          <w:p>
            <w:pPr>
              <w:spacing w:after="0"/>
              <w:rPr>
                <w:sz w:val="17"/>
                <w:szCs w:val="17"/>
                <w:color w:val="auto"/>
              </w:rPr>
            </w:pPr>
          </w:p>
        </w:tc>
        <w:tc>
          <w:tcPr>
            <w:tcW w:w="1420" w:type="dxa"/>
            <w:vAlign w:val="bottom"/>
            <w:gridSpan w:val="6"/>
          </w:tcPr>
          <w:p>
            <w:pPr>
              <w:jc w:val="right"/>
              <w:ind w:right="400"/>
              <w:spacing w:after="0" w:line="196" w:lineRule="exact"/>
              <w:rPr>
                <w:sz w:val="20"/>
                <w:szCs w:val="20"/>
                <w:color w:val="auto"/>
              </w:rPr>
            </w:pPr>
            <w:r>
              <w:rPr>
                <w:rFonts w:ascii="Arial" w:cs="Arial" w:eastAsia="Arial" w:hAnsi="Arial"/>
                <w:sz w:val="18"/>
                <w:szCs w:val="18"/>
                <w:b w:val="1"/>
                <w:bCs w:val="1"/>
                <w:color w:val="auto"/>
              </w:rPr>
              <w:t>September</w:t>
            </w:r>
          </w:p>
        </w:tc>
        <w:tc>
          <w:tcPr>
            <w:tcW w:w="94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w w:val="98"/>
              </w:rPr>
              <w:t>September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5"/>
          </w:tcPr>
          <w:p>
            <w:pPr>
              <w:jc w:val="right"/>
              <w:ind w:right="400"/>
              <w:spacing w:after="0" w:line="196" w:lineRule="exact"/>
              <w:rPr>
                <w:sz w:val="20"/>
                <w:szCs w:val="20"/>
                <w:color w:val="auto"/>
              </w:rPr>
            </w:pPr>
            <w:r>
              <w:rPr>
                <w:rFonts w:ascii="Arial" w:cs="Arial" w:eastAsia="Arial" w:hAnsi="Arial"/>
                <w:sz w:val="18"/>
                <w:szCs w:val="18"/>
                <w:b w:val="1"/>
                <w:bCs w:val="1"/>
                <w:color w:val="auto"/>
              </w:rPr>
              <w:t>30,</w:t>
            </w: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110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7"/>
                <w:szCs w:val="17"/>
                <w:color w:val="auto"/>
              </w:rPr>
            </w:pPr>
          </w:p>
        </w:tc>
        <w:tc>
          <w:tcPr>
            <w:tcW w:w="1260" w:type="dxa"/>
            <w:vAlign w:val="bottom"/>
            <w:gridSpan w:val="6"/>
          </w:tcPr>
          <w:p>
            <w:pPr>
              <w:jc w:val="right"/>
              <w:ind w:right="200"/>
              <w:spacing w:after="0" w:line="196" w:lineRule="exact"/>
              <w:rPr>
                <w:sz w:val="20"/>
                <w:szCs w:val="20"/>
                <w:color w:val="auto"/>
              </w:rPr>
            </w:pPr>
            <w:r>
              <w:rPr>
                <w:rFonts w:ascii="Arial" w:cs="Arial" w:eastAsia="Arial" w:hAnsi="Arial"/>
                <w:sz w:val="18"/>
                <w:szCs w:val="18"/>
                <w:b w:val="1"/>
                <w:bCs w:val="1"/>
                <w:color w:val="auto"/>
              </w:rPr>
              <w:t>2014</w:t>
            </w:r>
          </w:p>
        </w:tc>
        <w:tc>
          <w:tcPr>
            <w:tcW w:w="1420" w:type="dxa"/>
            <w:vAlign w:val="bottom"/>
            <w:gridSpan w:val="6"/>
          </w:tcPr>
          <w:p>
            <w:pPr>
              <w:jc w:val="right"/>
              <w:ind w:right="400"/>
              <w:spacing w:after="0" w:line="196" w:lineRule="exact"/>
              <w:rPr>
                <w:sz w:val="20"/>
                <w:szCs w:val="20"/>
                <w:color w:val="auto"/>
              </w:rPr>
            </w:pPr>
            <w:r>
              <w:rPr>
                <w:rFonts w:ascii="Arial" w:cs="Arial" w:eastAsia="Arial" w:hAnsi="Arial"/>
                <w:sz w:val="18"/>
                <w:szCs w:val="18"/>
                <w:b w:val="1"/>
                <w:bCs w:val="1"/>
                <w:color w:val="auto"/>
              </w:rPr>
              <w:t>2015</w:t>
            </w:r>
          </w:p>
        </w:tc>
        <w:tc>
          <w:tcPr>
            <w:tcW w:w="9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 average number of ordinary shares outstanding for basic net income per</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58,659,782</w:t>
            </w:r>
          </w:p>
        </w:tc>
        <w:tc>
          <w:tcPr>
            <w:tcW w:w="220" w:type="dxa"/>
            <w:vAlign w:val="bottom"/>
            <w:shd w:val="clear" w:color="auto" w:fill="CCEEFF"/>
          </w:tcPr>
          <w:p>
            <w:pPr>
              <w:spacing w:after="0"/>
              <w:rPr>
                <w:sz w:val="20"/>
                <w:szCs w:val="20"/>
                <w:color w:val="auto"/>
              </w:rPr>
            </w:pPr>
          </w:p>
        </w:tc>
        <w:tc>
          <w:tcPr>
            <w:tcW w:w="1260" w:type="dxa"/>
            <w:vAlign w:val="bottom"/>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61,878,429</w:t>
            </w:r>
          </w:p>
        </w:tc>
        <w:tc>
          <w:tcPr>
            <w:tcW w:w="1420" w:type="dxa"/>
            <w:vAlign w:val="bottom"/>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59,728,608</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0"/>
              </w:rPr>
              <w:t>61,863,332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dilutive share options outstanding</w:t>
            </w:r>
          </w:p>
        </w:tc>
        <w:tc>
          <w:tcPr>
            <w:tcW w:w="13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8"/>
                <w:szCs w:val="18"/>
                <w:color w:val="auto"/>
              </w:rPr>
              <w:t>1,710,115</w:t>
            </w:r>
          </w:p>
        </w:tc>
        <w:tc>
          <w:tcPr>
            <w:tcW w:w="126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8"/>
                <w:szCs w:val="18"/>
                <w:color w:val="auto"/>
              </w:rPr>
              <w:t>1,564,178</w:t>
            </w:r>
          </w:p>
        </w:tc>
        <w:tc>
          <w:tcPr>
            <w:tcW w:w="142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color w:val="auto"/>
              </w:rPr>
              <w:t>2,057,241</w:t>
            </w:r>
          </w:p>
        </w:tc>
        <w:tc>
          <w:tcPr>
            <w:tcW w:w="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1,570,928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Weighted average number of ordinary shares for diluted net income per ordinary share</w:t>
            </w:r>
          </w:p>
        </w:tc>
        <w:tc>
          <w:tcPr>
            <w:tcW w:w="110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60,369,898</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6"/>
            <w:shd w:val="clear" w:color="auto" w:fill="CCEEFF"/>
          </w:tcPr>
          <w:p>
            <w:pPr>
              <w:jc w:val="right"/>
              <w:ind w:right="200"/>
              <w:spacing w:after="0"/>
              <w:rPr>
                <w:sz w:val="20"/>
                <w:szCs w:val="20"/>
                <w:color w:val="auto"/>
              </w:rPr>
            </w:pPr>
            <w:r>
              <w:rPr>
                <w:rFonts w:ascii="Arial" w:cs="Arial" w:eastAsia="Arial" w:hAnsi="Arial"/>
                <w:sz w:val="18"/>
                <w:szCs w:val="18"/>
                <w:color w:val="auto"/>
              </w:rPr>
              <w:t>63,442,607</w:t>
            </w:r>
          </w:p>
        </w:tc>
        <w:tc>
          <w:tcPr>
            <w:tcW w:w="1420" w:type="dxa"/>
            <w:vAlign w:val="bottom"/>
            <w:tcBorders>
              <w:bottom w:val="single" w:sz="8" w:color="auto"/>
            </w:tcBorders>
            <w:gridSpan w:val="6"/>
            <w:shd w:val="clear" w:color="auto" w:fill="CCEEFF"/>
          </w:tcPr>
          <w:p>
            <w:pPr>
              <w:jc w:val="right"/>
              <w:ind w:right="400"/>
              <w:spacing w:after="0"/>
              <w:rPr>
                <w:sz w:val="20"/>
                <w:szCs w:val="20"/>
                <w:color w:val="auto"/>
              </w:rPr>
            </w:pPr>
            <w:r>
              <w:rPr>
                <w:rFonts w:ascii="Arial" w:cs="Arial" w:eastAsia="Arial" w:hAnsi="Arial"/>
                <w:sz w:val="18"/>
                <w:szCs w:val="18"/>
                <w:color w:val="auto"/>
              </w:rPr>
              <w:t>61,785,849</w:t>
            </w:r>
          </w:p>
        </w:tc>
        <w:tc>
          <w:tcPr>
            <w:tcW w:w="9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0"/>
              </w:rPr>
              <w:t>63,434,260</w:t>
            </w:r>
          </w:p>
        </w:tc>
        <w:tc>
          <w:tcPr>
            <w:tcW w:w="0" w:type="dxa"/>
            <w:vAlign w:val="bottom"/>
          </w:tcPr>
          <w:p>
            <w:pPr>
              <w:spacing w:after="0"/>
              <w:rPr>
                <w:sz w:val="1"/>
                <w:szCs w:val="1"/>
                <w:color w:val="auto"/>
              </w:rPr>
            </w:pPr>
          </w:p>
        </w:tc>
      </w:tr>
      <w:tr>
        <w:trPr>
          <w:trHeight w:val="601"/>
        </w:trPr>
        <w:tc>
          <w:tcPr>
            <w:tcW w:w="6480" w:type="dxa"/>
            <w:vAlign w:val="bottom"/>
            <w:gridSpan w:val="2"/>
          </w:tcPr>
          <w:p>
            <w:pPr>
              <w:jc w:val="right"/>
              <w:ind w:right="59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6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6. Share-based Awards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Options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21, 2008 the Company adopted the Employee Share Option Plan 2008 (the “2008 Employee Plan”) pursuant to which the Compensation and Organization Committee of the Company’s Board of Directors may grant options to any employee, or any director holding a salaried office or employment with the Company or a Subsidiary for the purchase of ordinary shares. On the same date, the Company also adopted the Consultants Share Option Plan 2008 (the “2008 Consultants Plan”), pursuant to which the Compensation and Organization Committee of the Company’s Board of Directors may grant options to any consultant, adviser or non-executive director retained by the Company or any Subsidiary for the purchase of ordinary shares.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option granted under the 2008 Employee Plan or the 2008 Consultants Plan (together the “2008 Option Plans”) will be an employee stock option, or NSO, as described in Section 422 or 423 of the Internal Revenue Code. Each grant of an option under the 2008 Options Plans will be evidenced by a Stock Option Agreement between the optionee and the Company. The exercise price will be specified in each Stock Option Agreement, however option prices will not be less than 100% of the fair market value of an ordinary share on the date the option is granted.</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 aggregate of 6.0 million ordinary shares have been reserved under the 2008 Employee Plan, as reduced by any shares issued or to be issued pursuant to options granted under the 2008 Consultants Plan, under which a limit of 400,000 shares applies. Further, the maximum number of ordinary shares with respect to which options may be granted under the 2008 Employee Option Plan, during any calendar year to any employee shall be 400,000 ordinary shares. There is no individual limit under the 2008 Consultants Plan. No options may be granted under the 2008 Option Plans after July 21,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17, 2003 the Company adopted the Share Option Plan 2003 (the “2003 Share Option Plan”) pursuant to which the Compensation and Organization Committee of the Board could grant options to officers and other employees of the Company or its subsidiaries for the purchase of ordinary shares. An aggregate of 6.0 million ordinary shares were reserved under the 2003 Share Option Plan; and, in no event could the number of ordinary shares issued pursuant to options awarded under this plan exceed 10% of the outstanding shares, as defined in the 2003 Share Option Plan, at the time of the grant, unless the Board expressly determined otherwise. Further, the maximum number of ordinary shares with respect to which options could be granted under the 2003 Share Option Plan during any calendar year to any employee was 400,000 ordinary shares. The 2003 Share Option Plan expired on January 17, 2013. No new options may be granted under this plan.</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Share option awards are granted with an exercise price equal to the market price of the Company’s shares at date of grant. Share options typically vest over a period of five years from date of grant and expire eight years from date of grant. The maximum contractual term of options outstanding at September 30, 2015 is eight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activity for the nine months ended September 30,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Exercise</w:t>
            </w:r>
          </w:p>
        </w:tc>
        <w:tc>
          <w:tcPr>
            <w:tcW w:w="32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330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3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Price</w:t>
            </w:r>
          </w:p>
        </w:tc>
        <w:tc>
          <w:tcPr>
            <w:tcW w:w="3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b w:val="1"/>
                <w:bCs w:val="1"/>
                <w:color w:val="auto"/>
              </w:rPr>
              <w:t>Fair Value</w:t>
            </w:r>
          </w:p>
        </w:tc>
        <w:tc>
          <w:tcPr>
            <w:tcW w:w="124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2,227,700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10.40</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259,059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19.75</w:t>
            </w: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Exercised</w:t>
            </w:r>
          </w:p>
        </w:tc>
        <w:tc>
          <w:tcPr>
            <w:tcW w:w="3300" w:type="dxa"/>
            <w:vAlign w:val="bottom"/>
          </w:tcPr>
          <w:p>
            <w:pPr>
              <w:jc w:val="right"/>
              <w:spacing w:after="0"/>
              <w:rPr>
                <w:sz w:val="20"/>
                <w:szCs w:val="20"/>
                <w:color w:val="auto"/>
              </w:rPr>
            </w:pPr>
            <w:r>
              <w:rPr>
                <w:rFonts w:ascii="Arial" w:cs="Arial" w:eastAsia="Arial" w:hAnsi="Arial"/>
                <w:sz w:val="18"/>
                <w:szCs w:val="18"/>
                <w:color w:val="auto"/>
              </w:rPr>
              <w:t>(686,467)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26.58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10.18</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9.48</w:t>
            </w:r>
          </w:p>
        </w:tc>
        <w:tc>
          <w:tcPr>
            <w:tcW w:w="12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1,735,450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34.64</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11.91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 at September 30, 2015</w:t>
            </w:r>
          </w:p>
        </w:tc>
        <w:tc>
          <w:tcPr>
            <w:tcW w:w="3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695,902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9.71</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300" w:type="dxa"/>
            <w:vAlign w:val="bottom"/>
          </w:tcPr>
          <w:p>
            <w:pPr>
              <w:jc w:val="right"/>
              <w:ind w:right="1490"/>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33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8"/>
          <w:szCs w:val="18"/>
          <w:color w:val="auto"/>
        </w:rPr>
        <w:t>The Company has outstanding options with fair values ranging from $5.88 to $19.78 per option or a weighted average fair value of $11.91 per option. The Company issues ordinary shares for all options exercised. The total amount of fully vested share options which remained outstanding at September 30, 2015, was 695,902. Fully vested share options at September 30, 2015, have an average remaining contractual term of 3.51 years, an average exercise price of $25.19 and a total intrinsic value of $31.9 million. The total intrinsic value of options exercised during the nine months ended September 30, 2015 was $30.5 million (September 30, 2014: $18.2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movement in non-vested share options for the nine months ended September 30, 2015: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jc w:val="right"/>
              <w:ind w:right="50"/>
              <w:spacing w:after="0"/>
              <w:rPr>
                <w:sz w:val="20"/>
                <w:szCs w:val="20"/>
                <w:color w:val="auto"/>
              </w:rPr>
            </w:pPr>
            <w:r>
              <w:rPr>
                <w:rFonts w:ascii="Arial" w:cs="Arial" w:eastAsia="Arial" w:hAnsi="Arial"/>
                <w:sz w:val="18"/>
                <w:szCs w:val="18"/>
                <w:b w:val="1"/>
                <w:bCs w:val="1"/>
                <w:color w:val="auto"/>
              </w:rPr>
              <w:t>Options</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3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22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93"/>
              </w:rPr>
              <w:t>Average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322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7"/>
              </w:rPr>
              <w:t>Exercise Price</w:t>
            </w:r>
          </w:p>
        </w:tc>
        <w:tc>
          <w:tcPr>
            <w:tcW w:w="22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December 31, 2014</w:t>
            </w:r>
          </w:p>
        </w:tc>
        <w:tc>
          <w:tcPr>
            <w:tcW w:w="3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1,203,150</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3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259,059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Vested</w:t>
            </w:r>
          </w:p>
        </w:tc>
        <w:tc>
          <w:tcPr>
            <w:tcW w:w="3220" w:type="dxa"/>
            <w:vAlign w:val="bottom"/>
          </w:tcPr>
          <w:p>
            <w:pPr>
              <w:jc w:val="right"/>
              <w:spacing w:after="0"/>
              <w:rPr>
                <w:sz w:val="20"/>
                <w:szCs w:val="20"/>
                <w:color w:val="auto"/>
              </w:rPr>
            </w:pPr>
            <w:r>
              <w:rPr>
                <w:rFonts w:ascii="Arial" w:cs="Arial" w:eastAsia="Arial" w:hAnsi="Arial"/>
                <w:sz w:val="18"/>
                <w:szCs w:val="18"/>
                <w:color w:val="auto"/>
              </w:rPr>
              <w:t>(379,992)</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3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(42,669)</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Non vested outstanding at September 30, 2015</w:t>
            </w:r>
          </w:p>
        </w:tc>
        <w:tc>
          <w:tcPr>
            <w:tcW w:w="32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1,039,548</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Stock Options Assumptions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nine months ended September 30, 2015 and September 30, 2014 was calculated using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Black-Scholes option pricing model. The weighted average fair values and assumptions used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11"/>
          </w:tcPr>
          <w:p>
            <w:pPr>
              <w:jc w:val="right"/>
              <w:ind w:right="440"/>
              <w:spacing w:after="0"/>
              <w:rPr>
                <w:sz w:val="20"/>
                <w:szCs w:val="20"/>
                <w:color w:val="auto"/>
              </w:rPr>
            </w:pPr>
            <w:r>
              <w:rPr>
                <w:rFonts w:ascii="Arial" w:cs="Arial" w:eastAsia="Arial" w:hAnsi="Arial"/>
                <w:sz w:val="18"/>
                <w:szCs w:val="18"/>
                <w:b w:val="1"/>
                <w:bCs w:val="1"/>
                <w:color w:val="auto"/>
                <w:w w:val="90"/>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470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rPr>
              <w:t>September</w:t>
            </w:r>
          </w:p>
        </w:tc>
        <w:tc>
          <w:tcPr>
            <w:tcW w:w="120" w:type="dxa"/>
            <w:vAlign w:val="bottom"/>
          </w:tcPr>
          <w:p>
            <w:pPr>
              <w:spacing w:after="0"/>
              <w:rPr>
                <w:sz w:val="17"/>
                <w:szCs w:val="17"/>
                <w:color w:val="auto"/>
              </w:rPr>
            </w:pPr>
          </w:p>
        </w:tc>
        <w:tc>
          <w:tcPr>
            <w:tcW w:w="1000" w:type="dxa"/>
            <w:vAlign w:val="bottom"/>
            <w:gridSpan w:val="6"/>
          </w:tcPr>
          <w:p>
            <w:pPr>
              <w:jc w:val="right"/>
              <w:ind w:right="160"/>
              <w:spacing w:after="0" w:line="196" w:lineRule="exact"/>
              <w:rPr>
                <w:sz w:val="20"/>
                <w:szCs w:val="20"/>
                <w:color w:val="auto"/>
              </w:rPr>
            </w:pPr>
            <w:r>
              <w:rPr>
                <w:rFonts w:ascii="Arial" w:cs="Arial" w:eastAsia="Arial" w:hAnsi="Arial"/>
                <w:sz w:val="18"/>
                <w:szCs w:val="18"/>
                <w:b w:val="1"/>
                <w:bCs w:val="1"/>
                <w:color w:val="auto"/>
                <w:w w:val="88"/>
              </w:rPr>
              <w:t>September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9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fair value</w:t>
            </w:r>
          </w:p>
        </w:tc>
        <w:tc>
          <w:tcPr>
            <w:tcW w:w="3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2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385"/>
        </w:trPr>
        <w:tc>
          <w:tcPr>
            <w:tcW w:w="5600" w:type="dxa"/>
            <w:vAlign w:val="bottom"/>
            <w:gridSpan w:val="3"/>
          </w:tcPr>
          <w:p>
            <w:pPr>
              <w:spacing w:after="0"/>
              <w:rPr>
                <w:sz w:val="20"/>
                <w:szCs w:val="20"/>
                <w:color w:val="auto"/>
              </w:rPr>
            </w:pPr>
            <w:r>
              <w:rPr>
                <w:rFonts w:ascii="Arial" w:cs="Arial" w:eastAsia="Arial" w:hAnsi="Arial"/>
                <w:sz w:val="18"/>
                <w:szCs w:val="18"/>
                <w:color w:val="auto"/>
              </w:rPr>
              <w:t>Assumptions:</w:t>
            </w:r>
          </w:p>
        </w:tc>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5"/>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Expected life</w:t>
            </w:r>
          </w:p>
        </w:tc>
        <w:tc>
          <w:tcPr>
            <w:tcW w:w="3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color w:val="auto"/>
              </w:rPr>
              <w:t>5 years</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 Units and Performance Share Units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21, 2008 the Company adopted the 2008 Employees Restricted Share Unit Plan (the “2008 RSU Plan”) pursuant to which the Compensation and Organization Committee of the Company’s Board of Directors may select any employee, or any director holding a salaried office or employment with the Company, or a Subsidiary to receive an award under the plan. An aggregate of 1.0 million ordinary shares have been reserved for issuance under the 2008 RSU Plan.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 w:name="page14"/>
    <w:bookmarkEnd w:id="13"/>
    <w:p>
      <w:pPr>
        <w:jc w:val="both"/>
        <w:spacing w:after="0" w:line="276" w:lineRule="auto"/>
        <w:rPr>
          <w:sz w:val="20"/>
          <w:szCs w:val="20"/>
          <w:color w:val="auto"/>
        </w:rPr>
      </w:pPr>
      <w:r>
        <w:rPr>
          <w:rFonts w:ascii="Arial" w:cs="Arial" w:eastAsia="Arial" w:hAnsi="Arial"/>
          <w:sz w:val="17"/>
          <w:szCs w:val="17"/>
          <w:color w:val="auto"/>
        </w:rPr>
        <w:t>On April 23, 2013 the Company adopted the 2013 Employees Restricted Share Unit Plan (the “2013 RSU Plan”) pursuant to which the Compensation and Organization Committee of the Company’s Board of Directors may select any employee, or any director holding a salaried office or employment with the Company, or a Subsidiary to receive Restricted Share Units (“RSUs”) and/or Performance Share Units (“PSUs”) under the plan. An aggregate of 1.6 million ordinary shares have been reserved for issuance under the 2013 RSU Plan. The shares are awarded at zero cost and vest over a service period. Awards under the 2013 RSU Plan may be settled in cash or shares at the option of the Company.</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awarded RSUs and PSUs to certain key individuals of the Group. The following table summarizes RSU and PSU activity for the nine months ended September 30, 2015: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PSU</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RSU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b w:val="1"/>
                <w:bCs w:val="1"/>
                <w:color w:val="auto"/>
              </w:rPr>
              <w:t>PSU</w:t>
            </w:r>
          </w:p>
        </w:tc>
        <w:tc>
          <w:tcPr>
            <w:tcW w:w="2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PSU</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RSU</w:t>
            </w:r>
          </w:p>
        </w:tc>
        <w:tc>
          <w:tcPr>
            <w:tcW w:w="2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RSU</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b w:val="1"/>
                <w:bCs w:val="1"/>
                <w:color w:val="auto"/>
              </w:rPr>
              <w:t>Outstanding</w:t>
            </w:r>
          </w:p>
        </w:tc>
        <w:tc>
          <w:tcPr>
            <w:tcW w:w="2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Weighted</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Remaining</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Outstanding</w:t>
            </w:r>
          </w:p>
        </w:tc>
        <w:tc>
          <w:tcPr>
            <w:tcW w:w="2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Weighted</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b w:val="1"/>
                <w:bCs w:val="1"/>
                <w:color w:val="auto"/>
              </w:rPr>
              <w:t>Number of</w:t>
            </w:r>
          </w:p>
        </w:tc>
        <w:tc>
          <w:tcPr>
            <w:tcW w:w="2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rPr>
              <w:t>Average</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Contractual</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rPr>
              <w:t>Average</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900" w:type="dxa"/>
            <w:vAlign w:val="bottom"/>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Fair Value</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Life</w:t>
            </w:r>
          </w:p>
        </w:tc>
        <w:tc>
          <w:tcPr>
            <w:tcW w:w="1240" w:type="dxa"/>
            <w:vAlign w:val="bottom"/>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7"/>
              </w:rPr>
              <w:t>Fair Value</w:t>
            </w:r>
          </w:p>
        </w:tc>
        <w:tc>
          <w:tcPr>
            <w:tcW w:w="1180" w:type="dxa"/>
            <w:vAlign w:val="bottom"/>
          </w:tcPr>
          <w:p>
            <w:pPr>
              <w:jc w:val="right"/>
              <w:ind w:right="10"/>
              <w:spacing w:after="0"/>
              <w:rPr>
                <w:sz w:val="20"/>
                <w:szCs w:val="20"/>
                <w:color w:val="auto"/>
              </w:rPr>
            </w:pPr>
            <w:r>
              <w:rPr>
                <w:rFonts w:ascii="Arial" w:cs="Arial" w:eastAsia="Arial" w:hAnsi="Arial"/>
                <w:sz w:val="18"/>
                <w:szCs w:val="18"/>
                <w:b w:val="1"/>
                <w:bCs w:val="1"/>
                <w:color w:val="auto"/>
              </w:rPr>
              <w:t>Life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669,171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39.78</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1,038,996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35.19</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283,394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68.06</w:t>
            </w: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383,169</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66.94</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tcPr>
          <w:p>
            <w:pPr>
              <w:spacing w:after="0"/>
              <w:rPr>
                <w:sz w:val="20"/>
                <w:szCs w:val="20"/>
                <w:color w:val="auto"/>
              </w:rPr>
            </w:pPr>
            <w:r>
              <w:rPr>
                <w:rFonts w:ascii="Arial" w:cs="Arial" w:eastAsia="Arial" w:hAnsi="Arial"/>
                <w:sz w:val="18"/>
                <w:szCs w:val="18"/>
                <w:color w:val="auto"/>
              </w:rPr>
              <w:t>Shares vested</w:t>
            </w:r>
          </w:p>
        </w:tc>
        <w:tc>
          <w:tcPr>
            <w:tcW w:w="19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(227,805)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25.32</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(16,147)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42.73</w:t>
            </w:r>
          </w:p>
        </w:tc>
        <w:tc>
          <w:tcPr>
            <w:tcW w:w="1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(61,555)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41.85</w:t>
            </w: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September 30, 2015</w:t>
            </w:r>
          </w:p>
        </w:tc>
        <w:tc>
          <w:tcPr>
            <w:tcW w:w="1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936,418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48.34</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1.72</w:t>
            </w:r>
          </w:p>
        </w:tc>
        <w:tc>
          <w:tcPr>
            <w:tcW w:w="1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1,132,805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47.55</w:t>
            </w: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PSUs were awarded to certain key executives of the Company during the period ended September 30, 2015. PSUs vest based upon both a service basis and performance basis. The performance element is contingent upon cumulative EPS performance of the Company over a three year period (i.e. for the three year financial period ending December 31, 2018). PSUs with similar EPS performance targets were awarded during the years ended December 31, 2013 and December 31, 2014. 467,991 of the 936,418 PSUs outstanding at September 30, 2015 vest upon the achievement of EPS performance targets.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stock compensation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Non-cash stock compensation expense for the three and nine months ended September 30, 2015 has been allocated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9"/>
          </w:tcPr>
          <w:p>
            <w:pPr>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12"/>
          </w:tcPr>
          <w:p>
            <w:pPr>
              <w:jc w:val="center"/>
              <w:ind w:right="300"/>
              <w:spacing w:after="0"/>
              <w:rPr>
                <w:sz w:val="20"/>
                <w:szCs w:val="20"/>
                <w:color w:val="auto"/>
              </w:rPr>
            </w:pPr>
            <w:r>
              <w:rPr>
                <w:rFonts w:ascii="Arial" w:cs="Arial" w:eastAsia="Arial" w:hAnsi="Arial"/>
                <w:sz w:val="18"/>
                <w:szCs w:val="18"/>
                <w:b w:val="1"/>
                <w:bCs w:val="1"/>
                <w:color w:val="auto"/>
                <w:w w:val="91"/>
              </w:rPr>
              <w:t>Nine Months Ended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2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5"/>
              </w:rPr>
              <w:t>September</w:t>
            </w:r>
          </w:p>
        </w:tc>
        <w:tc>
          <w:tcPr>
            <w:tcW w:w="32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60" w:type="dxa"/>
            <w:vAlign w:val="bottom"/>
            <w:gridSpan w:val="3"/>
          </w:tcPr>
          <w:p>
            <w:pPr>
              <w:spacing w:after="0"/>
              <w:rPr>
                <w:sz w:val="17"/>
                <w:szCs w:val="17"/>
                <w:color w:val="auto"/>
              </w:rPr>
            </w:pPr>
          </w:p>
        </w:tc>
        <w:tc>
          <w:tcPr>
            <w:tcW w:w="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5"/>
              </w:rPr>
              <w:t>30,</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3"/>
          </w:tcPr>
          <w:p>
            <w:pPr>
              <w:spacing w:after="0"/>
              <w:rPr>
                <w:sz w:val="17"/>
                <w:szCs w:val="17"/>
                <w:color w:val="auto"/>
              </w:rPr>
            </w:pP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5"/>
          </w:tcPr>
          <w:p>
            <w:pPr>
              <w:jc w:val="right"/>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11"/>
          </w:tcPr>
          <w:p>
            <w:pPr>
              <w:jc w:val="center"/>
              <w:ind w:right="340"/>
              <w:spacing w:after="0"/>
              <w:rPr>
                <w:sz w:val="20"/>
                <w:szCs w:val="20"/>
                <w:color w:val="auto"/>
              </w:rPr>
            </w:pPr>
            <w:r>
              <w:rPr>
                <w:rFonts w:ascii="Arial" w:cs="Arial" w:eastAsia="Arial" w:hAnsi="Arial"/>
                <w:sz w:val="18"/>
                <w:szCs w:val="18"/>
                <w:b w:val="1"/>
                <w:bCs w:val="1"/>
                <w:color w:val="auto"/>
                <w:w w:val="90"/>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70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3,661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12,942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Selling, general and administrative</w:t>
            </w:r>
          </w:p>
        </w:tc>
        <w:tc>
          <w:tcPr>
            <w:tcW w:w="2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4,055</w:t>
            </w:r>
          </w:p>
        </w:tc>
        <w:tc>
          <w:tcPr>
            <w:tcW w:w="3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7"/>
              </w:rPr>
              <w:t>2,984</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11,101</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compensation costs</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9,031</w:t>
            </w:r>
          </w:p>
        </w:tc>
        <w:tc>
          <w:tcPr>
            <w:tcW w:w="7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w w:val="97"/>
              </w:rPr>
              <w:t>6,645</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24,043</w:t>
            </w:r>
          </w:p>
        </w:tc>
        <w:tc>
          <w:tcPr>
            <w:tcW w:w="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16,396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Total non-cash stock compensation expense not yet recognized at September 30, 2015 amounted to $57.7 million. The weighted average period over which this is expected to be recognized is 2.5 years. Total tax benefit recognized in additional paid in capital related to the non-cash compensation expense amounted to $3.0 million for the nine months ended September 30, 2015 (September 30, 2014: $1.8 million).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7. Share Capital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1, 2015 the Company commenced a buyback program of up to $60 million under which the Company could acquire its outstanding ordinary shares (by way of redemption), in accordance with Irish law, the United States securities laws and the Company’s constitutional documents through open market share acquisitions.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buyback program gave a broker authority to acquire the Company’s ordinary shares from time to time on the open market in accordance with agreed terms and limitations. The acquisition of shares pursuant to the buyback program was effected by way of redemption and cancellation of the shares, in accordance with the Constitution of the Company.</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June 30, 2015, 882,419 ordinary shares were redeemed by the Company under the buyback program for a total consideration of $58.2 million. All ordinary shares that were redeemed under the buyback program were cancelled in accordance with the Constitution of the Company and the nominal value of these shares transferred to a capital redemption reserve fund as required under Irish Company Law.</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31, 2015 the Company commenced a further buyback program of up to $400 million under which the Company could acquire its outstanding ordinary shares (by way of redemption), in accordance with Irish law, the United States securities laws and the Company’s constitutional documents through open market share acquisitions.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buyback program gives a broker authority to acquire the Company’s ordinary shares from time to time on the open market in accordance with agreed terms and limitations. The acquisition of shares pursuant to the buyback program was effected by way of redemption and cancellation of the shares, in accordance with the Constitution of the Company.</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September 30, 2015, 2,904,170 ordinary shares were redeemed by the Company under the buyback program for a total consideration of $229.5 million. All ordinary shares that were redeemed under the buyback program were cancelled in accordance with the Constitution of the Company and the nominal value of these shares transferred to a capital redemption reserve fund as required under Irish Company Law.</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8. Business Segment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determines and presents operating segments based on the information that is internally provided to the Chief Executive Officer, Chief Operating Officer and Chief Financial Officer, who together are considered the Company’s chief operating decision makers, in accordance with FASB ASC 280-10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contract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 service” solution. The Company has expanded predominately through internal growth, together with a number of strategic acquisitions to enhance its expertise and capabilities in certain areas of the clinical development process.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generally awarded projects based upon responses to requests for proposals received from companies in the pharmaceutical, biotechnology and medical device industries or work orders executed under our strategic partnership arrangements. Contracts with customer are generally entered into centrally, in most cases with ICON Clinical Research Limited (“ICON Ireland”), the Company’s principal operating subsidiary in Ireland. Revenues, which consist primarily of fees earned under these contracts, are allocated to individual entities within the Group, based on where the work is performed in accordance with the Company’s global transfer pricing model.</w:t>
      </w:r>
    </w:p>
    <w:p>
      <w:pPr>
        <w:spacing w:after="0" w:line="2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ICON Ireland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As such it enters into the majority of the Company’s customer contracts.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ICON Ireland remunerates other operating entities in the ICON Group on the basis of a guaranteed cost plus mark up for the services they perform in each of their local territories. The cost plus mark 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net revenues of the Group after deducting the cost plus revenues attributable to the activities performed outside Ireland.</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areas of operation outside of Ireland include the United States, United Kingdom, France, Germany, Italy, Spain, The Netherlands, Sweden, Turkey, Poland, Czech Republic, Latvia, Russia, Ukraine, Hungary, Israel, Romania, Switzerland, Canada, Mexico, Brazil, Colombia, Argentina, Chile, Peru, India, China, South Korea, Japan, Thailand, Taiwan, Singapore, The Philippines, Australia, New Zealand, and South Africa.</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Segment information as at September 30, 2015 and December 31, 2014 and for the three and nine months ended September 30, 2015 and September 30, 2014 is as follows: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 The distribution of net revenue by geographical area was as follows:</w:t>
            </w: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6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4"/>
          </w:tcPr>
          <w:p>
            <w:pPr>
              <w:spacing w:after="0"/>
              <w:rPr>
                <w:sz w:val="20"/>
                <w:szCs w:val="20"/>
                <w:color w:val="auto"/>
              </w:rPr>
            </w:pPr>
            <w:r>
              <w:rPr>
                <w:rFonts w:ascii="Arial" w:cs="Arial" w:eastAsia="Arial" w:hAnsi="Arial"/>
                <w:sz w:val="18"/>
                <w:szCs w:val="18"/>
                <w:b w:val="1"/>
                <w:bCs w:val="1"/>
                <w:color w:val="auto"/>
              </w:rPr>
              <w:t>Three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Months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gridSpan w:val="3"/>
          </w:tcPr>
          <w:p>
            <w:pPr>
              <w:spacing w:after="0"/>
              <w:rPr>
                <w:sz w:val="20"/>
                <w:szCs w:val="20"/>
                <w:color w:val="auto"/>
              </w:rPr>
            </w:pPr>
            <w:r>
              <w:rPr>
                <w:rFonts w:ascii="Arial" w:cs="Arial" w:eastAsia="Arial" w:hAnsi="Arial"/>
                <w:sz w:val="18"/>
                <w:szCs w:val="18"/>
                <w:b w:val="1"/>
                <w:bCs w:val="1"/>
                <w:color w:val="auto"/>
              </w:rPr>
              <w:t>Nine</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rPr>
              <w:t>Months</w:t>
            </w:r>
          </w:p>
        </w:tc>
      </w:tr>
      <w:tr>
        <w:trPr>
          <w:trHeight w:val="196"/>
        </w:trPr>
        <w:tc>
          <w:tcPr>
            <w:tcW w:w="6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top w:val="single" w:sz="8" w:color="auto"/>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87"/>
              </w:rPr>
              <w:t>Ended</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87"/>
              </w:rPr>
              <w:t>Ended</w:t>
            </w:r>
          </w:p>
        </w:tc>
        <w:tc>
          <w:tcPr>
            <w:tcW w:w="100" w:type="dxa"/>
            <w:vAlign w:val="bottom"/>
            <w:tcBorders>
              <w:top w:val="single" w:sz="8" w:color="auto"/>
            </w:tcBorders>
            <w:gridSpan w:val="2"/>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September</w:t>
            </w:r>
          </w:p>
        </w:tc>
        <w:tc>
          <w:tcPr>
            <w:tcW w:w="80" w:type="dxa"/>
            <w:vAlign w:val="bottom"/>
          </w:tcPr>
          <w:p>
            <w:pPr>
              <w:spacing w:after="0"/>
              <w:rPr>
                <w:sz w:val="17"/>
                <w:szCs w:val="17"/>
                <w:color w:val="auto"/>
              </w:rPr>
            </w:pPr>
          </w:p>
        </w:tc>
        <w:tc>
          <w:tcPr>
            <w:tcW w:w="9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September</w:t>
            </w:r>
          </w:p>
        </w:tc>
        <w:tc>
          <w:tcPr>
            <w:tcW w:w="1180" w:type="dxa"/>
            <w:vAlign w:val="bottom"/>
            <w:gridSpan w:val="7"/>
          </w:tcPr>
          <w:p>
            <w:pPr>
              <w:ind w:left="180"/>
              <w:spacing w:after="0" w:line="196" w:lineRule="exact"/>
              <w:rPr>
                <w:sz w:val="20"/>
                <w:szCs w:val="20"/>
                <w:color w:val="auto"/>
              </w:rPr>
            </w:pPr>
            <w:r>
              <w:rPr>
                <w:rFonts w:ascii="Arial" w:cs="Arial" w:eastAsia="Arial" w:hAnsi="Arial"/>
                <w:sz w:val="18"/>
                <w:szCs w:val="18"/>
                <w:b w:val="1"/>
                <w:bCs w:val="1"/>
                <w:color w:val="auto"/>
              </w:rPr>
              <w:t>September</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gridSpan w:val="6"/>
          </w:tcPr>
          <w:p>
            <w:pPr>
              <w:jc w:val="right"/>
              <w:ind w:right="100"/>
              <w:spacing w:after="0" w:line="196" w:lineRule="exact"/>
              <w:rPr>
                <w:sz w:val="20"/>
                <w:szCs w:val="20"/>
                <w:color w:val="auto"/>
              </w:rPr>
            </w:pPr>
            <w:r>
              <w:rPr>
                <w:rFonts w:ascii="Arial" w:cs="Arial" w:eastAsia="Arial" w:hAnsi="Arial"/>
                <w:sz w:val="18"/>
                <w:szCs w:val="18"/>
                <w:b w:val="1"/>
                <w:bCs w:val="1"/>
                <w:color w:val="auto"/>
                <w:w w:val="88"/>
              </w:rPr>
              <w:t>September</w:t>
            </w:r>
          </w:p>
        </w:tc>
      </w:tr>
      <w:tr>
        <w:trPr>
          <w:trHeight w:val="196"/>
        </w:trPr>
        <w:tc>
          <w:tcPr>
            <w:tcW w:w="6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Borders>
              <w:top w:val="single" w:sz="8" w:color="auto"/>
            </w:tcBorders>
            <w:gridSpan w:val="3"/>
          </w:tcPr>
          <w:p>
            <w:pPr>
              <w:spacing w:after="0"/>
              <w:rPr>
                <w:sz w:val="17"/>
                <w:szCs w:val="17"/>
                <w:color w:val="auto"/>
              </w:rPr>
            </w:pPr>
          </w:p>
        </w:tc>
        <w:tc>
          <w:tcPr>
            <w:tcW w:w="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95"/>
              </w:rPr>
              <w:t>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gridSpan w:val="2"/>
          </w:tcPr>
          <w:p>
            <w:pPr>
              <w:spacing w:after="0"/>
              <w:rPr>
                <w:sz w:val="17"/>
                <w:szCs w:val="17"/>
                <w:color w:val="auto"/>
              </w:rPr>
            </w:pPr>
          </w:p>
        </w:tc>
        <w:tc>
          <w:tcPr>
            <w:tcW w:w="2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3"/>
          </w:tcPr>
          <w:p>
            <w:pPr>
              <w:spacing w:after="0"/>
              <w:rPr>
                <w:sz w:val="17"/>
                <w:szCs w:val="17"/>
                <w:color w:val="auto"/>
              </w:rPr>
            </w:pP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2"/>
          </w:tcPr>
          <w:p>
            <w:pPr>
              <w:spacing w:after="0"/>
              <w:rPr>
                <w:sz w:val="17"/>
                <w:szCs w:val="17"/>
                <w:color w:val="auto"/>
              </w:rPr>
            </w:pPr>
          </w:p>
        </w:tc>
        <w:tc>
          <w:tcPr>
            <w:tcW w:w="2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r>
      <w:tr>
        <w:trPr>
          <w:trHeight w:val="196"/>
        </w:trPr>
        <w:tc>
          <w:tcPr>
            <w:tcW w:w="6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gridSpan w:val="5"/>
          </w:tcPr>
          <w:p>
            <w:pPr>
              <w:jc w:val="right"/>
              <w:ind w:right="160"/>
              <w:spacing w:after="0" w:line="196" w:lineRule="exact"/>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r>
      <w:tr>
        <w:trPr>
          <w:trHeight w:val="20"/>
        </w:trPr>
        <w:tc>
          <w:tcPr>
            <w:tcW w:w="6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80" w:type="dxa"/>
            <w:vAlign w:val="bottom"/>
            <w:gridSpan w:val="13"/>
          </w:tcPr>
          <w:p>
            <w:pPr>
              <w:ind w:left="380"/>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gridSpan w:val="13"/>
          </w:tcPr>
          <w:p>
            <w:pPr>
              <w:ind w:left="3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113,060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99,585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332,563</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273,670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 of Europe</w:t>
            </w:r>
          </w:p>
        </w:tc>
        <w:tc>
          <w:tcPr>
            <w:tcW w:w="10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79,077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5"/>
          </w:tcPr>
          <w:p>
            <w:pPr>
              <w:jc w:val="right"/>
              <w:ind w:right="100"/>
              <w:spacing w:after="0"/>
              <w:rPr>
                <w:sz w:val="20"/>
                <w:szCs w:val="20"/>
                <w:color w:val="auto"/>
              </w:rPr>
            </w:pPr>
            <w:r>
              <w:rPr>
                <w:rFonts w:ascii="Arial" w:cs="Arial" w:eastAsia="Arial" w:hAnsi="Arial"/>
                <w:sz w:val="18"/>
                <w:szCs w:val="18"/>
                <w:color w:val="auto"/>
              </w:rPr>
              <w:t>91,350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5"/>
          </w:tcPr>
          <w:p>
            <w:pPr>
              <w:jc w:val="right"/>
              <w:ind w:right="160"/>
              <w:spacing w:after="0"/>
              <w:rPr>
                <w:sz w:val="20"/>
                <w:szCs w:val="20"/>
                <w:color w:val="auto"/>
              </w:rPr>
            </w:pPr>
            <w:r>
              <w:rPr>
                <w:rFonts w:ascii="Arial" w:cs="Arial" w:eastAsia="Arial" w:hAnsi="Arial"/>
                <w:sz w:val="18"/>
                <w:szCs w:val="18"/>
                <w:color w:val="auto"/>
              </w:rPr>
              <w:t>241,705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gridSpan w:val="5"/>
          </w:tcPr>
          <w:p>
            <w:pPr>
              <w:jc w:val="right"/>
              <w:ind w:right="100"/>
              <w:spacing w:after="0"/>
              <w:rPr>
                <w:sz w:val="20"/>
                <w:szCs w:val="20"/>
                <w:color w:val="auto"/>
              </w:rPr>
            </w:pPr>
            <w:r>
              <w:rPr>
                <w:rFonts w:ascii="Arial" w:cs="Arial" w:eastAsia="Arial" w:hAnsi="Arial"/>
                <w:sz w:val="18"/>
                <w:szCs w:val="18"/>
                <w:color w:val="auto"/>
              </w:rPr>
              <w:t>275,881</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161,144</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152,140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475,508</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441,189</w:t>
            </w:r>
          </w:p>
        </w:tc>
      </w:tr>
      <w:tr>
        <w:trPr>
          <w:trHeight w:val="223"/>
        </w:trPr>
        <w:tc>
          <w:tcPr>
            <w:tcW w:w="6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0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41,460</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44,514</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color w:val="auto"/>
              </w:rPr>
              <w:t>121,853</w:t>
            </w: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122,503</w:t>
            </w:r>
          </w:p>
        </w:tc>
      </w:tr>
      <w:tr>
        <w:trPr>
          <w:trHeight w:val="473"/>
        </w:trPr>
        <w:tc>
          <w:tcPr>
            <w:tcW w:w="6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394,741</w:t>
            </w:r>
          </w:p>
        </w:tc>
        <w:tc>
          <w:tcPr>
            <w:tcW w:w="2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387,589</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4"/>
              </w:rPr>
              <w:t>1,171,629</w:t>
            </w:r>
          </w:p>
        </w:tc>
        <w:tc>
          <w:tcPr>
            <w:tcW w:w="1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4"/>
              </w:rPr>
              <w:t>1,113,243</w:t>
            </w:r>
          </w:p>
        </w:tc>
      </w:tr>
    </w:tbl>
    <w:p>
      <w:pPr>
        <w:ind w:left="800" w:hanging="144"/>
        <w:spacing w:after="0"/>
        <w:tabs>
          <w:tab w:leader="none" w:pos="8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sales shown for Ireland are export sales.</w:t>
      </w:r>
    </w:p>
    <w:p>
      <w:pPr>
        <w:spacing w:after="0" w:line="200" w:lineRule="exact"/>
        <w:rPr>
          <w:rFonts w:ascii="Arial" w:cs="Arial" w:eastAsia="Arial" w:hAnsi="Arial"/>
          <w:sz w:val="18"/>
          <w:szCs w:val="18"/>
          <w:color w:val="auto"/>
        </w:rPr>
      </w:pPr>
    </w:p>
    <w:p>
      <w:pPr>
        <w:spacing w:after="0" w:line="280" w:lineRule="exact"/>
        <w:rPr>
          <w:rFonts w:ascii="Arial" w:cs="Arial" w:eastAsia="Arial" w:hAnsi="Arial"/>
          <w:sz w:val="18"/>
          <w:szCs w:val="18"/>
          <w:color w:val="auto"/>
        </w:rPr>
      </w:pPr>
    </w:p>
    <w:p>
      <w:pPr>
        <w:ind w:left="200" w:hanging="192"/>
        <w:spacing w:after="0"/>
        <w:tabs>
          <w:tab w:leader="none" w:pos="2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distribution of income from operations, including restructuring and other items,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7"/>
          </w:tcPr>
          <w:p>
            <w:pPr>
              <w:jc w:val="center"/>
              <w:ind w:right="20"/>
              <w:spacing w:after="0"/>
              <w:rPr>
                <w:sz w:val="20"/>
                <w:szCs w:val="20"/>
                <w:color w:val="auto"/>
              </w:rPr>
            </w:pPr>
            <w:r>
              <w:rPr>
                <w:rFonts w:ascii="Arial" w:cs="Arial" w:eastAsia="Arial" w:hAnsi="Arial"/>
                <w:sz w:val="18"/>
                <w:szCs w:val="18"/>
                <w:b w:val="1"/>
                <w:bCs w:val="1"/>
                <w:color w:val="auto"/>
                <w:w w:val="90"/>
              </w:rPr>
              <w:t>Three Months Ended</w:t>
            </w:r>
          </w:p>
        </w:tc>
        <w:tc>
          <w:tcPr>
            <w:tcW w:w="3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0"/>
        </w:trPr>
        <w:tc>
          <w:tcPr>
            <w:tcW w:w="3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82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5"/>
              </w:rPr>
              <w:t>September</w:t>
            </w:r>
          </w:p>
        </w:tc>
        <w:tc>
          <w:tcPr>
            <w:tcW w:w="32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r>
      <w:tr>
        <w:trPr>
          <w:trHeight w:val="196"/>
        </w:trPr>
        <w:tc>
          <w:tcPr>
            <w:tcW w:w="3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82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r>
      <w:tr>
        <w:trPr>
          <w:trHeight w:val="20"/>
        </w:trPr>
        <w:tc>
          <w:tcPr>
            <w:tcW w:w="3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3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4"/>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r>
      <w:tr>
        <w:trPr>
          <w:trHeight w:val="20"/>
        </w:trPr>
        <w:tc>
          <w:tcPr>
            <w:tcW w:w="3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3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3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56,612</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153,620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98,892</w:t>
            </w: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Rest of Europe</w:t>
            </w:r>
          </w:p>
        </w:tc>
        <w:tc>
          <w:tcPr>
            <w:tcW w:w="374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3,871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4"/>
          </w:tcPr>
          <w:p>
            <w:pPr>
              <w:jc w:val="right"/>
              <w:ind w:right="100"/>
              <w:spacing w:after="0"/>
              <w:rPr>
                <w:sz w:val="20"/>
                <w:szCs w:val="20"/>
                <w:color w:val="auto"/>
              </w:rPr>
            </w:pPr>
            <w:r>
              <w:rPr>
                <w:rFonts w:ascii="Arial" w:cs="Arial" w:eastAsia="Arial" w:hAnsi="Arial"/>
                <w:sz w:val="18"/>
                <w:szCs w:val="18"/>
                <w:color w:val="auto"/>
              </w:rPr>
              <w:t>1,121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5"/>
          </w:tcPr>
          <w:p>
            <w:pPr>
              <w:jc w:val="right"/>
              <w:ind w:right="100"/>
              <w:spacing w:after="0"/>
              <w:rPr>
                <w:sz w:val="20"/>
                <w:szCs w:val="20"/>
                <w:color w:val="auto"/>
              </w:rPr>
            </w:pPr>
            <w:r>
              <w:rPr>
                <w:rFonts w:ascii="Arial" w:cs="Arial" w:eastAsia="Arial" w:hAnsi="Arial"/>
                <w:sz w:val="18"/>
                <w:szCs w:val="18"/>
                <w:color w:val="auto"/>
              </w:rPr>
              <w:t>14,178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rPr>
              <w:t>15,492</w:t>
            </w:r>
          </w:p>
        </w:tc>
      </w:tr>
      <w:tr>
        <w:trPr>
          <w:trHeight w:val="216"/>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37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10,871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30,576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27,211</w:t>
            </w:r>
          </w:p>
        </w:tc>
      </w:tr>
      <w:tr>
        <w:trPr>
          <w:trHeight w:val="223"/>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37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2,773</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3,409</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7,817</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9,114</w:t>
            </w:r>
          </w:p>
        </w:tc>
      </w:tr>
      <w:tr>
        <w:trPr>
          <w:trHeight w:val="473"/>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71,385</w:t>
            </w:r>
          </w:p>
        </w:tc>
        <w:tc>
          <w:tcPr>
            <w:tcW w:w="50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59,423</w:t>
            </w: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206,191</w:t>
            </w:r>
          </w:p>
        </w:tc>
        <w:tc>
          <w:tcPr>
            <w:tcW w:w="3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150,709</w:t>
            </w:r>
          </w:p>
        </w:tc>
      </w:tr>
      <w:tr>
        <w:trPr>
          <w:trHeight w:val="601"/>
        </w:trPr>
        <w:tc>
          <w:tcPr>
            <w:tcW w:w="3360" w:type="dxa"/>
            <w:vAlign w:val="bottom"/>
          </w:tcPr>
          <w:p>
            <w:pPr>
              <w:spacing w:after="0"/>
              <w:rPr>
                <w:sz w:val="24"/>
                <w:szCs w:val="24"/>
                <w:color w:val="auto"/>
              </w:rPr>
            </w:pPr>
          </w:p>
        </w:tc>
        <w:tc>
          <w:tcPr>
            <w:tcW w:w="3740" w:type="dxa"/>
            <w:vAlign w:val="bottom"/>
          </w:tcPr>
          <w:p>
            <w:pPr>
              <w:jc w:val="right"/>
              <w:ind w:right="12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36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c) The distribution of property, plant and equipment, net, by geographical area was as follows:</w:t>
            </w: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9"/>
        </w:trPr>
        <w:tc>
          <w:tcPr>
            <w:tcW w:w="8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5"/>
          </w:tcPr>
          <w:p>
            <w:pPr>
              <w:ind w:left="20"/>
              <w:spacing w:after="0"/>
              <w:rPr>
                <w:sz w:val="20"/>
                <w:szCs w:val="20"/>
                <w:color w:val="auto"/>
              </w:rPr>
            </w:pPr>
            <w:r>
              <w:rPr>
                <w:rFonts w:ascii="Arial" w:cs="Arial" w:eastAsia="Arial" w:hAnsi="Arial"/>
                <w:sz w:val="18"/>
                <w:szCs w:val="18"/>
                <w:b w:val="1"/>
                <w:bCs w:val="1"/>
                <w:color w:val="auto"/>
                <w:w w:val="98"/>
              </w:rPr>
              <w:t>December</w:t>
            </w:r>
          </w:p>
        </w:tc>
      </w:tr>
      <w:tr>
        <w:trPr>
          <w:trHeight w:val="196"/>
        </w:trPr>
        <w:tc>
          <w:tcPr>
            <w:tcW w:w="8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0" w:type="dxa"/>
            <w:vAlign w:val="bottom"/>
            <w:tcBorders>
              <w:top w:val="single" w:sz="8" w:color="auto"/>
            </w:tcBorders>
            <w:gridSpan w:val="2"/>
          </w:tcPr>
          <w:p>
            <w:pPr>
              <w:spacing w:after="0"/>
              <w:rPr>
                <w:sz w:val="17"/>
                <w:szCs w:val="17"/>
                <w:color w:val="auto"/>
              </w:rPr>
            </w:pP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auto"/>
            </w:tcBorders>
            <w:gridSpan w:val="2"/>
          </w:tcPr>
          <w:p>
            <w:pPr>
              <w:spacing w:after="0"/>
              <w:rPr>
                <w:sz w:val="17"/>
                <w:szCs w:val="17"/>
                <w:color w:val="auto"/>
              </w:rPr>
            </w:pP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7"/>
              </w:rPr>
              <w:t>31,</w:t>
            </w:r>
          </w:p>
        </w:tc>
        <w:tc>
          <w:tcPr>
            <w:tcW w:w="100" w:type="dxa"/>
            <w:vAlign w:val="bottom"/>
          </w:tcPr>
          <w:p>
            <w:pPr>
              <w:spacing w:after="0"/>
              <w:rPr>
                <w:sz w:val="17"/>
                <w:szCs w:val="17"/>
                <w:color w:val="auto"/>
              </w:rPr>
            </w:pPr>
          </w:p>
        </w:tc>
      </w:tr>
      <w:tr>
        <w:trPr>
          <w:trHeight w:val="196"/>
        </w:trPr>
        <w:tc>
          <w:tcPr>
            <w:tcW w:w="8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r>
      <w:tr>
        <w:trPr>
          <w:trHeight w:val="20"/>
        </w:trPr>
        <w:tc>
          <w:tcPr>
            <w:tcW w:w="8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60" w:type="dxa"/>
            <w:vAlign w:val="bottom"/>
            <w:gridSpan w:val="10"/>
          </w:tcPr>
          <w:p>
            <w:pPr>
              <w:ind w:left="38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95,574</w:t>
            </w: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Rest of Europe</w:t>
            </w:r>
          </w:p>
        </w:tc>
        <w:tc>
          <w:tcPr>
            <w:tcW w:w="13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8,309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10,419</w:t>
            </w: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3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33,639</w:t>
            </w:r>
          </w:p>
        </w:tc>
        <w:tc>
          <w:tcPr>
            <w:tcW w:w="22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33,978</w:t>
            </w:r>
          </w:p>
        </w:tc>
      </w:tr>
      <w:tr>
        <w:trPr>
          <w:trHeight w:val="223"/>
        </w:trPr>
        <w:tc>
          <w:tcPr>
            <w:tcW w:w="8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6,811</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8,214</w:t>
            </w:r>
          </w:p>
        </w:tc>
      </w:tr>
      <w:tr>
        <w:trPr>
          <w:trHeight w:val="473"/>
        </w:trPr>
        <w:tc>
          <w:tcPr>
            <w:tcW w:w="80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148,835</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148,185</w:t>
            </w: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 The distribution of depreciation and amortization by geographical area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8"/>
                <w:szCs w:val="18"/>
                <w:b w:val="1"/>
                <w:bCs w:val="1"/>
                <w:color w:val="auto"/>
                <w:w w:val="90"/>
              </w:rPr>
              <w:t>Three Months Ended</w:t>
            </w:r>
          </w:p>
        </w:tc>
        <w:tc>
          <w:tcPr>
            <w:tcW w:w="3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0" w:type="dxa"/>
            <w:vAlign w:val="bottom"/>
            <w:gridSpan w:val="11"/>
          </w:tcPr>
          <w:p>
            <w:pPr>
              <w:jc w:val="center"/>
              <w:ind w:right="260"/>
              <w:spacing w:after="0"/>
              <w:rPr>
                <w:sz w:val="20"/>
                <w:szCs w:val="20"/>
                <w:color w:val="auto"/>
              </w:rPr>
            </w:pPr>
            <w:r>
              <w:rPr>
                <w:rFonts w:ascii="Arial" w:cs="Arial" w:eastAsia="Arial" w:hAnsi="Arial"/>
                <w:sz w:val="18"/>
                <w:szCs w:val="18"/>
                <w:b w:val="1"/>
                <w:bCs w:val="1"/>
                <w:color w:val="auto"/>
                <w:w w:val="91"/>
              </w:rPr>
              <w:t>Nine Months Ended</w:t>
            </w:r>
          </w:p>
        </w:tc>
      </w:tr>
      <w:tr>
        <w:trPr>
          <w:trHeight w:val="196"/>
        </w:trPr>
        <w:tc>
          <w:tcPr>
            <w:tcW w:w="5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5"/>
              </w:rPr>
              <w:t>September</w:t>
            </w:r>
          </w:p>
        </w:tc>
        <w:tc>
          <w:tcPr>
            <w:tcW w:w="320" w:type="dxa"/>
            <w:vAlign w:val="bottom"/>
          </w:tcPr>
          <w:p>
            <w:pPr>
              <w:spacing w:after="0"/>
              <w:rPr>
                <w:sz w:val="17"/>
                <w:szCs w:val="17"/>
                <w:color w:val="auto"/>
              </w:rPr>
            </w:pPr>
          </w:p>
        </w:tc>
        <w:tc>
          <w:tcPr>
            <w:tcW w:w="84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17"/>
                <w:szCs w:val="17"/>
                <w:color w:val="auto"/>
              </w:rPr>
            </w:pPr>
          </w:p>
        </w:tc>
      </w:tr>
      <w:tr>
        <w:trPr>
          <w:trHeight w:val="196"/>
        </w:trPr>
        <w:tc>
          <w:tcPr>
            <w:tcW w:w="5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2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30,</w:t>
            </w:r>
          </w:p>
        </w:tc>
      </w:tr>
      <w:tr>
        <w:trPr>
          <w:trHeight w:val="20"/>
        </w:trPr>
        <w:tc>
          <w:tcPr>
            <w:tcW w:w="5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60" w:type="dxa"/>
            <w:vAlign w:val="bottom"/>
            <w:gridSpan w:val="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84"/>
              </w:rPr>
              <w:t>2015</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r>
      <w:tr>
        <w:trPr>
          <w:trHeight w:val="20"/>
        </w:trPr>
        <w:tc>
          <w:tcPr>
            <w:tcW w:w="5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gridSpan w:val="11"/>
          </w:tcPr>
          <w:p>
            <w:pPr>
              <w:jc w:val="center"/>
              <w:ind w:right="240"/>
              <w:spacing w:after="0"/>
              <w:rPr>
                <w:sz w:val="20"/>
                <w:szCs w:val="20"/>
                <w:color w:val="auto"/>
              </w:rPr>
            </w:pPr>
            <w:r>
              <w:rPr>
                <w:rFonts w:ascii="Arial" w:cs="Arial" w:eastAsia="Arial" w:hAnsi="Arial"/>
                <w:sz w:val="18"/>
                <w:szCs w:val="18"/>
                <w:b w:val="1"/>
                <w:bCs w:val="1"/>
                <w:color w:val="auto"/>
                <w:w w:val="87"/>
              </w:rPr>
              <w:t>(in thousands)</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5,171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14,972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15,577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Rest of Europe</w:t>
            </w:r>
          </w:p>
        </w:tc>
        <w:tc>
          <w:tcPr>
            <w:tcW w:w="1760" w:type="dxa"/>
            <w:vAlign w:val="bottom"/>
          </w:tcPr>
          <w:p>
            <w:pPr>
              <w:spacing w:after="0"/>
              <w:rPr>
                <w:sz w:val="18"/>
                <w:szCs w:val="18"/>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rPr>
              <w:t>2,003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5"/>
          </w:tcPr>
          <w:p>
            <w:pPr>
              <w:jc w:val="right"/>
              <w:ind w:right="100"/>
              <w:spacing w:after="0"/>
              <w:rPr>
                <w:sz w:val="20"/>
                <w:szCs w:val="20"/>
                <w:color w:val="auto"/>
              </w:rPr>
            </w:pPr>
            <w:r>
              <w:rPr>
                <w:rFonts w:ascii="Arial" w:cs="Arial" w:eastAsia="Arial" w:hAnsi="Arial"/>
                <w:sz w:val="18"/>
                <w:szCs w:val="18"/>
                <w:color w:val="auto"/>
              </w:rPr>
              <w:t>1,162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6,217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3,861</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76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6,277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6,533</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18,412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16,146</w:t>
            </w:r>
          </w:p>
        </w:tc>
      </w:tr>
      <w:tr>
        <w:trPr>
          <w:trHeight w:val="223"/>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942</w:t>
            </w: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871</w:t>
            </w: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2,934</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2,623</w:t>
            </w:r>
          </w:p>
        </w:tc>
      </w:tr>
      <w:tr>
        <w:trPr>
          <w:trHeight w:val="473"/>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14,366</w:t>
            </w:r>
          </w:p>
        </w:tc>
        <w:tc>
          <w:tcPr>
            <w:tcW w:w="50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13,737</w:t>
            </w: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42,535</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38,207</w:t>
            </w:r>
          </w:p>
        </w:tc>
      </w:tr>
      <w:tr>
        <w:trPr>
          <w:trHeight w:val="453"/>
        </w:trPr>
        <w:tc>
          <w:tcPr>
            <w:tcW w:w="5340" w:type="dxa"/>
            <w:vAlign w:val="bottom"/>
          </w:tcPr>
          <w:p>
            <w:pPr>
              <w:spacing w:after="0"/>
              <w:rPr>
                <w:sz w:val="20"/>
                <w:szCs w:val="20"/>
                <w:color w:val="auto"/>
              </w:rPr>
            </w:pPr>
            <w:r>
              <w:rPr>
                <w:rFonts w:ascii="Arial" w:cs="Arial" w:eastAsia="Arial" w:hAnsi="Arial"/>
                <w:sz w:val="18"/>
                <w:szCs w:val="18"/>
                <w:color w:val="auto"/>
                <w:w w:val="95"/>
              </w:rPr>
              <w:t>e) The distribution of total assets by geographical area was as follows:</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53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89"/>
              </w:rPr>
              <w:t>December</w:t>
            </w:r>
          </w:p>
        </w:tc>
      </w:tr>
      <w:tr>
        <w:trPr>
          <w:trHeight w:val="196"/>
        </w:trPr>
        <w:tc>
          <w:tcPr>
            <w:tcW w:w="5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2"/>
          </w:tcPr>
          <w:p>
            <w:pPr>
              <w:spacing w:after="0"/>
              <w:rPr>
                <w:sz w:val="17"/>
                <w:szCs w:val="17"/>
                <w:color w:val="auto"/>
              </w:rPr>
            </w:pP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top w:val="single" w:sz="8" w:color="auto"/>
            </w:tcBorders>
            <w:gridSpan w:val="2"/>
          </w:tcPr>
          <w:p>
            <w:pPr>
              <w:spacing w:after="0"/>
              <w:rPr>
                <w:sz w:val="17"/>
                <w:szCs w:val="17"/>
                <w:color w:val="auto"/>
              </w:rPr>
            </w:pPr>
          </w:p>
        </w:tc>
        <w:tc>
          <w:tcPr>
            <w:tcW w:w="2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87"/>
              </w:rPr>
              <w:t>31,</w:t>
            </w:r>
          </w:p>
        </w:tc>
        <w:tc>
          <w:tcPr>
            <w:tcW w:w="100" w:type="dxa"/>
            <w:vAlign w:val="bottom"/>
          </w:tcPr>
          <w:p>
            <w:pPr>
              <w:spacing w:after="0"/>
              <w:rPr>
                <w:sz w:val="17"/>
                <w:szCs w:val="17"/>
                <w:color w:val="auto"/>
              </w:rPr>
            </w:pPr>
          </w:p>
        </w:tc>
      </w:tr>
      <w:tr>
        <w:trPr>
          <w:trHeight w:val="196"/>
        </w:trPr>
        <w:tc>
          <w:tcPr>
            <w:tcW w:w="53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5"/>
          </w:tcPr>
          <w:p>
            <w:pPr>
              <w:jc w:val="right"/>
              <w:ind w:right="100"/>
              <w:spacing w:after="0" w:line="196" w:lineRule="exact"/>
              <w:rPr>
                <w:sz w:val="20"/>
                <w:szCs w:val="20"/>
                <w:color w:val="auto"/>
              </w:rPr>
            </w:pPr>
            <w:r>
              <w:rPr>
                <w:rFonts w:ascii="Arial" w:cs="Arial" w:eastAsia="Arial" w:hAnsi="Arial"/>
                <w:sz w:val="18"/>
                <w:szCs w:val="18"/>
                <w:b w:val="1"/>
                <w:bCs w:val="1"/>
                <w:color w:val="auto"/>
              </w:rPr>
              <w:t>2014</w:t>
            </w:r>
          </w:p>
        </w:tc>
      </w:tr>
      <w:tr>
        <w:trPr>
          <w:trHeight w:val="20"/>
        </w:trPr>
        <w:tc>
          <w:tcPr>
            <w:tcW w:w="5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3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0" w:type="dxa"/>
            <w:vAlign w:val="bottom"/>
            <w:gridSpan w:val="11"/>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Ireland</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618,393</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495,747</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Rest of Europe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391,883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gridSpan w:val="5"/>
          </w:tcPr>
          <w:p>
            <w:pPr>
              <w:jc w:val="right"/>
              <w:ind w:right="100"/>
              <w:spacing w:after="0"/>
              <w:rPr>
                <w:sz w:val="20"/>
                <w:szCs w:val="20"/>
                <w:color w:val="auto"/>
              </w:rPr>
            </w:pPr>
            <w:r>
              <w:rPr>
                <w:rFonts w:ascii="Arial" w:cs="Arial" w:eastAsia="Arial" w:hAnsi="Arial"/>
                <w:sz w:val="18"/>
                <w:szCs w:val="18"/>
                <w:color w:val="auto"/>
              </w:rPr>
              <w:t>324,086</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746,332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648,559</w:t>
            </w:r>
          </w:p>
        </w:tc>
      </w:tr>
      <w:tr>
        <w:trPr>
          <w:trHeight w:val="223"/>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Rest of World</w:t>
            </w:r>
          </w:p>
        </w:tc>
        <w:tc>
          <w:tcPr>
            <w:tcW w:w="1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56,184</w:t>
            </w:r>
          </w:p>
        </w:tc>
        <w:tc>
          <w:tcPr>
            <w:tcW w:w="1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60,458</w:t>
            </w:r>
          </w:p>
        </w:tc>
      </w:tr>
      <w:tr>
        <w:trPr>
          <w:trHeight w:val="473"/>
        </w:trPr>
        <w:tc>
          <w:tcPr>
            <w:tcW w:w="5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1,812,792</w:t>
            </w:r>
          </w:p>
        </w:tc>
        <w:tc>
          <w:tcPr>
            <w:tcW w:w="10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7"/>
              </w:rPr>
              <w:t>1,528,850</w:t>
            </w:r>
          </w:p>
        </w:tc>
      </w:tr>
      <w:tr>
        <w:trPr>
          <w:trHeight w:val="601"/>
        </w:trPr>
        <w:tc>
          <w:tcPr>
            <w:tcW w:w="5340" w:type="dxa"/>
            <w:vAlign w:val="bottom"/>
          </w:tcPr>
          <w:p>
            <w:pPr>
              <w:spacing w:after="0"/>
              <w:rPr>
                <w:sz w:val="24"/>
                <w:szCs w:val="24"/>
                <w:color w:val="auto"/>
              </w:rPr>
            </w:pPr>
          </w:p>
        </w:tc>
        <w:tc>
          <w:tcPr>
            <w:tcW w:w="1760" w:type="dxa"/>
            <w:vAlign w:val="bottom"/>
          </w:tcPr>
          <w:p>
            <w:pPr>
              <w:jc w:val="right"/>
              <w:ind w:right="12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5340" w:type="dxa"/>
            <w:vAlign w:val="bottom"/>
            <w:tcBorders>
              <w:bottom w:val="single" w:sz="8" w:color="808080"/>
            </w:tcBorders>
          </w:tcPr>
          <w:p>
            <w:pPr>
              <w:spacing w:after="0"/>
              <w:rPr>
                <w:sz w:val="10"/>
                <w:szCs w:val="10"/>
                <w:color w:val="auto"/>
              </w:rPr>
            </w:pPr>
          </w:p>
        </w:tc>
        <w:tc>
          <w:tcPr>
            <w:tcW w:w="17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ICON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2014. The Consolidated Financial Statements have been prepared in accordance with accounting principles generally accepted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contract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Global CRO partner of choice in drug development by delivering best in class information, solutions and performance in clinical and outcomes research.</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September 30, 2015, we employed approximately 11,700 employees, in 77 locations in 37 countries. During the nine months ended September 30, 2015 we derived approximately 40.6%, 49.0% and 10.4% of our net revenue in the United States, Europe and Rest of World, respectively.</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 consists primarily of fees earned under contracts with third-party clients. In most cases, a portion of the contract fee is paid at the time the study or trial is started, with the balance of the contract fee generally payable in installments over the study or trial duration, based on the achievement of certain performance targets or "milestones". Revenue from contracts is recognized on a proportional performance method based on the relationship between time incurred and the total estimated duration of the trial or on a fee-for-service basis according to the particular circumstances of the contract. As is customary in the CRO industry, we contract with third party investigators in connection with clinical trials. All investigator fees and certain other costs, where reimbursed by clients, are, in accordance with industry practice, deducted from gross revenue to arrive at net revenue. As these costs vary from contract to contract, we view net revenue as our primary measure of revenue growth.</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nature of our business involves the management of projects having a typical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such clients from year to year.</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backlog consists of potential net revenue yet to be earned from projects awarded by clients. At September 30, 2015 we had a backlog of approximately $3.8 billion, compared with approximately $3.6 billion at December 31, 2014. We believe that our backlog as of any date is not necessarily a meaningful predictor of future results, due to the potential for cancellation or delay of the projects underlying the backlog, and no assurances can be given on the extent to which we will be able to realize this backlog as net revenue.</w:t>
      </w:r>
    </w:p>
    <w:p>
      <w:pPr>
        <w:spacing w:after="0" w:line="21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jc w:val="both"/>
        <w:spacing w:after="0" w:line="270" w:lineRule="auto"/>
        <w:rPr>
          <w:sz w:val="20"/>
          <w:szCs w:val="20"/>
          <w:color w:val="auto"/>
        </w:rPr>
      </w:pPr>
      <w:r>
        <w:rPr>
          <w:rFonts w:ascii="Arial" w:cs="Arial" w:eastAsia="Arial" w:hAnsi="Arial"/>
          <w:sz w:val="17"/>
          <w:szCs w:val="17"/>
          <w:color w:val="auto"/>
        </w:rPr>
        <w:t>In addition to translation exposures, we are also subject to transaction exposures because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 and usually negotiate currency fluctuation clauses in our contracts which allow for price negotiation if changes in the relative value of those currencies exceed predetermined tolerances.</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compared with Three Months Ended September 30, 2014</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9"/>
          </w:tcPr>
          <w:p>
            <w:pPr>
              <w:jc w:val="right"/>
              <w:ind w:right="500"/>
              <w:spacing w:after="0"/>
              <w:rPr>
                <w:sz w:val="20"/>
                <w:szCs w:val="20"/>
                <w:color w:val="auto"/>
              </w:rPr>
            </w:pPr>
            <w:r>
              <w:rPr>
                <w:rFonts w:ascii="Arial" w:cs="Arial" w:eastAsia="Arial" w:hAnsi="Arial"/>
                <w:sz w:val="18"/>
                <w:szCs w:val="18"/>
                <w:b w:val="1"/>
                <w:bCs w:val="1"/>
                <w:color w:val="auto"/>
                <w:w w:val="90"/>
              </w:rPr>
              <w:t>Three Months Ended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340" w:type="dxa"/>
            <w:vAlign w:val="bottom"/>
            <w:gridSpan w:val="5"/>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260" w:type="dxa"/>
            <w:vAlign w:val="bottom"/>
          </w:tcPr>
          <w:p>
            <w:pPr>
              <w:spacing w:after="0"/>
              <w:rPr>
                <w:sz w:val="17"/>
                <w:szCs w:val="17"/>
                <w:color w:val="auto"/>
              </w:rPr>
            </w:pPr>
          </w:p>
        </w:tc>
        <w:tc>
          <w:tcPr>
            <w:tcW w:w="1200" w:type="dxa"/>
            <w:vAlign w:val="bottom"/>
            <w:gridSpan w:val="5"/>
          </w:tcPr>
          <w:p>
            <w:pPr>
              <w:jc w:val="right"/>
              <w:ind w:right="260"/>
              <w:spacing w:after="0" w:line="196" w:lineRule="exact"/>
              <w:rPr>
                <w:sz w:val="20"/>
                <w:szCs w:val="20"/>
                <w:color w:val="auto"/>
              </w:rPr>
            </w:pPr>
            <w:r>
              <w:rPr>
                <w:rFonts w:ascii="Arial" w:cs="Arial" w:eastAsia="Arial" w:hAnsi="Arial"/>
                <w:sz w:val="18"/>
                <w:szCs w:val="18"/>
                <w:b w:val="1"/>
                <w:bCs w:val="1"/>
                <w:color w:val="auto"/>
                <w:w w:val="98"/>
              </w:rPr>
              <w:t>September</w:t>
            </w:r>
          </w:p>
        </w:tc>
        <w:tc>
          <w:tcPr>
            <w:tcW w:w="96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3580" w:type="dxa"/>
            <w:vAlign w:val="bottom"/>
            <w:gridSpan w:val="6"/>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17"/>
                <w:szCs w:val="17"/>
                <w:color w:val="auto"/>
              </w:rPr>
            </w:pPr>
          </w:p>
        </w:tc>
        <w:tc>
          <w:tcPr>
            <w:tcW w:w="9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rPr>
              <w:t>30, 2014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w w:val="96"/>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5040" w:type="dxa"/>
            <w:vAlign w:val="bottom"/>
            <w:gridSpan w:val="12"/>
            <w:vMerge w:val="restart"/>
          </w:tcPr>
          <w:p>
            <w:pPr>
              <w:jc w:val="right"/>
              <w:ind w:right="280"/>
              <w:spacing w:after="0"/>
              <w:rPr>
                <w:sz w:val="20"/>
                <w:szCs w:val="20"/>
                <w:color w:val="auto"/>
              </w:rPr>
            </w:pPr>
            <w:r>
              <w:rPr>
                <w:rFonts w:ascii="Arial" w:cs="Arial" w:eastAsia="Arial" w:hAnsi="Arial"/>
                <w:sz w:val="18"/>
                <w:szCs w:val="18"/>
                <w:b w:val="1"/>
                <w:bCs w:val="1"/>
                <w:color w:val="auto"/>
              </w:rPr>
              <w:t>Percentage of Net Revenue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5040" w:type="dxa"/>
            <w:vAlign w:val="bottom"/>
            <w:gridSpan w:val="1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740" w:type="dxa"/>
            <w:vAlign w:val="bottom"/>
          </w:tcPr>
          <w:p>
            <w:pPr>
              <w:spacing w:after="0"/>
              <w:rPr>
                <w:sz w:val="7"/>
                <w:szCs w:val="7"/>
                <w:color w:val="auto"/>
              </w:rPr>
            </w:pPr>
          </w:p>
        </w:tc>
        <w:tc>
          <w:tcPr>
            <w:tcW w:w="5040" w:type="dxa"/>
            <w:vAlign w:val="bottom"/>
            <w:gridSpan w:val="12"/>
            <w:vMerge w:val="continue"/>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5"/>
            <w:vMerge w:val="restart"/>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3740" w:type="dxa"/>
            <w:vAlign w:val="bottom"/>
          </w:tcPr>
          <w:p>
            <w:pPr>
              <w:spacing w:after="0"/>
              <w:rPr>
                <w:sz w:val="7"/>
                <w:szCs w:val="7"/>
                <w:color w:val="auto"/>
              </w:rPr>
            </w:pPr>
          </w:p>
        </w:tc>
        <w:tc>
          <w:tcPr>
            <w:tcW w:w="270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3840" w:type="dxa"/>
            <w:vAlign w:val="bottom"/>
            <w:tcBorders>
              <w:bottom w:val="single" w:sz="8" w:color="auto"/>
            </w:tcBorders>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18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92"/>
        </w:trPr>
        <w:tc>
          <w:tcPr>
            <w:tcW w:w="520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2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w:t>
            </w:r>
          </w:p>
        </w:tc>
        <w:tc>
          <w:tcPr>
            <w:tcW w:w="384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57.4%</w:t>
            </w: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3840" w:type="dxa"/>
            <w:vAlign w:val="bottom"/>
            <w:gridSpan w:val="7"/>
          </w:tcPr>
          <w:p>
            <w:pPr>
              <w:jc w:val="right"/>
              <w:ind w:right="120"/>
              <w:spacing w:after="0"/>
              <w:rPr>
                <w:sz w:val="20"/>
                <w:szCs w:val="20"/>
                <w:color w:val="auto"/>
              </w:rPr>
            </w:pPr>
            <w:r>
              <w:rPr>
                <w:rFonts w:ascii="Arial" w:cs="Arial" w:eastAsia="Arial" w:hAnsi="Arial"/>
                <w:sz w:val="18"/>
                <w:szCs w:val="18"/>
                <w:color w:val="auto"/>
              </w:rPr>
              <w:t>20.9%</w:t>
            </w:r>
          </w:p>
        </w:tc>
        <w:tc>
          <w:tcPr>
            <w:tcW w:w="1200" w:type="dxa"/>
            <w:vAlign w:val="bottom"/>
            <w:gridSpan w:val="5"/>
          </w:tcPr>
          <w:p>
            <w:pPr>
              <w:jc w:val="right"/>
              <w:ind w:right="100"/>
              <w:spacing w:after="0"/>
              <w:rPr>
                <w:sz w:val="20"/>
                <w:szCs w:val="20"/>
                <w:color w:val="auto"/>
              </w:rPr>
            </w:pPr>
            <w:r>
              <w:rPr>
                <w:rFonts w:ascii="Arial" w:cs="Arial" w:eastAsia="Arial" w:hAnsi="Arial"/>
                <w:sz w:val="18"/>
                <w:szCs w:val="18"/>
                <w:color w:val="auto"/>
              </w:rPr>
              <w:t>21.8%</w:t>
            </w:r>
          </w:p>
        </w:tc>
        <w:tc>
          <w:tcPr>
            <w:tcW w:w="1180" w:type="dxa"/>
            <w:vAlign w:val="bottom"/>
            <w:gridSpan w:val="6"/>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3840" w:type="dxa"/>
            <w:vAlign w:val="bottom"/>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2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Amortization</w:t>
            </w:r>
          </w:p>
        </w:tc>
        <w:tc>
          <w:tcPr>
            <w:tcW w:w="38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color w:val="auto"/>
              </w:rPr>
              <w:t>1.0%</w:t>
            </w:r>
          </w:p>
        </w:tc>
        <w:tc>
          <w:tcPr>
            <w:tcW w:w="12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8"/>
                <w:szCs w:val="18"/>
                <w:color w:val="auto"/>
              </w:rPr>
              <w:t>0.8%</w:t>
            </w:r>
          </w:p>
        </w:tc>
        <w:tc>
          <w:tcPr>
            <w:tcW w:w="11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51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840" w:type="dxa"/>
            <w:vAlign w:val="bottom"/>
            <w:tcBorders>
              <w:bottom w:val="single" w:sz="8" w:color="auto"/>
            </w:tcBorders>
            <w:gridSpan w:val="7"/>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c>
          <w:tcPr>
            <w:tcW w:w="1200" w:type="dxa"/>
            <w:vAlign w:val="bottom"/>
            <w:tcBorders>
              <w:bottom w:val="single" w:sz="8" w:color="auto"/>
            </w:tcBorders>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118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Net revenue for the period increased by $7.2 million, or 1.8%, from $387.6 million for the three months ended September 30, 2014 to $394.7 million for the three months ended September 30, 2015. A primary driver of the increase in net revenues during the three months ended September 30, 2015 was net revenues from the acquisition of MediMedia Pharma solutions which was acquired on February 27, 2015. In addition, during the three months ended September 30, 2015 $192.6 million or 48.8% of our net revenues were derived from our top 5 customers compared to $212 million or 54.7% of net revenues derived from our top 5 customers during the three months ended September 30, 2014. The increased use of strategic partnerships arrangements in recent years has resulted in a greater value of our net revenues being derived from our top five customers, although the addition of new customer accounts over recent quarters has resulted in a reduction in this concentration. For the three months ended September 30, 2015 we derived approximately 40.9%, 48.6% and 10.5% of our net revenue in the United States, Europe and Rest of World, respectively.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jc w:val="both"/>
        <w:spacing w:after="0" w:line="290" w:lineRule="auto"/>
        <w:rPr>
          <w:sz w:val="20"/>
          <w:szCs w:val="20"/>
          <w:color w:val="auto"/>
        </w:rPr>
      </w:pPr>
      <w:r>
        <w:rPr>
          <w:rFonts w:ascii="Arial" w:cs="Arial" w:eastAsia="Arial" w:hAnsi="Arial"/>
          <w:sz w:val="16"/>
          <w:szCs w:val="16"/>
          <w:color w:val="auto"/>
        </w:rPr>
        <w:t>Net revenue in Ireland increased from $99.6 million for the three months ended September 20, 2014 to $113.1 million for the three months ended September 30, 2015. Net revenue in Ireland is principally a function of the Company’s global transfer pricing model (</w:t>
      </w:r>
      <w:r>
        <w:rPr>
          <w:rFonts w:ascii="Arial" w:cs="Arial" w:eastAsia="Arial" w:hAnsi="Arial"/>
          <w:sz w:val="16"/>
          <w:szCs w:val="16"/>
          <w:i w:val="1"/>
          <w:iCs w:val="1"/>
          <w:color w:val="auto"/>
        </w:rPr>
        <w:t>see note 8 Business Segmental Information for</w:t>
      </w:r>
      <w:r>
        <w:rPr>
          <w:rFonts w:ascii="Arial" w:cs="Arial" w:eastAsia="Arial" w:hAnsi="Arial"/>
          <w:sz w:val="16"/>
          <w:szCs w:val="16"/>
          <w:color w:val="auto"/>
        </w:rPr>
        <w:t xml:space="preserve"> </w:t>
      </w:r>
      <w:r>
        <w:rPr>
          <w:rFonts w:ascii="Arial" w:cs="Arial" w:eastAsia="Arial" w:hAnsi="Arial"/>
          <w:sz w:val="16"/>
          <w:szCs w:val="16"/>
          <w:i w:val="1"/>
          <w:iCs w:val="1"/>
          <w:color w:val="auto"/>
        </w:rPr>
        <w:t>further details</w:t>
      </w:r>
      <w:r>
        <w:rPr>
          <w:rFonts w:ascii="Arial" w:cs="Arial" w:eastAsia="Arial" w:hAnsi="Arial"/>
          <w:sz w:val="16"/>
          <w:szCs w:val="16"/>
          <w:color w:val="auto"/>
        </w:rPr>
        <w:t>). Net revenue in our Rest of Europe region decreased from $91.3 million for the three months ended September 30, 2014 to $79.1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September 30, 2015, while net revenue in our Other region decreased from $44.5 million for the three months ended September 30, 2014 to $41.5 million for the three months ended September 30, 2015. Net revenues in both of these regions were impacted by the continued strengthening of the U.S. dollar during the period which saw a decrease in their reported value when translated to U.S. dollars. Net revenue in the U.S. region increased from $152.1 million for the three months ended September 30, 2014 to $161.1 million for the three months ended September 30, 2015. The increase in net revenue in this region arose primarily from net revenue from MediMedia Pharma Solutions which was acquired on February 27, 2015.</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Direct costs for the period decreased by $3.4 million, or 1.5%, from $230.0 million for the three months ended September 30, 2014 to $226.6 million for the three months ended September 30, 2015. Direct costs consist primarily of compensation, associated fringe benefits and share based compensation expense for project-related employees and other direct project driven costs. The decrease in direct costs during the period was driven primarily from the continued strengthening of the U.S. dollar versus exchange rates such as the Euro, amongst others, which has seen a decrease in the reported value of direct costs for operations outside of the United States when translated to U.S. dollars. This decrease was offset by an increase in direct headcount of approximately 500 heads over the comparative quarter and additional costs from the acquisition of MediMedia Pharma Services. As a percentage of net revenue, direct costs have decreased from 59.3% for the three months ended September 30, 2014 to 57.4% for the three months ended September 30, 2015.</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Selling, general and administrative expenses for the period decreased by $2.0 million, or 2.4%, from $84.5 million for the three months ended September 30, 2014 to $82.4 million for the three months ended September 30, 2015.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 primary driver of the decrease in selling, general and administrative expenses during the period has been the continued strengthening of the U.S. dollar versus exchange rates such as the Euro, amongst others. This strengthening has seen a reduction in the reported value of selling, general and administrative expenses during the period for regions outside of the United States. This reduction was offset by increased costs from the acquisition of MediMedia Pharma Solutions. As a percentage of net revenue, selling, general and administrative expenses, decreased from 21.8% for the three months ended September 30, 2014 to 20.9% for the three months ended September 30, 2015.</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Depreciation expense for the period decreased by $0.4 million, or 3.7%, from $10.8 million for the three months ended September 30, 2014 to $10.4 million for three months ended September 30, 2015. Depreciation expense arises principally arises from an investment in facilities, information systems and equipment to support the Company’s growth. As a percentage of net revenue, depreciation expense decreased from 2.8% of net revenues for the three months ended September 30, 2014 to 2.6% of net revenues for the three months ended September 30, 2015. Amortization expense for the period increased by $1.0 million, or 34.4%, from $3.0 million for the three months ended September 30, 2014 to $4.0 million for the three months ended September 30, 2015. Amortization expense represents the amortization of intangible assets acquired on business combinations. The increase in amortization expense during the period arises predominately from amortization expense associated with the Company’s estimate of intangible assets arising on the acquisition of MediMedia Pharma Solutions. As a percentage of net revenue, amortization expense increased from 0.8% of net revenues for the three months ended September 30, 2014 to 1.0% for the three months ended September 30, 2015.</w:t>
      </w:r>
    </w:p>
    <w:p>
      <w:pPr>
        <w:spacing w:after="0" w:line="20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the above, income from operations for the three months increased by $12.0 million, or 20.1%, from $59.4 million for the three months ended September 30, 2014 to $71.4 million for the three months ended September 30, 2015. As a percentage of net revenue, income from operations increased from 15.3% of net revenues for the three months ended September 30, 2014 to 18.1% of net revenues for the three months ended September 30, 2015.</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Income from operations in Ireland increased from $44.0 million for the three months ended September 30, 2014 to $56.5million for the three months ended September 30, 2015. Income from operations in Ireland is impacted by the Group’s global transfer pricing model </w:t>
      </w:r>
      <w:r>
        <w:rPr>
          <w:rFonts w:ascii="Arial" w:cs="Arial" w:eastAsia="Arial" w:hAnsi="Arial"/>
          <w:sz w:val="17"/>
          <w:szCs w:val="17"/>
          <w:i w:val="1"/>
          <w:iCs w:val="1"/>
          <w:color w:val="auto"/>
        </w:rPr>
        <w:t>(see note 8 Business Segmental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further details). </w:t>
      </w:r>
      <w:r>
        <w:rPr>
          <w:rFonts w:ascii="Arial" w:cs="Arial" w:eastAsia="Arial" w:hAnsi="Arial"/>
          <w:sz w:val="17"/>
          <w:szCs w:val="17"/>
          <w:color w:val="auto"/>
        </w:rPr>
        <w:t>Income from operations in our Rest of Europe region increased from $1.1 million for the three months ended September 30, 2014 to $3.9</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September 30, 2015, while income from operations in our Other region decreased marginally from $3.4 million for three months ended September 30, 2014 to $2.8 million for the three months ended September 30, 2015. Income from operations in both of these regions was impacted by the continued strengthening of the U.S. dollar during the period which saw a decrease in the reported value of both revenues and costs when translated to U.S. dollars. Income from operations in the U.S. region decreased from $10.9 million for the three months ended September 30, 2014 to $8.1 million for the three months ended September 30, 2015.</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Interest expense for the period increased by $1.0 million, from $0.2 million for the three months ended September 30, 2014 to $1.2 million for the three months ended September 30, 2015. The increase in interest expense during the period arose from the drawdown of the Company’s $350 million credit facility during the period to fund the Company’s share repurchase programme. Interest income increased by $0.27 million or 98.9%, from $0.26 million for the three months ended September 30, 2014 to $0.53 million for the three months ended September 30, 2015.</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three months ended September 30, 2015 was $9.2 million compared with $9.2 million for the three months ended September 30, 2014. The Company’s effective tax rate was 13.0% for the three months ended September 30, 2015 compared with 15.5% for the three months ended September 30, 2014. The Company’s effective tax rate is principally a function of the distribution of pre-tax profits amongst the territories in which it operates.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compared with Nine Months Ended September 30, 2014</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periods indicated certain financial data as a percentage of net revenue and the percentage change in these items compared to the prior comparable period. The trends illustrated in the following table may not be indicative of future results.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1"/>
              </w:rPr>
              <w:t>Nine Months Ended</w:t>
            </w:r>
          </w:p>
        </w:tc>
        <w:tc>
          <w:tcPr>
            <w:tcW w:w="52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4"/>
          </w:tcPr>
          <w:p>
            <w:pPr>
              <w:jc w:val="right"/>
              <w:spacing w:after="0" w:line="196" w:lineRule="exact"/>
              <w:rPr>
                <w:sz w:val="20"/>
                <w:szCs w:val="20"/>
                <w:color w:val="auto"/>
              </w:rPr>
            </w:pPr>
            <w:r>
              <w:rPr>
                <w:rFonts w:ascii="Arial" w:cs="Arial" w:eastAsia="Arial" w:hAnsi="Arial"/>
                <w:sz w:val="18"/>
                <w:szCs w:val="18"/>
                <w:b w:val="1"/>
                <w:bCs w:val="1"/>
                <w:color w:val="auto"/>
                <w:w w:val="88"/>
              </w:rPr>
              <w:t>September</w:t>
            </w:r>
          </w:p>
        </w:tc>
        <w:tc>
          <w:tcPr>
            <w:tcW w:w="380" w:type="dxa"/>
            <w:vAlign w:val="bottom"/>
          </w:tcPr>
          <w:p>
            <w:pPr>
              <w:spacing w:after="0"/>
              <w:rPr>
                <w:sz w:val="17"/>
                <w:szCs w:val="17"/>
                <w:color w:val="auto"/>
              </w:rPr>
            </w:pPr>
          </w:p>
        </w:tc>
        <w:tc>
          <w:tcPr>
            <w:tcW w:w="1060" w:type="dxa"/>
            <w:vAlign w:val="bottom"/>
            <w:gridSpan w:val="5"/>
          </w:tcPr>
          <w:p>
            <w:pPr>
              <w:jc w:val="right"/>
              <w:ind w:right="240"/>
              <w:spacing w:after="0" w:line="196" w:lineRule="exact"/>
              <w:rPr>
                <w:sz w:val="20"/>
                <w:szCs w:val="20"/>
                <w:color w:val="auto"/>
              </w:rPr>
            </w:pPr>
            <w:r>
              <w:rPr>
                <w:rFonts w:ascii="Arial" w:cs="Arial" w:eastAsia="Arial" w:hAnsi="Arial"/>
                <w:sz w:val="18"/>
                <w:szCs w:val="18"/>
                <w:b w:val="1"/>
                <w:bCs w:val="1"/>
                <w:color w:val="auto"/>
                <w:w w:val="85"/>
              </w:rPr>
              <w:t>September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2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w w:val="87"/>
              </w:rPr>
              <w:t>30,</w:t>
            </w:r>
          </w:p>
        </w:tc>
        <w:tc>
          <w:tcPr>
            <w:tcW w:w="380" w:type="dxa"/>
            <w:vAlign w:val="bottom"/>
          </w:tcPr>
          <w:p>
            <w:pPr>
              <w:spacing w:after="0"/>
              <w:rPr>
                <w:sz w:val="17"/>
                <w:szCs w:val="17"/>
                <w:color w:val="auto"/>
              </w:rPr>
            </w:pPr>
          </w:p>
        </w:tc>
        <w:tc>
          <w:tcPr>
            <w:tcW w:w="600" w:type="dxa"/>
            <w:vAlign w:val="bottom"/>
            <w:gridSpan w:val="3"/>
          </w:tcPr>
          <w:p>
            <w:pPr>
              <w:spacing w:after="0"/>
              <w:rPr>
                <w:sz w:val="17"/>
                <w:szCs w:val="17"/>
                <w:color w:val="auto"/>
              </w:rPr>
            </w:pPr>
          </w:p>
        </w:tc>
        <w:tc>
          <w:tcPr>
            <w:tcW w:w="460" w:type="dxa"/>
            <w:vAlign w:val="bottom"/>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w w:val="79"/>
              </w:rPr>
              <w:t>30,</w:t>
            </w:r>
          </w:p>
        </w:tc>
        <w:tc>
          <w:tcPr>
            <w:tcW w:w="94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880" w:type="dxa"/>
            <w:vAlign w:val="bottom"/>
            <w:gridSpan w:val="5"/>
          </w:tcPr>
          <w:p>
            <w:pPr>
              <w:jc w:val="right"/>
              <w:spacing w:after="0" w:line="196" w:lineRule="exact"/>
              <w:rPr>
                <w:sz w:val="20"/>
                <w:szCs w:val="20"/>
                <w:color w:val="auto"/>
              </w:rPr>
            </w:pPr>
            <w:r>
              <w:rPr>
                <w:rFonts w:ascii="Arial" w:cs="Arial" w:eastAsia="Arial" w:hAnsi="Arial"/>
                <w:sz w:val="18"/>
                <w:szCs w:val="18"/>
                <w:b w:val="1"/>
                <w:bCs w:val="1"/>
                <w:color w:val="auto"/>
              </w:rPr>
              <w:t>2015</w:t>
            </w:r>
          </w:p>
        </w:tc>
        <w:tc>
          <w:tcPr>
            <w:tcW w:w="380" w:type="dxa"/>
            <w:vAlign w:val="bottom"/>
          </w:tcPr>
          <w:p>
            <w:pPr>
              <w:spacing w:after="0"/>
              <w:rPr>
                <w:sz w:val="17"/>
                <w:szCs w:val="17"/>
                <w:color w:val="auto"/>
              </w:rPr>
            </w:pPr>
          </w:p>
        </w:tc>
        <w:tc>
          <w:tcPr>
            <w:tcW w:w="1060" w:type="dxa"/>
            <w:vAlign w:val="bottom"/>
            <w:gridSpan w:val="5"/>
          </w:tcPr>
          <w:p>
            <w:pPr>
              <w:jc w:val="right"/>
              <w:ind w:right="240"/>
              <w:spacing w:after="0" w:line="196" w:lineRule="exact"/>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3"/>
          </w:tcPr>
          <w:p>
            <w:pPr>
              <w:jc w:val="right"/>
              <w:ind w:right="220"/>
              <w:spacing w:after="0" w:line="196" w:lineRule="exact"/>
              <w:rPr>
                <w:sz w:val="20"/>
                <w:szCs w:val="20"/>
                <w:color w:val="auto"/>
              </w:rPr>
            </w:pPr>
            <w:r>
              <w:rPr>
                <w:rFonts w:ascii="Arial" w:cs="Arial" w:eastAsia="Arial" w:hAnsi="Arial"/>
                <w:sz w:val="18"/>
                <w:szCs w:val="18"/>
                <w:b w:val="1"/>
                <w:bCs w:val="1"/>
                <w:color w:val="auto"/>
                <w:w w:val="86"/>
              </w:rPr>
              <w:t>to 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6"/>
          </w:tcPr>
          <w:p>
            <w:pPr>
              <w:jc w:val="right"/>
              <w:ind w:right="220"/>
              <w:spacing w:after="0" w:line="196" w:lineRule="exact"/>
              <w:rPr>
                <w:sz w:val="20"/>
                <w:szCs w:val="20"/>
                <w:color w:val="auto"/>
              </w:rPr>
            </w:pPr>
            <w:r>
              <w:rPr>
                <w:rFonts w:ascii="Arial" w:cs="Arial" w:eastAsia="Arial" w:hAnsi="Arial"/>
                <w:sz w:val="18"/>
                <w:szCs w:val="18"/>
                <w:b w:val="1"/>
                <w:bCs w:val="1"/>
                <w:color w:val="auto"/>
                <w:w w:val="94"/>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320" w:type="dxa"/>
            <w:vAlign w:val="bottom"/>
            <w:gridSpan w:val="11"/>
            <w:vMerge w:val="restart"/>
          </w:tcPr>
          <w:p>
            <w:pPr>
              <w:jc w:val="center"/>
              <w:ind w:right="260"/>
              <w:spacing w:after="0"/>
              <w:rPr>
                <w:sz w:val="20"/>
                <w:szCs w:val="20"/>
                <w:color w:val="auto"/>
              </w:rPr>
            </w:pPr>
            <w:r>
              <w:rPr>
                <w:rFonts w:ascii="Arial" w:cs="Arial" w:eastAsia="Arial" w:hAnsi="Arial"/>
                <w:sz w:val="18"/>
                <w:szCs w:val="18"/>
                <w:b w:val="1"/>
                <w:bCs w:val="1"/>
                <w:color w:val="auto"/>
                <w:w w:val="88"/>
              </w:rPr>
              <w:t>Percentage of Net 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4"/>
          </w:tcPr>
          <w:p>
            <w:pPr>
              <w:jc w:val="right"/>
              <w:ind w:right="220"/>
              <w:spacing w:after="0" w:line="196" w:lineRule="exact"/>
              <w:rPr>
                <w:sz w:val="20"/>
                <w:szCs w:val="20"/>
                <w:color w:val="auto"/>
              </w:rPr>
            </w:pPr>
            <w:r>
              <w:rPr>
                <w:rFonts w:ascii="Arial" w:cs="Arial" w:eastAsia="Arial" w:hAnsi="Arial"/>
                <w:sz w:val="18"/>
                <w:szCs w:val="18"/>
                <w:b w:val="1"/>
                <w:bCs w:val="1"/>
                <w:color w:val="auto"/>
                <w:w w:val="87"/>
              </w:rPr>
              <w:t>Increase/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320" w:type="dxa"/>
            <w:vAlign w:val="bottom"/>
            <w:gridSpan w:val="11"/>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480" w:type="dxa"/>
            <w:vAlign w:val="bottom"/>
          </w:tcPr>
          <w:p>
            <w:pPr>
              <w:spacing w:after="0"/>
              <w:rPr>
                <w:sz w:val="7"/>
                <w:szCs w:val="7"/>
                <w:color w:val="auto"/>
              </w:rPr>
            </w:pPr>
          </w:p>
        </w:tc>
        <w:tc>
          <w:tcPr>
            <w:tcW w:w="2320" w:type="dxa"/>
            <w:vAlign w:val="bottom"/>
            <w:gridSpan w:val="11"/>
            <w:vMerge w:val="continue"/>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5"/>
            <w:vMerge w:val="restart"/>
          </w:tcPr>
          <w:p>
            <w:pPr>
              <w:jc w:val="right"/>
              <w:ind w:right="220"/>
              <w:spacing w:after="0" w:line="196" w:lineRule="exact"/>
              <w:rPr>
                <w:sz w:val="20"/>
                <w:szCs w:val="20"/>
                <w:color w:val="auto"/>
              </w:rPr>
            </w:pPr>
            <w:r>
              <w:rPr>
                <w:rFonts w:ascii="Arial" w:cs="Arial" w:eastAsia="Arial" w:hAnsi="Arial"/>
                <w:sz w:val="18"/>
                <w:szCs w:val="18"/>
                <w:b w:val="1"/>
                <w:bCs w:val="1"/>
                <w:color w:val="auto"/>
                <w:w w:val="84"/>
              </w:rPr>
              <w:t>(Decrease)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440" w:type="dxa"/>
            <w:vAlign w:val="bottom"/>
          </w:tcPr>
          <w:p>
            <w:pPr>
              <w:spacing w:after="0"/>
              <w:rPr>
                <w:sz w:val="7"/>
                <w:szCs w:val="7"/>
                <w:color w:val="auto"/>
              </w:rPr>
            </w:pPr>
          </w:p>
        </w:tc>
        <w:tc>
          <w:tcPr>
            <w:tcW w:w="6480" w:type="dxa"/>
            <w:vAlign w:val="bottom"/>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4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2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4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1260" w:type="dxa"/>
            <w:vAlign w:val="bottom"/>
            <w:tcBorders>
              <w:bottom w:val="single" w:sz="8" w:color="auto"/>
            </w:tcBorders>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06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16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92"/>
        </w:trPr>
        <w:tc>
          <w:tcPr>
            <w:tcW w:w="7940" w:type="dxa"/>
            <w:vAlign w:val="bottom"/>
            <w:gridSpan w:val="3"/>
          </w:tcPr>
          <w:p>
            <w:pPr>
              <w:spacing w:after="0"/>
              <w:rPr>
                <w:sz w:val="20"/>
                <w:szCs w:val="20"/>
                <w:color w:val="auto"/>
              </w:rPr>
            </w:pPr>
            <w:r>
              <w:rPr>
                <w:rFonts w:ascii="Arial" w:cs="Arial" w:eastAsia="Arial" w:hAnsi="Arial"/>
                <w:sz w:val="18"/>
                <w:szCs w:val="18"/>
                <w:color w:val="auto"/>
              </w:rPr>
              <w:t>Costs and expenses: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costs</w:t>
            </w:r>
          </w:p>
        </w:tc>
        <w:tc>
          <w:tcPr>
            <w:tcW w:w="126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58.0%</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60.5%</w:t>
            </w:r>
          </w:p>
        </w:tc>
        <w:tc>
          <w:tcPr>
            <w:tcW w:w="116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gridSpan w:val="6"/>
          </w:tcPr>
          <w:p>
            <w:pPr>
              <w:jc w:val="right"/>
              <w:ind w:right="240"/>
              <w:spacing w:after="0"/>
              <w:rPr>
                <w:sz w:val="20"/>
                <w:szCs w:val="20"/>
                <w:color w:val="auto"/>
              </w:rPr>
            </w:pPr>
            <w:r>
              <w:rPr>
                <w:rFonts w:ascii="Arial" w:cs="Arial" w:eastAsia="Arial" w:hAnsi="Arial"/>
                <w:sz w:val="18"/>
                <w:szCs w:val="18"/>
                <w:color w:val="auto"/>
              </w:rPr>
              <w:t>20.8%</w:t>
            </w:r>
          </w:p>
        </w:tc>
        <w:tc>
          <w:tcPr>
            <w:tcW w:w="1060" w:type="dxa"/>
            <w:vAlign w:val="bottom"/>
            <w:gridSpan w:val="5"/>
          </w:tcPr>
          <w:p>
            <w:pPr>
              <w:jc w:val="right"/>
              <w:ind w:right="80"/>
              <w:spacing w:after="0"/>
              <w:rPr>
                <w:sz w:val="20"/>
                <w:szCs w:val="20"/>
                <w:color w:val="auto"/>
              </w:rPr>
            </w:pPr>
            <w:r>
              <w:rPr>
                <w:rFonts w:ascii="Arial" w:cs="Arial" w:eastAsia="Arial" w:hAnsi="Arial"/>
                <w:sz w:val="18"/>
                <w:szCs w:val="18"/>
                <w:color w:val="auto"/>
              </w:rPr>
              <w:t>22.5%</w:t>
            </w:r>
          </w:p>
        </w:tc>
        <w:tc>
          <w:tcPr>
            <w:tcW w:w="1160" w:type="dxa"/>
            <w:vAlign w:val="bottom"/>
            <w:gridSpan w:val="6"/>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60" w:type="dxa"/>
            <w:vAlign w:val="bottom"/>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06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Amortization</w:t>
            </w:r>
          </w:p>
        </w:tc>
        <w:tc>
          <w:tcPr>
            <w:tcW w:w="1260" w:type="dxa"/>
            <w:vAlign w:val="bottom"/>
            <w:tcBorders>
              <w:bottom w:val="single" w:sz="8" w:color="auto"/>
            </w:tcBorders>
            <w:gridSpan w:val="6"/>
          </w:tcPr>
          <w:p>
            <w:pPr>
              <w:jc w:val="right"/>
              <w:ind w:right="240"/>
              <w:spacing w:after="0" w:line="202" w:lineRule="exact"/>
              <w:rPr>
                <w:sz w:val="20"/>
                <w:szCs w:val="20"/>
                <w:color w:val="auto"/>
              </w:rPr>
            </w:pPr>
            <w:r>
              <w:rPr>
                <w:rFonts w:ascii="Arial" w:cs="Arial" w:eastAsia="Arial" w:hAnsi="Arial"/>
                <w:sz w:val="18"/>
                <w:szCs w:val="18"/>
                <w:color w:val="auto"/>
              </w:rPr>
              <w:t>1.1%</w:t>
            </w:r>
          </w:p>
        </w:tc>
        <w:tc>
          <w:tcPr>
            <w:tcW w:w="600" w:type="dxa"/>
            <w:vAlign w:val="bottom"/>
            <w:tcBorders>
              <w:bottom w:val="single" w:sz="8" w:color="auto"/>
              <w:right w:val="single" w:sz="8" w:color="CCEEFF"/>
            </w:tcBorders>
            <w:gridSpan w:val="3"/>
          </w:tcPr>
          <w:p>
            <w:pPr>
              <w:spacing w:after="0"/>
              <w:rPr>
                <w:sz w:val="19"/>
                <w:szCs w:val="19"/>
                <w:color w:val="auto"/>
              </w:rPr>
            </w:pPr>
          </w:p>
        </w:tc>
        <w:tc>
          <w:tcPr>
            <w:tcW w:w="460" w:type="dxa"/>
            <w:vAlign w:val="bottom"/>
            <w:tcBorders>
              <w:bottom w:val="single" w:sz="8" w:color="auto"/>
            </w:tcBorders>
            <w:gridSpan w:val="2"/>
          </w:tcPr>
          <w:p>
            <w:pPr>
              <w:jc w:val="right"/>
              <w:ind w:right="80"/>
              <w:spacing w:after="0" w:line="202" w:lineRule="exact"/>
              <w:rPr>
                <w:sz w:val="20"/>
                <w:szCs w:val="20"/>
                <w:color w:val="auto"/>
              </w:rPr>
            </w:pPr>
            <w:r>
              <w:rPr>
                <w:rFonts w:ascii="Arial" w:cs="Arial" w:eastAsia="Arial" w:hAnsi="Arial"/>
                <w:sz w:val="18"/>
                <w:szCs w:val="18"/>
                <w:color w:val="auto"/>
                <w:w w:val="87"/>
              </w:rPr>
              <w:t>0.7%</w:t>
            </w:r>
          </w:p>
        </w:tc>
        <w:tc>
          <w:tcPr>
            <w:tcW w:w="1160" w:type="dxa"/>
            <w:vAlign w:val="bottom"/>
            <w:tcBorders>
              <w:bottom w:val="single" w:sz="8" w:color="auto"/>
            </w:tcBorders>
            <w:gridSpan w:val="6"/>
          </w:tcPr>
          <w:p>
            <w:pPr>
              <w:jc w:val="right"/>
              <w:ind w:right="60"/>
              <w:spacing w:after="0" w:line="202" w:lineRule="exact"/>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7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260" w:type="dxa"/>
            <w:vAlign w:val="bottom"/>
            <w:tcBorders>
              <w:bottom w:val="single" w:sz="8" w:color="auto"/>
            </w:tcBorders>
            <w:gridSpan w:val="6"/>
            <w:shd w:val="clear" w:color="auto" w:fill="CCEEFF"/>
          </w:tcPr>
          <w:p>
            <w:pPr>
              <w:jc w:val="right"/>
              <w:ind w:right="240"/>
              <w:spacing w:after="0"/>
              <w:rPr>
                <w:sz w:val="20"/>
                <w:szCs w:val="20"/>
                <w:color w:val="auto"/>
              </w:rPr>
            </w:pPr>
            <w:r>
              <w:rPr>
                <w:rFonts w:ascii="Arial" w:cs="Arial" w:eastAsia="Arial" w:hAnsi="Arial"/>
                <w:sz w:val="18"/>
                <w:szCs w:val="18"/>
                <w:color w:val="auto"/>
              </w:rPr>
              <w:t>17.6%</w:t>
            </w:r>
          </w:p>
        </w:tc>
        <w:tc>
          <w:tcPr>
            <w:tcW w:w="106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13.5%</w:t>
            </w:r>
          </w:p>
        </w:tc>
        <w:tc>
          <w:tcPr>
            <w:tcW w:w="1160" w:type="dxa"/>
            <w:vAlign w:val="bottom"/>
            <w:tcBorders>
              <w:bottom w:val="single" w:sz="8" w:color="auto"/>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revenue for the period increased by $58.4 million, or 5.2%, from $1,113.2 million for the nine months ended September 30, 2014 to $1,171.6 million for the nine months ended September 30, 2015. The primary driver of the increase in net revenues during the nine months ended September 30, 2015 was the inclusion of net revenues from the acquisition of Aptiv Solutions, which was acquired on May 7, 2014, together with net revenues from MediMedia Pharma Solutions which was acquired on February 27, 2015. During the nine months ended September 30, 2015 $591.6 million or 50.5% of our net revenues were derived from our top 5 customers compared to $583 million or 52.4% of net revenues derived from our top 5 customers during the nine months ended September 30, 2014. The increased use of strategic partnerships arrangements in recent years has resulted in a greater portion of our net revenues being derived from our top five customers. The addition of new customer accounts in recent quarters however has seen a reduction in this concentration. For the nine months ended September 30, 2015 we derived approximately 40.6%, 49.0% and 10.4% of our net revenue in the United States, Europe and Rest of World, respectively.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both"/>
        <w:spacing w:after="0" w:line="270" w:lineRule="auto"/>
        <w:rPr>
          <w:sz w:val="20"/>
          <w:szCs w:val="20"/>
          <w:color w:val="auto"/>
        </w:rPr>
      </w:pPr>
      <w:r>
        <w:rPr>
          <w:rFonts w:ascii="Arial" w:cs="Arial" w:eastAsia="Arial" w:hAnsi="Arial"/>
          <w:sz w:val="17"/>
          <w:szCs w:val="17"/>
          <w:color w:val="auto"/>
        </w:rPr>
        <w:t>Net revenue in Ireland increased from $273.7 million for the nine months ended September 30, 2014 to $332.6 million for the nine months ended September 30, 2015. Net revenue in Ireland is principally a function of the Company’s global transfer pricing model (</w:t>
      </w:r>
      <w:r>
        <w:rPr>
          <w:rFonts w:ascii="Arial" w:cs="Arial" w:eastAsia="Arial" w:hAnsi="Arial"/>
          <w:sz w:val="17"/>
          <w:szCs w:val="17"/>
          <w:i w:val="1"/>
          <w:iCs w:val="1"/>
          <w:color w:val="auto"/>
        </w:rPr>
        <w:t>see note 8 Business Segmental Information for</w:t>
      </w:r>
      <w:r>
        <w:rPr>
          <w:rFonts w:ascii="Arial" w:cs="Arial" w:eastAsia="Arial" w:hAnsi="Arial"/>
          <w:sz w:val="17"/>
          <w:szCs w:val="17"/>
          <w:color w:val="auto"/>
        </w:rPr>
        <w:t xml:space="preserve"> </w:t>
      </w:r>
      <w:r>
        <w:rPr>
          <w:rFonts w:ascii="Arial" w:cs="Arial" w:eastAsia="Arial" w:hAnsi="Arial"/>
          <w:sz w:val="17"/>
          <w:szCs w:val="17"/>
          <w:i w:val="1"/>
          <w:iCs w:val="1"/>
          <w:color w:val="auto"/>
        </w:rPr>
        <w:t>further details</w:t>
      </w:r>
      <w:r>
        <w:rPr>
          <w:rFonts w:ascii="Arial" w:cs="Arial" w:eastAsia="Arial" w:hAnsi="Arial"/>
          <w:sz w:val="17"/>
          <w:szCs w:val="17"/>
          <w:color w:val="auto"/>
        </w:rPr>
        <w:t>). Net revenue in our Rest of Europe region decreased from $275.9 million for the nine months ended September 30, 2014 to $241.7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nine months ended September 30, 2015, while net revenue in our Other region decreased marginally from $122.5 million for the nine months ended September 30, 2014 to $121.9 million for the nine months ended September 30, 2015. Net revenues in both of these regions were impacted by the continued strengthening of the U.S. dollar during the period which saw a decrease in their reported value when translated to U.S. dollars. This reduction was offset by a full nine months revenue contribution from Aptiv Solutions which was acquired on May 7, 2014. Net revenue in the U.S. region increased from $441.2 million for the nine months ended September 30, 2014 to $475.5 million for the nine months ended September 30, 2015. The increase in net revenue in this region arose primarily from a full nine months contribution from the acquisition of Aptiv Solutions and the additional net revenue from MediMedia Pharma Solutions which was acquired on February 27, 2015.</w:t>
      </w:r>
    </w:p>
    <w:p>
      <w:pPr>
        <w:spacing w:after="0" w:line="20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Direct costs for the period increased by $6.3 million, or 0.9%, from $673.3 million for the nine months ended September 30, 2014 to $679.6 million for the nine months ended September 30, 2015. Direct costs consist primarily of compensation, associated fringe benefits and share based compensation expense for project-related employees and other direct project driven costs. The increase in direct costs during the period arose primarily from an increase in direct headcount of approximately 500 over the comparative period, additional costs from the acquisition of MediMedia Pharma Services and full quarter’s costs for Aptiv Solutions. In addition, the continued strengthening of the U.S. dollar versus exchange rates such as the Euro, amongst others, has seen a decrease in the reported value of direct costs for operations outside of the United States when translated to U.S. dollars. As a percentage of net revenue, direct costs have decreased from 60.5% for the nine months ended September 30, 2014 to 58.0% for the nine months ended September 30, 2015.</w:t>
      </w:r>
    </w:p>
    <w:p>
      <w:pPr>
        <w:spacing w:after="0" w:line="1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Selling, general and administrative expenses for the period decreased by $7.7 million, or 3.1%, from $251.0 million for the nine months ended September 30, 2014 to $243.3 million for the nine months ended September 30, 2015. Selling, general and administrative expenses comprise primarily of compensation, related fringe benefits and share based compensation expense for non-project-related employees, recruitment expenditure, professional service costs, advertising costs and all costs related to facilities and information systems. A primary driver of the decrease in selling, general and administrative expenses during the period has been the continued strengthening of the U.S. dollar versus exchange rates such as the Euro, amongst others. This strengthening has seen a reduction in the reported value of selling, general and administrative expenses during the period for regions outside of the United States. This reduction was offset by increased costs from the acquisition of MediMedia Pharma Solutions and the inclusion of a full nine months costs for Aptiv Solutions in the current period. As a percentage of net revenue, selling, general and administrative expenses, decreased from 22.5% for the nine months ended September 30, 2014 to 20.8% for the nine months ended September 30, 2015.</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Depreciation expense for the period decreased by $0.8 million, or 2.5%, from $30.8 million for the nine months ended September 30, 2014 to $30.0 million for the nine months ended September 30, 2015. Depreciation expense arises principally arises from an investment in facilities, information systems and equipment to support the Company’s growth. As a percentage of net revenue, depreciation expense decreased from 2.8% of net revenues for the nine months ended September 30, 2014 to 2.6% for the nine months ended September 30, 2015. Amortization expense for the period increased by $5.1million, or 68.6%, from $7.4 million for the nine months ended September 30, 2014 to $12.5 million for the nine months ended September 30, 2015. Amortization expense represents to the amortization of intangible assets acquired on business combinations. The increase in the amortization expense for the period relates to the acquisition of Aptiv Solution, together with the amortization expense associated with the Company’s estimate of intangible assets arising on the acquisition of MediMedia Pharma Solutions. As a percentage of net revenue, amortization expense increased from 0.7% of net revenues for the nine months ended September 30, 2014 to 1.1% for the nine months ended September 30, 2015.</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the above, income from operations for the nine months ended September 30, 2015 increased by $55.4 million, or 36.8%, from $150.7 million for the nine months ended September 30, 2014 to $206.2 million for the nine months ended September 30, 2015. As a percentage of net revenue, income from operations increased from 13.5% of net revenues for the nine months ended September 30, 2014 to 17.6% of net revenues for the nine months ended September 30, 2015.</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 xml:space="preserve">Income from operations in Ireland increased from $98.9 million for the nine months ended September 30, 2014 to $135.9 million for the nine months ended September 30, 2015. Income from operations in Ireland is impacted by the Group’s global transfer pricing model </w:t>
      </w:r>
      <w:r>
        <w:rPr>
          <w:rFonts w:ascii="Arial" w:cs="Arial" w:eastAsia="Arial" w:hAnsi="Arial"/>
          <w:sz w:val="17"/>
          <w:szCs w:val="17"/>
          <w:i w:val="1"/>
          <w:iCs w:val="1"/>
          <w:color w:val="auto"/>
        </w:rPr>
        <w:t>(see note 8 Business Segmental Information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further details). </w:t>
      </w:r>
      <w:r>
        <w:rPr>
          <w:rFonts w:ascii="Arial" w:cs="Arial" w:eastAsia="Arial" w:hAnsi="Arial"/>
          <w:sz w:val="17"/>
          <w:szCs w:val="17"/>
          <w:color w:val="auto"/>
        </w:rPr>
        <w:t>Income from operations in our Rest of Europe region decreased marginally from $15.5 million for the nine months ended September 30,</w:t>
      </w:r>
      <w:r>
        <w:rPr>
          <w:rFonts w:ascii="Arial" w:cs="Arial" w:eastAsia="Arial" w:hAnsi="Arial"/>
          <w:sz w:val="17"/>
          <w:szCs w:val="17"/>
          <w:i w:val="1"/>
          <w:iCs w:val="1"/>
          <w:color w:val="auto"/>
        </w:rPr>
        <w:t xml:space="preserve"> </w:t>
      </w:r>
      <w:r>
        <w:rPr>
          <w:rFonts w:ascii="Arial" w:cs="Arial" w:eastAsia="Arial" w:hAnsi="Arial"/>
          <w:sz w:val="17"/>
          <w:szCs w:val="17"/>
          <w:color w:val="auto"/>
        </w:rPr>
        <w:t>2014 to $14.2 million for the nine months ended September 30, 2015, while income from operations in our Other region decreased marginally from $9.1 million for nine months ended September 30, 2014 to $7.8 million for the nine months ended September 30, 2015. Income from operations in both of these regions was impacted by the continued strengthening of the U.S. dollar during the period which saw a decrease in the reported value of both revenues and costs when translated to U.S. dollars. This reduction was offset by a full nine months contribution from Aptiv Solutions in the current period. Income from operations in the U.S. region increased from $27.2 million for the nine months ended September 30, 2014 to $30.6 million for the nine months ended September 30, 2015. Income from operations in this region was positively impacted by the acquisition of MediMedia Pharma Solutions during the period and a full nine months contribution from Aptiv Solutions.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period increased from $0.7 million for the nine months ended September 30, 2014 to $1.7 million for the nine months ended September 30, 2015. The increase in interest expense during the period arose from the drawdown of the Company’s $350 million credit facility during the period to fund the Company’s share repurchase programme. Interest income increased from $0.9 million for the nine months ended September 30, 2014 to $1.0 million for the nine months ended September 30, 2015.</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 for income taxes for the period increased from $23.6 million for the nine months ended September 30, 2014 to $29.5 million for the nine months ended September 30, 2015. The Company’s effective tax rate for the nine months ended September 30, 2015 was 14.4% compared with 15.6% for the nine months ended September 30, 2014. The Company’s effective tax rate is principally a function of the distribution of pre-tax profits amongst the territories in which it operates.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small down payment at the time the contract is entered into, with the balance paid in installments over the contract's duration, in some cases on the achievement of certain milestones. Accordingly, cash receipts do not correspond to costs incurred and revenue recognized on contracts.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cash balances amounted to $317.0 million at September 30, 2015 compared to $216.0 million at December 31, 2014. The Company’s cash balances comprise cash and cash equivalents and short term investments. At September 30, 2015 cash and cash equivalents amounted to $235.2 million compared to $118.9 million at December 31, 2014. The Company’s short term investment balances amounted to $81.7 million at September 30, 2015 compared to $97.1 million at December 31, 2015.</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27, 2015 the Company entered into a 364 day bridge facility for $350.0 million with Citibank and JP Morgan. Each bank subject to the agreement has committed $175 million to the facility, with equal terms and conditions in place with each institution. The facility bears interest at LIBOR plus a margin and includes certain composite guarantees, indemnities and pledges in favour of the banks. At September 30, 2015, the full $350.0 million of this facility was drawn.</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2014 the Company entered into a five year committed multi-currency revolving credit facility for $100.0 million with Citibank, JP Morgan, Santander and Barclays Bank. Each bank subject to the agreement has committed $25 million to the facility, with equal terms and conditions in place with all institutions. The facility bears interest at LIBOR plus a margin and includes certain composite guarantees, indemnities and pledges in favour of the banks. At September 30, 2015 $100.0 million was available to be drawn under this facility.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6"/>
          <w:szCs w:val="16"/>
          <w:color w:val="auto"/>
        </w:rPr>
        <w:t>Net cash provided by operating activities was $163.4 million for the nine months ended September 30, 2015 compared with net cash provided by operating activities of $94.7 million for the nine months ended September 30, 2014. The primary driver of this increase in cash provided by operating activities during the period was an increase in both revenues and margins within the business, offset by an increase in cash invested in working capital to fund the growth in the business, in particular revenue outstanding balances and expenditure related balances. Revenue outstanding increased by $47.9 million during the period. Revenue outstanding comprises accounts receivable and unbilled revenue, less payments on account. The dollar value of these balances and the related number of days revenue outstanding (i.e. revenue outstanding as a percentage of revenue for the period, multiplied by the number of days in the period) can vary over a study or trial duration. Contract fees are generally payable in instalments based on the achievement of certain performance targets or “milestones” (e.g. target patient enrolment rates, clinical testing sites initiated or case report forms completed), such milestones being specific to the terms of each individual contract, while revenues on contracts are recognized as contractual obligations are performed. Days revenue outstanding can vary therefore due to, amongst others, the scheduling of contractual milestones over a study or trial duration, the achievement of a particular milestone during the period or the timing of cash receipts from customers. A decrease in the number of days revenue outstanding during a period will result in cash inflows to the Company while an increase in days revenue outstanding will lead to cash outflows. The number of day’s revenue outstanding at September 30, 2015 was 46 days compared to 40 days at December 31, 2014. The number of days revenue outstanding at September 30, 2014 was 38 days compared to 32 days at December 31, 2013. Expenditure related balances increased by $38.8 million.</w:t>
      </w:r>
    </w:p>
    <w:p>
      <w:pPr>
        <w:spacing w:after="0" w:line="19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investing activities amounted to $123.5 million for the nine months ended September 30, 2015 compared to net cash used in investing activities of $96.7 million during the nine months ended September 30, 2014. Net cash used in investing activates during the nine months ended September 30, 2015 arose primarily from cash paid of $102.8 million to acquire MediMedia Pharma Solutions together with $36.3 million paid to fund capital expenditure. This was offset by a net $25.2 million received from the sale of short-term investments. Net cash used in investing activities during the nine months ended September 30, 2014 arose primarily from cash paid of $121.1 million to acquire Aptiv Solutions together with $22.6 million paid to fund capital expenditure. This was offset by a net $100.5 million received from the sale of short-term investments.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financing activities amounted to $83.7 million for the nine months ended September 30, 2015, compared to net cash used by financing activities of $24.2 million during the nine months ended September 30, 2014. Net cash provided by financing activities during the nine months ended September 30, 2015 arose primarily from the drawdown of funds under the Company’s negotiated banking facility to fund the share repurchase program. $350.0 million was drawn down under this facility during the nine months ended September 30, 2015 with $286.9 million used to repurchase shares under the share repurchase program. A further $21.4 million was received from the exercise of share options (including related tax benefit). During the nine months ended September 30, 2014 $44.5 million was used to repurchase ordinary shares, while $20.4 million was received from the exercise of share options (including related tax benefit).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effects of inflation generally do not have a material adverse impact on our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not party to any litigation or other legal proceedings that we believe could reasonably be expected to have a material adverse effect on our business, results of operations and financial condition.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p>
        </w:tc>
        <w:tc>
          <w:tcPr>
            <w:tcW w:w="3880" w:type="dxa"/>
            <w:vAlign w:val="bottom"/>
          </w:tcPr>
          <w:p>
            <w:pPr>
              <w:spacing w:after="0"/>
              <w:rPr>
                <w:sz w:val="20"/>
                <w:szCs w:val="20"/>
                <w:color w:val="auto"/>
              </w:rPr>
            </w:pP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r>
      <w:tr>
        <w:trPr>
          <w:trHeight w:val="202"/>
        </w:trPr>
        <w:tc>
          <w:tcPr>
            <w:tcW w:w="20" w:type="dxa"/>
            <w:vAlign w:val="bottom"/>
          </w:tcPr>
          <w:p>
            <w:pPr>
              <w:spacing w:after="0"/>
              <w:rPr>
                <w:sz w:val="17"/>
                <w:szCs w:val="17"/>
                <w:color w:val="auto"/>
              </w:rPr>
            </w:pPr>
          </w:p>
        </w:tc>
        <w:tc>
          <w:tcPr>
            <w:tcW w:w="3760" w:type="dxa"/>
            <w:vAlign w:val="bottom"/>
          </w:tcPr>
          <w:p>
            <w:pPr>
              <w:spacing w:after="0" w:line="202" w:lineRule="exact"/>
              <w:rPr>
                <w:sz w:val="20"/>
                <w:szCs w:val="20"/>
                <w:color w:val="auto"/>
              </w:rPr>
            </w:pPr>
            <w:r>
              <w:rPr>
                <w:rFonts w:ascii="Arial" w:cs="Arial" w:eastAsia="Arial" w:hAnsi="Arial"/>
                <w:sz w:val="17"/>
                <w:szCs w:val="17"/>
                <w:color w:val="auto"/>
              </w:rPr>
              <w:t>Date: November 6</w:t>
            </w:r>
            <w:r>
              <w:rPr>
                <w:rFonts w:ascii="Arial" w:cs="Arial" w:eastAsia="Arial" w:hAnsi="Arial"/>
                <w:sz w:val="23"/>
                <w:szCs w:val="23"/>
                <w:color w:val="auto"/>
                <w:vertAlign w:val="superscript"/>
              </w:rPr>
              <w:t>th</w:t>
            </w:r>
            <w:r>
              <w:rPr>
                <w:rFonts w:ascii="Arial" w:cs="Arial" w:eastAsia="Arial" w:hAnsi="Arial"/>
                <w:sz w:val="17"/>
                <w:szCs w:val="17"/>
                <w:color w:val="auto"/>
              </w:rPr>
              <w:t>, 2015</w:t>
            </w:r>
          </w:p>
        </w:tc>
        <w:tc>
          <w:tcPr>
            <w:tcW w:w="3880" w:type="dxa"/>
            <w:vAlign w:val="bottom"/>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r>
      <w:tr>
        <w:trPr>
          <w:trHeight w:val="230"/>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702"/>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880" w:type="dxa"/>
            <w:vAlign w:val="bottom"/>
          </w:tcPr>
          <w:p>
            <w:pPr>
              <w:jc w:val="right"/>
              <w:ind w:right="1770"/>
              <w:spacing w:after="0"/>
              <w:rPr>
                <w:sz w:val="20"/>
                <w:szCs w:val="20"/>
                <w:color w:val="auto"/>
              </w:rPr>
            </w:pPr>
            <w:r>
              <w:rPr>
                <w:rFonts w:ascii="Arial" w:cs="Arial" w:eastAsia="Arial" w:hAnsi="Arial"/>
                <w:sz w:val="18"/>
                <w:szCs w:val="18"/>
                <w:color w:val="auto"/>
              </w:rPr>
              <w:t>25</w:t>
            </w:r>
          </w:p>
        </w:tc>
        <w:tc>
          <w:tcPr>
            <w:tcW w:w="37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2019-12-07T04:23:21Z</dcterms:created>
  <dcterms:modified xsi:type="dcterms:W3CDTF">2019-12-07T04:23:21Z</dcterms:modified>
</cp:coreProperties>
</file>