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9"/>
        <w:spacing w:after="0"/>
        <w:rPr>
          <w:sz w:val="20"/>
          <w:szCs w:val="20"/>
          <w:color w:val="auto"/>
        </w:rPr>
      </w:pPr>
      <w:r>
        <w:rPr>
          <w:rFonts w:ascii="Courier New" w:cs="Courier New" w:eastAsia="Courier New" w:hAnsi="Courier New"/>
          <w:sz w:val="16"/>
          <w:szCs w:val="16"/>
          <w:color w:val="auto"/>
        </w:rPr>
        <w:t>FORM 6-K</w:t>
      </w:r>
    </w:p>
    <w:p>
      <w:pPr>
        <w:spacing w:after="0" w:line="195"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95"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Washington, D.C. 20549</w:t>
      </w:r>
    </w:p>
    <w:p>
      <w:pPr>
        <w:spacing w:after="0" w:line="195"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Report of Foreign Private Issuer</w:t>
      </w:r>
    </w:p>
    <w:p>
      <w:pPr>
        <w:spacing w:after="0" w:line="37"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6"/>
          <w:szCs w:val="16"/>
          <w:color w:val="auto"/>
        </w:rPr>
        <w:t>Pursuant to Rule 13a - 16 under</w:t>
      </w:r>
    </w:p>
    <w:p>
      <w:pPr>
        <w:spacing w:after="0" w:line="7"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6"/>
          <w:szCs w:val="16"/>
          <w:color w:val="auto"/>
        </w:rPr>
        <w:t>the Securities Exchange Act of 1934</w:t>
      </w:r>
    </w:p>
    <w:p>
      <w:pPr>
        <w:spacing w:after="0" w:line="165"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For the quarterly period ended November 30, 2003</w:t>
      </w:r>
    </w:p>
    <w:p>
      <w:pPr>
        <w:spacing w:after="0" w:line="195" w:lineRule="exact"/>
        <w:rPr>
          <w:sz w:val="24"/>
          <w:szCs w:val="24"/>
          <w:color w:val="auto"/>
        </w:rPr>
      </w:pPr>
    </w:p>
    <w:p>
      <w:pPr>
        <w:ind w:left="3520"/>
        <w:spacing w:after="0"/>
        <w:rPr>
          <w:sz w:val="20"/>
          <w:szCs w:val="20"/>
          <w:color w:val="auto"/>
        </w:rPr>
      </w:pPr>
      <w:r>
        <w:rPr>
          <w:rFonts w:ascii="Courier New" w:cs="Courier New" w:eastAsia="Courier New" w:hAnsi="Courier New"/>
          <w:sz w:val="16"/>
          <w:szCs w:val="16"/>
          <w:color w:val="auto"/>
        </w:rPr>
        <w:t>ICON plc</w:t>
      </w:r>
    </w:p>
    <w:p>
      <w:pPr>
        <w:spacing w:after="0" w:line="37" w:lineRule="exact"/>
        <w:rPr>
          <w:sz w:val="24"/>
          <w:szCs w:val="24"/>
          <w:color w:val="auto"/>
        </w:rPr>
      </w:pPr>
    </w:p>
    <w:p>
      <w:pPr>
        <w:ind w:left="3040"/>
        <w:spacing w:after="0"/>
        <w:rPr>
          <w:sz w:val="20"/>
          <w:szCs w:val="20"/>
          <w:color w:val="auto"/>
        </w:rPr>
      </w:pPr>
      <w:r>
        <w:rPr>
          <w:rFonts w:ascii="Courier New" w:cs="Courier New" w:eastAsia="Courier New" w:hAnsi="Courier New"/>
          <w:sz w:val="16"/>
          <w:szCs w:val="16"/>
          <w:color w:val="auto"/>
        </w:rPr>
        <w:t>(Registrant's name)</w:t>
      </w:r>
    </w:p>
    <w:p>
      <w:pPr>
        <w:spacing w:after="0" w:line="165" w:lineRule="exact"/>
        <w:rPr>
          <w:sz w:val="24"/>
          <w:szCs w:val="24"/>
          <w:color w:val="auto"/>
        </w:rPr>
      </w:pPr>
    </w:p>
    <w:p>
      <w:pPr>
        <w:ind w:left="3620"/>
        <w:spacing w:after="0"/>
        <w:rPr>
          <w:sz w:val="20"/>
          <w:szCs w:val="20"/>
          <w:color w:val="auto"/>
        </w:rPr>
      </w:pPr>
      <w:r>
        <w:rPr>
          <w:rFonts w:ascii="Courier New" w:cs="Courier New" w:eastAsia="Courier New" w:hAnsi="Courier New"/>
          <w:sz w:val="16"/>
          <w:szCs w:val="16"/>
          <w:color w:val="auto"/>
        </w:rPr>
        <w:t>0-29714</w:t>
      </w:r>
    </w:p>
    <w:p>
      <w:pPr>
        <w:spacing w:after="0" w:line="37" w:lineRule="exact"/>
        <w:rPr>
          <w:sz w:val="24"/>
          <w:szCs w:val="24"/>
          <w:color w:val="auto"/>
        </w:rPr>
      </w:pPr>
    </w:p>
    <w:p>
      <w:pPr>
        <w:ind w:left="2740"/>
        <w:spacing w:after="0"/>
        <w:rPr>
          <w:sz w:val="20"/>
          <w:szCs w:val="20"/>
          <w:color w:val="auto"/>
        </w:rPr>
      </w:pPr>
      <w:r>
        <w:rPr>
          <w:rFonts w:ascii="Courier New" w:cs="Courier New" w:eastAsia="Courier New" w:hAnsi="Courier New"/>
          <w:sz w:val="16"/>
          <w:szCs w:val="16"/>
          <w:color w:val="auto"/>
        </w:rPr>
        <w:t>(Commission file number)</w:t>
      </w:r>
    </w:p>
    <w:p>
      <w:pPr>
        <w:spacing w:after="0" w:line="165"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6"/>
          <w:szCs w:val="16"/>
          <w:color w:val="auto"/>
        </w:rPr>
        <w:t>South County Business Park, Leopardstown, Dublin 18, Ireland.</w:t>
      </w:r>
    </w:p>
    <w:p>
      <w:pPr>
        <w:spacing w:after="0" w:line="3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165" w:lineRule="exact"/>
        <w:rPr>
          <w:sz w:val="24"/>
          <w:szCs w:val="24"/>
          <w:color w:val="auto"/>
        </w:rPr>
      </w:pPr>
    </w:p>
    <w:p>
      <w:pPr>
        <w:ind w:right="2499"/>
        <w:spacing w:after="0" w:line="373" w:lineRule="auto"/>
        <w:rPr>
          <w:sz w:val="20"/>
          <w:szCs w:val="20"/>
          <w:color w:val="auto"/>
        </w:rPr>
      </w:pPr>
      <w:r>
        <w:rPr>
          <w:rFonts w:ascii="Courier New" w:cs="Courier New" w:eastAsia="Courier New" w:hAnsi="Courier New"/>
          <w:sz w:val="16"/>
          <w:szCs w:val="16"/>
          <w:color w:val="auto"/>
        </w:rPr>
        <w:t>Indicate by check mark whether the registrant files or will file annual reports under cover Form 20-F or Form 40-F.</w:t>
      </w:r>
    </w:p>
    <w:p>
      <w:pPr>
        <w:ind w:left="880"/>
        <w:spacing w:after="0"/>
        <w:tabs>
          <w:tab w:leader="none" w:pos="1740" w:val="left"/>
          <w:tab w:leader="none" w:pos="3880" w:val="left"/>
        </w:tabs>
        <w:rPr>
          <w:sz w:val="20"/>
          <w:szCs w:val="20"/>
          <w:color w:val="auto"/>
        </w:rPr>
      </w:pPr>
      <w:r>
        <w:rPr>
          <w:rFonts w:ascii="Courier New" w:cs="Courier New" w:eastAsia="Courier New" w:hAnsi="Courier New"/>
          <w:sz w:val="16"/>
          <w:szCs w:val="16"/>
          <w:color w:val="auto"/>
        </w:rPr>
        <w:t>Yes</w:t>
      </w:r>
      <w:r>
        <w:rPr>
          <w:sz w:val="20"/>
          <w:szCs w:val="20"/>
          <w:color w:val="auto"/>
        </w:rPr>
        <w:tab/>
      </w:r>
      <w:r>
        <w:rPr>
          <w:rFonts w:ascii="Courier New" w:cs="Courier New" w:eastAsia="Courier New" w:hAnsi="Courier New"/>
          <w:sz w:val="16"/>
          <w:szCs w:val="16"/>
          <w:color w:val="auto"/>
        </w:rPr>
        <w:t>X</w:t>
      </w:r>
      <w:r>
        <w:rPr>
          <w:sz w:val="20"/>
          <w:szCs w:val="20"/>
          <w:color w:val="auto"/>
        </w:rPr>
        <w:tab/>
      </w:r>
      <w:r>
        <w:rPr>
          <w:rFonts w:ascii="Courier New" w:cs="Courier New" w:eastAsia="Courier New" w:hAnsi="Courier New"/>
          <w:sz w:val="16"/>
          <w:szCs w:val="16"/>
          <w:color w:val="auto"/>
        </w:rPr>
        <w:t>No ___</w:t>
      </w:r>
    </w:p>
    <w:p>
      <w:pPr>
        <w:spacing w:after="0" w:line="195" w:lineRule="exact"/>
        <w:rPr>
          <w:sz w:val="24"/>
          <w:szCs w:val="24"/>
          <w:color w:val="auto"/>
        </w:rPr>
      </w:pPr>
    </w:p>
    <w:p>
      <w:pPr>
        <w:ind w:right="2879"/>
        <w:spacing w:after="0" w:line="373" w:lineRule="auto"/>
        <w:rPr>
          <w:sz w:val="20"/>
          <w:szCs w:val="20"/>
          <w:color w:val="auto"/>
        </w:rPr>
      </w:pPr>
      <w:r>
        <w:rPr>
          <w:rFonts w:ascii="Courier New" w:cs="Courier New" w:eastAsia="Courier New" w:hAnsi="Courier New"/>
          <w:sz w:val="16"/>
          <w:szCs w:val="16"/>
          <w:color w:val="auto"/>
        </w:rPr>
        <w:t>Indicate by check mark whether the registrant is submitting the Form 6-K in paper as permitted by Regulation S-T Rule 101(b)(1):</w:t>
      </w:r>
    </w:p>
    <w:p>
      <w:pPr>
        <w:ind w:left="880"/>
        <w:spacing w:after="0"/>
        <w:tabs>
          <w:tab w:leader="none" w:pos="3880" w:val="left"/>
          <w:tab w:leader="none" w:pos="4280" w:val="left"/>
        </w:tabs>
        <w:rPr>
          <w:sz w:val="20"/>
          <w:szCs w:val="20"/>
          <w:color w:val="auto"/>
        </w:rPr>
      </w:pPr>
      <w:r>
        <w:rPr>
          <w:rFonts w:ascii="Courier New" w:cs="Courier New" w:eastAsia="Courier New" w:hAnsi="Courier New"/>
          <w:sz w:val="16"/>
          <w:szCs w:val="16"/>
          <w:color w:val="auto"/>
        </w:rPr>
        <w:t>Yes ___</w:t>
      </w:r>
      <w:r>
        <w:rPr>
          <w:sz w:val="20"/>
          <w:szCs w:val="20"/>
          <w:color w:val="auto"/>
        </w:rPr>
        <w:tab/>
      </w:r>
      <w:r>
        <w:rPr>
          <w:rFonts w:ascii="Courier New" w:cs="Courier New" w:eastAsia="Courier New" w:hAnsi="Courier New"/>
          <w:sz w:val="16"/>
          <w:szCs w:val="16"/>
          <w:color w:val="auto"/>
        </w:rPr>
        <w:t>No</w:t>
        <w:tab/>
        <w:t>X</w:t>
      </w:r>
    </w:p>
    <w:p>
      <w:pPr>
        <w:spacing w:after="0" w:line="195" w:lineRule="exact"/>
        <w:rPr>
          <w:sz w:val="24"/>
          <w:szCs w:val="24"/>
          <w:color w:val="auto"/>
        </w:rPr>
      </w:pPr>
    </w:p>
    <w:p>
      <w:pPr>
        <w:ind w:right="2879"/>
        <w:spacing w:after="0" w:line="373" w:lineRule="auto"/>
        <w:rPr>
          <w:sz w:val="20"/>
          <w:szCs w:val="20"/>
          <w:color w:val="auto"/>
        </w:rPr>
      </w:pPr>
      <w:r>
        <w:rPr>
          <w:rFonts w:ascii="Courier New" w:cs="Courier New" w:eastAsia="Courier New" w:hAnsi="Courier New"/>
          <w:sz w:val="16"/>
          <w:szCs w:val="16"/>
          <w:color w:val="auto"/>
        </w:rPr>
        <w:t>Indicate by check mark whether the registrant is submitting the Form 6-K in paper as permitted by Regulation S-T Rule 101(b)(7):</w:t>
      </w:r>
    </w:p>
    <w:p>
      <w:pPr>
        <w:ind w:left="880"/>
        <w:spacing w:after="0"/>
        <w:tabs>
          <w:tab w:leader="none" w:pos="3880" w:val="left"/>
          <w:tab w:leader="none" w:pos="4280" w:val="left"/>
        </w:tabs>
        <w:rPr>
          <w:sz w:val="20"/>
          <w:szCs w:val="20"/>
          <w:color w:val="auto"/>
        </w:rPr>
      </w:pPr>
      <w:r>
        <w:rPr>
          <w:rFonts w:ascii="Courier New" w:cs="Courier New" w:eastAsia="Courier New" w:hAnsi="Courier New"/>
          <w:sz w:val="16"/>
          <w:szCs w:val="16"/>
          <w:color w:val="auto"/>
        </w:rPr>
        <w:t>Yes ___</w:t>
      </w:r>
      <w:r>
        <w:rPr>
          <w:sz w:val="20"/>
          <w:szCs w:val="20"/>
          <w:color w:val="auto"/>
        </w:rPr>
        <w:tab/>
      </w:r>
      <w:r>
        <w:rPr>
          <w:rFonts w:ascii="Courier New" w:cs="Courier New" w:eastAsia="Courier New" w:hAnsi="Courier New"/>
          <w:sz w:val="16"/>
          <w:szCs w:val="16"/>
          <w:color w:val="auto"/>
        </w:rPr>
        <w:t>No</w:t>
        <w:tab/>
        <w:t>X</w:t>
      </w:r>
    </w:p>
    <w:p>
      <w:pPr>
        <w:spacing w:after="0" w:line="383" w:lineRule="exact"/>
        <w:rPr>
          <w:sz w:val="24"/>
          <w:szCs w:val="24"/>
          <w:color w:val="auto"/>
        </w:rPr>
      </w:pPr>
    </w:p>
    <w:p>
      <w:pPr>
        <w:ind w:right="2399"/>
        <w:spacing w:after="0" w:line="311"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47" w:lineRule="exact"/>
        <w:rPr>
          <w:sz w:val="24"/>
          <w:szCs w:val="24"/>
          <w:color w:val="auto"/>
        </w:rPr>
      </w:pPr>
    </w:p>
    <w:p>
      <w:pPr>
        <w:ind w:left="880"/>
        <w:spacing w:after="0"/>
        <w:tabs>
          <w:tab w:leader="none" w:pos="3880" w:val="left"/>
          <w:tab w:leader="none" w:pos="4280" w:val="left"/>
        </w:tabs>
        <w:rPr>
          <w:sz w:val="20"/>
          <w:szCs w:val="20"/>
          <w:color w:val="auto"/>
        </w:rPr>
      </w:pPr>
      <w:r>
        <w:rPr>
          <w:rFonts w:ascii="Courier New" w:cs="Courier New" w:eastAsia="Courier New" w:hAnsi="Courier New"/>
          <w:sz w:val="16"/>
          <w:szCs w:val="16"/>
          <w:color w:val="auto"/>
        </w:rPr>
        <w:t>Yes ___</w:t>
      </w:r>
      <w:r>
        <w:rPr>
          <w:sz w:val="20"/>
          <w:szCs w:val="20"/>
          <w:color w:val="auto"/>
        </w:rPr>
        <w:tab/>
      </w:r>
      <w:r>
        <w:rPr>
          <w:rFonts w:ascii="Courier New" w:cs="Courier New" w:eastAsia="Courier New" w:hAnsi="Courier New"/>
          <w:sz w:val="16"/>
          <w:szCs w:val="16"/>
          <w:color w:val="auto"/>
        </w:rPr>
        <w:t>No</w:t>
        <w:tab/>
        <w:t>X</w:t>
      </w:r>
    </w:p>
    <w:p>
      <w:pPr>
        <w:spacing w:after="0" w:line="383" w:lineRule="exact"/>
        <w:rPr>
          <w:sz w:val="24"/>
          <w:szCs w:val="24"/>
          <w:color w:val="auto"/>
        </w:rPr>
      </w:pPr>
    </w:p>
    <w:p>
      <w:pPr>
        <w:ind w:right="2399"/>
        <w:spacing w:after="0" w:line="373" w:lineRule="auto"/>
        <w:rPr>
          <w:sz w:val="20"/>
          <w:szCs w:val="20"/>
          <w:color w:val="auto"/>
        </w:rPr>
      </w:pPr>
      <w:r>
        <w:rPr>
          <w:rFonts w:ascii="Courier New" w:cs="Courier New" w:eastAsia="Courier New" w:hAnsi="Courier New"/>
          <w:sz w:val="16"/>
          <w:szCs w:val="16"/>
          <w:color w:val="auto"/>
        </w:rPr>
        <w:t>If "Yes" is marked, indicate below the file number assigned to the registrant in connection with Rule 12g3-2(b):82 N/A</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Other Events.</w:t>
      </w:r>
    </w:p>
    <w:p>
      <w:pPr>
        <w:spacing w:after="0" w:line="383" w:lineRule="exact"/>
        <w:rPr>
          <w:sz w:val="24"/>
          <w:szCs w:val="24"/>
          <w:color w:val="auto"/>
        </w:rPr>
      </w:pPr>
    </w:p>
    <w:p>
      <w:pPr>
        <w:ind w:right="2499" w:firstLine="489"/>
        <w:spacing w:after="0" w:line="373" w:lineRule="auto"/>
        <w:rPr>
          <w:sz w:val="20"/>
          <w:szCs w:val="20"/>
          <w:color w:val="auto"/>
        </w:rPr>
      </w:pPr>
      <w:r>
        <w:rPr>
          <w:rFonts w:ascii="Courier New" w:cs="Courier New" w:eastAsia="Courier New" w:hAnsi="Courier New"/>
          <w:sz w:val="16"/>
          <w:szCs w:val="16"/>
          <w:color w:val="auto"/>
        </w:rPr>
        <w:t>The registrant hereby incorporates by reference the press release attached hereto as Exhibit 99.1 into this report.</w:t>
      </w:r>
    </w:p>
    <w:p>
      <w:pPr>
        <w:sectPr>
          <w:pgSz w:w="11900" w:h="16838" w:orient="portrait"/>
          <w:cols w:equalWidth="0" w:num="1">
            <w:col w:w="10219"/>
          </w:cols>
          <w:pgMar w:left="240" w:top="212"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Financial Statements and Exhibits.</w:t>
      </w:r>
    </w:p>
    <w:p>
      <w:pPr>
        <w:spacing w:after="0" w:line="383" w:lineRule="exact"/>
        <w:rPr>
          <w:sz w:val="20"/>
          <w:szCs w:val="20"/>
          <w:color w:val="auto"/>
        </w:rPr>
      </w:pPr>
    </w:p>
    <w:p>
      <w:pPr>
        <w:jc w:val="right"/>
        <w:ind w:right="3579"/>
        <w:spacing w:after="0"/>
        <w:rPr>
          <w:sz w:val="20"/>
          <w:szCs w:val="20"/>
          <w:color w:val="auto"/>
        </w:rPr>
      </w:pPr>
      <w:r>
        <w:rPr>
          <w:rFonts w:ascii="Courier New" w:cs="Courier New" w:eastAsia="Courier New" w:hAnsi="Courier New"/>
          <w:sz w:val="16"/>
          <w:szCs w:val="16"/>
          <w:color w:val="auto"/>
        </w:rPr>
        <w:t>(c) The following Exhibits are filed as part of this report:</w:t>
      </w:r>
    </w:p>
    <w:p>
      <w:pPr>
        <w:sectPr>
          <w:pgSz w:w="11900" w:h="16838" w:orient="portrait"/>
          <w:cols w:equalWidth="0" w:num="1">
            <w:col w:w="10219"/>
          </w:cols>
          <w:pgMar w:left="240" w:top="838" w:right="1440" w:bottom="1440" w:gutter="0" w:footer="0" w:header="0"/>
        </w:sectPr>
      </w:pPr>
    </w:p>
    <w:p>
      <w:pPr>
        <w:spacing w:after="0" w:line="383"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EXHIBIT NO.</w:t>
      </w:r>
    </w:p>
    <w:p>
      <w:pPr>
        <w:spacing w:after="0" w:line="37"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5" w:lineRule="exact"/>
        <w:rPr>
          <w:sz w:val="20"/>
          <w:szCs w:val="20"/>
          <w:color w:val="auto"/>
        </w:rPr>
      </w:pPr>
    </w:p>
    <w:p>
      <w:pPr>
        <w:sectPr>
          <w:pgSz w:w="11900" w:h="16838" w:orient="portrait"/>
          <w:cols w:equalWidth="0" w:num="2">
            <w:col w:w="2240" w:space="700"/>
            <w:col w:w="7279"/>
          </w:cols>
          <w:pgMar w:left="240" w:top="838" w:right="1440" w:bottom="1440" w:gutter="0" w:footer="0" w:header="0"/>
          <w:type w:val="continuous"/>
        </w:sectPr>
      </w:pPr>
    </w:p>
    <w:p>
      <w:pPr>
        <w:ind w:left="1460"/>
        <w:spacing w:after="0"/>
        <w:tabs>
          <w:tab w:leader="none" w:pos="2920" w:val="left"/>
        </w:tabs>
        <w:rPr>
          <w:sz w:val="20"/>
          <w:szCs w:val="20"/>
          <w:color w:val="auto"/>
        </w:rPr>
      </w:pPr>
      <w:r>
        <w:rPr>
          <w:rFonts w:ascii="Courier New" w:cs="Courier New" w:eastAsia="Courier New" w:hAnsi="Courier New"/>
          <w:sz w:val="16"/>
          <w:szCs w:val="16"/>
          <w:color w:val="auto"/>
        </w:rPr>
        <w:t>99.1</w:t>
      </w:r>
      <w:r>
        <w:rPr>
          <w:sz w:val="20"/>
          <w:szCs w:val="20"/>
          <w:color w:val="auto"/>
        </w:rPr>
        <w:tab/>
      </w:r>
      <w:r>
        <w:rPr>
          <w:rFonts w:ascii="Courier New" w:cs="Courier New" w:eastAsia="Courier New" w:hAnsi="Courier New"/>
          <w:sz w:val="16"/>
          <w:szCs w:val="16"/>
          <w:color w:val="auto"/>
        </w:rPr>
        <w:t>Press Release.</w:t>
      </w:r>
    </w:p>
    <w:p>
      <w:pPr>
        <w:sectPr>
          <w:pgSz w:w="11900" w:h="16838" w:orient="portrait"/>
          <w:cols w:equalWidth="0" w:num="1">
            <w:col w:w="10219"/>
          </w:cols>
          <w:pgMar w:left="240" w:top="838" w:right="1440" w:bottom="1440" w:gutter="0" w:footer="0" w:header="0"/>
          <w:type w:val="continuous"/>
        </w:sectPr>
      </w:pPr>
    </w:p>
    <w:bookmarkStart w:id="2" w:name="page3"/>
    <w:bookmarkEnd w:id="2"/>
    <w:p>
      <w:pPr>
        <w:ind w:left="3420"/>
        <w:spacing w:after="0"/>
        <w:rPr>
          <w:sz w:val="20"/>
          <w:szCs w:val="20"/>
          <w:color w:val="auto"/>
        </w:rPr>
      </w:pPr>
      <w:r>
        <w:rPr>
          <w:rFonts w:ascii="Courier New" w:cs="Courier New" w:eastAsia="Courier New" w:hAnsi="Courier New"/>
          <w:sz w:val="16"/>
          <w:szCs w:val="16"/>
          <w:color w:val="auto"/>
        </w:rPr>
        <w:t>SIGNATURES</w:t>
      </w:r>
    </w:p>
    <w:p>
      <w:pPr>
        <w:spacing w:after="0" w:line="195" w:lineRule="exact"/>
        <w:rPr>
          <w:sz w:val="20"/>
          <w:szCs w:val="20"/>
          <w:color w:val="auto"/>
        </w:rPr>
      </w:pPr>
    </w:p>
    <w:p>
      <w:pPr>
        <w:ind w:right="3079"/>
        <w:spacing w:after="0" w:line="311"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4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640" w:type="dxa"/>
            <w:vAlign w:val="bottom"/>
          </w:tcPr>
          <w:p>
            <w:pPr>
              <w:spacing w:after="0"/>
              <w:rPr>
                <w:sz w:val="20"/>
                <w:szCs w:val="20"/>
                <w:color w:val="auto"/>
              </w:rPr>
            </w:pPr>
            <w:r>
              <w:rPr>
                <w:rFonts w:ascii="Courier New" w:cs="Courier New" w:eastAsia="Courier New" w:hAnsi="Courier New"/>
                <w:sz w:val="16"/>
                <w:szCs w:val="16"/>
                <w:color w:val="auto"/>
              </w:rPr>
              <w:t>January 13, 2004</w:t>
            </w:r>
          </w:p>
        </w:tc>
        <w:tc>
          <w:tcPr>
            <w:tcW w:w="4300" w:type="dxa"/>
            <w:vAlign w:val="bottom"/>
          </w:tcPr>
          <w:p>
            <w:pPr>
              <w:ind w:left="880"/>
              <w:spacing w:after="0"/>
              <w:rPr>
                <w:sz w:val="20"/>
                <w:szCs w:val="20"/>
                <w:color w:val="auto"/>
              </w:rPr>
            </w:pPr>
            <w:r>
              <w:rPr>
                <w:rFonts w:ascii="Courier New" w:cs="Courier New" w:eastAsia="Courier New" w:hAnsi="Courier New"/>
                <w:sz w:val="16"/>
                <w:szCs w:val="16"/>
                <w:color w:val="auto"/>
              </w:rPr>
              <w:t>/s/ Sean Leech</w:t>
            </w:r>
          </w:p>
        </w:tc>
        <w:tc>
          <w:tcPr>
            <w:tcW w:w="0" w:type="dxa"/>
            <w:vAlign w:val="bottom"/>
          </w:tcPr>
          <w:p>
            <w:pPr>
              <w:spacing w:after="0"/>
              <w:rPr>
                <w:sz w:val="1"/>
                <w:szCs w:val="1"/>
                <w:color w:val="auto"/>
              </w:rPr>
            </w:pPr>
          </w:p>
        </w:tc>
      </w:tr>
      <w:tr>
        <w:trPr>
          <w:trHeight w:val="188"/>
        </w:trPr>
        <w:tc>
          <w:tcPr>
            <w:tcW w:w="2640" w:type="dxa"/>
            <w:vAlign w:val="bottom"/>
            <w:vMerge w:val="restart"/>
          </w:tcPr>
          <w:p>
            <w:pPr>
              <w:spacing w:after="0"/>
              <w:rPr>
                <w:sz w:val="20"/>
                <w:szCs w:val="20"/>
                <w:color w:val="auto"/>
              </w:rPr>
            </w:pPr>
            <w:r>
              <w:rPr>
                <w:rFonts w:ascii="Courier New" w:cs="Courier New" w:eastAsia="Courier New" w:hAnsi="Courier New"/>
                <w:sz w:val="32"/>
                <w:szCs w:val="32"/>
                <w:color w:val="auto"/>
                <w:vertAlign w:val="subscript"/>
              </w:rPr>
              <w:t>Date</w:t>
            </w:r>
            <w:r>
              <w:rPr>
                <w:rFonts w:ascii="Courier New" w:cs="Courier New" w:eastAsia="Courier New" w:hAnsi="Courier New"/>
                <w:sz w:val="16"/>
                <w:szCs w:val="16"/>
                <w:color w:val="auto"/>
              </w:rPr>
              <w:t>-----------------</w:t>
            </w:r>
          </w:p>
        </w:tc>
        <w:tc>
          <w:tcPr>
            <w:tcW w:w="4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8"/>
        </w:trPr>
        <w:tc>
          <w:tcPr>
            <w:tcW w:w="2640" w:type="dxa"/>
            <w:vAlign w:val="bottom"/>
            <w:vMerge w:val="continue"/>
          </w:tcPr>
          <w:p>
            <w:pPr>
              <w:spacing w:after="0"/>
              <w:rPr>
                <w:sz w:val="16"/>
                <w:szCs w:val="16"/>
                <w:color w:val="auto"/>
              </w:rPr>
            </w:pPr>
          </w:p>
        </w:tc>
        <w:tc>
          <w:tcPr>
            <w:tcW w:w="4300" w:type="dxa"/>
            <w:vAlign w:val="bottom"/>
          </w:tcPr>
          <w:p>
            <w:pPr>
              <w:ind w:left="880"/>
              <w:spacing w:after="0"/>
              <w:rPr>
                <w:sz w:val="20"/>
                <w:szCs w:val="20"/>
                <w:color w:val="auto"/>
              </w:rPr>
            </w:pPr>
            <w:r>
              <w:rPr>
                <w:rFonts w:ascii="Courier New" w:cs="Courier New" w:eastAsia="Courier New" w:hAnsi="Courier New"/>
                <w:sz w:val="16"/>
                <w:szCs w:val="16"/>
                <w:color w:val="auto"/>
              </w:rPr>
              <w:t>Sean Leech</w:t>
            </w:r>
          </w:p>
        </w:tc>
        <w:tc>
          <w:tcPr>
            <w:tcW w:w="0" w:type="dxa"/>
            <w:vAlign w:val="bottom"/>
          </w:tcPr>
          <w:p>
            <w:pPr>
              <w:spacing w:after="0"/>
              <w:rPr>
                <w:sz w:val="1"/>
                <w:szCs w:val="1"/>
                <w:color w:val="auto"/>
              </w:rPr>
            </w:pPr>
          </w:p>
        </w:tc>
      </w:tr>
      <w:tr>
        <w:trPr>
          <w:trHeight w:val="276"/>
        </w:trPr>
        <w:tc>
          <w:tcPr>
            <w:tcW w:w="2640" w:type="dxa"/>
            <w:vAlign w:val="bottom"/>
          </w:tcPr>
          <w:p>
            <w:pPr>
              <w:spacing w:after="0"/>
              <w:rPr>
                <w:sz w:val="23"/>
                <w:szCs w:val="23"/>
                <w:color w:val="auto"/>
              </w:rPr>
            </w:pPr>
          </w:p>
        </w:tc>
        <w:tc>
          <w:tcPr>
            <w:tcW w:w="4300" w:type="dxa"/>
            <w:vAlign w:val="bottom"/>
          </w:tcPr>
          <w:p>
            <w:pPr>
              <w:ind w:left="880"/>
              <w:spacing w:after="0"/>
              <w:rPr>
                <w:sz w:val="20"/>
                <w:szCs w:val="20"/>
                <w:color w:val="auto"/>
              </w:rPr>
            </w:pPr>
            <w:r>
              <w:rPr>
                <w:rFonts w:ascii="Courier New" w:cs="Courier New" w:eastAsia="Courier New" w:hAnsi="Courier New"/>
                <w:sz w:val="16"/>
                <w:szCs w:val="16"/>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0219"/>
          </w:cols>
          <w:pgMar w:left="240" w:top="838" w:right="1440" w:bottom="1440" w:gutter="0" w:footer="0" w:header="0"/>
        </w:sectPr>
      </w:pPr>
    </w:p>
    <w:bookmarkStart w:id="3" w:name="page4"/>
    <w:bookmarkEnd w:id="3"/>
    <w:p>
      <w:pPr>
        <w:spacing w:after="0" w:line="92" w:lineRule="exact"/>
        <w:rPr>
          <w:sz w:val="20"/>
          <w:szCs w:val="20"/>
          <w:color w:val="auto"/>
        </w:rPr>
      </w:pPr>
    </w:p>
    <w:p>
      <w:pPr>
        <w:ind w:right="2499"/>
        <w:spacing w:after="0" w:line="373" w:lineRule="auto"/>
        <w:rPr>
          <w:sz w:val="20"/>
          <w:szCs w:val="20"/>
          <w:color w:val="auto"/>
        </w:rPr>
      </w:pPr>
      <w:r>
        <w:rPr>
          <w:rFonts w:ascii="Courier New" w:cs="Courier New" w:eastAsia="Courier New" w:hAnsi="Courier New"/>
          <w:sz w:val="16"/>
          <w:szCs w:val="16"/>
          <w:color w:val="auto"/>
        </w:rPr>
        <w:t>ICON reports another strong quarter with a 33% increase in operating income and EPS of $0.45 for the Second Quarter FY 2004 (NASDAQ:ICLR)</w:t>
      </w:r>
    </w:p>
    <w:p>
      <w:pPr>
        <w:spacing w:after="0"/>
        <w:rPr>
          <w:sz w:val="20"/>
          <w:szCs w:val="20"/>
          <w:color w:val="auto"/>
        </w:rPr>
      </w:pPr>
      <w:r>
        <w:rPr>
          <w:rFonts w:ascii="Courier New" w:cs="Courier New" w:eastAsia="Courier New" w:hAnsi="Courier New"/>
          <w:sz w:val="16"/>
          <w:szCs w:val="16"/>
          <w:color w:val="auto"/>
        </w:rPr>
        <w:t>Highlights - Second Quarter Fiscal 2004</w:t>
      </w:r>
    </w:p>
    <w:p>
      <w:pPr>
        <w:spacing w:after="0" w:line="195" w:lineRule="exact"/>
        <w:rPr>
          <w:sz w:val="20"/>
          <w:szCs w:val="20"/>
          <w:color w:val="auto"/>
        </w:rPr>
      </w:pPr>
    </w:p>
    <w:p>
      <w:pPr>
        <w:ind w:left="480" w:right="2399" w:hanging="480"/>
        <w:spacing w:after="0" w:line="373" w:lineRule="auto"/>
        <w:tabs>
          <w:tab w:leader="none" w:pos="4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Second quarter net revenues increased 37% over the second quarter of fiscal 2003 to $73.2 million and increased 42% on a year-to-date basis.</w:t>
      </w:r>
    </w:p>
    <w:p>
      <w:pPr>
        <w:ind w:left="480" w:right="2399" w:hanging="480"/>
        <w:spacing w:after="0" w:line="373" w:lineRule="auto"/>
        <w:tabs>
          <w:tab w:leader="none" w:pos="4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from operations increased 33% over the second quarter of fiscal 2003 to $8.4 million and increased 39% in the six months to November 30, 2003.</w:t>
      </w:r>
    </w:p>
    <w:p>
      <w:pPr>
        <w:ind w:left="480" w:right="2399" w:hanging="480"/>
        <w:spacing w:after="0" w:line="290" w:lineRule="auto"/>
        <w:tabs>
          <w:tab w:leader="none" w:pos="4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Diluted earnings per share increased 25% for the second quarter to 45 cents compared to 36 cents in same quarter last year. Year-to-date diluted earnings per share was 92 cents compared to 69 cents for the comparable period last year.</w:t>
      </w:r>
    </w:p>
    <w:p>
      <w:pPr>
        <w:spacing w:after="0" w:line="63" w:lineRule="exact"/>
        <w:rPr>
          <w:rFonts w:ascii="Courier New" w:cs="Courier New" w:eastAsia="Courier New" w:hAnsi="Courier New"/>
          <w:sz w:val="16"/>
          <w:szCs w:val="16"/>
          <w:color w:val="auto"/>
        </w:rPr>
      </w:pPr>
    </w:p>
    <w:p>
      <w:pPr>
        <w:ind w:left="480" w:hanging="480"/>
        <w:spacing w:after="0"/>
        <w:tabs>
          <w:tab w:leader="none" w:pos="4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$67 million of net new business awarded to ICON during the quarter.</w:t>
      </w:r>
    </w:p>
    <w:p>
      <w:pPr>
        <w:spacing w:after="0" w:line="195" w:lineRule="exact"/>
        <w:rPr>
          <w:sz w:val="20"/>
          <w:szCs w:val="20"/>
          <w:color w:val="auto"/>
        </w:rPr>
      </w:pPr>
    </w:p>
    <w:p>
      <w:pPr>
        <w:ind w:right="2599"/>
        <w:spacing w:after="0" w:line="280" w:lineRule="auto"/>
        <w:rPr>
          <w:sz w:val="20"/>
          <w:szCs w:val="20"/>
          <w:color w:val="auto"/>
        </w:rPr>
      </w:pPr>
      <w:r>
        <w:rPr>
          <w:rFonts w:ascii="Courier New" w:cs="Courier New" w:eastAsia="Courier New" w:hAnsi="Courier New"/>
          <w:sz w:val="16"/>
          <w:szCs w:val="16"/>
          <w:color w:val="auto"/>
        </w:rPr>
        <w:t>Dublin, Ireland, January 13, 2004 - ICON plc (NASDAQ: ICLR), a global contract clinical research organisation, which has approximately 2,450 employees providing services to the pharmaceutical and biotech industries from 32 locations in 19 countries worldwide, today reported the financial results for its second quarter ended November 30, 2003.</w:t>
      </w:r>
    </w:p>
    <w:p>
      <w:pPr>
        <w:spacing w:after="0" w:line="70" w:lineRule="exact"/>
        <w:rPr>
          <w:sz w:val="20"/>
          <w:szCs w:val="20"/>
          <w:color w:val="auto"/>
        </w:rPr>
      </w:pPr>
    </w:p>
    <w:p>
      <w:pPr>
        <w:ind w:right="2399"/>
        <w:spacing w:after="0" w:line="290" w:lineRule="auto"/>
        <w:rPr>
          <w:sz w:val="20"/>
          <w:szCs w:val="20"/>
          <w:color w:val="auto"/>
        </w:rPr>
      </w:pPr>
      <w:r>
        <w:rPr>
          <w:rFonts w:ascii="Courier New" w:cs="Courier New" w:eastAsia="Courier New" w:hAnsi="Courier New"/>
          <w:sz w:val="16"/>
          <w:szCs w:val="16"/>
          <w:color w:val="auto"/>
        </w:rPr>
        <w:t>Net revenues for the quarter were $73.2 million, representing a 37% increase over net revenues of $53.5 million for the same quarter last year. Excluding the impact of acquisitions, revenue growth for the quarter was 21% over the same quarter last year.</w:t>
      </w:r>
    </w:p>
    <w:p>
      <w:pPr>
        <w:spacing w:after="0" w:line="64" w:lineRule="exact"/>
        <w:rPr>
          <w:sz w:val="20"/>
          <w:szCs w:val="20"/>
          <w:color w:val="auto"/>
        </w:rPr>
      </w:pPr>
    </w:p>
    <w:p>
      <w:pPr>
        <w:ind w:right="2399"/>
        <w:spacing w:after="0" w:line="273" w:lineRule="auto"/>
        <w:rPr>
          <w:sz w:val="20"/>
          <w:szCs w:val="20"/>
          <w:color w:val="auto"/>
        </w:rPr>
      </w:pPr>
      <w:r>
        <w:rPr>
          <w:rFonts w:ascii="Courier New" w:cs="Courier New" w:eastAsia="Courier New" w:hAnsi="Courier New"/>
          <w:sz w:val="16"/>
          <w:szCs w:val="16"/>
          <w:color w:val="auto"/>
        </w:rPr>
        <w:t>Income from operations was $8.4 million, which represents an increase of 33% from the $6.3 million reported for the second quarter last year. Operating margin for the quarter was 11.4% compared to 11.8% for the equivalent period last year. Net income for the quarter was $6.4 million or 45 cents per share, on a diluted basis, compared with $4.4 million or 36 cents per share for the second quarter last year.</w:t>
      </w:r>
    </w:p>
    <w:p>
      <w:pPr>
        <w:spacing w:after="0" w:line="79" w:lineRule="exact"/>
        <w:rPr>
          <w:sz w:val="20"/>
          <w:szCs w:val="20"/>
          <w:color w:val="auto"/>
        </w:rPr>
      </w:pPr>
    </w:p>
    <w:p>
      <w:pPr>
        <w:ind w:right="2399"/>
        <w:spacing w:after="0" w:line="290" w:lineRule="auto"/>
        <w:rPr>
          <w:sz w:val="20"/>
          <w:szCs w:val="20"/>
          <w:color w:val="auto"/>
        </w:rPr>
      </w:pPr>
      <w:r>
        <w:rPr>
          <w:rFonts w:ascii="Courier New" w:cs="Courier New" w:eastAsia="Courier New" w:hAnsi="Courier New"/>
          <w:sz w:val="16"/>
          <w:szCs w:val="16"/>
          <w:color w:val="auto"/>
        </w:rPr>
        <w:t>In the six months to November 30, 2003, net revenues were $142.1 million, representing a 42% increase over net revenues of $100.4 million reported for the first six months of last year. Excluding the impact of acquisitions, revenue growth was 25% for the six months ending November 30, 2003.</w:t>
      </w:r>
    </w:p>
    <w:p>
      <w:pPr>
        <w:spacing w:after="0" w:line="64" w:lineRule="exact"/>
        <w:rPr>
          <w:sz w:val="20"/>
          <w:szCs w:val="20"/>
          <w:color w:val="auto"/>
        </w:rPr>
      </w:pPr>
    </w:p>
    <w:p>
      <w:pPr>
        <w:ind w:right="2399"/>
        <w:spacing w:after="0" w:line="273" w:lineRule="auto"/>
        <w:rPr>
          <w:sz w:val="20"/>
          <w:szCs w:val="20"/>
          <w:color w:val="auto"/>
        </w:rPr>
      </w:pPr>
      <w:r>
        <w:rPr>
          <w:rFonts w:ascii="Courier New" w:cs="Courier New" w:eastAsia="Courier New" w:hAnsi="Courier New"/>
          <w:sz w:val="16"/>
          <w:szCs w:val="16"/>
          <w:color w:val="auto"/>
        </w:rPr>
        <w:t>Income from operations was $16.0 million, representing an increase of 39% from the $11.5 million reported for the same period last year. Operating margin for the six months to November 30, 2003 was 11.2%, compared to the 11.5% in the same period last year. Net income was $11.9 million or 92 cents per share, on a diluted basis compared with $8.4 million or 69 cents per share reported for the same period last year.</w:t>
      </w:r>
    </w:p>
    <w:p>
      <w:pPr>
        <w:spacing w:after="0" w:line="79" w:lineRule="exact"/>
        <w:rPr>
          <w:sz w:val="20"/>
          <w:szCs w:val="20"/>
          <w:color w:val="auto"/>
        </w:rPr>
      </w:pPr>
    </w:p>
    <w:p>
      <w:pPr>
        <w:ind w:right="2399"/>
        <w:spacing w:after="0" w:line="269" w:lineRule="auto"/>
        <w:rPr>
          <w:sz w:val="20"/>
          <w:szCs w:val="20"/>
          <w:color w:val="auto"/>
        </w:rPr>
      </w:pPr>
      <w:r>
        <w:rPr>
          <w:rFonts w:ascii="Courier New" w:cs="Courier New" w:eastAsia="Courier New" w:hAnsi="Courier New"/>
          <w:sz w:val="16"/>
          <w:szCs w:val="16"/>
          <w:color w:val="auto"/>
        </w:rPr>
        <w:t>Days sales outstanding, comprising accounts receivable and unbilled revenue less payments on account, were 69 days at November 30, 2003 compared with 64 days at May 31, 2003. Capital expenditure in the quarter was $4.3 million and year to date was $7.7 million while payments of $12.5 million were made in relation to acquisitions. The company's net cash, short-term debt and short-term investments were $44.0 million at November 30, 2003, compared to $51.4 million at August 31, 2003 and $11.2 million at May 31, 2003.</w:t>
      </w:r>
    </w:p>
    <w:p>
      <w:pPr>
        <w:spacing w:after="0" w:line="82" w:lineRule="exact"/>
        <w:rPr>
          <w:sz w:val="20"/>
          <w:szCs w:val="20"/>
          <w:color w:val="auto"/>
        </w:rPr>
      </w:pPr>
    </w:p>
    <w:p>
      <w:pPr>
        <w:ind w:right="2399"/>
        <w:spacing w:after="0" w:line="266" w:lineRule="auto"/>
        <w:rPr>
          <w:sz w:val="20"/>
          <w:szCs w:val="20"/>
          <w:color w:val="auto"/>
        </w:rPr>
      </w:pPr>
      <w:r>
        <w:rPr>
          <w:rFonts w:ascii="Courier New" w:cs="Courier New" w:eastAsia="Courier New" w:hAnsi="Courier New"/>
          <w:sz w:val="16"/>
          <w:szCs w:val="16"/>
          <w:color w:val="auto"/>
        </w:rPr>
        <w:t>"We are pleased with the results for our second quarter", commented Chairman, Dr John Climax. "Globomax, our most recent acquisition, performed well and progress on its integration has been excellent. Our clinical research segment reported a strong quarter, again achieving margins in excess of 14%, and significant progress was made in our central laboratory business which we believe is now in a good position to improve its performance over the coming quarters. However, with $67 million of net new business wins in the quarter, we need to improve our level of wins in the near term to maintain momentum.".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2399"/>
        <w:spacing w:after="0" w:line="269" w:lineRule="auto"/>
        <w:rPr>
          <w:sz w:val="20"/>
          <w:szCs w:val="20"/>
          <w:color w:val="auto"/>
        </w:rPr>
      </w:pPr>
      <w:r>
        <w:rPr>
          <w:rFonts w:ascii="Courier New" w:cs="Courier New" w:eastAsia="Courier New" w:hAnsi="Courier New"/>
          <w:sz w:val="16"/>
          <w:szCs w:val="16"/>
          <w:color w:val="auto"/>
        </w:rPr>
        <w:t>The company will hold its second quarter conference call today, January 13, 2004 at 11:00 EST [16:00 GMT / 17:00 CET]. This call and linked slide presentation can be accessed live from our website at http://www.iconclinical.com. A recording will also be available on the website for 90 days following the call. In addition, a calendar of company events, including upcoming conference presentations, is available on our website, under "shareholders services". This calendar will be updated regularly.</w:t>
      </w:r>
    </w:p>
    <w:p>
      <w:pPr>
        <w:spacing w:after="0" w:line="82" w:lineRule="exact"/>
        <w:rPr>
          <w:sz w:val="20"/>
          <w:szCs w:val="20"/>
          <w:color w:val="auto"/>
        </w:rPr>
      </w:pPr>
    </w:p>
    <w:p>
      <w:pPr>
        <w:ind w:right="2399"/>
        <w:spacing w:after="0" w:line="266" w:lineRule="auto"/>
        <w:rPr>
          <w:sz w:val="20"/>
          <w:szCs w:val="20"/>
          <w:color w:val="auto"/>
        </w:rPr>
      </w:pPr>
      <w:r>
        <w:rPr>
          <w:rFonts w:ascii="Courier New" w:cs="Courier New" w:eastAsia="Courier New" w:hAnsi="Courier New"/>
          <w:sz w:val="16"/>
          <w:szCs w:val="16"/>
          <w:color w:val="auto"/>
        </w:rPr>
        <w:t>The statements made in this Press Release may contain forward-looking statements that involve a number of risks and uncertainties. In addition to the matters described in this Press Release, the ability to maintain large client contracts or enter into new contracts, maintain client relationships and the ability to manage the opening of new offices, the integration of new business mergers and acquisitions, as well as other risks and uncertainties detailed from time to time in SEC reports filed by ICON, including its Form 20-F, F-1, S-8 and F-3, may affect the actual results achieved by ICON. ICON disclaims any intent or</w:t>
      </w:r>
    </w:p>
    <w:p>
      <w:pPr>
        <w:sectPr>
          <w:pgSz w:w="11900" w:h="16930" w:orient="portrait"/>
          <w:cols w:equalWidth="0" w:num="1">
            <w:col w:w="10219"/>
          </w:cols>
          <w:pgMar w:left="240" w:top="676"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obligation to update these forward-looking statements.</w:t>
      </w:r>
    </w:p>
    <w:p>
      <w:pPr>
        <w:spacing w:after="0" w:line="195" w:lineRule="exact"/>
        <w:rPr>
          <w:sz w:val="20"/>
          <w:szCs w:val="20"/>
          <w:color w:val="auto"/>
        </w:rPr>
      </w:pPr>
    </w:p>
    <w:p>
      <w:pPr>
        <w:ind w:right="2499"/>
        <w:spacing w:after="0" w:line="373" w:lineRule="auto"/>
        <w:rPr>
          <w:sz w:val="20"/>
          <w:szCs w:val="20"/>
          <w:color w:val="auto"/>
        </w:rPr>
      </w:pPr>
      <w:r>
        <w:rPr>
          <w:rFonts w:ascii="Courier New" w:cs="Courier New" w:eastAsia="Courier New" w:hAnsi="Courier New"/>
          <w:sz w:val="16"/>
          <w:szCs w:val="16"/>
          <w:color w:val="auto"/>
        </w:rPr>
        <w:t>The financial information presented herein has been prepared in accordance with U.S. GAAP.</w:t>
      </w:r>
    </w:p>
    <w:p>
      <w:pPr>
        <w:spacing w:after="0"/>
        <w:rPr>
          <w:sz w:val="20"/>
          <w:szCs w:val="20"/>
          <w:color w:val="auto"/>
        </w:rPr>
      </w:pPr>
      <w:r>
        <w:rPr>
          <w:rFonts w:ascii="Courier New" w:cs="Courier New" w:eastAsia="Courier New" w:hAnsi="Courier New"/>
          <w:sz w:val="16"/>
          <w:szCs w:val="16"/>
          <w:color w:val="auto"/>
        </w:rPr>
        <w:t>Source: ICON plc</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Contact: Investor Relations 1-888-381-7923 or</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Sean Leech CFO + 353 -1-216-11-00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Both at ICON.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http://www.iconclinical.com</w:t>
      </w:r>
    </w:p>
    <w:p>
      <w:pPr>
        <w:sectPr>
          <w:pgSz w:w="11900" w:h="16838" w:orient="portrait"/>
          <w:cols w:equalWidth="0" w:num="1">
            <w:col w:w="10219"/>
          </w:cols>
          <w:pgMar w:left="240" w:top="112" w:right="1440" w:bottom="1440" w:gutter="0" w:footer="0" w:header="0"/>
        </w:sectPr>
      </w:pPr>
    </w:p>
    <w:bookmarkStart w:id="5" w:name="page6"/>
    <w:bookmarkEnd w:id="5"/>
    <w:p>
      <w:pPr>
        <w:jc w:val="center"/>
        <w:ind w:right="3700"/>
        <w:spacing w:after="0"/>
        <w:rPr>
          <w:sz w:val="20"/>
          <w:szCs w:val="20"/>
          <w:color w:val="auto"/>
        </w:rPr>
      </w:pPr>
      <w:r>
        <w:rPr>
          <w:rFonts w:ascii="Courier New" w:cs="Courier New" w:eastAsia="Courier New" w:hAnsi="Courier New"/>
          <w:sz w:val="16"/>
          <w:szCs w:val="16"/>
          <w:color w:val="auto"/>
        </w:rPr>
        <w:t>ICON plc</w:t>
      </w:r>
    </w:p>
    <w:p>
      <w:pPr>
        <w:spacing w:after="0" w:line="195"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Consolidated Income Statements</w:t>
      </w:r>
    </w:p>
    <w:p>
      <w:pPr>
        <w:spacing w:after="0" w:line="37"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(Unaudited)</w:t>
      </w:r>
    </w:p>
    <w:p>
      <w:pPr>
        <w:spacing w:after="0" w:line="165"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Three and Six Months ended November 30, 2003 and 2002</w:t>
      </w:r>
    </w:p>
    <w:p>
      <w:pPr>
        <w:spacing w:after="0" w:line="37"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340" w:type="dxa"/>
            <w:vAlign w:val="bottom"/>
          </w:tcPr>
          <w:p>
            <w:pPr>
              <w:spacing w:after="0"/>
              <w:rPr>
                <w:sz w:val="16"/>
                <w:szCs w:val="16"/>
                <w:color w:val="auto"/>
              </w:rPr>
            </w:pPr>
          </w:p>
        </w:tc>
        <w:tc>
          <w:tcPr>
            <w:tcW w:w="2200" w:type="dxa"/>
            <w:vAlign w:val="bottom"/>
          </w:tcPr>
          <w:p>
            <w:pPr>
              <w:jc w:val="right"/>
              <w:ind w:right="2"/>
              <w:spacing w:after="0"/>
              <w:rPr>
                <w:sz w:val="20"/>
                <w:szCs w:val="20"/>
                <w:color w:val="auto"/>
              </w:rPr>
            </w:pPr>
            <w:r>
              <w:rPr>
                <w:rFonts w:ascii="Courier New" w:cs="Courier New" w:eastAsia="Courier New" w:hAnsi="Courier New"/>
                <w:sz w:val="16"/>
                <w:szCs w:val="16"/>
                <w:color w:val="auto"/>
              </w:rPr>
              <w:t>Three Months</w:t>
            </w:r>
          </w:p>
        </w:tc>
        <w:tc>
          <w:tcPr>
            <w:tcW w:w="1520" w:type="dxa"/>
            <w:vAlign w:val="bottom"/>
          </w:tcPr>
          <w:p>
            <w:pPr>
              <w:spacing w:after="0"/>
              <w:rPr>
                <w:sz w:val="20"/>
                <w:szCs w:val="20"/>
                <w:color w:val="auto"/>
              </w:rPr>
            </w:pPr>
            <w:r>
              <w:rPr>
                <w:rFonts w:ascii="Courier New" w:cs="Courier New" w:eastAsia="Courier New" w:hAnsi="Courier New"/>
                <w:sz w:val="16"/>
                <w:szCs w:val="16"/>
                <w:color w:val="auto"/>
              </w:rPr>
              <w:t>Ended</w:t>
            </w:r>
          </w:p>
        </w:tc>
        <w:tc>
          <w:tcPr>
            <w:tcW w:w="3460" w:type="dxa"/>
            <w:vAlign w:val="bottom"/>
            <w:gridSpan w:val="2"/>
          </w:tcPr>
          <w:p>
            <w:pPr>
              <w:jc w:val="right"/>
              <w:ind w:right="779"/>
              <w:spacing w:after="0"/>
              <w:rPr>
                <w:sz w:val="20"/>
                <w:szCs w:val="20"/>
                <w:color w:val="auto"/>
              </w:rPr>
            </w:pPr>
            <w:r>
              <w:rPr>
                <w:rFonts w:ascii="Courier New" w:cs="Courier New" w:eastAsia="Courier New" w:hAnsi="Courier New"/>
                <w:sz w:val="16"/>
                <w:szCs w:val="16"/>
                <w:color w:val="auto"/>
              </w:rPr>
              <w:t>Six Months Ended</w:t>
            </w:r>
          </w:p>
        </w:tc>
        <w:tc>
          <w:tcPr>
            <w:tcW w:w="0" w:type="dxa"/>
            <w:vAlign w:val="bottom"/>
          </w:tcPr>
          <w:p>
            <w:pPr>
              <w:spacing w:after="0"/>
              <w:rPr>
                <w:sz w:val="1"/>
                <w:szCs w:val="1"/>
                <w:color w:val="auto"/>
              </w:rPr>
            </w:pPr>
          </w:p>
        </w:tc>
      </w:tr>
      <w:tr>
        <w:trPr>
          <w:trHeight w:val="188"/>
        </w:trPr>
        <w:tc>
          <w:tcPr>
            <w:tcW w:w="4340" w:type="dxa"/>
            <w:vAlign w:val="bottom"/>
          </w:tcPr>
          <w:p>
            <w:pPr>
              <w:spacing w:after="0"/>
              <w:rPr>
                <w:sz w:val="16"/>
                <w:szCs w:val="16"/>
                <w:color w:val="auto"/>
              </w:rPr>
            </w:pPr>
          </w:p>
        </w:tc>
        <w:tc>
          <w:tcPr>
            <w:tcW w:w="22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November 30,</w:t>
            </w:r>
          </w:p>
        </w:tc>
        <w:tc>
          <w:tcPr>
            <w:tcW w:w="1520" w:type="dxa"/>
            <w:vAlign w:val="bottom"/>
          </w:tcPr>
          <w:p>
            <w:pPr>
              <w:spacing w:after="0"/>
              <w:rPr>
                <w:sz w:val="20"/>
                <w:szCs w:val="20"/>
                <w:color w:val="auto"/>
              </w:rPr>
            </w:pPr>
            <w:r>
              <w:rPr>
                <w:rFonts w:ascii="Courier New" w:cs="Courier New" w:eastAsia="Courier New" w:hAnsi="Courier New"/>
                <w:sz w:val="16"/>
                <w:szCs w:val="16"/>
                <w:color w:val="auto"/>
              </w:rPr>
              <w:t>November 30,</w:t>
            </w:r>
          </w:p>
        </w:tc>
        <w:tc>
          <w:tcPr>
            <w:tcW w:w="1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November 30,</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November 30,</w:t>
            </w:r>
          </w:p>
        </w:tc>
        <w:tc>
          <w:tcPr>
            <w:tcW w:w="0" w:type="dxa"/>
            <w:vAlign w:val="bottom"/>
          </w:tcPr>
          <w:p>
            <w:pPr>
              <w:spacing w:after="0"/>
              <w:rPr>
                <w:sz w:val="1"/>
                <w:szCs w:val="1"/>
                <w:color w:val="auto"/>
              </w:rPr>
            </w:pPr>
          </w:p>
        </w:tc>
      </w:tr>
      <w:tr>
        <w:trPr>
          <w:trHeight w:val="276"/>
        </w:trPr>
        <w:tc>
          <w:tcPr>
            <w:tcW w:w="4340" w:type="dxa"/>
            <w:vAlign w:val="bottom"/>
          </w:tcPr>
          <w:p>
            <w:pPr>
              <w:spacing w:after="0"/>
              <w:rPr>
                <w:sz w:val="23"/>
                <w:szCs w:val="23"/>
                <w:color w:val="auto"/>
              </w:rPr>
            </w:pPr>
          </w:p>
        </w:tc>
        <w:tc>
          <w:tcPr>
            <w:tcW w:w="22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2003</w:t>
            </w:r>
          </w:p>
        </w:tc>
        <w:tc>
          <w:tcPr>
            <w:tcW w:w="1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2002</w:t>
            </w:r>
          </w:p>
        </w:tc>
        <w:tc>
          <w:tcPr>
            <w:tcW w:w="1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2003</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2002</w:t>
            </w:r>
          </w:p>
        </w:tc>
        <w:tc>
          <w:tcPr>
            <w:tcW w:w="0" w:type="dxa"/>
            <w:vAlign w:val="bottom"/>
          </w:tcPr>
          <w:p>
            <w:pPr>
              <w:spacing w:after="0"/>
              <w:rPr>
                <w:sz w:val="1"/>
                <w:szCs w:val="1"/>
                <w:color w:val="auto"/>
              </w:rPr>
            </w:pPr>
          </w:p>
        </w:tc>
      </w:tr>
      <w:tr>
        <w:trPr>
          <w:trHeight w:val="564"/>
        </w:trPr>
        <w:tc>
          <w:tcPr>
            <w:tcW w:w="4340" w:type="dxa"/>
            <w:vAlign w:val="bottom"/>
          </w:tcPr>
          <w:p>
            <w:pPr>
              <w:spacing w:after="0"/>
              <w:rPr>
                <w:sz w:val="20"/>
                <w:szCs w:val="20"/>
                <w:color w:val="auto"/>
              </w:rPr>
            </w:pPr>
            <w:r>
              <w:rPr>
                <w:rFonts w:ascii="Courier New" w:cs="Courier New" w:eastAsia="Courier New" w:hAnsi="Courier New"/>
                <w:sz w:val="16"/>
                <w:szCs w:val="16"/>
                <w:color w:val="auto"/>
              </w:rPr>
              <w:t>Gross Revenue</w:t>
            </w:r>
          </w:p>
        </w:tc>
        <w:tc>
          <w:tcPr>
            <w:tcW w:w="22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113,173</w:t>
            </w:r>
          </w:p>
        </w:tc>
        <w:tc>
          <w:tcPr>
            <w:tcW w:w="1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84,978</w:t>
            </w:r>
          </w:p>
        </w:tc>
        <w:tc>
          <w:tcPr>
            <w:tcW w:w="1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219,350</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157,065</w:t>
            </w:r>
          </w:p>
        </w:tc>
        <w:tc>
          <w:tcPr>
            <w:tcW w:w="0" w:type="dxa"/>
            <w:vAlign w:val="bottom"/>
          </w:tcPr>
          <w:p>
            <w:pPr>
              <w:spacing w:after="0"/>
              <w:rPr>
                <w:sz w:val="1"/>
                <w:szCs w:val="1"/>
                <w:color w:val="auto"/>
              </w:rPr>
            </w:pPr>
          </w:p>
        </w:tc>
      </w:tr>
      <w:tr>
        <w:trPr>
          <w:trHeight w:val="376"/>
        </w:trPr>
        <w:tc>
          <w:tcPr>
            <w:tcW w:w="4340" w:type="dxa"/>
            <w:vAlign w:val="bottom"/>
          </w:tcPr>
          <w:p>
            <w:pPr>
              <w:spacing w:after="0"/>
              <w:rPr>
                <w:sz w:val="20"/>
                <w:szCs w:val="20"/>
                <w:color w:val="auto"/>
              </w:rPr>
            </w:pPr>
            <w:r>
              <w:rPr>
                <w:rFonts w:ascii="Courier New" w:cs="Courier New" w:eastAsia="Courier New" w:hAnsi="Courier New"/>
                <w:sz w:val="16"/>
                <w:szCs w:val="16"/>
                <w:color w:val="auto"/>
              </w:rPr>
              <w:t>Subcontractor costs</w:t>
            </w:r>
          </w:p>
        </w:tc>
        <w:tc>
          <w:tcPr>
            <w:tcW w:w="22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39,966</w:t>
            </w:r>
          </w:p>
        </w:tc>
        <w:tc>
          <w:tcPr>
            <w:tcW w:w="1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31,443</w:t>
            </w:r>
          </w:p>
        </w:tc>
        <w:tc>
          <w:tcPr>
            <w:tcW w:w="1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77,208</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56,671</w:t>
            </w:r>
          </w:p>
        </w:tc>
        <w:tc>
          <w:tcPr>
            <w:tcW w:w="0" w:type="dxa"/>
            <w:vAlign w:val="bottom"/>
          </w:tcPr>
          <w:p>
            <w:pPr>
              <w:spacing w:after="0"/>
              <w:rPr>
                <w:sz w:val="1"/>
                <w:szCs w:val="1"/>
                <w:color w:val="auto"/>
              </w:rPr>
            </w:pPr>
          </w:p>
        </w:tc>
      </w:tr>
      <w:tr>
        <w:trPr>
          <w:trHeight w:val="288"/>
        </w:trPr>
        <w:tc>
          <w:tcPr>
            <w:tcW w:w="4340" w:type="dxa"/>
            <w:vAlign w:val="bottom"/>
            <w:vMerge w:val="restart"/>
          </w:tcPr>
          <w:p>
            <w:pPr>
              <w:spacing w:after="0"/>
              <w:rPr>
                <w:sz w:val="20"/>
                <w:szCs w:val="20"/>
                <w:color w:val="auto"/>
              </w:rPr>
            </w:pPr>
            <w:r>
              <w:rPr>
                <w:rFonts w:ascii="Courier New" w:cs="Courier New" w:eastAsia="Courier New" w:hAnsi="Courier New"/>
                <w:sz w:val="16"/>
                <w:szCs w:val="16"/>
                <w:color w:val="auto"/>
              </w:rPr>
              <w:t>Net Revenue</w:t>
            </w:r>
          </w:p>
        </w:tc>
        <w:tc>
          <w:tcPr>
            <w:tcW w:w="2200" w:type="dxa"/>
            <w:vAlign w:val="bottom"/>
            <w:vMerge w:val="restart"/>
          </w:tcPr>
          <w:p>
            <w:pPr>
              <w:ind w:left="260"/>
              <w:spacing w:after="0"/>
              <w:rPr>
                <w:sz w:val="20"/>
                <w:szCs w:val="20"/>
                <w:color w:val="auto"/>
              </w:rPr>
            </w:pPr>
            <w:r>
              <w:rPr>
                <w:rFonts w:ascii="Courier New" w:cs="Courier New" w:eastAsia="Courier New" w:hAnsi="Courier New"/>
                <w:sz w:val="11"/>
                <w:szCs w:val="11"/>
                <w:color w:val="auto"/>
                <w:w w:val="73"/>
              </w:rPr>
              <w:t>----------------</w:t>
            </w:r>
            <w:r>
              <w:rPr>
                <w:rFonts w:ascii="Courier New" w:cs="Courier New" w:eastAsia="Courier New" w:hAnsi="Courier New"/>
                <w:sz w:val="18"/>
                <w:szCs w:val="18"/>
                <w:color w:val="auto"/>
                <w:w w:val="73"/>
                <w:vertAlign w:val="subscript"/>
              </w:rPr>
              <w:t>73,207</w:t>
            </w:r>
            <w:r>
              <w:rPr>
                <w:rFonts w:ascii="Courier New" w:cs="Courier New" w:eastAsia="Courier New" w:hAnsi="Courier New"/>
                <w:sz w:val="11"/>
                <w:szCs w:val="11"/>
                <w:color w:val="auto"/>
                <w:w w:val="73"/>
              </w:rPr>
              <w:t xml:space="preserve"> ----------------</w:t>
            </w:r>
          </w:p>
        </w:tc>
        <w:tc>
          <w:tcPr>
            <w:tcW w:w="152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53,535</w:t>
            </w:r>
          </w:p>
        </w:tc>
        <w:tc>
          <w:tcPr>
            <w:tcW w:w="3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c>
          <w:tcPr>
            <w:tcW w:w="0" w:type="dxa"/>
            <w:vAlign w:val="bottom"/>
          </w:tcPr>
          <w:p>
            <w:pPr>
              <w:spacing w:after="0"/>
              <w:rPr>
                <w:sz w:val="1"/>
                <w:szCs w:val="1"/>
                <w:color w:val="auto"/>
              </w:rPr>
            </w:pPr>
          </w:p>
        </w:tc>
      </w:tr>
      <w:tr>
        <w:trPr>
          <w:trHeight w:val="276"/>
        </w:trPr>
        <w:tc>
          <w:tcPr>
            <w:tcW w:w="4340" w:type="dxa"/>
            <w:vAlign w:val="bottom"/>
            <w:vMerge w:val="continue"/>
          </w:tcPr>
          <w:p>
            <w:pPr>
              <w:spacing w:after="0"/>
              <w:rPr>
                <w:sz w:val="23"/>
                <w:szCs w:val="23"/>
                <w:color w:val="auto"/>
              </w:rPr>
            </w:pPr>
          </w:p>
        </w:tc>
        <w:tc>
          <w:tcPr>
            <w:tcW w:w="2200" w:type="dxa"/>
            <w:vAlign w:val="bottom"/>
            <w:vMerge w:val="continue"/>
          </w:tcPr>
          <w:p>
            <w:pPr>
              <w:spacing w:after="0"/>
              <w:rPr>
                <w:sz w:val="23"/>
                <w:szCs w:val="23"/>
                <w:color w:val="auto"/>
              </w:rPr>
            </w:pPr>
          </w:p>
        </w:tc>
        <w:tc>
          <w:tcPr>
            <w:tcW w:w="1520" w:type="dxa"/>
            <w:vAlign w:val="bottom"/>
            <w:vMerge w:val="continue"/>
          </w:tcPr>
          <w:p>
            <w:pPr>
              <w:spacing w:after="0"/>
              <w:rPr>
                <w:sz w:val="23"/>
                <w:szCs w:val="23"/>
                <w:color w:val="auto"/>
              </w:rPr>
            </w:pPr>
          </w:p>
        </w:tc>
        <w:tc>
          <w:tcPr>
            <w:tcW w:w="1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142,142</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100,394</w:t>
            </w:r>
          </w:p>
        </w:tc>
        <w:tc>
          <w:tcPr>
            <w:tcW w:w="0" w:type="dxa"/>
            <w:vAlign w:val="bottom"/>
          </w:tcPr>
          <w:p>
            <w:pPr>
              <w:spacing w:after="0"/>
              <w:rPr>
                <w:sz w:val="1"/>
                <w:szCs w:val="1"/>
                <w:color w:val="auto"/>
              </w:rPr>
            </w:pPr>
          </w:p>
        </w:tc>
      </w:tr>
      <w:tr>
        <w:trPr>
          <w:trHeight w:val="288"/>
        </w:trPr>
        <w:tc>
          <w:tcPr>
            <w:tcW w:w="434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2200" w:type="dxa"/>
            <w:vAlign w:val="bottom"/>
            <w:vMerge w:val="restart"/>
          </w:tcPr>
          <w:p>
            <w:pPr>
              <w:jc w:val="right"/>
              <w:ind w:right="402"/>
              <w:spacing w:after="0"/>
              <w:rPr>
                <w:sz w:val="20"/>
                <w:szCs w:val="20"/>
                <w:color w:val="auto"/>
              </w:rPr>
            </w:pPr>
            <w:r>
              <w:rPr>
                <w:rFonts w:ascii="Courier New" w:cs="Courier New" w:eastAsia="Courier New" w:hAnsi="Courier New"/>
                <w:sz w:val="16"/>
                <w:szCs w:val="16"/>
                <w:color w:val="auto"/>
              </w:rPr>
              <w:t>40,070</w:t>
            </w:r>
          </w:p>
        </w:tc>
        <w:tc>
          <w:tcPr>
            <w:tcW w:w="152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28,716</w:t>
            </w:r>
          </w:p>
        </w:tc>
        <w:tc>
          <w:tcPr>
            <w:tcW w:w="19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77,769</w:t>
            </w:r>
          </w:p>
        </w:tc>
        <w:tc>
          <w:tcPr>
            <w:tcW w:w="15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54,141</w:t>
            </w:r>
          </w:p>
        </w:tc>
        <w:tc>
          <w:tcPr>
            <w:tcW w:w="0" w:type="dxa"/>
            <w:vAlign w:val="bottom"/>
          </w:tcPr>
          <w:p>
            <w:pPr>
              <w:spacing w:after="0"/>
              <w:rPr>
                <w:sz w:val="1"/>
                <w:szCs w:val="1"/>
                <w:color w:val="auto"/>
              </w:rPr>
            </w:pPr>
          </w:p>
        </w:tc>
      </w:tr>
      <w:tr>
        <w:trPr>
          <w:trHeight w:val="188"/>
        </w:trPr>
        <w:tc>
          <w:tcPr>
            <w:tcW w:w="4340" w:type="dxa"/>
            <w:vAlign w:val="bottom"/>
          </w:tcPr>
          <w:p>
            <w:pPr>
              <w:spacing w:after="0"/>
              <w:rPr>
                <w:sz w:val="20"/>
                <w:szCs w:val="20"/>
                <w:color w:val="auto"/>
              </w:rPr>
            </w:pPr>
            <w:r>
              <w:rPr>
                <w:rFonts w:ascii="Courier New" w:cs="Courier New" w:eastAsia="Courier New" w:hAnsi="Courier New"/>
                <w:sz w:val="16"/>
                <w:szCs w:val="16"/>
                <w:color w:val="auto"/>
              </w:rPr>
              <w:t>Direct costs</w:t>
            </w:r>
          </w:p>
        </w:tc>
        <w:tc>
          <w:tcPr>
            <w:tcW w:w="2200" w:type="dxa"/>
            <w:vAlign w:val="bottom"/>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1960" w:type="dxa"/>
            <w:vAlign w:val="bottom"/>
            <w:vMerge w:val="continue"/>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34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w:t>
            </w:r>
          </w:p>
        </w:tc>
        <w:tc>
          <w:tcPr>
            <w:tcW w:w="22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22,041</w:t>
            </w:r>
          </w:p>
        </w:tc>
        <w:tc>
          <w:tcPr>
            <w:tcW w:w="1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16,948</w:t>
            </w:r>
          </w:p>
        </w:tc>
        <w:tc>
          <w:tcPr>
            <w:tcW w:w="1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43,066</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31,591</w:t>
            </w:r>
          </w:p>
        </w:tc>
        <w:tc>
          <w:tcPr>
            <w:tcW w:w="0" w:type="dxa"/>
            <w:vAlign w:val="bottom"/>
          </w:tcPr>
          <w:p>
            <w:pPr>
              <w:spacing w:after="0"/>
              <w:rPr>
                <w:sz w:val="1"/>
                <w:szCs w:val="1"/>
                <w:color w:val="auto"/>
              </w:rPr>
            </w:pPr>
          </w:p>
        </w:tc>
      </w:tr>
      <w:tr>
        <w:trPr>
          <w:trHeight w:val="276"/>
        </w:trPr>
        <w:tc>
          <w:tcPr>
            <w:tcW w:w="434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22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2,732</w:t>
            </w:r>
          </w:p>
        </w:tc>
        <w:tc>
          <w:tcPr>
            <w:tcW w:w="1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1,578</w:t>
            </w:r>
          </w:p>
        </w:tc>
        <w:tc>
          <w:tcPr>
            <w:tcW w:w="1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5,321</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3,148</w:t>
            </w:r>
          </w:p>
        </w:tc>
        <w:tc>
          <w:tcPr>
            <w:tcW w:w="0" w:type="dxa"/>
            <w:vAlign w:val="bottom"/>
          </w:tcPr>
          <w:p>
            <w:pPr>
              <w:spacing w:after="0"/>
              <w:rPr>
                <w:sz w:val="1"/>
                <w:szCs w:val="1"/>
                <w:color w:val="auto"/>
              </w:rPr>
            </w:pPr>
          </w:p>
        </w:tc>
      </w:tr>
      <w:tr>
        <w:trPr>
          <w:trHeight w:val="288"/>
        </w:trPr>
        <w:tc>
          <w:tcPr>
            <w:tcW w:w="4340" w:type="dxa"/>
            <w:vAlign w:val="bottom"/>
            <w:vMerge w:val="restart"/>
          </w:tcPr>
          <w:p>
            <w:pPr>
              <w:spacing w:after="0"/>
              <w:rPr>
                <w:sz w:val="20"/>
                <w:szCs w:val="20"/>
                <w:color w:val="auto"/>
              </w:rPr>
            </w:pPr>
            <w:r>
              <w:rPr>
                <w:rFonts w:ascii="Courier New" w:cs="Courier New" w:eastAsia="Courier New" w:hAnsi="Courier New"/>
                <w:sz w:val="16"/>
                <w:szCs w:val="16"/>
                <w:color w:val="auto"/>
              </w:rPr>
              <w:t>Total costs and expenses</w:t>
            </w:r>
          </w:p>
        </w:tc>
        <w:tc>
          <w:tcPr>
            <w:tcW w:w="2200" w:type="dxa"/>
            <w:vAlign w:val="bottom"/>
            <w:vMerge w:val="restart"/>
          </w:tcPr>
          <w:p>
            <w:pPr>
              <w:ind w:left="260"/>
              <w:spacing w:after="0"/>
              <w:rPr>
                <w:sz w:val="20"/>
                <w:szCs w:val="20"/>
                <w:color w:val="auto"/>
              </w:rPr>
            </w:pPr>
            <w:r>
              <w:rPr>
                <w:rFonts w:ascii="Courier New" w:cs="Courier New" w:eastAsia="Courier New" w:hAnsi="Courier New"/>
                <w:sz w:val="11"/>
                <w:szCs w:val="11"/>
                <w:color w:val="auto"/>
                <w:w w:val="73"/>
              </w:rPr>
              <w:t>----------------</w:t>
            </w:r>
            <w:r>
              <w:rPr>
                <w:rFonts w:ascii="Courier New" w:cs="Courier New" w:eastAsia="Courier New" w:hAnsi="Courier New"/>
                <w:sz w:val="18"/>
                <w:szCs w:val="18"/>
                <w:color w:val="auto"/>
                <w:w w:val="73"/>
                <w:vertAlign w:val="subscript"/>
              </w:rPr>
              <w:t>64,843</w:t>
            </w:r>
            <w:r>
              <w:rPr>
                <w:rFonts w:ascii="Courier New" w:cs="Courier New" w:eastAsia="Courier New" w:hAnsi="Courier New"/>
                <w:sz w:val="11"/>
                <w:szCs w:val="11"/>
                <w:color w:val="auto"/>
                <w:w w:val="73"/>
              </w:rPr>
              <w:t xml:space="preserve"> ----------------</w:t>
            </w:r>
          </w:p>
        </w:tc>
        <w:tc>
          <w:tcPr>
            <w:tcW w:w="152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47,242</w:t>
            </w:r>
          </w:p>
        </w:tc>
        <w:tc>
          <w:tcPr>
            <w:tcW w:w="3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c>
          <w:tcPr>
            <w:tcW w:w="0" w:type="dxa"/>
            <w:vAlign w:val="bottom"/>
          </w:tcPr>
          <w:p>
            <w:pPr>
              <w:spacing w:after="0"/>
              <w:rPr>
                <w:sz w:val="1"/>
                <w:szCs w:val="1"/>
                <w:color w:val="auto"/>
              </w:rPr>
            </w:pPr>
          </w:p>
        </w:tc>
      </w:tr>
      <w:tr>
        <w:trPr>
          <w:trHeight w:val="276"/>
        </w:trPr>
        <w:tc>
          <w:tcPr>
            <w:tcW w:w="4340" w:type="dxa"/>
            <w:vAlign w:val="bottom"/>
            <w:vMerge w:val="continue"/>
          </w:tcPr>
          <w:p>
            <w:pPr>
              <w:spacing w:after="0"/>
              <w:rPr>
                <w:sz w:val="23"/>
                <w:szCs w:val="23"/>
                <w:color w:val="auto"/>
              </w:rPr>
            </w:pPr>
          </w:p>
        </w:tc>
        <w:tc>
          <w:tcPr>
            <w:tcW w:w="2200" w:type="dxa"/>
            <w:vAlign w:val="bottom"/>
            <w:vMerge w:val="continue"/>
          </w:tcPr>
          <w:p>
            <w:pPr>
              <w:spacing w:after="0"/>
              <w:rPr>
                <w:sz w:val="23"/>
                <w:szCs w:val="23"/>
                <w:color w:val="auto"/>
              </w:rPr>
            </w:pPr>
          </w:p>
        </w:tc>
        <w:tc>
          <w:tcPr>
            <w:tcW w:w="1520" w:type="dxa"/>
            <w:vAlign w:val="bottom"/>
            <w:vMerge w:val="continue"/>
          </w:tcPr>
          <w:p>
            <w:pPr>
              <w:spacing w:after="0"/>
              <w:rPr>
                <w:sz w:val="23"/>
                <w:szCs w:val="23"/>
                <w:color w:val="auto"/>
              </w:rPr>
            </w:pPr>
          </w:p>
        </w:tc>
        <w:tc>
          <w:tcPr>
            <w:tcW w:w="1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126,156</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88,880</w:t>
            </w:r>
          </w:p>
        </w:tc>
        <w:tc>
          <w:tcPr>
            <w:tcW w:w="0" w:type="dxa"/>
            <w:vAlign w:val="bottom"/>
          </w:tcPr>
          <w:p>
            <w:pPr>
              <w:spacing w:after="0"/>
              <w:rPr>
                <w:sz w:val="1"/>
                <w:szCs w:val="1"/>
                <w:color w:val="auto"/>
              </w:rPr>
            </w:pPr>
          </w:p>
        </w:tc>
      </w:tr>
      <w:tr>
        <w:trPr>
          <w:trHeight w:val="376"/>
        </w:trPr>
        <w:tc>
          <w:tcPr>
            <w:tcW w:w="4340" w:type="dxa"/>
            <w:vAlign w:val="bottom"/>
          </w:tcPr>
          <w:p>
            <w:pPr>
              <w:spacing w:after="0"/>
              <w:rPr>
                <w:sz w:val="20"/>
                <w:szCs w:val="20"/>
                <w:color w:val="auto"/>
              </w:rPr>
            </w:pPr>
            <w:r>
              <w:rPr>
                <w:rFonts w:ascii="Courier New" w:cs="Courier New" w:eastAsia="Courier New" w:hAnsi="Courier New"/>
                <w:sz w:val="16"/>
                <w:szCs w:val="16"/>
                <w:color w:val="auto"/>
              </w:rPr>
              <w:t>Income from operations</w:t>
            </w:r>
          </w:p>
        </w:tc>
        <w:tc>
          <w:tcPr>
            <w:tcW w:w="22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8,364</w:t>
            </w:r>
          </w:p>
        </w:tc>
        <w:tc>
          <w:tcPr>
            <w:tcW w:w="1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6,293</w:t>
            </w:r>
          </w:p>
        </w:tc>
        <w:tc>
          <w:tcPr>
            <w:tcW w:w="1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15,986</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11,514</w:t>
            </w:r>
          </w:p>
        </w:tc>
        <w:tc>
          <w:tcPr>
            <w:tcW w:w="0" w:type="dxa"/>
            <w:vAlign w:val="bottom"/>
          </w:tcPr>
          <w:p>
            <w:pPr>
              <w:spacing w:after="0"/>
              <w:rPr>
                <w:sz w:val="1"/>
                <w:szCs w:val="1"/>
                <w:color w:val="auto"/>
              </w:rPr>
            </w:pPr>
          </w:p>
        </w:tc>
      </w:tr>
      <w:tr>
        <w:trPr>
          <w:trHeight w:val="376"/>
        </w:trPr>
        <w:tc>
          <w:tcPr>
            <w:tcW w:w="4340" w:type="dxa"/>
            <w:vAlign w:val="bottom"/>
          </w:tcPr>
          <w:p>
            <w:pPr>
              <w:spacing w:after="0"/>
              <w:rPr>
                <w:sz w:val="20"/>
                <w:szCs w:val="20"/>
                <w:color w:val="auto"/>
              </w:rPr>
            </w:pPr>
            <w:r>
              <w:rPr>
                <w:rFonts w:ascii="Courier New" w:cs="Courier New" w:eastAsia="Courier New" w:hAnsi="Courier New"/>
                <w:sz w:val="16"/>
                <w:szCs w:val="16"/>
                <w:color w:val="auto"/>
              </w:rPr>
              <w:t>Interest income (net)</w:t>
            </w:r>
          </w:p>
        </w:tc>
        <w:tc>
          <w:tcPr>
            <w:tcW w:w="22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75</w:t>
            </w:r>
          </w:p>
        </w:tc>
        <w:tc>
          <w:tcPr>
            <w:tcW w:w="1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73</w:t>
            </w:r>
          </w:p>
        </w:tc>
        <w:tc>
          <w:tcPr>
            <w:tcW w:w="1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122</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259</w:t>
            </w:r>
          </w:p>
        </w:tc>
        <w:tc>
          <w:tcPr>
            <w:tcW w:w="0" w:type="dxa"/>
            <w:vAlign w:val="bottom"/>
          </w:tcPr>
          <w:p>
            <w:pPr>
              <w:spacing w:after="0"/>
              <w:rPr>
                <w:sz w:val="1"/>
                <w:szCs w:val="1"/>
                <w:color w:val="auto"/>
              </w:rPr>
            </w:pPr>
          </w:p>
        </w:tc>
      </w:tr>
      <w:tr>
        <w:trPr>
          <w:trHeight w:val="288"/>
        </w:trPr>
        <w:tc>
          <w:tcPr>
            <w:tcW w:w="4340" w:type="dxa"/>
            <w:vAlign w:val="bottom"/>
            <w:vMerge w:val="restart"/>
          </w:tcPr>
          <w:p>
            <w:pPr>
              <w:spacing w:after="0"/>
              <w:rPr>
                <w:sz w:val="20"/>
                <w:szCs w:val="20"/>
                <w:color w:val="auto"/>
              </w:rPr>
            </w:pPr>
            <w:r>
              <w:rPr>
                <w:rFonts w:ascii="Courier New" w:cs="Courier New" w:eastAsia="Courier New" w:hAnsi="Courier New"/>
                <w:sz w:val="16"/>
                <w:szCs w:val="16"/>
                <w:color w:val="auto"/>
              </w:rPr>
              <w:t>Income before provision of income taxes</w:t>
            </w:r>
          </w:p>
        </w:tc>
        <w:tc>
          <w:tcPr>
            <w:tcW w:w="2200" w:type="dxa"/>
            <w:vAlign w:val="bottom"/>
            <w:vMerge w:val="restart"/>
          </w:tcPr>
          <w:p>
            <w:pPr>
              <w:ind w:left="260"/>
              <w:spacing w:after="0"/>
              <w:rPr>
                <w:sz w:val="20"/>
                <w:szCs w:val="20"/>
                <w:color w:val="auto"/>
              </w:rPr>
            </w:pPr>
            <w:r>
              <w:rPr>
                <w:rFonts w:ascii="Courier New" w:cs="Courier New" w:eastAsia="Courier New" w:hAnsi="Courier New"/>
                <w:sz w:val="11"/>
                <w:szCs w:val="11"/>
                <w:color w:val="auto"/>
                <w:w w:val="75"/>
              </w:rPr>
              <w:t>----------------</w:t>
            </w:r>
            <w:r>
              <w:rPr>
                <w:rFonts w:ascii="Courier New" w:cs="Courier New" w:eastAsia="Courier New" w:hAnsi="Courier New"/>
                <w:sz w:val="18"/>
                <w:szCs w:val="18"/>
                <w:color w:val="auto"/>
                <w:w w:val="75"/>
                <w:vertAlign w:val="subscript"/>
              </w:rPr>
              <w:t>8,439</w:t>
            </w:r>
            <w:r>
              <w:rPr>
                <w:rFonts w:ascii="Courier New" w:cs="Courier New" w:eastAsia="Courier New" w:hAnsi="Courier New"/>
                <w:sz w:val="11"/>
                <w:szCs w:val="11"/>
                <w:color w:val="auto"/>
                <w:w w:val="75"/>
              </w:rPr>
              <w:t xml:space="preserve"> ----------------</w:t>
            </w:r>
          </w:p>
        </w:tc>
        <w:tc>
          <w:tcPr>
            <w:tcW w:w="152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6,366</w:t>
            </w:r>
          </w:p>
        </w:tc>
        <w:tc>
          <w:tcPr>
            <w:tcW w:w="3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c>
          <w:tcPr>
            <w:tcW w:w="0" w:type="dxa"/>
            <w:vAlign w:val="bottom"/>
          </w:tcPr>
          <w:p>
            <w:pPr>
              <w:spacing w:after="0"/>
              <w:rPr>
                <w:sz w:val="1"/>
                <w:szCs w:val="1"/>
                <w:color w:val="auto"/>
              </w:rPr>
            </w:pPr>
          </w:p>
        </w:tc>
      </w:tr>
      <w:tr>
        <w:trPr>
          <w:trHeight w:val="276"/>
        </w:trPr>
        <w:tc>
          <w:tcPr>
            <w:tcW w:w="4340" w:type="dxa"/>
            <w:vAlign w:val="bottom"/>
            <w:vMerge w:val="continue"/>
          </w:tcPr>
          <w:p>
            <w:pPr>
              <w:spacing w:after="0"/>
              <w:rPr>
                <w:sz w:val="23"/>
                <w:szCs w:val="23"/>
                <w:color w:val="auto"/>
              </w:rPr>
            </w:pPr>
          </w:p>
        </w:tc>
        <w:tc>
          <w:tcPr>
            <w:tcW w:w="2200" w:type="dxa"/>
            <w:vAlign w:val="bottom"/>
            <w:vMerge w:val="continue"/>
          </w:tcPr>
          <w:p>
            <w:pPr>
              <w:spacing w:after="0"/>
              <w:rPr>
                <w:sz w:val="23"/>
                <w:szCs w:val="23"/>
                <w:color w:val="auto"/>
              </w:rPr>
            </w:pPr>
          </w:p>
        </w:tc>
        <w:tc>
          <w:tcPr>
            <w:tcW w:w="1520" w:type="dxa"/>
            <w:vAlign w:val="bottom"/>
            <w:vMerge w:val="continue"/>
          </w:tcPr>
          <w:p>
            <w:pPr>
              <w:spacing w:after="0"/>
              <w:rPr>
                <w:sz w:val="23"/>
                <w:szCs w:val="23"/>
                <w:color w:val="auto"/>
              </w:rPr>
            </w:pPr>
          </w:p>
        </w:tc>
        <w:tc>
          <w:tcPr>
            <w:tcW w:w="1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16,108</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11,773</w:t>
            </w:r>
          </w:p>
        </w:tc>
        <w:tc>
          <w:tcPr>
            <w:tcW w:w="0" w:type="dxa"/>
            <w:vAlign w:val="bottom"/>
          </w:tcPr>
          <w:p>
            <w:pPr>
              <w:spacing w:after="0"/>
              <w:rPr>
                <w:sz w:val="1"/>
                <w:szCs w:val="1"/>
                <w:color w:val="auto"/>
              </w:rPr>
            </w:pPr>
          </w:p>
        </w:tc>
      </w:tr>
      <w:tr>
        <w:trPr>
          <w:trHeight w:val="288"/>
        </w:trPr>
        <w:tc>
          <w:tcPr>
            <w:tcW w:w="4340" w:type="dxa"/>
            <w:vAlign w:val="bottom"/>
          </w:tcPr>
          <w:p>
            <w:pPr>
              <w:spacing w:after="0"/>
              <w:rPr>
                <w:sz w:val="20"/>
                <w:szCs w:val="20"/>
                <w:color w:val="auto"/>
              </w:rPr>
            </w:pPr>
            <w:r>
              <w:rPr>
                <w:rFonts w:ascii="Courier New" w:cs="Courier New" w:eastAsia="Courier New" w:hAnsi="Courier New"/>
                <w:sz w:val="16"/>
                <w:szCs w:val="16"/>
                <w:color w:val="auto"/>
              </w:rPr>
              <w:t>Provision for income taxes</w:t>
            </w:r>
          </w:p>
        </w:tc>
        <w:tc>
          <w:tcPr>
            <w:tcW w:w="22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2,174</w:t>
            </w:r>
          </w:p>
        </w:tc>
        <w:tc>
          <w:tcPr>
            <w:tcW w:w="1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1,947</w:t>
            </w:r>
          </w:p>
        </w:tc>
        <w:tc>
          <w:tcPr>
            <w:tcW w:w="1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4,239</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3,381</w:t>
            </w:r>
          </w:p>
        </w:tc>
        <w:tc>
          <w:tcPr>
            <w:tcW w:w="0" w:type="dxa"/>
            <w:vAlign w:val="bottom"/>
          </w:tcPr>
          <w:p>
            <w:pPr>
              <w:spacing w:after="0"/>
              <w:rPr>
                <w:sz w:val="1"/>
                <w:szCs w:val="1"/>
                <w:color w:val="auto"/>
              </w:rPr>
            </w:pPr>
          </w:p>
        </w:tc>
      </w:tr>
      <w:tr>
        <w:trPr>
          <w:trHeight w:val="276"/>
        </w:trPr>
        <w:tc>
          <w:tcPr>
            <w:tcW w:w="4340" w:type="dxa"/>
            <w:vAlign w:val="bottom"/>
          </w:tcPr>
          <w:p>
            <w:pPr>
              <w:spacing w:after="0"/>
              <w:rPr>
                <w:sz w:val="23"/>
                <w:szCs w:val="23"/>
                <w:color w:val="auto"/>
              </w:rPr>
            </w:pPr>
          </w:p>
        </w:tc>
        <w:tc>
          <w:tcPr>
            <w:tcW w:w="3720" w:type="dxa"/>
            <w:vAlign w:val="bottom"/>
            <w:gridSpan w:val="2"/>
          </w:tcPr>
          <w:p>
            <w:pPr>
              <w:ind w:left="260"/>
              <w:spacing w:after="0"/>
              <w:rPr>
                <w:sz w:val="20"/>
                <w:szCs w:val="20"/>
                <w:color w:val="auto"/>
              </w:rPr>
            </w:pPr>
            <w:r>
              <w:rPr>
                <w:rFonts w:ascii="Courier New" w:cs="Courier New" w:eastAsia="Courier New" w:hAnsi="Courier New"/>
                <w:sz w:val="16"/>
                <w:szCs w:val="16"/>
                <w:color w:val="auto"/>
              </w:rPr>
              <w:t>---------------- ----------------</w:t>
            </w:r>
          </w:p>
        </w:tc>
        <w:tc>
          <w:tcPr>
            <w:tcW w:w="3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c>
          <w:tcPr>
            <w:tcW w:w="0" w:type="dxa"/>
            <w:vAlign w:val="bottom"/>
          </w:tcPr>
          <w:p>
            <w:pPr>
              <w:spacing w:after="0"/>
              <w:rPr>
                <w:sz w:val="1"/>
                <w:szCs w:val="1"/>
                <w:color w:val="auto"/>
              </w:rPr>
            </w:pPr>
          </w:p>
        </w:tc>
      </w:tr>
      <w:tr>
        <w:trPr>
          <w:trHeight w:val="288"/>
        </w:trPr>
        <w:tc>
          <w:tcPr>
            <w:tcW w:w="434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22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6,265</w:t>
            </w:r>
          </w:p>
        </w:tc>
        <w:tc>
          <w:tcPr>
            <w:tcW w:w="1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4,419</w:t>
            </w:r>
          </w:p>
        </w:tc>
        <w:tc>
          <w:tcPr>
            <w:tcW w:w="1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11,869</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8,392</w:t>
            </w:r>
          </w:p>
        </w:tc>
        <w:tc>
          <w:tcPr>
            <w:tcW w:w="0" w:type="dxa"/>
            <w:vAlign w:val="bottom"/>
          </w:tcPr>
          <w:p>
            <w:pPr>
              <w:spacing w:after="0"/>
              <w:rPr>
                <w:sz w:val="1"/>
                <w:szCs w:val="1"/>
                <w:color w:val="auto"/>
              </w:rPr>
            </w:pPr>
          </w:p>
        </w:tc>
      </w:tr>
      <w:tr>
        <w:trPr>
          <w:trHeight w:val="276"/>
        </w:trPr>
        <w:tc>
          <w:tcPr>
            <w:tcW w:w="4340" w:type="dxa"/>
            <w:vAlign w:val="bottom"/>
          </w:tcPr>
          <w:p>
            <w:pPr>
              <w:spacing w:after="0"/>
              <w:rPr>
                <w:sz w:val="23"/>
                <w:szCs w:val="23"/>
                <w:color w:val="auto"/>
              </w:rPr>
            </w:pPr>
          </w:p>
        </w:tc>
        <w:tc>
          <w:tcPr>
            <w:tcW w:w="3720" w:type="dxa"/>
            <w:vAlign w:val="bottom"/>
            <w:gridSpan w:val="2"/>
          </w:tcPr>
          <w:p>
            <w:pPr>
              <w:ind w:left="260"/>
              <w:spacing w:after="0"/>
              <w:rPr>
                <w:sz w:val="20"/>
                <w:szCs w:val="20"/>
                <w:color w:val="auto"/>
              </w:rPr>
            </w:pPr>
            <w:r>
              <w:rPr>
                <w:rFonts w:ascii="Courier New" w:cs="Courier New" w:eastAsia="Courier New" w:hAnsi="Courier New"/>
                <w:sz w:val="16"/>
                <w:szCs w:val="16"/>
                <w:color w:val="auto"/>
              </w:rPr>
              <w:t>================ ================</w:t>
            </w:r>
          </w:p>
        </w:tc>
        <w:tc>
          <w:tcPr>
            <w:tcW w:w="3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c>
          <w:tcPr>
            <w:tcW w:w="0" w:type="dxa"/>
            <w:vAlign w:val="bottom"/>
          </w:tcPr>
          <w:p>
            <w:pPr>
              <w:spacing w:after="0"/>
              <w:rPr>
                <w:sz w:val="1"/>
                <w:szCs w:val="1"/>
                <w:color w:val="auto"/>
              </w:rPr>
            </w:pPr>
          </w:p>
        </w:tc>
      </w:tr>
      <w:tr>
        <w:trPr>
          <w:trHeight w:val="288"/>
        </w:trPr>
        <w:tc>
          <w:tcPr>
            <w:tcW w:w="4340" w:type="dxa"/>
            <w:vAlign w:val="bottom"/>
          </w:tcPr>
          <w:p>
            <w:pPr>
              <w:spacing w:after="0"/>
              <w:rPr>
                <w:sz w:val="20"/>
                <w:szCs w:val="20"/>
                <w:color w:val="auto"/>
              </w:rPr>
            </w:pPr>
            <w:r>
              <w:rPr>
                <w:rFonts w:ascii="Courier New" w:cs="Courier New" w:eastAsia="Courier New" w:hAnsi="Courier New"/>
                <w:sz w:val="16"/>
                <w:szCs w:val="16"/>
                <w:color w:val="auto"/>
              </w:rPr>
              <w:t>Net income per ordinary share</w:t>
            </w:r>
          </w:p>
        </w:tc>
        <w:tc>
          <w:tcPr>
            <w:tcW w:w="2200" w:type="dxa"/>
            <w:vAlign w:val="bottom"/>
            <w:vMerge w:val="restart"/>
          </w:tcPr>
          <w:p>
            <w:pPr>
              <w:jc w:val="right"/>
              <w:ind w:right="402"/>
              <w:spacing w:after="0"/>
              <w:rPr>
                <w:sz w:val="20"/>
                <w:szCs w:val="20"/>
                <w:color w:val="auto"/>
              </w:rPr>
            </w:pPr>
            <w:r>
              <w:rPr>
                <w:rFonts w:ascii="Courier New" w:cs="Courier New" w:eastAsia="Courier New" w:hAnsi="Courier New"/>
                <w:sz w:val="16"/>
                <w:szCs w:val="16"/>
                <w:color w:val="auto"/>
              </w:rPr>
              <w:t>$0.46</w:t>
            </w:r>
          </w:p>
        </w:tc>
        <w:tc>
          <w:tcPr>
            <w:tcW w:w="152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$0.37</w:t>
            </w:r>
          </w:p>
        </w:tc>
        <w:tc>
          <w:tcPr>
            <w:tcW w:w="19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$0.96</w:t>
            </w:r>
          </w:p>
        </w:tc>
        <w:tc>
          <w:tcPr>
            <w:tcW w:w="15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$0.71</w:t>
            </w:r>
          </w:p>
        </w:tc>
        <w:tc>
          <w:tcPr>
            <w:tcW w:w="0" w:type="dxa"/>
            <w:vAlign w:val="bottom"/>
          </w:tcPr>
          <w:p>
            <w:pPr>
              <w:spacing w:after="0"/>
              <w:rPr>
                <w:sz w:val="1"/>
                <w:szCs w:val="1"/>
                <w:color w:val="auto"/>
              </w:rPr>
            </w:pPr>
          </w:p>
        </w:tc>
      </w:tr>
      <w:tr>
        <w:trPr>
          <w:trHeight w:val="188"/>
        </w:trPr>
        <w:tc>
          <w:tcPr>
            <w:tcW w:w="4340" w:type="dxa"/>
            <w:vAlign w:val="bottom"/>
          </w:tcPr>
          <w:p>
            <w:pPr>
              <w:spacing w:after="0"/>
              <w:rPr>
                <w:sz w:val="20"/>
                <w:szCs w:val="20"/>
                <w:color w:val="auto"/>
              </w:rPr>
            </w:pPr>
            <w:r>
              <w:rPr>
                <w:rFonts w:ascii="Courier New" w:cs="Courier New" w:eastAsia="Courier New" w:hAnsi="Courier New"/>
                <w:sz w:val="16"/>
                <w:szCs w:val="16"/>
                <w:color w:val="auto"/>
              </w:rPr>
              <w:t>Basic</w:t>
            </w:r>
          </w:p>
        </w:tc>
        <w:tc>
          <w:tcPr>
            <w:tcW w:w="2200" w:type="dxa"/>
            <w:vAlign w:val="bottom"/>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1960" w:type="dxa"/>
            <w:vAlign w:val="bottom"/>
            <w:vMerge w:val="continue"/>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4340" w:type="dxa"/>
            <w:vAlign w:val="bottom"/>
          </w:tcPr>
          <w:p>
            <w:pPr>
              <w:spacing w:after="0"/>
              <w:rPr>
                <w:sz w:val="23"/>
                <w:szCs w:val="23"/>
                <w:color w:val="auto"/>
              </w:rPr>
            </w:pPr>
          </w:p>
        </w:tc>
        <w:tc>
          <w:tcPr>
            <w:tcW w:w="3720" w:type="dxa"/>
            <w:vAlign w:val="bottom"/>
            <w:gridSpan w:val="2"/>
          </w:tcPr>
          <w:p>
            <w:pPr>
              <w:ind w:left="260"/>
              <w:spacing w:after="0"/>
              <w:rPr>
                <w:sz w:val="20"/>
                <w:szCs w:val="20"/>
                <w:color w:val="auto"/>
              </w:rPr>
            </w:pPr>
            <w:r>
              <w:rPr>
                <w:rFonts w:ascii="Courier New" w:cs="Courier New" w:eastAsia="Courier New" w:hAnsi="Courier New"/>
                <w:sz w:val="16"/>
                <w:szCs w:val="16"/>
                <w:color w:val="auto"/>
              </w:rPr>
              <w:t>---------------- ----------------</w:t>
            </w:r>
          </w:p>
        </w:tc>
        <w:tc>
          <w:tcPr>
            <w:tcW w:w="3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c>
          <w:tcPr>
            <w:tcW w:w="0" w:type="dxa"/>
            <w:vAlign w:val="bottom"/>
          </w:tcPr>
          <w:p>
            <w:pPr>
              <w:spacing w:after="0"/>
              <w:rPr>
                <w:sz w:val="1"/>
                <w:szCs w:val="1"/>
                <w:color w:val="auto"/>
              </w:rPr>
            </w:pPr>
          </w:p>
        </w:tc>
      </w:tr>
      <w:tr>
        <w:trPr>
          <w:trHeight w:val="288"/>
        </w:trPr>
        <w:tc>
          <w:tcPr>
            <w:tcW w:w="4340" w:type="dxa"/>
            <w:vAlign w:val="bottom"/>
          </w:tcPr>
          <w:p>
            <w:pPr>
              <w:spacing w:after="0"/>
              <w:rPr>
                <w:sz w:val="20"/>
                <w:szCs w:val="20"/>
                <w:color w:val="auto"/>
              </w:rPr>
            </w:pPr>
            <w:r>
              <w:rPr>
                <w:rFonts w:ascii="Courier New" w:cs="Courier New" w:eastAsia="Courier New" w:hAnsi="Courier New"/>
                <w:sz w:val="16"/>
                <w:szCs w:val="16"/>
                <w:color w:val="auto"/>
              </w:rPr>
              <w:t>Diluted</w:t>
            </w:r>
          </w:p>
        </w:tc>
        <w:tc>
          <w:tcPr>
            <w:tcW w:w="22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$0.45</w:t>
            </w:r>
          </w:p>
        </w:tc>
        <w:tc>
          <w:tcPr>
            <w:tcW w:w="1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$0.36</w:t>
            </w:r>
          </w:p>
        </w:tc>
        <w:tc>
          <w:tcPr>
            <w:tcW w:w="1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$0.92</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$0.69</w:t>
            </w:r>
          </w:p>
        </w:tc>
        <w:tc>
          <w:tcPr>
            <w:tcW w:w="0" w:type="dxa"/>
            <w:vAlign w:val="bottom"/>
          </w:tcPr>
          <w:p>
            <w:pPr>
              <w:spacing w:after="0"/>
              <w:rPr>
                <w:sz w:val="1"/>
                <w:szCs w:val="1"/>
                <w:color w:val="auto"/>
              </w:rPr>
            </w:pPr>
          </w:p>
        </w:tc>
      </w:tr>
      <w:tr>
        <w:trPr>
          <w:trHeight w:val="276"/>
        </w:trPr>
        <w:tc>
          <w:tcPr>
            <w:tcW w:w="4340" w:type="dxa"/>
            <w:vAlign w:val="bottom"/>
          </w:tcPr>
          <w:p>
            <w:pPr>
              <w:spacing w:after="0"/>
              <w:rPr>
                <w:sz w:val="23"/>
                <w:szCs w:val="23"/>
                <w:color w:val="auto"/>
              </w:rPr>
            </w:pPr>
          </w:p>
        </w:tc>
        <w:tc>
          <w:tcPr>
            <w:tcW w:w="3720" w:type="dxa"/>
            <w:vAlign w:val="bottom"/>
            <w:gridSpan w:val="2"/>
          </w:tcPr>
          <w:p>
            <w:pPr>
              <w:ind w:left="260"/>
              <w:spacing w:after="0"/>
              <w:rPr>
                <w:sz w:val="20"/>
                <w:szCs w:val="20"/>
                <w:color w:val="auto"/>
              </w:rPr>
            </w:pPr>
            <w:r>
              <w:rPr>
                <w:rFonts w:ascii="Courier New" w:cs="Courier New" w:eastAsia="Courier New" w:hAnsi="Courier New"/>
                <w:sz w:val="16"/>
                <w:szCs w:val="16"/>
                <w:color w:val="auto"/>
              </w:rPr>
              <w:t>---------------- ----------------</w:t>
            </w:r>
          </w:p>
        </w:tc>
        <w:tc>
          <w:tcPr>
            <w:tcW w:w="3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c>
          <w:tcPr>
            <w:tcW w:w="0" w:type="dxa"/>
            <w:vAlign w:val="bottom"/>
          </w:tcPr>
          <w:p>
            <w:pPr>
              <w:spacing w:after="0"/>
              <w:rPr>
                <w:sz w:val="1"/>
                <w:szCs w:val="1"/>
                <w:color w:val="auto"/>
              </w:rPr>
            </w:pPr>
          </w:p>
        </w:tc>
      </w:tr>
      <w:tr>
        <w:trPr>
          <w:trHeight w:val="288"/>
        </w:trPr>
        <w:tc>
          <w:tcPr>
            <w:tcW w:w="4340" w:type="dxa"/>
            <w:vAlign w:val="bottom"/>
          </w:tcPr>
          <w:p>
            <w:pPr>
              <w:spacing w:after="0"/>
              <w:rPr>
                <w:sz w:val="20"/>
                <w:szCs w:val="20"/>
                <w:color w:val="auto"/>
              </w:rPr>
            </w:pPr>
            <w:r>
              <w:rPr>
                <w:rFonts w:ascii="Courier New" w:cs="Courier New" w:eastAsia="Courier New" w:hAnsi="Courier New"/>
                <w:sz w:val="16"/>
                <w:szCs w:val="16"/>
                <w:color w:val="auto"/>
              </w:rPr>
              <w:t>Weighted average number of ordinary shares</w:t>
            </w:r>
          </w:p>
        </w:tc>
        <w:tc>
          <w:tcPr>
            <w:tcW w:w="2200" w:type="dxa"/>
            <w:vAlign w:val="bottom"/>
            <w:vMerge w:val="restart"/>
          </w:tcPr>
          <w:p>
            <w:pPr>
              <w:jc w:val="right"/>
              <w:ind w:right="402"/>
              <w:spacing w:after="0"/>
              <w:rPr>
                <w:sz w:val="20"/>
                <w:szCs w:val="20"/>
                <w:color w:val="auto"/>
              </w:rPr>
            </w:pPr>
            <w:r>
              <w:rPr>
                <w:rFonts w:ascii="Courier New" w:cs="Courier New" w:eastAsia="Courier New" w:hAnsi="Courier New"/>
                <w:sz w:val="16"/>
                <w:szCs w:val="16"/>
                <w:color w:val="auto"/>
              </w:rPr>
              <w:t>13,578,859</w:t>
            </w:r>
          </w:p>
        </w:tc>
        <w:tc>
          <w:tcPr>
            <w:tcW w:w="152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11,804,345</w:t>
            </w:r>
          </w:p>
        </w:tc>
        <w:tc>
          <w:tcPr>
            <w:tcW w:w="19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12,346,147</w:t>
            </w:r>
          </w:p>
        </w:tc>
        <w:tc>
          <w:tcPr>
            <w:tcW w:w="15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11,799,125</w:t>
            </w:r>
          </w:p>
        </w:tc>
        <w:tc>
          <w:tcPr>
            <w:tcW w:w="0" w:type="dxa"/>
            <w:vAlign w:val="bottom"/>
          </w:tcPr>
          <w:p>
            <w:pPr>
              <w:spacing w:after="0"/>
              <w:rPr>
                <w:sz w:val="1"/>
                <w:szCs w:val="1"/>
                <w:color w:val="auto"/>
              </w:rPr>
            </w:pPr>
          </w:p>
        </w:tc>
      </w:tr>
      <w:tr>
        <w:trPr>
          <w:trHeight w:val="276"/>
        </w:trPr>
        <w:tc>
          <w:tcPr>
            <w:tcW w:w="4340" w:type="dxa"/>
            <w:vAlign w:val="bottom"/>
          </w:tcPr>
          <w:p>
            <w:pPr>
              <w:spacing w:after="0"/>
              <w:rPr>
                <w:sz w:val="20"/>
                <w:szCs w:val="20"/>
                <w:color w:val="auto"/>
              </w:rPr>
            </w:pPr>
            <w:r>
              <w:rPr>
                <w:rFonts w:ascii="Courier New" w:cs="Courier New" w:eastAsia="Courier New" w:hAnsi="Courier New"/>
                <w:sz w:val="16"/>
                <w:szCs w:val="16"/>
                <w:color w:val="auto"/>
              </w:rPr>
              <w:t>Basic</w:t>
            </w:r>
          </w:p>
        </w:tc>
        <w:tc>
          <w:tcPr>
            <w:tcW w:w="2200" w:type="dxa"/>
            <w:vAlign w:val="bottom"/>
            <w:vMerge w:val="continue"/>
          </w:tcPr>
          <w:p>
            <w:pPr>
              <w:spacing w:after="0"/>
              <w:rPr>
                <w:sz w:val="23"/>
                <w:szCs w:val="23"/>
                <w:color w:val="auto"/>
              </w:rPr>
            </w:pPr>
          </w:p>
        </w:tc>
        <w:tc>
          <w:tcPr>
            <w:tcW w:w="1520" w:type="dxa"/>
            <w:vAlign w:val="bottom"/>
            <w:vMerge w:val="continue"/>
          </w:tcPr>
          <w:p>
            <w:pPr>
              <w:spacing w:after="0"/>
              <w:rPr>
                <w:sz w:val="23"/>
                <w:szCs w:val="23"/>
                <w:color w:val="auto"/>
              </w:rPr>
            </w:pPr>
          </w:p>
        </w:tc>
        <w:tc>
          <w:tcPr>
            <w:tcW w:w="1960" w:type="dxa"/>
            <w:vAlign w:val="bottom"/>
            <w:vMerge w:val="continue"/>
          </w:tcPr>
          <w:p>
            <w:pPr>
              <w:spacing w:after="0"/>
              <w:rPr>
                <w:sz w:val="23"/>
                <w:szCs w:val="23"/>
                <w:color w:val="auto"/>
              </w:rPr>
            </w:pPr>
          </w:p>
        </w:tc>
        <w:tc>
          <w:tcPr>
            <w:tcW w:w="15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76"/>
        </w:trPr>
        <w:tc>
          <w:tcPr>
            <w:tcW w:w="4340" w:type="dxa"/>
            <w:vAlign w:val="bottom"/>
          </w:tcPr>
          <w:p>
            <w:pPr>
              <w:spacing w:after="0"/>
              <w:rPr>
                <w:sz w:val="20"/>
                <w:szCs w:val="20"/>
                <w:color w:val="auto"/>
              </w:rPr>
            </w:pPr>
            <w:r>
              <w:rPr>
                <w:rFonts w:ascii="Courier New" w:cs="Courier New" w:eastAsia="Courier New" w:hAnsi="Courier New"/>
                <w:sz w:val="16"/>
                <w:szCs w:val="16"/>
                <w:color w:val="auto"/>
              </w:rPr>
              <w:t>Diluted</w:t>
            </w:r>
          </w:p>
        </w:tc>
        <w:tc>
          <w:tcPr>
            <w:tcW w:w="22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14,040,419</w:t>
            </w:r>
          </w:p>
        </w:tc>
        <w:tc>
          <w:tcPr>
            <w:tcW w:w="1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12,147,702</w:t>
            </w:r>
          </w:p>
        </w:tc>
        <w:tc>
          <w:tcPr>
            <w:tcW w:w="1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12,849,374</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12,143,034</w:t>
            </w:r>
          </w:p>
        </w:tc>
        <w:tc>
          <w:tcPr>
            <w:tcW w:w="0" w:type="dxa"/>
            <w:vAlign w:val="bottom"/>
          </w:tcPr>
          <w:p>
            <w:pPr>
              <w:spacing w:after="0"/>
              <w:rPr>
                <w:sz w:val="1"/>
                <w:szCs w:val="1"/>
                <w:color w:val="auto"/>
              </w:rPr>
            </w:pPr>
          </w:p>
        </w:tc>
      </w:tr>
    </w:tbl>
    <w:p>
      <w:pPr>
        <w:sectPr>
          <w:pgSz w:w="11900" w:h="16838" w:orient="portrait"/>
          <w:cols w:equalWidth="0" w:num="1">
            <w:col w:w="11520"/>
          </w:cols>
          <w:pgMar w:left="240" w:top="1214" w:right="1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080" w:type="dxa"/>
            <w:vAlign w:val="bottom"/>
          </w:tcPr>
          <w:p>
            <w:pPr>
              <w:spacing w:after="0"/>
              <w:rPr>
                <w:sz w:val="23"/>
                <w:szCs w:val="23"/>
                <w:color w:val="auto"/>
              </w:rPr>
            </w:pPr>
          </w:p>
        </w:tc>
        <w:tc>
          <w:tcPr>
            <w:tcW w:w="3660" w:type="dxa"/>
            <w:vAlign w:val="bottom"/>
          </w:tcPr>
          <w:p>
            <w:pPr>
              <w:jc w:val="center"/>
              <w:ind w:right="159"/>
              <w:spacing w:after="0"/>
              <w:rPr>
                <w:sz w:val="20"/>
                <w:szCs w:val="20"/>
                <w:color w:val="auto"/>
              </w:rPr>
            </w:pPr>
            <w:r>
              <w:rPr>
                <w:rFonts w:ascii="Courier New" w:cs="Courier New" w:eastAsia="Courier New" w:hAnsi="Courier New"/>
                <w:sz w:val="16"/>
                <w:szCs w:val="16"/>
                <w:color w:val="auto"/>
              </w:rPr>
              <w:t>ICON plc</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3080" w:type="dxa"/>
            <w:vAlign w:val="bottom"/>
          </w:tcPr>
          <w:p>
            <w:pPr>
              <w:spacing w:after="0"/>
              <w:rPr>
                <w:sz w:val="24"/>
                <w:szCs w:val="24"/>
                <w:color w:val="auto"/>
              </w:rPr>
            </w:pPr>
          </w:p>
        </w:tc>
        <w:tc>
          <w:tcPr>
            <w:tcW w:w="3660" w:type="dxa"/>
            <w:vAlign w:val="bottom"/>
          </w:tcPr>
          <w:p>
            <w:pPr>
              <w:jc w:val="center"/>
              <w:ind w:right="159"/>
              <w:spacing w:after="0"/>
              <w:rPr>
                <w:sz w:val="20"/>
                <w:szCs w:val="20"/>
                <w:color w:val="auto"/>
              </w:rPr>
            </w:pPr>
            <w:r>
              <w:rPr>
                <w:rFonts w:ascii="Courier New" w:cs="Courier New" w:eastAsia="Courier New" w:hAnsi="Courier New"/>
                <w:sz w:val="16"/>
                <w:szCs w:val="16"/>
                <w:color w:val="auto"/>
              </w:rPr>
              <w:t>Summary Balance Sheet Data</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080" w:type="dxa"/>
            <w:vAlign w:val="bottom"/>
          </w:tcPr>
          <w:p>
            <w:pPr>
              <w:spacing w:after="0"/>
              <w:rPr>
                <w:sz w:val="16"/>
                <w:szCs w:val="16"/>
                <w:color w:val="auto"/>
              </w:rPr>
            </w:pPr>
          </w:p>
        </w:tc>
        <w:tc>
          <w:tcPr>
            <w:tcW w:w="3660" w:type="dxa"/>
            <w:vAlign w:val="bottom"/>
          </w:tcPr>
          <w:p>
            <w:pPr>
              <w:jc w:val="center"/>
              <w:ind w:right="159"/>
              <w:spacing w:after="0"/>
              <w:rPr>
                <w:sz w:val="20"/>
                <w:szCs w:val="20"/>
                <w:color w:val="auto"/>
              </w:rPr>
            </w:pPr>
            <w:r>
              <w:rPr>
                <w:rFonts w:ascii="Courier New" w:cs="Courier New" w:eastAsia="Courier New" w:hAnsi="Courier New"/>
                <w:sz w:val="16"/>
                <w:szCs w:val="16"/>
                <w:color w:val="auto"/>
              </w:rPr>
              <w:t>November 30, 2003 and May 31, 2003</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080" w:type="dxa"/>
            <w:vAlign w:val="bottom"/>
          </w:tcPr>
          <w:p>
            <w:pPr>
              <w:spacing w:after="0"/>
              <w:rPr>
                <w:sz w:val="23"/>
                <w:szCs w:val="23"/>
                <w:color w:val="auto"/>
              </w:rPr>
            </w:pPr>
          </w:p>
        </w:tc>
        <w:tc>
          <w:tcPr>
            <w:tcW w:w="36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(Dollars, in thousands)</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3080" w:type="dxa"/>
            <w:vAlign w:val="bottom"/>
          </w:tcPr>
          <w:p>
            <w:pPr>
              <w:spacing w:after="0"/>
              <w:rPr>
                <w:sz w:val="24"/>
                <w:szCs w:val="24"/>
                <w:color w:val="auto"/>
              </w:rPr>
            </w:pPr>
          </w:p>
        </w:tc>
        <w:tc>
          <w:tcPr>
            <w:tcW w:w="3660" w:type="dxa"/>
            <w:vAlign w:val="bottom"/>
          </w:tcPr>
          <w:p>
            <w:pPr>
              <w:jc w:val="center"/>
              <w:ind w:right="159"/>
              <w:spacing w:after="0"/>
              <w:rPr>
                <w:sz w:val="20"/>
                <w:szCs w:val="20"/>
                <w:color w:val="auto"/>
              </w:rPr>
            </w:pPr>
            <w:r>
              <w:rPr>
                <w:rFonts w:ascii="Courier New" w:cs="Courier New" w:eastAsia="Courier New" w:hAnsi="Courier New"/>
                <w:sz w:val="16"/>
                <w:szCs w:val="16"/>
                <w:color w:val="auto"/>
              </w:rPr>
              <w:t>November 30,</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May 31,</w:t>
            </w:r>
          </w:p>
        </w:tc>
        <w:tc>
          <w:tcPr>
            <w:tcW w:w="0" w:type="dxa"/>
            <w:vAlign w:val="bottom"/>
          </w:tcPr>
          <w:p>
            <w:pPr>
              <w:spacing w:after="0"/>
              <w:rPr>
                <w:sz w:val="1"/>
                <w:szCs w:val="1"/>
                <w:color w:val="auto"/>
              </w:rPr>
            </w:pPr>
          </w:p>
        </w:tc>
      </w:tr>
      <w:tr>
        <w:trPr>
          <w:trHeight w:val="188"/>
        </w:trPr>
        <w:tc>
          <w:tcPr>
            <w:tcW w:w="3080" w:type="dxa"/>
            <w:vAlign w:val="bottom"/>
          </w:tcPr>
          <w:p>
            <w:pPr>
              <w:spacing w:after="0"/>
              <w:rPr>
                <w:sz w:val="16"/>
                <w:szCs w:val="16"/>
                <w:color w:val="auto"/>
              </w:rPr>
            </w:pPr>
          </w:p>
        </w:tc>
        <w:tc>
          <w:tcPr>
            <w:tcW w:w="366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2003</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2003</w:t>
            </w:r>
          </w:p>
        </w:tc>
        <w:tc>
          <w:tcPr>
            <w:tcW w:w="0" w:type="dxa"/>
            <w:vAlign w:val="bottom"/>
          </w:tcPr>
          <w:p>
            <w:pPr>
              <w:spacing w:after="0"/>
              <w:rPr>
                <w:sz w:val="1"/>
                <w:szCs w:val="1"/>
                <w:color w:val="auto"/>
              </w:rPr>
            </w:pPr>
          </w:p>
        </w:tc>
      </w:tr>
      <w:tr>
        <w:trPr>
          <w:trHeight w:val="276"/>
        </w:trPr>
        <w:tc>
          <w:tcPr>
            <w:tcW w:w="3080" w:type="dxa"/>
            <w:vAlign w:val="bottom"/>
            <w:vMerge w:val="restart"/>
          </w:tcPr>
          <w:p>
            <w:pPr>
              <w:spacing w:after="0"/>
              <w:rPr>
                <w:sz w:val="20"/>
                <w:szCs w:val="20"/>
                <w:color w:val="auto"/>
              </w:rPr>
            </w:pPr>
            <w:r>
              <w:rPr>
                <w:rFonts w:ascii="Courier New" w:cs="Courier New" w:eastAsia="Courier New" w:hAnsi="Courier New"/>
                <w:sz w:val="16"/>
                <w:szCs w:val="16"/>
                <w:color w:val="auto"/>
              </w:rPr>
              <w:t>(audited)</w:t>
            </w:r>
          </w:p>
        </w:tc>
        <w:tc>
          <w:tcPr>
            <w:tcW w:w="366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(unaudited)</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3080" w:type="dxa"/>
            <w:vAlign w:val="bottom"/>
            <w:vMerge w:val="continue"/>
          </w:tcPr>
          <w:p>
            <w:pPr>
              <w:spacing w:after="0"/>
              <w:rPr>
                <w:sz w:val="16"/>
                <w:szCs w:val="16"/>
                <w:color w:val="auto"/>
              </w:rPr>
            </w:pPr>
          </w:p>
        </w:tc>
        <w:tc>
          <w:tcPr>
            <w:tcW w:w="36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8"/>
        </w:trPr>
        <w:tc>
          <w:tcPr>
            <w:tcW w:w="3080" w:type="dxa"/>
            <w:vAlign w:val="bottom"/>
          </w:tcPr>
          <w:p>
            <w:pPr>
              <w:spacing w:after="0"/>
              <w:rPr>
                <w:sz w:val="20"/>
                <w:szCs w:val="20"/>
                <w:color w:val="auto"/>
              </w:rPr>
            </w:pPr>
            <w:r>
              <w:rPr>
                <w:rFonts w:ascii="Courier New" w:cs="Courier New" w:eastAsia="Courier New" w:hAnsi="Courier New"/>
                <w:sz w:val="16"/>
                <w:szCs w:val="16"/>
                <w:color w:val="auto"/>
              </w:rPr>
              <w:t>Cash and short-term investments</w:t>
            </w:r>
          </w:p>
        </w:tc>
        <w:tc>
          <w:tcPr>
            <w:tcW w:w="366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61,463</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18,311</w:t>
            </w:r>
          </w:p>
        </w:tc>
        <w:tc>
          <w:tcPr>
            <w:tcW w:w="0" w:type="dxa"/>
            <w:vAlign w:val="bottom"/>
          </w:tcPr>
          <w:p>
            <w:pPr>
              <w:spacing w:after="0"/>
              <w:rPr>
                <w:sz w:val="1"/>
                <w:szCs w:val="1"/>
                <w:color w:val="auto"/>
              </w:rPr>
            </w:pPr>
          </w:p>
        </w:tc>
      </w:tr>
      <w:tr>
        <w:trPr>
          <w:trHeight w:val="188"/>
        </w:trPr>
        <w:tc>
          <w:tcPr>
            <w:tcW w:w="3080" w:type="dxa"/>
            <w:vAlign w:val="bottom"/>
          </w:tcPr>
          <w:p>
            <w:pPr>
              <w:spacing w:after="0"/>
              <w:rPr>
                <w:sz w:val="20"/>
                <w:szCs w:val="20"/>
                <w:color w:val="auto"/>
              </w:rPr>
            </w:pPr>
            <w:r>
              <w:rPr>
                <w:rFonts w:ascii="Courier New" w:cs="Courier New" w:eastAsia="Courier New" w:hAnsi="Courier New"/>
                <w:sz w:val="16"/>
                <w:szCs w:val="16"/>
                <w:color w:val="auto"/>
              </w:rPr>
              <w:t>Short-term debt</w:t>
            </w:r>
          </w:p>
        </w:tc>
        <w:tc>
          <w:tcPr>
            <w:tcW w:w="366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(17,436)</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(7,126)</w:t>
            </w:r>
          </w:p>
        </w:tc>
        <w:tc>
          <w:tcPr>
            <w:tcW w:w="0" w:type="dxa"/>
            <w:vAlign w:val="bottom"/>
          </w:tcPr>
          <w:p>
            <w:pPr>
              <w:spacing w:after="0"/>
              <w:rPr>
                <w:sz w:val="1"/>
                <w:szCs w:val="1"/>
                <w:color w:val="auto"/>
              </w:rPr>
            </w:pPr>
          </w:p>
        </w:tc>
      </w:tr>
      <w:tr>
        <w:trPr>
          <w:trHeight w:val="276"/>
        </w:trPr>
        <w:tc>
          <w:tcPr>
            <w:tcW w:w="3080" w:type="dxa"/>
            <w:vAlign w:val="bottom"/>
          </w:tcPr>
          <w:p>
            <w:pPr>
              <w:spacing w:after="0"/>
              <w:rPr>
                <w:sz w:val="20"/>
                <w:szCs w:val="20"/>
                <w:color w:val="auto"/>
              </w:rPr>
            </w:pPr>
            <w:r>
              <w:rPr>
                <w:rFonts w:ascii="Courier New" w:cs="Courier New" w:eastAsia="Courier New" w:hAnsi="Courier New"/>
                <w:sz w:val="16"/>
                <w:szCs w:val="16"/>
                <w:color w:val="auto"/>
              </w:rPr>
              <w:t>Net cash</w:t>
            </w:r>
          </w:p>
        </w:tc>
        <w:tc>
          <w:tcPr>
            <w:tcW w:w="366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44,027</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11,185</w:t>
            </w:r>
          </w:p>
        </w:tc>
        <w:tc>
          <w:tcPr>
            <w:tcW w:w="0" w:type="dxa"/>
            <w:vAlign w:val="bottom"/>
          </w:tcPr>
          <w:p>
            <w:pPr>
              <w:spacing w:after="0"/>
              <w:rPr>
                <w:sz w:val="1"/>
                <w:szCs w:val="1"/>
                <w:color w:val="auto"/>
              </w:rPr>
            </w:pPr>
          </w:p>
        </w:tc>
      </w:tr>
      <w:tr>
        <w:trPr>
          <w:trHeight w:val="288"/>
        </w:trPr>
        <w:tc>
          <w:tcPr>
            <w:tcW w:w="3080" w:type="dxa"/>
            <w:vAlign w:val="bottom"/>
          </w:tcPr>
          <w:p>
            <w:pPr>
              <w:spacing w:after="0"/>
              <w:rPr>
                <w:sz w:val="20"/>
                <w:szCs w:val="20"/>
                <w:color w:val="auto"/>
              </w:rPr>
            </w:pPr>
            <w:r>
              <w:rPr>
                <w:rFonts w:ascii="Courier New" w:cs="Courier New" w:eastAsia="Courier New" w:hAnsi="Courier New"/>
                <w:sz w:val="16"/>
                <w:szCs w:val="16"/>
                <w:color w:val="auto"/>
              </w:rPr>
              <w:t>Accounts receivable</w:t>
            </w:r>
          </w:p>
        </w:tc>
        <w:tc>
          <w:tcPr>
            <w:tcW w:w="366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77,611</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74,645</w:t>
            </w:r>
          </w:p>
        </w:tc>
        <w:tc>
          <w:tcPr>
            <w:tcW w:w="0" w:type="dxa"/>
            <w:vAlign w:val="bottom"/>
          </w:tcPr>
          <w:p>
            <w:pPr>
              <w:spacing w:after="0"/>
              <w:rPr>
                <w:sz w:val="1"/>
                <w:szCs w:val="1"/>
                <w:color w:val="auto"/>
              </w:rPr>
            </w:pPr>
          </w:p>
        </w:tc>
      </w:tr>
      <w:tr>
        <w:trPr>
          <w:trHeight w:val="188"/>
        </w:trPr>
        <w:tc>
          <w:tcPr>
            <w:tcW w:w="3080" w:type="dxa"/>
            <w:vAlign w:val="bottom"/>
          </w:tcPr>
          <w:p>
            <w:pPr>
              <w:spacing w:after="0"/>
              <w:rPr>
                <w:sz w:val="20"/>
                <w:szCs w:val="20"/>
                <w:color w:val="auto"/>
              </w:rPr>
            </w:pPr>
            <w:r>
              <w:rPr>
                <w:rFonts w:ascii="Courier New" w:cs="Courier New" w:eastAsia="Courier New" w:hAnsi="Courier New"/>
                <w:sz w:val="16"/>
                <w:szCs w:val="16"/>
                <w:color w:val="auto"/>
              </w:rPr>
              <w:t>Unbilled revenue</w:t>
            </w:r>
          </w:p>
        </w:tc>
        <w:tc>
          <w:tcPr>
            <w:tcW w:w="366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52,178</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44,783</w:t>
            </w:r>
          </w:p>
        </w:tc>
        <w:tc>
          <w:tcPr>
            <w:tcW w:w="0" w:type="dxa"/>
            <w:vAlign w:val="bottom"/>
          </w:tcPr>
          <w:p>
            <w:pPr>
              <w:spacing w:after="0"/>
              <w:rPr>
                <w:sz w:val="1"/>
                <w:szCs w:val="1"/>
                <w:color w:val="auto"/>
              </w:rPr>
            </w:pPr>
          </w:p>
        </w:tc>
      </w:tr>
      <w:tr>
        <w:trPr>
          <w:trHeight w:val="188"/>
        </w:trPr>
        <w:tc>
          <w:tcPr>
            <w:tcW w:w="3080" w:type="dxa"/>
            <w:vAlign w:val="bottom"/>
          </w:tcPr>
          <w:p>
            <w:pPr>
              <w:spacing w:after="0"/>
              <w:rPr>
                <w:sz w:val="20"/>
                <w:szCs w:val="20"/>
                <w:color w:val="auto"/>
              </w:rPr>
            </w:pPr>
            <w:r>
              <w:rPr>
                <w:rFonts w:ascii="Courier New" w:cs="Courier New" w:eastAsia="Courier New" w:hAnsi="Courier New"/>
                <w:sz w:val="16"/>
                <w:szCs w:val="16"/>
                <w:color w:val="auto"/>
              </w:rPr>
              <w:t>Payments on account</w:t>
            </w:r>
          </w:p>
        </w:tc>
        <w:tc>
          <w:tcPr>
            <w:tcW w:w="366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(44,113)</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(45,763)</w:t>
            </w:r>
          </w:p>
        </w:tc>
        <w:tc>
          <w:tcPr>
            <w:tcW w:w="0" w:type="dxa"/>
            <w:vAlign w:val="bottom"/>
          </w:tcPr>
          <w:p>
            <w:pPr>
              <w:spacing w:after="0"/>
              <w:rPr>
                <w:sz w:val="1"/>
                <w:szCs w:val="1"/>
                <w:color w:val="auto"/>
              </w:rPr>
            </w:pPr>
          </w:p>
        </w:tc>
      </w:tr>
      <w:tr>
        <w:trPr>
          <w:trHeight w:val="276"/>
        </w:trPr>
        <w:tc>
          <w:tcPr>
            <w:tcW w:w="308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366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85,676</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73,665</w:t>
            </w:r>
          </w:p>
        </w:tc>
        <w:tc>
          <w:tcPr>
            <w:tcW w:w="0" w:type="dxa"/>
            <w:vAlign w:val="bottom"/>
          </w:tcPr>
          <w:p>
            <w:pPr>
              <w:spacing w:after="0"/>
              <w:rPr>
                <w:sz w:val="1"/>
                <w:szCs w:val="1"/>
                <w:color w:val="auto"/>
              </w:rPr>
            </w:pPr>
          </w:p>
        </w:tc>
      </w:tr>
      <w:tr>
        <w:trPr>
          <w:trHeight w:val="376"/>
        </w:trPr>
        <w:tc>
          <w:tcPr>
            <w:tcW w:w="3080" w:type="dxa"/>
            <w:vAlign w:val="bottom"/>
          </w:tcPr>
          <w:p>
            <w:pPr>
              <w:spacing w:after="0"/>
              <w:rPr>
                <w:sz w:val="20"/>
                <w:szCs w:val="20"/>
                <w:color w:val="auto"/>
              </w:rPr>
            </w:pPr>
            <w:r>
              <w:rPr>
                <w:rFonts w:ascii="Courier New" w:cs="Courier New" w:eastAsia="Courier New" w:hAnsi="Courier New"/>
                <w:sz w:val="16"/>
                <w:szCs w:val="16"/>
                <w:color w:val="auto"/>
              </w:rPr>
              <w:t>Working Capital</w:t>
            </w:r>
          </w:p>
        </w:tc>
        <w:tc>
          <w:tcPr>
            <w:tcW w:w="366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95,773</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53,827</w:t>
            </w:r>
          </w:p>
        </w:tc>
        <w:tc>
          <w:tcPr>
            <w:tcW w:w="0" w:type="dxa"/>
            <w:vAlign w:val="bottom"/>
          </w:tcPr>
          <w:p>
            <w:pPr>
              <w:spacing w:after="0"/>
              <w:rPr>
                <w:sz w:val="1"/>
                <w:szCs w:val="1"/>
                <w:color w:val="auto"/>
              </w:rPr>
            </w:pPr>
          </w:p>
        </w:tc>
      </w:tr>
      <w:tr>
        <w:trPr>
          <w:trHeight w:val="376"/>
        </w:trPr>
        <w:tc>
          <w:tcPr>
            <w:tcW w:w="3080" w:type="dxa"/>
            <w:vAlign w:val="bottom"/>
          </w:tcPr>
          <w:p>
            <w:pPr>
              <w:spacing w:after="0"/>
              <w:rPr>
                <w:sz w:val="20"/>
                <w:szCs w:val="20"/>
                <w:color w:val="auto"/>
              </w:rPr>
            </w:pPr>
            <w:r>
              <w:rPr>
                <w:rFonts w:ascii="Courier New" w:cs="Courier New" w:eastAsia="Courier New" w:hAnsi="Courier New"/>
                <w:sz w:val="16"/>
                <w:szCs w:val="16"/>
                <w:color w:val="auto"/>
              </w:rPr>
              <w:t>Total assets</w:t>
            </w:r>
          </w:p>
        </w:tc>
        <w:tc>
          <w:tcPr>
            <w:tcW w:w="366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308,675</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235,014</w:t>
            </w:r>
          </w:p>
        </w:tc>
        <w:tc>
          <w:tcPr>
            <w:tcW w:w="0" w:type="dxa"/>
            <w:vAlign w:val="bottom"/>
          </w:tcPr>
          <w:p>
            <w:pPr>
              <w:spacing w:after="0"/>
              <w:rPr>
                <w:sz w:val="1"/>
                <w:szCs w:val="1"/>
                <w:color w:val="auto"/>
              </w:rPr>
            </w:pPr>
          </w:p>
        </w:tc>
      </w:tr>
      <w:tr>
        <w:trPr>
          <w:trHeight w:val="376"/>
        </w:trPr>
        <w:tc>
          <w:tcPr>
            <w:tcW w:w="308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366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195,593</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136,910</w:t>
            </w:r>
          </w:p>
        </w:tc>
        <w:tc>
          <w:tcPr>
            <w:tcW w:w="0" w:type="dxa"/>
            <w:vAlign w:val="bottom"/>
          </w:tcPr>
          <w:p>
            <w:pPr>
              <w:spacing w:after="0"/>
              <w:rPr>
                <w:sz w:val="1"/>
                <w:szCs w:val="1"/>
                <w:color w:val="auto"/>
              </w:rPr>
            </w:pPr>
          </w:p>
        </w:tc>
      </w:tr>
      <w:tr>
        <w:trPr>
          <w:trHeight w:val="564"/>
        </w:trPr>
        <w:tc>
          <w:tcPr>
            <w:tcW w:w="3080" w:type="dxa"/>
            <w:vAlign w:val="bottom"/>
          </w:tcPr>
          <w:p>
            <w:pPr>
              <w:spacing w:after="0"/>
              <w:rPr>
                <w:sz w:val="20"/>
                <w:szCs w:val="20"/>
                <w:color w:val="auto"/>
              </w:rPr>
            </w:pPr>
            <w:r>
              <w:rPr>
                <w:rFonts w:ascii="Courier New" w:cs="Courier New" w:eastAsia="Courier New" w:hAnsi="Courier New"/>
                <w:sz w:val="16"/>
                <w:szCs w:val="16"/>
                <w:color w:val="auto"/>
              </w:rPr>
              <w:t>Source:</w:t>
            </w:r>
          </w:p>
        </w:tc>
        <w:tc>
          <w:tcPr>
            <w:tcW w:w="3660" w:type="dxa"/>
            <w:vAlign w:val="bottom"/>
          </w:tcPr>
          <w:p>
            <w:pPr>
              <w:ind w:left="540"/>
              <w:spacing w:after="0"/>
              <w:rPr>
                <w:sz w:val="20"/>
                <w:szCs w:val="20"/>
                <w:color w:val="auto"/>
              </w:rPr>
            </w:pPr>
            <w:r>
              <w:rPr>
                <w:rFonts w:ascii="Courier New" w:cs="Courier New" w:eastAsia="Courier New" w:hAnsi="Courier New"/>
                <w:sz w:val="16"/>
                <w:szCs w:val="16"/>
                <w:color w:val="auto"/>
              </w:rPr>
              <w:t>ICON plc</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080" w:type="dxa"/>
            <w:vAlign w:val="bottom"/>
          </w:tcPr>
          <w:p>
            <w:pPr>
              <w:spacing w:after="0"/>
              <w:rPr>
                <w:sz w:val="20"/>
                <w:szCs w:val="20"/>
                <w:color w:val="auto"/>
              </w:rPr>
            </w:pPr>
            <w:r>
              <w:rPr>
                <w:rFonts w:ascii="Courier New" w:cs="Courier New" w:eastAsia="Courier New" w:hAnsi="Courier New"/>
                <w:sz w:val="16"/>
                <w:szCs w:val="16"/>
                <w:color w:val="auto"/>
              </w:rPr>
              <w:t>Contact:</w:t>
            </w:r>
          </w:p>
        </w:tc>
        <w:tc>
          <w:tcPr>
            <w:tcW w:w="4540" w:type="dxa"/>
            <w:vAlign w:val="bottom"/>
            <w:gridSpan w:val="2"/>
          </w:tcPr>
          <w:p>
            <w:pPr>
              <w:ind w:left="540"/>
              <w:spacing w:after="0"/>
              <w:rPr>
                <w:sz w:val="20"/>
                <w:szCs w:val="20"/>
                <w:color w:val="auto"/>
              </w:rPr>
            </w:pPr>
            <w:r>
              <w:rPr>
                <w:rFonts w:ascii="Courier New" w:cs="Courier New" w:eastAsia="Courier New" w:hAnsi="Courier New"/>
                <w:sz w:val="16"/>
                <w:szCs w:val="16"/>
                <w:color w:val="auto"/>
              </w:rPr>
              <w:t>Investor Relations 1-888-381-7923 or</w:t>
            </w:r>
          </w:p>
        </w:tc>
        <w:tc>
          <w:tcPr>
            <w:tcW w:w="0" w:type="dxa"/>
            <w:vAlign w:val="bottom"/>
          </w:tcPr>
          <w:p>
            <w:pPr>
              <w:spacing w:after="0"/>
              <w:rPr>
                <w:sz w:val="1"/>
                <w:szCs w:val="1"/>
                <w:color w:val="auto"/>
              </w:rPr>
            </w:pPr>
          </w:p>
        </w:tc>
      </w:tr>
      <w:tr>
        <w:trPr>
          <w:trHeight w:val="188"/>
        </w:trPr>
        <w:tc>
          <w:tcPr>
            <w:tcW w:w="3080" w:type="dxa"/>
            <w:vAlign w:val="bottom"/>
          </w:tcPr>
          <w:p>
            <w:pPr>
              <w:spacing w:after="0"/>
              <w:rPr>
                <w:sz w:val="16"/>
                <w:szCs w:val="16"/>
                <w:color w:val="auto"/>
              </w:rPr>
            </w:pPr>
          </w:p>
        </w:tc>
        <w:tc>
          <w:tcPr>
            <w:tcW w:w="3660" w:type="dxa"/>
            <w:vAlign w:val="bottom"/>
          </w:tcPr>
          <w:p>
            <w:pPr>
              <w:ind w:left="540"/>
              <w:spacing w:after="0"/>
              <w:rPr>
                <w:sz w:val="20"/>
                <w:szCs w:val="20"/>
                <w:color w:val="auto"/>
              </w:rPr>
            </w:pPr>
            <w:r>
              <w:rPr>
                <w:rFonts w:ascii="Courier New" w:cs="Courier New" w:eastAsia="Courier New" w:hAnsi="Courier New"/>
                <w:sz w:val="16"/>
                <w:szCs w:val="16"/>
                <w:color w:val="auto"/>
              </w:rPr>
              <w:t>Sean Leech CFO + 353 1 291 2000</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080" w:type="dxa"/>
            <w:vAlign w:val="bottom"/>
          </w:tcPr>
          <w:p>
            <w:pPr>
              <w:spacing w:after="0"/>
              <w:rPr>
                <w:sz w:val="23"/>
                <w:szCs w:val="23"/>
                <w:color w:val="auto"/>
              </w:rPr>
            </w:pPr>
          </w:p>
        </w:tc>
        <w:tc>
          <w:tcPr>
            <w:tcW w:w="3660" w:type="dxa"/>
            <w:vAlign w:val="bottom"/>
          </w:tcPr>
          <w:p>
            <w:pPr>
              <w:ind w:left="540"/>
              <w:spacing w:after="0"/>
              <w:rPr>
                <w:sz w:val="20"/>
                <w:szCs w:val="20"/>
                <w:color w:val="auto"/>
              </w:rPr>
            </w:pPr>
            <w:r>
              <w:rPr>
                <w:rFonts w:ascii="Courier New" w:cs="Courier New" w:eastAsia="Courier New" w:hAnsi="Courier New"/>
                <w:sz w:val="16"/>
                <w:szCs w:val="16"/>
                <w:color w:val="auto"/>
              </w:rPr>
              <w:t>both at ICON.</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6"/>
          <w:szCs w:val="16"/>
          <w:color w:val="auto"/>
        </w:rPr>
        <w:t>http://www.iconclinical.com</w:t>
      </w:r>
    </w:p>
    <w:sectPr>
      <w:pgSz w:w="11900" w:h="16838" w:orient="portrait"/>
      <w:cols w:equalWidth="0" w:num="1">
        <w:col w:w="10219"/>
      </w:cols>
      <w:pgMar w:left="240" w:top="12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2019-12-14T20:56:32Z</dcterms:created>
  <dcterms:modified xsi:type="dcterms:W3CDTF">2019-12-14T20:56:32Z</dcterms:modified>
</cp:coreProperties>
</file>