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SCHEDULE 13G</w:t>
      </w:r>
    </w:p>
    <w:p>
      <w:pPr>
        <w:spacing w:after="0" w:line="238" w:lineRule="auto"/>
        <w:rPr>
          <w:sz w:val="20"/>
          <w:szCs w:val="20"/>
          <w:color w:val="auto"/>
        </w:rPr>
      </w:pPr>
      <w:r>
        <w:rPr>
          <w:rFonts w:ascii="Courier New" w:cs="Courier New" w:eastAsia="Courier New" w:hAnsi="Courier New"/>
          <w:sz w:val="18"/>
          <w:szCs w:val="18"/>
          <w:color w:val="auto"/>
        </w:rPr>
        <w:t>Amendment No.1</w:t>
      </w:r>
    </w:p>
    <w:p>
      <w:pPr>
        <w:spacing w:after="0"/>
        <w:rPr>
          <w:sz w:val="20"/>
          <w:szCs w:val="20"/>
          <w:color w:val="auto"/>
        </w:rPr>
      </w:pPr>
      <w:r>
        <w:rPr>
          <w:rFonts w:ascii="Courier New" w:cs="Courier New" w:eastAsia="Courier New" w:hAnsi="Courier New"/>
          <w:sz w:val="18"/>
          <w:szCs w:val="18"/>
          <w:color w:val="auto"/>
        </w:rPr>
        <w:t>Name of Issuer: ICON PLC</w:t>
      </w:r>
    </w:p>
    <w:p>
      <w:pPr>
        <w:spacing w:after="0" w:line="237" w:lineRule="auto"/>
        <w:rPr>
          <w:sz w:val="20"/>
          <w:szCs w:val="20"/>
          <w:color w:val="auto"/>
        </w:rPr>
      </w:pPr>
      <w:r>
        <w:rPr>
          <w:rFonts w:ascii="Courier New" w:cs="Courier New" w:eastAsia="Courier New" w:hAnsi="Courier New"/>
          <w:sz w:val="18"/>
          <w:szCs w:val="18"/>
          <w:color w:val="auto"/>
        </w:rPr>
        <w:t>Title of Class of Securities: Sponsored ADR</w:t>
      </w:r>
    </w:p>
    <w:p>
      <w:pPr>
        <w:spacing w:after="0" w:line="238" w:lineRule="auto"/>
        <w:rPr>
          <w:sz w:val="20"/>
          <w:szCs w:val="20"/>
          <w:color w:val="auto"/>
        </w:rPr>
      </w:pPr>
      <w:r>
        <w:rPr>
          <w:rFonts w:ascii="Courier New" w:cs="Courier New" w:eastAsia="Courier New" w:hAnsi="Courier New"/>
          <w:sz w:val="18"/>
          <w:szCs w:val="18"/>
          <w:color w:val="auto"/>
        </w:rPr>
        <w:t>CUSIP Number: 45103T107</w:t>
      </w:r>
    </w:p>
    <w:p>
      <w:pPr>
        <w:spacing w:after="0"/>
        <w:rPr>
          <w:sz w:val="20"/>
          <w:szCs w:val="20"/>
          <w:color w:val="auto"/>
        </w:rPr>
      </w:pPr>
      <w:r>
        <w:rPr>
          <w:rFonts w:ascii="Courier New" w:cs="Courier New" w:eastAsia="Courier New" w:hAnsi="Courier New"/>
          <w:sz w:val="18"/>
          <w:szCs w:val="18"/>
          <w:color w:val="auto"/>
        </w:rPr>
        <w:t>Item 1: Reporting Person: Wasatch Advisors, Inc. 87-0319391</w:t>
      </w:r>
    </w:p>
    <w:p>
      <w:pPr>
        <w:spacing w:after="0" w:line="237" w:lineRule="auto"/>
        <w:rPr>
          <w:sz w:val="20"/>
          <w:szCs w:val="20"/>
          <w:color w:val="auto"/>
        </w:rPr>
      </w:pPr>
      <w:r>
        <w:rPr>
          <w:rFonts w:ascii="Courier New" w:cs="Courier New" w:eastAsia="Courier New" w:hAnsi="Courier New"/>
          <w:sz w:val="18"/>
          <w:szCs w:val="18"/>
          <w:color w:val="auto"/>
        </w:rPr>
        <w:t>Item 2: Check Box If Member of Group: Not Applicable</w:t>
      </w:r>
    </w:p>
    <w:p>
      <w:pPr>
        <w:spacing w:after="0"/>
        <w:rPr>
          <w:sz w:val="20"/>
          <w:szCs w:val="20"/>
          <w:color w:val="auto"/>
        </w:rPr>
      </w:pPr>
      <w:r>
        <w:rPr>
          <w:rFonts w:ascii="Courier New" w:cs="Courier New" w:eastAsia="Courier New" w:hAnsi="Courier New"/>
          <w:sz w:val="18"/>
          <w:szCs w:val="18"/>
          <w:color w:val="auto"/>
        </w:rPr>
        <w:t>Item 3: SEC Use</w:t>
      </w:r>
    </w:p>
    <w:p>
      <w:pPr>
        <w:spacing w:after="0" w:line="237" w:lineRule="auto"/>
        <w:rPr>
          <w:sz w:val="20"/>
          <w:szCs w:val="20"/>
          <w:color w:val="auto"/>
        </w:rPr>
      </w:pPr>
      <w:r>
        <w:rPr>
          <w:rFonts w:ascii="Courier New" w:cs="Courier New" w:eastAsia="Courier New" w:hAnsi="Courier New"/>
          <w:sz w:val="18"/>
          <w:szCs w:val="18"/>
          <w:color w:val="auto"/>
        </w:rPr>
        <w:t>Item 4: Place of Organization: Utah</w:t>
      </w:r>
    </w:p>
    <w:p>
      <w:pPr>
        <w:spacing w:after="0"/>
        <w:rPr>
          <w:sz w:val="20"/>
          <w:szCs w:val="20"/>
          <w:color w:val="auto"/>
        </w:rPr>
      </w:pPr>
      <w:r>
        <w:rPr>
          <w:rFonts w:ascii="Courier New" w:cs="Courier New" w:eastAsia="Courier New" w:hAnsi="Courier New"/>
          <w:sz w:val="18"/>
          <w:szCs w:val="18"/>
          <w:color w:val="auto"/>
        </w:rPr>
        <w:t>Items 5-8: Number of Shares Owned With:</w:t>
      </w:r>
    </w:p>
    <w:p>
      <w:pPr>
        <w:spacing w:after="0" w:line="237" w:lineRule="auto"/>
        <w:rPr>
          <w:sz w:val="20"/>
          <w:szCs w:val="20"/>
          <w:color w:val="auto"/>
        </w:rPr>
      </w:pPr>
      <w:r>
        <w:rPr>
          <w:rFonts w:ascii="Courier New" w:cs="Courier New" w:eastAsia="Courier New" w:hAnsi="Courier New"/>
          <w:sz w:val="18"/>
          <w:szCs w:val="18"/>
          <w:color w:val="auto"/>
        </w:rPr>
        <w:t>Item 5: Sole Voting Power: 1,460,792</w:t>
      </w:r>
    </w:p>
    <w:p>
      <w:pPr>
        <w:spacing w:after="0" w:line="238" w:lineRule="auto"/>
        <w:rPr>
          <w:sz w:val="20"/>
          <w:szCs w:val="20"/>
          <w:color w:val="auto"/>
        </w:rPr>
      </w:pPr>
      <w:r>
        <w:rPr>
          <w:rFonts w:ascii="Courier New" w:cs="Courier New" w:eastAsia="Courier New" w:hAnsi="Courier New"/>
          <w:sz w:val="18"/>
          <w:szCs w:val="18"/>
          <w:color w:val="auto"/>
        </w:rPr>
        <w:t>Item 6: Shared Voting Power: 0</w:t>
      </w:r>
    </w:p>
    <w:p>
      <w:pPr>
        <w:spacing w:after="0"/>
        <w:rPr>
          <w:sz w:val="20"/>
          <w:szCs w:val="20"/>
          <w:color w:val="auto"/>
        </w:rPr>
      </w:pPr>
      <w:r>
        <w:rPr>
          <w:rFonts w:ascii="Courier New" w:cs="Courier New" w:eastAsia="Courier New" w:hAnsi="Courier New"/>
          <w:sz w:val="18"/>
          <w:szCs w:val="18"/>
          <w:color w:val="auto"/>
        </w:rPr>
        <w:t>Item 7: Sole Dispositive Power: 1,460,792</w:t>
      </w:r>
    </w:p>
    <w:p>
      <w:pPr>
        <w:spacing w:after="0" w:line="237" w:lineRule="auto"/>
        <w:rPr>
          <w:sz w:val="20"/>
          <w:szCs w:val="20"/>
          <w:color w:val="auto"/>
        </w:rPr>
      </w:pPr>
      <w:r>
        <w:rPr>
          <w:rFonts w:ascii="Courier New" w:cs="Courier New" w:eastAsia="Courier New" w:hAnsi="Courier New"/>
          <w:sz w:val="18"/>
          <w:szCs w:val="18"/>
          <w:color w:val="auto"/>
        </w:rPr>
        <w:t>Item 8: Shared Dispositive Power: 0</w:t>
      </w:r>
    </w:p>
    <w:p>
      <w:pPr>
        <w:spacing w:after="0"/>
        <w:rPr>
          <w:sz w:val="20"/>
          <w:szCs w:val="20"/>
          <w:color w:val="auto"/>
        </w:rPr>
      </w:pPr>
      <w:r>
        <w:rPr>
          <w:rFonts w:ascii="Courier New" w:cs="Courier New" w:eastAsia="Courier New" w:hAnsi="Courier New"/>
          <w:sz w:val="18"/>
          <w:szCs w:val="18"/>
          <w:color w:val="auto"/>
        </w:rPr>
        <w:t>Item 9: Aggregate Amount Owned: 1,460,792</w:t>
      </w:r>
    </w:p>
    <w:p>
      <w:pPr>
        <w:spacing w:after="0" w:line="237" w:lineRule="auto"/>
        <w:rPr>
          <w:sz w:val="20"/>
          <w:szCs w:val="20"/>
          <w:color w:val="auto"/>
        </w:rPr>
      </w:pPr>
      <w:r>
        <w:rPr>
          <w:rFonts w:ascii="Courier New" w:cs="Courier New" w:eastAsia="Courier New" w:hAnsi="Courier New"/>
          <w:sz w:val="18"/>
          <w:szCs w:val="18"/>
          <w:color w:val="auto"/>
        </w:rPr>
        <w:t>Item 10: Check Box If Aggregate Amount Excludes Certain Shares: N/A</w:t>
      </w:r>
    </w:p>
    <w:p>
      <w:pPr>
        <w:spacing w:after="0"/>
        <w:rPr>
          <w:sz w:val="20"/>
          <w:szCs w:val="20"/>
          <w:color w:val="auto"/>
        </w:rPr>
      </w:pPr>
      <w:r>
        <w:rPr>
          <w:rFonts w:ascii="Courier New" w:cs="Courier New" w:eastAsia="Courier New" w:hAnsi="Courier New"/>
          <w:sz w:val="18"/>
          <w:szCs w:val="18"/>
          <w:color w:val="auto"/>
        </w:rPr>
        <w:t>Item 11: Percent of Class Owned: 11.3%</w:t>
      </w:r>
    </w:p>
    <w:p>
      <w:pPr>
        <w:spacing w:after="0" w:line="237" w:lineRule="auto"/>
        <w:rPr>
          <w:sz w:val="20"/>
          <w:szCs w:val="20"/>
          <w:color w:val="auto"/>
        </w:rPr>
      </w:pPr>
      <w:r>
        <w:rPr>
          <w:rFonts w:ascii="Courier New" w:cs="Courier New" w:eastAsia="Courier New" w:hAnsi="Courier New"/>
          <w:sz w:val="18"/>
          <w:szCs w:val="18"/>
          <w:color w:val="auto"/>
        </w:rPr>
        <w:t>Item 12: Type of Reporting Person: IA</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1(a): Name of Issuer: ICON PLC</w:t>
      </w:r>
    </w:p>
    <w:p>
      <w:pPr>
        <w:spacing w:after="0" w:line="238" w:lineRule="auto"/>
        <w:rPr>
          <w:sz w:val="20"/>
          <w:szCs w:val="20"/>
          <w:color w:val="auto"/>
        </w:rPr>
      </w:pPr>
      <w:r>
        <w:rPr>
          <w:rFonts w:ascii="Courier New" w:cs="Courier New" w:eastAsia="Courier New" w:hAnsi="Courier New"/>
          <w:sz w:val="18"/>
          <w:szCs w:val="18"/>
          <w:color w:val="auto"/>
        </w:rPr>
        <w:t>Item l(b): Address of Issuer:</w:t>
      </w:r>
    </w:p>
    <w:p>
      <w:pPr>
        <w:spacing w:after="0" w:line="5" w:lineRule="exact"/>
        <w:rPr>
          <w:sz w:val="24"/>
          <w:szCs w:val="24"/>
          <w:color w:val="auto"/>
        </w:rPr>
      </w:pPr>
    </w:p>
    <w:p>
      <w:pPr>
        <w:ind w:right="3899"/>
        <w:spacing w:after="0" w:line="268" w:lineRule="auto"/>
        <w:rPr>
          <w:sz w:val="20"/>
          <w:szCs w:val="20"/>
          <w:color w:val="auto"/>
        </w:rPr>
      </w:pPr>
      <w:r>
        <w:rPr>
          <w:rFonts w:ascii="Courier New" w:cs="Courier New" w:eastAsia="Courier New" w:hAnsi="Courier New"/>
          <w:sz w:val="16"/>
          <w:szCs w:val="16"/>
          <w:color w:val="auto"/>
        </w:rPr>
        <w:t>South County Business Park, Leopardstown, Dublin,18, Ireland Item 2(a): Name of Person Filing: Wasatch Advisors, Inc.</w:t>
      </w:r>
    </w:p>
    <w:p>
      <w:pPr>
        <w:spacing w:after="0" w:line="233" w:lineRule="auto"/>
        <w:rPr>
          <w:sz w:val="20"/>
          <w:szCs w:val="20"/>
          <w:color w:val="auto"/>
        </w:rPr>
      </w:pPr>
      <w:r>
        <w:rPr>
          <w:rFonts w:ascii="Courier New" w:cs="Courier New" w:eastAsia="Courier New" w:hAnsi="Courier New"/>
          <w:sz w:val="18"/>
          <w:szCs w:val="18"/>
          <w:color w:val="auto"/>
        </w:rPr>
        <w:t>Item 2(b): Address: 150 Social Hall Avenue, Salt Lake City, UT 84111</w:t>
      </w:r>
    </w:p>
    <w:p>
      <w:pPr>
        <w:spacing w:after="0"/>
        <w:rPr>
          <w:sz w:val="20"/>
          <w:szCs w:val="20"/>
          <w:color w:val="auto"/>
        </w:rPr>
      </w:pPr>
      <w:r>
        <w:rPr>
          <w:rFonts w:ascii="Courier New" w:cs="Courier New" w:eastAsia="Courier New" w:hAnsi="Courier New"/>
          <w:sz w:val="18"/>
          <w:szCs w:val="18"/>
          <w:color w:val="auto"/>
        </w:rPr>
        <w:t>Item 2(c): Citizenship: Not Applicable</w:t>
      </w:r>
    </w:p>
    <w:p>
      <w:pPr>
        <w:spacing w:after="0" w:line="237" w:lineRule="auto"/>
        <w:rPr>
          <w:sz w:val="20"/>
          <w:szCs w:val="20"/>
          <w:color w:val="auto"/>
        </w:rPr>
      </w:pPr>
      <w:r>
        <w:rPr>
          <w:rFonts w:ascii="Courier New" w:cs="Courier New" w:eastAsia="Courier New" w:hAnsi="Courier New"/>
          <w:sz w:val="18"/>
          <w:szCs w:val="18"/>
          <w:color w:val="auto"/>
        </w:rPr>
        <w:t>Item 2(d): Title of Class of Securities: Common Stock</w:t>
      </w:r>
    </w:p>
    <w:p>
      <w:pPr>
        <w:spacing w:after="0"/>
        <w:rPr>
          <w:sz w:val="20"/>
          <w:szCs w:val="20"/>
          <w:color w:val="auto"/>
        </w:rPr>
      </w:pPr>
      <w:r>
        <w:rPr>
          <w:rFonts w:ascii="Courier New" w:cs="Courier New" w:eastAsia="Courier New" w:hAnsi="Courier New"/>
          <w:sz w:val="18"/>
          <w:szCs w:val="18"/>
          <w:color w:val="auto"/>
        </w:rPr>
        <w:t>Item 2(e): CUSIP Number: 45103T107</w:t>
      </w:r>
    </w:p>
    <w:p>
      <w:pPr>
        <w:spacing w:after="0" w:line="4" w:lineRule="exact"/>
        <w:rPr>
          <w:sz w:val="24"/>
          <w:szCs w:val="24"/>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Item 3(e): Investment Adviser registered under section 203 of the Investment Advisers Act of 1940</w:t>
      </w:r>
    </w:p>
    <w:tbl>
      <w:tblPr>
        <w:tblLayout w:type="fixed"/>
        <w:tblInd w:w="0" w:type="dxa"/>
        <w:tblCellMar>
          <w:top w:w="0" w:type="dxa"/>
          <w:left w:w="0" w:type="dxa"/>
          <w:bottom w:w="0" w:type="dxa"/>
          <w:right w:w="0" w:type="dxa"/>
        </w:tblCellMar>
      </w:tblPr>
      <w:tr>
        <w:trPr>
          <w:trHeight w:val="204"/>
        </w:trPr>
        <w:tc>
          <w:tcPr>
            <w:tcW w:w="480" w:type="dxa"/>
            <w:vAlign w:val="bottom"/>
          </w:tcPr>
          <w:p>
            <w:pPr>
              <w:spacing w:after="0"/>
              <w:rPr>
                <w:sz w:val="20"/>
                <w:szCs w:val="20"/>
                <w:color w:val="auto"/>
              </w:rPr>
            </w:pPr>
            <w:r>
              <w:rPr>
                <w:rFonts w:ascii="Courier New" w:cs="Courier New" w:eastAsia="Courier New" w:hAnsi="Courier New"/>
                <w:sz w:val="18"/>
                <w:szCs w:val="18"/>
                <w:color w:val="auto"/>
              </w:rPr>
              <w:t>Item</w:t>
            </w:r>
          </w:p>
        </w:tc>
        <w:tc>
          <w:tcPr>
            <w:tcW w:w="900" w:type="dxa"/>
            <w:vAlign w:val="bottom"/>
          </w:tcPr>
          <w:p>
            <w:pPr>
              <w:ind w:left="60"/>
              <w:spacing w:after="0"/>
              <w:rPr>
                <w:sz w:val="20"/>
                <w:szCs w:val="20"/>
                <w:color w:val="auto"/>
              </w:rPr>
            </w:pPr>
            <w:r>
              <w:rPr>
                <w:rFonts w:ascii="Courier New" w:cs="Courier New" w:eastAsia="Courier New" w:hAnsi="Courier New"/>
                <w:sz w:val="18"/>
                <w:szCs w:val="18"/>
                <w:color w:val="auto"/>
              </w:rPr>
              <w:t>4(a):</w:t>
            </w:r>
          </w:p>
        </w:tc>
        <w:tc>
          <w:tcPr>
            <w:tcW w:w="2780" w:type="dxa"/>
            <w:vAlign w:val="bottom"/>
          </w:tcPr>
          <w:p>
            <w:pPr>
              <w:ind w:left="320"/>
              <w:spacing w:after="0"/>
              <w:rPr>
                <w:sz w:val="20"/>
                <w:szCs w:val="20"/>
                <w:color w:val="auto"/>
              </w:rPr>
            </w:pPr>
            <w:r>
              <w:rPr>
                <w:rFonts w:ascii="Courier New" w:cs="Courier New" w:eastAsia="Courier New" w:hAnsi="Courier New"/>
                <w:sz w:val="18"/>
                <w:szCs w:val="18"/>
                <w:color w:val="auto"/>
                <w:w w:val="98"/>
              </w:rPr>
              <w:t>Amount Owned: 1,460,792</w:t>
            </w:r>
          </w:p>
        </w:tc>
        <w:tc>
          <w:tcPr>
            <w:tcW w:w="580" w:type="dxa"/>
            <w:vAlign w:val="bottom"/>
          </w:tcPr>
          <w:p>
            <w:pPr>
              <w:spacing w:after="0"/>
              <w:rPr>
                <w:sz w:val="17"/>
                <w:szCs w:val="17"/>
                <w:color w:val="auto"/>
              </w:rPr>
            </w:pP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4(b):</w:t>
            </w:r>
          </w:p>
        </w:tc>
        <w:tc>
          <w:tcPr>
            <w:tcW w:w="27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8"/>
              </w:rPr>
              <w:t>Percent of Class Owned:</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11.3%</w:t>
            </w:r>
          </w:p>
        </w:tc>
      </w:tr>
    </w:tbl>
    <w:p>
      <w:pPr>
        <w:spacing w:after="0" w:line="238" w:lineRule="auto"/>
        <w:rPr>
          <w:sz w:val="20"/>
          <w:szCs w:val="20"/>
          <w:color w:val="auto"/>
        </w:rPr>
      </w:pPr>
      <w:r>
        <w:rPr>
          <w:rFonts w:ascii="Courier New" w:cs="Courier New" w:eastAsia="Courier New" w:hAnsi="Courier New"/>
          <w:sz w:val="18"/>
          <w:szCs w:val="18"/>
          <w:color w:val="auto"/>
        </w:rPr>
        <w:t>Item 4(c)(i): Sole Voting Power: 1,460,792</w:t>
      </w:r>
    </w:p>
    <w:p>
      <w:pPr>
        <w:spacing w:after="0"/>
        <w:rPr>
          <w:sz w:val="20"/>
          <w:szCs w:val="20"/>
          <w:color w:val="auto"/>
        </w:rPr>
      </w:pPr>
      <w:r>
        <w:rPr>
          <w:rFonts w:ascii="Courier New" w:cs="Courier New" w:eastAsia="Courier New" w:hAnsi="Courier New"/>
          <w:sz w:val="18"/>
          <w:szCs w:val="18"/>
          <w:color w:val="auto"/>
        </w:rPr>
        <w:t>Item 4(c)(ii): Shared Voting Power: 0</w:t>
      </w:r>
    </w:p>
    <w:p>
      <w:pPr>
        <w:spacing w:after="0" w:line="237" w:lineRule="auto"/>
        <w:rPr>
          <w:sz w:val="20"/>
          <w:szCs w:val="20"/>
          <w:color w:val="auto"/>
        </w:rPr>
      </w:pPr>
      <w:r>
        <w:rPr>
          <w:rFonts w:ascii="Courier New" w:cs="Courier New" w:eastAsia="Courier New" w:hAnsi="Courier New"/>
          <w:sz w:val="18"/>
          <w:szCs w:val="18"/>
          <w:color w:val="auto"/>
        </w:rPr>
        <w:t>Item 4(c)(iii): Sole Dispositive Power: 1,460,792</w:t>
      </w:r>
    </w:p>
    <w:p>
      <w:pPr>
        <w:spacing w:after="0" w:line="238" w:lineRule="auto"/>
        <w:rPr>
          <w:sz w:val="20"/>
          <w:szCs w:val="20"/>
          <w:color w:val="auto"/>
        </w:rPr>
      </w:pPr>
      <w:r>
        <w:rPr>
          <w:rFonts w:ascii="Courier New" w:cs="Courier New" w:eastAsia="Courier New" w:hAnsi="Courier New"/>
          <w:sz w:val="18"/>
          <w:szCs w:val="18"/>
          <w:color w:val="auto"/>
        </w:rPr>
        <w:t>Item 4(c)(iv): Shared Dispositive Power: 0</w:t>
      </w:r>
    </w:p>
    <w:p>
      <w:pPr>
        <w:spacing w:after="0"/>
        <w:rPr>
          <w:sz w:val="20"/>
          <w:szCs w:val="20"/>
          <w:color w:val="auto"/>
        </w:rPr>
      </w:pPr>
      <w:r>
        <w:rPr>
          <w:rFonts w:ascii="Courier New" w:cs="Courier New" w:eastAsia="Courier New" w:hAnsi="Courier New"/>
          <w:sz w:val="18"/>
          <w:szCs w:val="18"/>
          <w:color w:val="auto"/>
        </w:rPr>
        <w:t>Item 5: Check Box If Ownership Is 5% or Less of Class: [ ]</w:t>
      </w:r>
    </w:p>
    <w:p>
      <w:pPr>
        <w:spacing w:after="0" w:line="237" w:lineRule="auto"/>
        <w:rPr>
          <w:sz w:val="20"/>
          <w:szCs w:val="20"/>
          <w:color w:val="auto"/>
        </w:rPr>
      </w:pPr>
      <w:r>
        <w:rPr>
          <w:rFonts w:ascii="Courier New" w:cs="Courier New" w:eastAsia="Courier New" w:hAnsi="Courier New"/>
          <w:sz w:val="18"/>
          <w:szCs w:val="18"/>
          <w:color w:val="auto"/>
        </w:rPr>
        <w:t>Item 6. Ownership of More Than 5% on Behalf of Another Person: N/A</w:t>
      </w:r>
    </w:p>
    <w:p>
      <w:pPr>
        <w:spacing w:after="0"/>
        <w:rPr>
          <w:sz w:val="20"/>
          <w:szCs w:val="20"/>
          <w:color w:val="auto"/>
        </w:rPr>
      </w:pPr>
      <w:r>
        <w:rPr>
          <w:rFonts w:ascii="Courier New" w:cs="Courier New" w:eastAsia="Courier New" w:hAnsi="Courier New"/>
          <w:sz w:val="18"/>
          <w:szCs w:val="18"/>
          <w:color w:val="auto"/>
        </w:rPr>
        <w:t>Item 7: Identification of Subsidiary: Not Applicable</w:t>
      </w:r>
    </w:p>
    <w:p>
      <w:pPr>
        <w:spacing w:after="0" w:line="237" w:lineRule="auto"/>
        <w:rPr>
          <w:sz w:val="20"/>
          <w:szCs w:val="20"/>
          <w:color w:val="auto"/>
        </w:rPr>
      </w:pPr>
      <w:r>
        <w:rPr>
          <w:rFonts w:ascii="Courier New" w:cs="Courier New" w:eastAsia="Courier New" w:hAnsi="Courier New"/>
          <w:sz w:val="18"/>
          <w:szCs w:val="18"/>
          <w:color w:val="auto"/>
        </w:rPr>
        <w:t>Item 8: Identification of Members of Group: Not Applicable</w:t>
      </w:r>
    </w:p>
    <w:p>
      <w:pPr>
        <w:spacing w:after="0"/>
        <w:rPr>
          <w:sz w:val="20"/>
          <w:szCs w:val="20"/>
          <w:color w:val="auto"/>
        </w:rPr>
      </w:pPr>
      <w:r>
        <w:rPr>
          <w:rFonts w:ascii="Courier New" w:cs="Courier New" w:eastAsia="Courier New" w:hAnsi="Courier New"/>
          <w:sz w:val="18"/>
          <w:szCs w:val="18"/>
          <w:color w:val="auto"/>
        </w:rPr>
        <w:t>Item 9: Notice of Dissolution of Group: Not Applicable</w:t>
      </w:r>
    </w:p>
    <w:p>
      <w:pPr>
        <w:spacing w:after="0" w:line="237" w:lineRule="auto"/>
        <w:rPr>
          <w:sz w:val="20"/>
          <w:szCs w:val="20"/>
          <w:color w:val="auto"/>
        </w:rPr>
      </w:pPr>
      <w:r>
        <w:rPr>
          <w:rFonts w:ascii="Courier New" w:cs="Courier New" w:eastAsia="Courier New" w:hAnsi="Courier New"/>
          <w:sz w:val="18"/>
          <w:szCs w:val="18"/>
          <w:color w:val="auto"/>
        </w:rPr>
        <w:t>Item 10: Certification:</w:t>
      </w:r>
    </w:p>
    <w:p>
      <w:pPr>
        <w:spacing w:after="0" w:line="5" w:lineRule="exact"/>
        <w:rPr>
          <w:sz w:val="24"/>
          <w:szCs w:val="24"/>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38" w:lineRule="auto"/>
        <w:rPr>
          <w:sz w:val="20"/>
          <w:szCs w:val="20"/>
          <w:color w:val="auto"/>
        </w:rPr>
      </w:pPr>
      <w:r>
        <w:rPr>
          <w:rFonts w:ascii="Courier New" w:cs="Courier New" w:eastAsia="Courier New" w:hAnsi="Courier New"/>
          <w:sz w:val="18"/>
          <w:szCs w:val="18"/>
          <w:color w:val="auto"/>
        </w:rPr>
        <w:t>After reasonable inquiry and to the best of my knowledge and belief, I</w:t>
      </w:r>
    </w:p>
    <w:p>
      <w:pPr>
        <w:spacing w:after="0"/>
        <w:rPr>
          <w:sz w:val="20"/>
          <w:szCs w:val="20"/>
          <w:color w:val="auto"/>
        </w:rPr>
      </w:pPr>
      <w:r>
        <w:rPr>
          <w:rFonts w:ascii="Courier New" w:cs="Courier New" w:eastAsia="Courier New" w:hAnsi="Courier New"/>
          <w:sz w:val="18"/>
          <w:szCs w:val="18"/>
          <w:color w:val="auto"/>
        </w:rPr>
        <w:t>certify that the information set forth in this statement is true, complete</w:t>
      </w:r>
    </w:p>
    <w:p>
      <w:pPr>
        <w:spacing w:after="0" w:line="237" w:lineRule="auto"/>
        <w:rPr>
          <w:sz w:val="20"/>
          <w:szCs w:val="20"/>
          <w:color w:val="auto"/>
        </w:rPr>
      </w:pPr>
      <w:r>
        <w:rPr>
          <w:rFonts w:ascii="Courier New" w:cs="Courier New" w:eastAsia="Courier New" w:hAnsi="Courier New"/>
          <w:sz w:val="18"/>
          <w:szCs w:val="18"/>
          <w:color w:val="auto"/>
        </w:rPr>
        <w:t>and correct as of December 31, 2003.</w:t>
      </w:r>
    </w:p>
    <w:p>
      <w:pPr>
        <w:spacing w:after="0" w:line="238" w:lineRule="auto"/>
        <w:rPr>
          <w:sz w:val="20"/>
          <w:szCs w:val="20"/>
          <w:color w:val="auto"/>
        </w:rPr>
      </w:pPr>
      <w:r>
        <w:rPr>
          <w:rFonts w:ascii="Courier New" w:cs="Courier New" w:eastAsia="Courier New" w:hAnsi="Courier New"/>
          <w:sz w:val="18"/>
          <w:szCs w:val="18"/>
          <w:color w:val="auto"/>
        </w:rPr>
        <w:t>Date: 02/17/2004</w:t>
      </w:r>
    </w:p>
    <w:p>
      <w:pPr>
        <w:spacing w:after="0"/>
        <w:rPr>
          <w:sz w:val="20"/>
          <w:szCs w:val="20"/>
          <w:color w:val="auto"/>
        </w:rPr>
      </w:pPr>
      <w:r>
        <w:rPr>
          <w:rFonts w:ascii="Courier New" w:cs="Courier New" w:eastAsia="Courier New" w:hAnsi="Courier New"/>
          <w:sz w:val="18"/>
          <w:szCs w:val="18"/>
          <w:color w:val="auto"/>
        </w:rPr>
        <w:t>Signature: /s/Jeff S. Cardon</w:t>
      </w:r>
    </w:p>
    <w:p>
      <w:pPr>
        <w:spacing w:after="0" w:line="237" w:lineRule="auto"/>
        <w:rPr>
          <w:sz w:val="20"/>
          <w:szCs w:val="20"/>
          <w:color w:val="auto"/>
        </w:rPr>
      </w:pPr>
      <w:r>
        <w:rPr>
          <w:rFonts w:ascii="Courier New" w:cs="Courier New" w:eastAsia="Courier New" w:hAnsi="Courier New"/>
          <w:sz w:val="18"/>
          <w:szCs w:val="18"/>
          <w:color w:val="auto"/>
        </w:rPr>
        <w:t>Name/Title: Jeff S. Cardon/President</w:t>
      </w:r>
    </w:p>
    <w:sectPr>
      <w:pgSz w:w="11900" w:h="16838" w:orient="portrait"/>
      <w:cols w:equalWidth="0" w:num="1">
        <w:col w:w="10219"/>
      </w:cols>
      <w:pgMar w:left="240" w:top="24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2019-12-14T20:59:16Z</dcterms:created>
  <dcterms:modified xsi:type="dcterms:W3CDTF">2019-12-14T20:59:16Z</dcterms:modified>
</cp:coreProperties>
</file>