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59"/>
        <w:spacing w:after="0"/>
        <w:rPr>
          <w:sz w:val="20"/>
          <w:szCs w:val="20"/>
          <w:color w:val="auto"/>
        </w:rPr>
      </w:pPr>
      <w:r>
        <w:rPr>
          <w:rFonts w:ascii="Times New Roman" w:cs="Times New Roman" w:eastAsia="Times New Roman" w:hAnsi="Times New Roman"/>
          <w:sz w:val="20"/>
          <w:szCs w:val="20"/>
          <w:b w:val="1"/>
          <w:bCs w:val="1"/>
          <w:color w:val="auto"/>
        </w:rPr>
        <w:t>FORM 6-K</w:t>
      </w:r>
    </w:p>
    <w:p>
      <w:pPr>
        <w:spacing w:after="0" w:line="229" w:lineRule="exact"/>
        <w:rPr>
          <w:sz w:val="24"/>
          <w:szCs w:val="24"/>
          <w:color w:val="auto"/>
        </w:rPr>
      </w:pPr>
    </w:p>
    <w:p>
      <w:pPr>
        <w:jc w:val="center"/>
        <w:ind w:right="-799"/>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251" w:lineRule="exact"/>
        <w:rPr>
          <w:sz w:val="24"/>
          <w:szCs w:val="24"/>
          <w:color w:val="auto"/>
        </w:rPr>
      </w:pPr>
    </w:p>
    <w:p>
      <w:pPr>
        <w:jc w:val="center"/>
        <w:ind w:right="-799"/>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48" w:lineRule="exact"/>
        <w:rPr>
          <w:sz w:val="24"/>
          <w:szCs w:val="24"/>
          <w:color w:val="auto"/>
        </w:rPr>
      </w:pPr>
    </w:p>
    <w:p>
      <w:pPr>
        <w:jc w:val="center"/>
        <w:ind w:right="-799"/>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799"/>
        <w:spacing w:after="0"/>
        <w:rPr>
          <w:sz w:val="20"/>
          <w:szCs w:val="20"/>
          <w:color w:val="auto"/>
        </w:rPr>
      </w:pPr>
      <w:r>
        <w:rPr>
          <w:rFonts w:ascii="Times New Roman" w:cs="Times New Roman" w:eastAsia="Times New Roman" w:hAnsi="Times New Roman"/>
          <w:sz w:val="18"/>
          <w:szCs w:val="18"/>
          <w:b w:val="1"/>
          <w:bCs w:val="1"/>
          <w:color w:val="auto"/>
        </w:rPr>
        <w:t>Pursuant to Rule 13a-16 under</w:t>
      </w:r>
    </w:p>
    <w:p>
      <w:pPr>
        <w:spacing w:after="0" w:line="9" w:lineRule="exact"/>
        <w:rPr>
          <w:sz w:val="24"/>
          <w:szCs w:val="24"/>
          <w:color w:val="auto"/>
        </w:rPr>
      </w:pPr>
    </w:p>
    <w:p>
      <w:pPr>
        <w:jc w:val="center"/>
        <w:ind w:right="-799"/>
        <w:spacing w:after="0"/>
        <w:rPr>
          <w:sz w:val="20"/>
          <w:szCs w:val="20"/>
          <w:color w:val="auto"/>
        </w:rPr>
      </w:pPr>
      <w:r>
        <w:rPr>
          <w:rFonts w:ascii="Times New Roman" w:cs="Times New Roman" w:eastAsia="Times New Roman" w:hAnsi="Times New Roman"/>
          <w:sz w:val="18"/>
          <w:szCs w:val="18"/>
          <w:color w:val="auto"/>
        </w:rPr>
        <w:t>t</w:t>
      </w:r>
      <w:r>
        <w:rPr>
          <w:rFonts w:ascii="Times New Roman" w:cs="Times New Roman" w:eastAsia="Times New Roman" w:hAnsi="Times New Roman"/>
          <w:sz w:val="18"/>
          <w:szCs w:val="18"/>
          <w:b w:val="1"/>
          <w:bCs w:val="1"/>
          <w:color w:val="auto"/>
        </w:rPr>
        <w:t>he Securities Exchange Act of 1934</w:t>
      </w:r>
    </w:p>
    <w:p>
      <w:pPr>
        <w:spacing w:after="0" w:line="200" w:lineRule="exact"/>
        <w:rPr>
          <w:sz w:val="24"/>
          <w:szCs w:val="24"/>
          <w:color w:val="auto"/>
        </w:rPr>
      </w:pPr>
    </w:p>
    <w:p>
      <w:pPr>
        <w:spacing w:after="0" w:line="277" w:lineRule="exact"/>
        <w:rPr>
          <w:sz w:val="24"/>
          <w:szCs w:val="24"/>
          <w:color w:val="auto"/>
        </w:rPr>
      </w:pPr>
    </w:p>
    <w:p>
      <w:pPr>
        <w:jc w:val="center"/>
        <w:ind w:right="-799"/>
        <w:spacing w:after="0"/>
        <w:rPr>
          <w:sz w:val="20"/>
          <w:szCs w:val="20"/>
          <w:color w:val="auto"/>
        </w:rPr>
      </w:pPr>
      <w:r>
        <w:rPr>
          <w:rFonts w:ascii="Times New Roman" w:cs="Times New Roman" w:eastAsia="Times New Roman" w:hAnsi="Times New Roman"/>
          <w:sz w:val="18"/>
          <w:szCs w:val="18"/>
          <w:color w:val="auto"/>
        </w:rPr>
        <w:t>For the month ended December, 2016</w:t>
      </w:r>
    </w:p>
    <w:p>
      <w:pPr>
        <w:spacing w:after="0" w:line="248" w:lineRule="exact"/>
        <w:rPr>
          <w:sz w:val="24"/>
          <w:szCs w:val="24"/>
          <w:color w:val="auto"/>
        </w:rPr>
      </w:pPr>
    </w:p>
    <w:p>
      <w:pPr>
        <w:jc w:val="center"/>
        <w:ind w:right="-799"/>
        <w:spacing w:after="0"/>
        <w:rPr>
          <w:sz w:val="20"/>
          <w:szCs w:val="20"/>
          <w:color w:val="auto"/>
        </w:rPr>
      </w:pPr>
      <w:r>
        <w:rPr>
          <w:rFonts w:ascii="Times New Roman" w:cs="Times New Roman" w:eastAsia="Times New Roman" w:hAnsi="Times New Roman"/>
          <w:sz w:val="18"/>
          <w:szCs w:val="18"/>
          <w:b w:val="1"/>
          <w:bCs w:val="1"/>
          <w:color w:val="auto"/>
        </w:rPr>
        <w:t>ICON plc</w:t>
      </w:r>
    </w:p>
    <w:p>
      <w:pPr>
        <w:spacing w:after="0" w:line="31" w:lineRule="exact"/>
        <w:rPr>
          <w:sz w:val="24"/>
          <w:szCs w:val="24"/>
          <w:color w:val="auto"/>
        </w:rPr>
      </w:pPr>
    </w:p>
    <w:p>
      <w:pPr>
        <w:jc w:val="center"/>
        <w:ind w:right="-799"/>
        <w:spacing w:after="0"/>
        <w:rPr>
          <w:sz w:val="20"/>
          <w:szCs w:val="20"/>
          <w:color w:val="auto"/>
        </w:rPr>
      </w:pPr>
      <w:r>
        <w:rPr>
          <w:rFonts w:ascii="Times New Roman" w:cs="Times New Roman" w:eastAsia="Times New Roman" w:hAnsi="Times New Roman"/>
          <w:sz w:val="18"/>
          <w:szCs w:val="18"/>
          <w:color w:val="auto"/>
        </w:rPr>
        <w:t>(Registrant's name)</w:t>
      </w:r>
    </w:p>
    <w:p>
      <w:pPr>
        <w:spacing w:after="0" w:line="200" w:lineRule="exact"/>
        <w:rPr>
          <w:sz w:val="24"/>
          <w:szCs w:val="24"/>
          <w:color w:val="auto"/>
        </w:rPr>
      </w:pPr>
    </w:p>
    <w:p>
      <w:pPr>
        <w:spacing w:after="0" w:line="273" w:lineRule="exact"/>
        <w:rPr>
          <w:sz w:val="24"/>
          <w:szCs w:val="24"/>
          <w:color w:val="auto"/>
        </w:rPr>
      </w:pPr>
    </w:p>
    <w:p>
      <w:pPr>
        <w:jc w:val="center"/>
        <w:ind w:right="-799"/>
        <w:spacing w:after="0"/>
        <w:rPr>
          <w:sz w:val="20"/>
          <w:szCs w:val="20"/>
          <w:color w:val="auto"/>
        </w:rPr>
      </w:pPr>
      <w:r>
        <w:rPr>
          <w:rFonts w:ascii="Times New Roman" w:cs="Times New Roman" w:eastAsia="Times New Roman" w:hAnsi="Times New Roman"/>
          <w:sz w:val="18"/>
          <w:szCs w:val="18"/>
          <w:b w:val="1"/>
          <w:bCs w:val="1"/>
          <w:color w:val="auto"/>
        </w:rPr>
        <w:t>333-08704</w:t>
      </w:r>
    </w:p>
    <w:p>
      <w:pPr>
        <w:spacing w:after="0" w:line="31" w:lineRule="exact"/>
        <w:rPr>
          <w:sz w:val="24"/>
          <w:szCs w:val="24"/>
          <w:color w:val="auto"/>
        </w:rPr>
      </w:pPr>
    </w:p>
    <w:p>
      <w:pPr>
        <w:jc w:val="center"/>
        <w:ind w:right="-799"/>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0" w:lineRule="exact"/>
        <w:rPr>
          <w:sz w:val="24"/>
          <w:szCs w:val="24"/>
          <w:color w:val="auto"/>
        </w:rPr>
      </w:pPr>
    </w:p>
    <w:p>
      <w:pPr>
        <w:spacing w:after="0" w:line="277" w:lineRule="exact"/>
        <w:rPr>
          <w:sz w:val="24"/>
          <w:szCs w:val="24"/>
          <w:color w:val="auto"/>
        </w:rPr>
      </w:pPr>
    </w:p>
    <w:p>
      <w:pPr>
        <w:jc w:val="center"/>
        <w:ind w:right="-799"/>
        <w:spacing w:after="0"/>
        <w:rPr>
          <w:sz w:val="20"/>
          <w:szCs w:val="20"/>
          <w:color w:val="auto"/>
        </w:rPr>
      </w:pPr>
      <w:r>
        <w:rPr>
          <w:rFonts w:ascii="Times New Roman" w:cs="Times New Roman" w:eastAsia="Times New Roman" w:hAnsi="Times New Roman"/>
          <w:sz w:val="18"/>
          <w:szCs w:val="18"/>
          <w:color w:val="auto"/>
        </w:rPr>
        <w:t>South County Business Park, Leopardstown, Dublin 18, Ireland</w:t>
      </w:r>
    </w:p>
    <w:p>
      <w:pPr>
        <w:spacing w:after="0" w:line="27" w:lineRule="exact"/>
        <w:rPr>
          <w:sz w:val="24"/>
          <w:szCs w:val="24"/>
          <w:color w:val="auto"/>
        </w:rPr>
      </w:pPr>
    </w:p>
    <w:p>
      <w:pPr>
        <w:jc w:val="center"/>
        <w:ind w:right="-799"/>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0" w:lineRule="exact"/>
        <w:rPr>
          <w:sz w:val="24"/>
          <w:szCs w:val="24"/>
          <w:color w:val="auto"/>
        </w:rPr>
      </w:pPr>
    </w:p>
    <w:p>
      <w:pPr>
        <w:spacing w:after="0" w:line="277" w:lineRule="exact"/>
        <w:rPr>
          <w:sz w:val="24"/>
          <w:szCs w:val="24"/>
          <w:color w:val="auto"/>
        </w:rPr>
      </w:pPr>
    </w:p>
    <w:p>
      <w:pPr>
        <w:jc w:val="center"/>
        <w:ind w:right="-799"/>
        <w:spacing w:after="0"/>
        <w:rPr>
          <w:sz w:val="20"/>
          <w:szCs w:val="20"/>
          <w:color w:val="auto"/>
        </w:rPr>
      </w:pPr>
      <w:r>
        <w:rPr>
          <w:rFonts w:ascii="Times New Roman" w:cs="Times New Roman" w:eastAsia="Times New Roman" w:hAnsi="Times New Roman"/>
          <w:sz w:val="18"/>
          <w:szCs w:val="18"/>
          <w:color w:val="auto"/>
        </w:rPr>
        <w:t>Brendan Brennan, CFO</w:t>
      </w:r>
    </w:p>
    <w:p>
      <w:pPr>
        <w:spacing w:after="0" w:line="27" w:lineRule="exact"/>
        <w:rPr>
          <w:sz w:val="24"/>
          <w:szCs w:val="24"/>
          <w:color w:val="auto"/>
        </w:rPr>
      </w:pPr>
    </w:p>
    <w:p>
      <w:pPr>
        <w:jc w:val="center"/>
        <w:ind w:right="-799"/>
        <w:spacing w:after="0"/>
        <w:rPr>
          <w:sz w:val="20"/>
          <w:szCs w:val="20"/>
          <w:color w:val="auto"/>
        </w:rPr>
      </w:pPr>
      <w:r>
        <w:rPr>
          <w:rFonts w:ascii="Times New Roman" w:cs="Times New Roman" w:eastAsia="Times New Roman" w:hAnsi="Times New Roman"/>
          <w:sz w:val="18"/>
          <w:szCs w:val="18"/>
          <w:color w:val="auto"/>
        </w:rPr>
        <w:t>South County Business Park, Leopardstown, Dublin 18, Ireland.</w:t>
      </w:r>
    </w:p>
    <w:p>
      <w:pPr>
        <w:spacing w:after="0" w:line="9" w:lineRule="exact"/>
        <w:rPr>
          <w:sz w:val="24"/>
          <w:szCs w:val="24"/>
          <w:color w:val="auto"/>
        </w:rPr>
      </w:pPr>
    </w:p>
    <w:p>
      <w:pPr>
        <w:jc w:val="center"/>
        <w:ind w:right="-799"/>
        <w:spacing w:after="0"/>
        <w:rPr>
          <w:sz w:val="20"/>
          <w:szCs w:val="20"/>
          <w:color w:val="auto"/>
        </w:rPr>
      </w:pPr>
      <w:r>
        <w:rPr>
          <w:rFonts w:ascii="Times New Roman" w:cs="Times New Roman" w:eastAsia="Times New Roman" w:hAnsi="Times New Roman"/>
          <w:sz w:val="18"/>
          <w:szCs w:val="18"/>
          <w:color w:val="auto"/>
        </w:rPr>
        <w:t>Brendan.Brennan@iconplc.com</w:t>
      </w:r>
    </w:p>
    <w:p>
      <w:pPr>
        <w:spacing w:after="0" w:line="9" w:lineRule="exact"/>
        <w:rPr>
          <w:sz w:val="24"/>
          <w:szCs w:val="24"/>
          <w:color w:val="auto"/>
        </w:rPr>
      </w:pPr>
    </w:p>
    <w:p>
      <w:pPr>
        <w:jc w:val="center"/>
        <w:ind w:right="-799"/>
        <w:spacing w:after="0"/>
        <w:rPr>
          <w:sz w:val="20"/>
          <w:szCs w:val="20"/>
          <w:color w:val="auto"/>
        </w:rPr>
      </w:pPr>
      <w:r>
        <w:rPr>
          <w:rFonts w:ascii="Times New Roman" w:cs="Times New Roman" w:eastAsia="Times New Roman" w:hAnsi="Times New Roman"/>
          <w:sz w:val="18"/>
          <w:szCs w:val="18"/>
          <w:color w:val="auto"/>
        </w:rPr>
        <w:t>00-353-1-291-2000</w:t>
      </w:r>
    </w:p>
    <w:p>
      <w:pPr>
        <w:spacing w:after="0" w:line="9"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18"/>
          <w:szCs w:val="18"/>
          <w:color w:val="auto"/>
        </w:rPr>
        <w:t>(Name, telephone number, email and/or facsimile number and address of Company contact person)</w:t>
      </w:r>
    </w:p>
    <w:p>
      <w:pPr>
        <w:spacing w:after="0" w:line="200" w:lineRule="exact"/>
        <w:rPr>
          <w:sz w:val="24"/>
          <w:szCs w:val="24"/>
          <w:color w:val="auto"/>
        </w:rPr>
      </w:pPr>
    </w:p>
    <w:p>
      <w:pPr>
        <w:spacing w:after="0" w:line="200" w:lineRule="exact"/>
        <w:rPr>
          <w:sz w:val="24"/>
          <w:szCs w:val="24"/>
          <w:color w:val="auto"/>
        </w:rPr>
      </w:pPr>
    </w:p>
    <w:p>
      <w:pPr>
        <w:spacing w:after="0" w:line="32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27" w:lineRule="exact"/>
        <w:rPr>
          <w:sz w:val="24"/>
          <w:szCs w:val="24"/>
          <w:color w:val="auto"/>
        </w:rPr>
      </w:pPr>
    </w:p>
    <w:p>
      <w:pPr>
        <w:ind w:left="4580"/>
        <w:spacing w:after="0"/>
        <w:tabs>
          <w:tab w:leader="none" w:pos="6500" w:val="left"/>
        </w:tabs>
        <w:rPr>
          <w:sz w:val="20"/>
          <w:szCs w:val="20"/>
          <w:color w:val="auto"/>
        </w:rPr>
      </w:pPr>
      <w:r>
        <w:rPr>
          <w:rFonts w:ascii="Times New Roman" w:cs="Times New Roman" w:eastAsia="Times New Roman" w:hAnsi="Times New Roman"/>
          <w:sz w:val="18"/>
          <w:szCs w:val="18"/>
          <w:color w:val="auto"/>
        </w:rPr>
        <w:t>Yes___</w:t>
      </w:r>
      <w:r>
        <w:rPr>
          <w:rFonts w:ascii="Times New Roman" w:cs="Times New Roman" w:eastAsia="Times New Roman" w:hAnsi="Times New Roman"/>
          <w:sz w:val="18"/>
          <w:szCs w:val="18"/>
          <w:b w:val="1"/>
          <w:bCs w:val="1"/>
          <w:color w:val="auto"/>
        </w:rPr>
        <w:t>X</w:t>
      </w:r>
      <w:r>
        <w:rPr>
          <w:rFonts w:ascii="Times New Roman" w:cs="Times New Roman" w:eastAsia="Times New Roman" w:hAnsi="Times New Roman"/>
          <w:sz w:val="18"/>
          <w:szCs w:val="18"/>
          <w:color w:val="auto"/>
        </w:rPr>
        <w:t>___</w:t>
      </w:r>
      <w:r>
        <w:rPr>
          <w:sz w:val="20"/>
          <w:szCs w:val="20"/>
          <w:color w:val="auto"/>
        </w:rPr>
        <w:tab/>
      </w:r>
      <w:r>
        <w:rPr>
          <w:rFonts w:ascii="Times New Roman" w:cs="Times New Roman" w:eastAsia="Times New Roman" w:hAnsi="Times New Roman"/>
          <w:sz w:val="17"/>
          <w:szCs w:val="17"/>
          <w:color w:val="auto"/>
        </w:rPr>
        <w:t>No___</w:t>
      </w:r>
      <w:r>
        <w:rPr>
          <w:rFonts w:ascii="Times New Roman" w:cs="Times New Roman" w:eastAsia="Times New Roman" w:hAnsi="Times New Roman"/>
          <w:sz w:val="17"/>
          <w:szCs w:val="17"/>
          <w:b w:val="1"/>
          <w:bCs w:val="1"/>
          <w:color w:val="auto"/>
        </w:rPr>
        <w:t>_</w:t>
      </w:r>
      <w:r>
        <w:rPr>
          <w:rFonts w:ascii="Times New Roman" w:cs="Times New Roman" w:eastAsia="Times New Roman" w:hAnsi="Times New Roman"/>
          <w:sz w:val="17"/>
          <w:szCs w:val="17"/>
          <w:color w:val="auto"/>
        </w:rPr>
        <w:t>___</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submitting the Form 6-K in paper as permitted by Regulation S-T Rule 101(b)(1):</w:t>
      </w:r>
    </w:p>
    <w:p>
      <w:pPr>
        <w:spacing w:after="0" w:line="27" w:lineRule="exact"/>
        <w:rPr>
          <w:sz w:val="24"/>
          <w:szCs w:val="24"/>
          <w:color w:val="auto"/>
        </w:rPr>
      </w:pPr>
    </w:p>
    <w:p>
      <w:pPr>
        <w:ind w:left="4580"/>
        <w:spacing w:after="0"/>
        <w:tabs>
          <w:tab w:leader="none" w:pos="6500" w:val="left"/>
        </w:tabs>
        <w:rPr>
          <w:sz w:val="20"/>
          <w:szCs w:val="20"/>
          <w:color w:val="auto"/>
        </w:rPr>
      </w:pPr>
      <w:r>
        <w:rPr>
          <w:rFonts w:ascii="Times New Roman" w:cs="Times New Roman" w:eastAsia="Times New Roman" w:hAnsi="Times New Roman"/>
          <w:sz w:val="18"/>
          <w:szCs w:val="18"/>
          <w:color w:val="auto"/>
        </w:rPr>
        <w:t>Yes______</w:t>
      </w:r>
      <w:r>
        <w:rPr>
          <w:sz w:val="20"/>
          <w:szCs w:val="20"/>
          <w:color w:val="auto"/>
        </w:rPr>
        <w:tab/>
      </w:r>
      <w:r>
        <w:rPr>
          <w:rFonts w:ascii="Times New Roman" w:cs="Times New Roman" w:eastAsia="Times New Roman" w:hAnsi="Times New Roman"/>
          <w:sz w:val="17"/>
          <w:szCs w:val="17"/>
          <w:color w:val="auto"/>
        </w:rPr>
        <w:t>No___</w:t>
      </w:r>
      <w:r>
        <w:rPr>
          <w:rFonts w:ascii="Times New Roman" w:cs="Times New Roman" w:eastAsia="Times New Roman" w:hAnsi="Times New Roman"/>
          <w:sz w:val="17"/>
          <w:szCs w:val="17"/>
          <w:b w:val="1"/>
          <w:bCs w:val="1"/>
          <w:color w:val="auto"/>
        </w:rPr>
        <w:t>X</w:t>
      </w:r>
      <w:r>
        <w:rPr>
          <w:rFonts w:ascii="Times New Roman" w:cs="Times New Roman" w:eastAsia="Times New Roman" w:hAnsi="Times New Roman"/>
          <w:sz w:val="17"/>
          <w:szCs w:val="17"/>
          <w:color w:val="auto"/>
        </w:rPr>
        <w:t>___</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submitting the Form 6-K in paper as permitted by Regulation S-T Rule 101(b)(7):</w:t>
      </w:r>
    </w:p>
    <w:p>
      <w:pPr>
        <w:spacing w:after="0" w:line="27" w:lineRule="exact"/>
        <w:rPr>
          <w:sz w:val="24"/>
          <w:szCs w:val="24"/>
          <w:color w:val="auto"/>
        </w:rPr>
      </w:pPr>
    </w:p>
    <w:p>
      <w:pPr>
        <w:ind w:left="4580"/>
        <w:spacing w:after="0"/>
        <w:tabs>
          <w:tab w:leader="none" w:pos="6500" w:val="left"/>
        </w:tabs>
        <w:rPr>
          <w:sz w:val="20"/>
          <w:szCs w:val="20"/>
          <w:color w:val="auto"/>
        </w:rPr>
      </w:pPr>
      <w:r>
        <w:rPr>
          <w:rFonts w:ascii="Times New Roman" w:cs="Times New Roman" w:eastAsia="Times New Roman" w:hAnsi="Times New Roman"/>
          <w:sz w:val="18"/>
          <w:szCs w:val="18"/>
          <w:color w:val="auto"/>
        </w:rPr>
        <w:t>Yes______</w:t>
      </w:r>
      <w:r>
        <w:rPr>
          <w:sz w:val="20"/>
          <w:szCs w:val="20"/>
          <w:color w:val="auto"/>
        </w:rPr>
        <w:tab/>
      </w:r>
      <w:r>
        <w:rPr>
          <w:rFonts w:ascii="Times New Roman" w:cs="Times New Roman" w:eastAsia="Times New Roman" w:hAnsi="Times New Roman"/>
          <w:sz w:val="17"/>
          <w:szCs w:val="17"/>
          <w:color w:val="auto"/>
        </w:rPr>
        <w:t>No___</w:t>
      </w:r>
      <w:r>
        <w:rPr>
          <w:rFonts w:ascii="Times New Roman" w:cs="Times New Roman" w:eastAsia="Times New Roman" w:hAnsi="Times New Roman"/>
          <w:sz w:val="17"/>
          <w:szCs w:val="17"/>
          <w:b w:val="1"/>
          <w:bCs w:val="1"/>
          <w:color w:val="auto"/>
        </w:rPr>
        <w:t>X</w:t>
      </w:r>
      <w:r>
        <w:rPr>
          <w:rFonts w:ascii="Times New Roman" w:cs="Times New Roman" w:eastAsia="Times New Roman" w:hAnsi="Times New Roman"/>
          <w:sz w:val="17"/>
          <w:szCs w:val="17"/>
          <w:color w:val="auto"/>
        </w:rPr>
        <w:t>___</w:t>
      </w:r>
    </w:p>
    <w:p>
      <w:pPr>
        <w:spacing w:after="0" w:line="207" w:lineRule="exact"/>
        <w:rPr>
          <w:sz w:val="24"/>
          <w:szCs w:val="24"/>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Indicate by check mark whether the registrant by furnishing the information contained in this Form is also thereby furnishing the information to the Commission pursuant to Rule12g3-2(b) under the Securities Exchange Act of 1934.</w:t>
      </w:r>
    </w:p>
    <w:p>
      <w:pPr>
        <w:ind w:left="4580"/>
        <w:spacing w:after="0"/>
        <w:tabs>
          <w:tab w:leader="none" w:pos="6500" w:val="left"/>
        </w:tabs>
        <w:rPr>
          <w:sz w:val="20"/>
          <w:szCs w:val="20"/>
          <w:color w:val="auto"/>
        </w:rPr>
      </w:pPr>
      <w:r>
        <w:rPr>
          <w:rFonts w:ascii="Times New Roman" w:cs="Times New Roman" w:eastAsia="Times New Roman" w:hAnsi="Times New Roman"/>
          <w:sz w:val="18"/>
          <w:szCs w:val="18"/>
          <w:color w:val="auto"/>
        </w:rPr>
        <w:t>Yes______</w:t>
      </w:r>
      <w:r>
        <w:rPr>
          <w:sz w:val="20"/>
          <w:szCs w:val="20"/>
          <w:color w:val="auto"/>
        </w:rPr>
        <w:tab/>
      </w:r>
      <w:r>
        <w:rPr>
          <w:rFonts w:ascii="Times New Roman" w:cs="Times New Roman" w:eastAsia="Times New Roman" w:hAnsi="Times New Roman"/>
          <w:sz w:val="17"/>
          <w:szCs w:val="17"/>
          <w:color w:val="auto"/>
        </w:rPr>
        <w:t>No___</w:t>
      </w:r>
      <w:r>
        <w:rPr>
          <w:rFonts w:ascii="Times New Roman" w:cs="Times New Roman" w:eastAsia="Times New Roman" w:hAnsi="Times New Roman"/>
          <w:sz w:val="17"/>
          <w:szCs w:val="17"/>
          <w:b w:val="1"/>
          <w:bCs w:val="1"/>
          <w:color w:val="auto"/>
        </w:rPr>
        <w:t>X</w:t>
      </w:r>
      <w:r>
        <w:rPr>
          <w:rFonts w:ascii="Times New Roman" w:cs="Times New Roman" w:eastAsia="Times New Roman" w:hAnsi="Times New Roman"/>
          <w:sz w:val="17"/>
          <w:szCs w:val="17"/>
          <w:color w:val="auto"/>
        </w:rPr>
        <w:t>___</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If "Yes" is marked, indicate below the file number assigned to the registrant in connection with Rule 12g3-2(b):82 </w:t>
      </w:r>
      <w:r>
        <w:rPr>
          <w:rFonts w:ascii="Times New Roman" w:cs="Times New Roman" w:eastAsia="Times New Roman" w:hAnsi="Times New Roman"/>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620"/>
          </w:cols>
          <w:pgMar w:left="240" w:top="221" w:right="10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5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6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LIST</w:t>
            </w:r>
          </w:p>
        </w:tc>
      </w:tr>
      <w:tr>
        <w:trPr>
          <w:trHeight w:val="412"/>
        </w:trPr>
        <w:tc>
          <w:tcPr>
            <w:tcW w:w="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Exhibit</w:t>
            </w:r>
          </w:p>
        </w:tc>
        <w:tc>
          <w:tcPr>
            <w:tcW w:w="620" w:type="dxa"/>
            <w:vAlign w:val="bottom"/>
          </w:tcPr>
          <w:p>
            <w:pPr>
              <w:spacing w:after="0"/>
              <w:rPr>
                <w:sz w:val="24"/>
                <w:szCs w:val="24"/>
                <w:color w:val="auto"/>
              </w:rPr>
            </w:pPr>
          </w:p>
        </w:tc>
        <w:tc>
          <w:tcPr>
            <w:tcW w:w="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7"/>
              </w:rPr>
              <w:t>Description</w:t>
            </w:r>
          </w:p>
        </w:tc>
        <w:tc>
          <w:tcPr>
            <w:tcW w:w="3100" w:type="dxa"/>
            <w:vAlign w:val="bottom"/>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5100" w:type="dxa"/>
            <w:vAlign w:val="bottom"/>
          </w:tcPr>
          <w:p>
            <w:pPr>
              <w:spacing w:after="0"/>
              <w:rPr>
                <w:sz w:val="24"/>
                <w:szCs w:val="24"/>
                <w:color w:val="auto"/>
              </w:rPr>
            </w:pPr>
          </w:p>
        </w:tc>
      </w:tr>
      <w:tr>
        <w:trPr>
          <w:trHeight w:val="434"/>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620" w:type="dxa"/>
            <w:vAlign w:val="bottom"/>
          </w:tcPr>
          <w:p>
            <w:pPr>
              <w:spacing w:after="0"/>
              <w:rPr>
                <w:sz w:val="24"/>
                <w:szCs w:val="24"/>
                <w:color w:val="auto"/>
              </w:rPr>
            </w:pPr>
          </w:p>
        </w:tc>
        <w:tc>
          <w:tcPr>
            <w:tcW w:w="102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ICON plc Unaudited Interim Financial Statements (IFRS Single Company Financial Statements) for the interim period 1 January 2016 to 31</w:t>
            </w:r>
          </w:p>
        </w:tc>
      </w:tr>
      <w:tr>
        <w:trPr>
          <w:trHeight w:val="234"/>
        </w:trPr>
        <w:tc>
          <w:tcPr>
            <w:tcW w:w="5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2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October 2016.</w:t>
            </w:r>
          </w:p>
        </w:tc>
      </w:tr>
      <w:tr>
        <w:trPr>
          <w:trHeight w:val="912"/>
        </w:trPr>
        <w:tc>
          <w:tcPr>
            <w:tcW w:w="5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5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783" w:right="239" w:bottom="1440" w:gutter="0" w:footer="0" w:header="0"/>
        </w:sectPr>
      </w:pPr>
    </w:p>
    <w:bookmarkStart w:id="2" w:name="page3"/>
    <w:bookmarkEnd w:id="2"/>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74" w:lineRule="exact"/>
        <w:rPr>
          <w:sz w:val="20"/>
          <w:szCs w:val="20"/>
          <w:color w:val="auto"/>
        </w:rPr>
      </w:pPr>
    </w:p>
    <w:p>
      <w:pPr>
        <w:ind w:left="7700"/>
        <w:spacing w:after="0"/>
        <w:rPr>
          <w:sz w:val="20"/>
          <w:szCs w:val="20"/>
          <w:color w:val="auto"/>
        </w:rPr>
      </w:pPr>
      <w:r>
        <w:rPr>
          <w:rFonts w:ascii="Times New Roman" w:cs="Times New Roman" w:eastAsia="Times New Roman" w:hAnsi="Times New Roman"/>
          <w:sz w:val="18"/>
          <w:szCs w:val="18"/>
          <w:b w:val="1"/>
          <w:bCs w:val="1"/>
          <w:color w:val="auto"/>
        </w:rPr>
        <w:t>ICON plc</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7700"/>
        <w:spacing w:after="0"/>
        <w:rPr>
          <w:sz w:val="20"/>
          <w:szCs w:val="20"/>
          <w:color w:val="auto"/>
        </w:rPr>
      </w:pPr>
      <w:r>
        <w:rPr>
          <w:rFonts w:ascii="Times New Roman" w:cs="Times New Roman" w:eastAsia="Times New Roman" w:hAnsi="Times New Roman"/>
          <w:sz w:val="18"/>
          <w:szCs w:val="18"/>
          <w:u w:val="single" w:color="auto"/>
          <w:color w:val="auto"/>
        </w:rPr>
        <w:t>/s/ Brendan Brennan</w:t>
      </w:r>
    </w:p>
    <w:p>
      <w:pPr>
        <w:spacing w:after="0" w:line="27" w:lineRule="exact"/>
        <w:rPr>
          <w:sz w:val="20"/>
          <w:szCs w:val="20"/>
          <w:color w:val="auto"/>
        </w:rPr>
      </w:pPr>
    </w:p>
    <w:p>
      <w:pPr>
        <w:ind w:left="7700" w:right="1920" w:hanging="7684"/>
        <w:spacing w:after="0" w:line="290" w:lineRule="auto"/>
        <w:tabs>
          <w:tab w:leader="none" w:pos="7680" w:val="left"/>
        </w:tabs>
        <w:rPr>
          <w:sz w:val="20"/>
          <w:szCs w:val="20"/>
          <w:color w:val="auto"/>
        </w:rPr>
      </w:pPr>
      <w:r>
        <w:rPr>
          <w:rFonts w:ascii="Times New Roman" w:cs="Times New Roman" w:eastAsia="Times New Roman" w:hAnsi="Times New Roman"/>
          <w:sz w:val="18"/>
          <w:szCs w:val="18"/>
          <w:color w:val="auto"/>
        </w:rPr>
        <w:t>Date: December 21, 2016</w:t>
      </w:r>
      <w:r>
        <w:rPr>
          <w:sz w:val="20"/>
          <w:szCs w:val="20"/>
          <w:color w:val="auto"/>
        </w:rPr>
        <w:tab/>
      </w:r>
      <w:r>
        <w:rPr>
          <w:rFonts w:ascii="Times New Roman" w:cs="Times New Roman" w:eastAsia="Times New Roman" w:hAnsi="Times New Roman"/>
          <w:sz w:val="17"/>
          <w:szCs w:val="17"/>
          <w:color w:val="auto"/>
        </w:rPr>
        <w:t>Brendan Brennan Chief Financial Officer</w:t>
      </w:r>
    </w:p>
    <w:p>
      <w:pPr>
        <w:sectPr>
          <w:pgSz w:w="11900" w:h="16838" w:orient="portrait"/>
          <w:cols w:equalWidth="0" w:num="1">
            <w:col w:w="11280"/>
          </w:cols>
          <w:pgMar w:left="240" w:top="846" w:right="3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ICON Plc</w:t>
      </w:r>
    </w:p>
    <w:p>
      <w:pPr>
        <w:spacing w:after="0" w:line="25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Unaudited Interim</w:t>
      </w:r>
    </w:p>
    <w:p>
      <w:pPr>
        <w:spacing w:after="0" w:line="3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Financial Statements</w:t>
      </w:r>
    </w:p>
    <w:p>
      <w:pPr>
        <w:spacing w:after="0" w:line="23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For the interim period 1 January 2016 to 31 October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i w:val="1"/>
          <w:iCs w:val="1"/>
          <w:color w:val="auto"/>
        </w:rPr>
        <w:t>Registered number: 145835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594360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108" w:right="2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9"/>
          <w:szCs w:val="29"/>
          <w:color w:val="auto"/>
        </w:rPr>
        <w:t>ICON Plc</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Unaudited Interim Company financial statements</w:t>
      </w:r>
    </w:p>
    <w:p>
      <w:pPr>
        <w:spacing w:after="0" w:line="200" w:lineRule="exact"/>
        <w:rPr>
          <w:sz w:val="20"/>
          <w:szCs w:val="20"/>
          <w:color w:val="auto"/>
        </w:rPr>
      </w:pP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0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Contents</w:t>
            </w:r>
          </w:p>
        </w:tc>
        <w:tc>
          <w:tcPr>
            <w:tcW w:w="4340" w:type="dxa"/>
            <w:vAlign w:val="bottom"/>
          </w:tcPr>
          <w:p>
            <w:pPr>
              <w:jc w:val="right"/>
              <w:ind w:right="1050"/>
              <w:spacing w:after="0"/>
              <w:rPr>
                <w:sz w:val="20"/>
                <w:szCs w:val="20"/>
                <w:color w:val="auto"/>
              </w:rPr>
            </w:pPr>
            <w:r>
              <w:rPr>
                <w:rFonts w:ascii="Times New Roman" w:cs="Times New Roman" w:eastAsia="Times New Roman" w:hAnsi="Times New Roman"/>
                <w:sz w:val="18"/>
                <w:szCs w:val="18"/>
                <w:i w:val="1"/>
                <w:iCs w:val="1"/>
                <w:color w:val="auto"/>
              </w:rPr>
              <w:t>Page</w:t>
            </w:r>
          </w:p>
        </w:tc>
      </w:tr>
      <w:tr>
        <w:trPr>
          <w:trHeight w:val="432"/>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Directors and other information</w:t>
            </w:r>
          </w:p>
        </w:tc>
        <w:tc>
          <w:tcPr>
            <w:tcW w:w="434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1</w:t>
            </w:r>
          </w:p>
        </w:tc>
      </w:tr>
      <w:tr>
        <w:trPr>
          <w:trHeight w:val="432"/>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Statement of directors’ responsibilities</w:t>
            </w:r>
          </w:p>
        </w:tc>
        <w:tc>
          <w:tcPr>
            <w:tcW w:w="434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2</w:t>
            </w:r>
          </w:p>
        </w:tc>
      </w:tr>
      <w:tr>
        <w:trPr>
          <w:trHeight w:val="432"/>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Non-statutory income statement</w:t>
            </w:r>
          </w:p>
        </w:tc>
        <w:tc>
          <w:tcPr>
            <w:tcW w:w="434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3</w:t>
            </w:r>
          </w:p>
        </w:tc>
      </w:tr>
      <w:tr>
        <w:trPr>
          <w:trHeight w:val="432"/>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Non-statutory statement of comprehensive income</w:t>
            </w:r>
          </w:p>
        </w:tc>
        <w:tc>
          <w:tcPr>
            <w:tcW w:w="434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4</w:t>
            </w:r>
          </w:p>
        </w:tc>
      </w:tr>
      <w:tr>
        <w:trPr>
          <w:trHeight w:val="432"/>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Non-statutory statement of financial position</w:t>
            </w:r>
          </w:p>
        </w:tc>
        <w:tc>
          <w:tcPr>
            <w:tcW w:w="434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5</w:t>
            </w:r>
          </w:p>
        </w:tc>
      </w:tr>
      <w:tr>
        <w:trPr>
          <w:trHeight w:val="432"/>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Non-statutory statement of changes in equity</w:t>
            </w:r>
          </w:p>
        </w:tc>
        <w:tc>
          <w:tcPr>
            <w:tcW w:w="434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6 – 7</w:t>
            </w:r>
          </w:p>
        </w:tc>
      </w:tr>
      <w:tr>
        <w:trPr>
          <w:trHeight w:val="432"/>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Non-statutory statement of cash flows</w:t>
            </w:r>
          </w:p>
        </w:tc>
        <w:tc>
          <w:tcPr>
            <w:tcW w:w="434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8</w:t>
            </w:r>
          </w:p>
        </w:tc>
      </w:tr>
      <w:tr>
        <w:trPr>
          <w:trHeight w:val="432"/>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Notes forming part of the non-statutory financial statements</w:t>
            </w:r>
          </w:p>
        </w:tc>
        <w:tc>
          <w:tcPr>
            <w:tcW w:w="434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9 – 31</w:t>
            </w:r>
          </w:p>
        </w:tc>
      </w:tr>
      <w:tr>
        <w:trPr>
          <w:trHeight w:val="480"/>
        </w:trPr>
        <w:tc>
          <w:tcPr>
            <w:tcW w:w="7080" w:type="dxa"/>
            <w:vAlign w:val="bottom"/>
            <w:tcBorders>
              <w:bottom w:val="single" w:sz="8" w:color="auto"/>
            </w:tcBorders>
          </w:tcPr>
          <w:p>
            <w:pPr>
              <w:spacing w:after="0"/>
              <w:rPr>
                <w:sz w:val="24"/>
                <w:szCs w:val="24"/>
                <w:color w:val="auto"/>
              </w:rPr>
            </w:pPr>
          </w:p>
        </w:tc>
        <w:tc>
          <w:tcPr>
            <w:tcW w:w="43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08" w:right="2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9"/>
          <w:szCs w:val="29"/>
          <w:color w:val="auto"/>
        </w:rPr>
        <w:t>ICON Plc</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Directors and other information</w:t>
      </w: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Directors</w:t>
            </w:r>
          </w:p>
        </w:tc>
        <w:tc>
          <w:tcPr>
            <w:tcW w:w="860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Declan McKeon</w:t>
            </w:r>
          </w:p>
        </w:tc>
      </w:tr>
      <w:tr>
        <w:trPr>
          <w:trHeight w:val="216"/>
        </w:trPr>
        <w:tc>
          <w:tcPr>
            <w:tcW w:w="2820" w:type="dxa"/>
            <w:vAlign w:val="bottom"/>
          </w:tcPr>
          <w:p>
            <w:pPr>
              <w:spacing w:after="0"/>
              <w:rPr>
                <w:sz w:val="18"/>
                <w:szCs w:val="18"/>
                <w:color w:val="auto"/>
              </w:rPr>
            </w:pPr>
          </w:p>
        </w:tc>
        <w:tc>
          <w:tcPr>
            <w:tcW w:w="860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Ciaran Murray</w:t>
            </w:r>
          </w:p>
        </w:tc>
      </w:tr>
      <w:tr>
        <w:trPr>
          <w:trHeight w:val="216"/>
        </w:trPr>
        <w:tc>
          <w:tcPr>
            <w:tcW w:w="2820" w:type="dxa"/>
            <w:vAlign w:val="bottom"/>
          </w:tcPr>
          <w:p>
            <w:pPr>
              <w:spacing w:after="0"/>
              <w:rPr>
                <w:sz w:val="18"/>
                <w:szCs w:val="18"/>
                <w:color w:val="auto"/>
              </w:rPr>
            </w:pPr>
          </w:p>
        </w:tc>
        <w:tc>
          <w:tcPr>
            <w:tcW w:w="860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Dr. Steve Cutler (Australian)</w:t>
            </w:r>
          </w:p>
        </w:tc>
      </w:tr>
      <w:tr>
        <w:trPr>
          <w:trHeight w:val="216"/>
        </w:trPr>
        <w:tc>
          <w:tcPr>
            <w:tcW w:w="2820" w:type="dxa"/>
            <w:vAlign w:val="bottom"/>
          </w:tcPr>
          <w:p>
            <w:pPr>
              <w:spacing w:after="0"/>
              <w:rPr>
                <w:sz w:val="18"/>
                <w:szCs w:val="18"/>
                <w:color w:val="auto"/>
              </w:rPr>
            </w:pPr>
          </w:p>
        </w:tc>
        <w:tc>
          <w:tcPr>
            <w:tcW w:w="860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Dr. John Climax</w:t>
            </w:r>
          </w:p>
        </w:tc>
      </w:tr>
      <w:tr>
        <w:trPr>
          <w:trHeight w:val="216"/>
        </w:trPr>
        <w:tc>
          <w:tcPr>
            <w:tcW w:w="2820" w:type="dxa"/>
            <w:vAlign w:val="bottom"/>
          </w:tcPr>
          <w:p>
            <w:pPr>
              <w:spacing w:after="0"/>
              <w:rPr>
                <w:sz w:val="18"/>
                <w:szCs w:val="18"/>
                <w:color w:val="auto"/>
              </w:rPr>
            </w:pPr>
          </w:p>
        </w:tc>
        <w:tc>
          <w:tcPr>
            <w:tcW w:w="860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Dr. Ronan Lambe</w:t>
            </w:r>
          </w:p>
        </w:tc>
      </w:tr>
      <w:tr>
        <w:trPr>
          <w:trHeight w:val="216"/>
        </w:trPr>
        <w:tc>
          <w:tcPr>
            <w:tcW w:w="2820" w:type="dxa"/>
            <w:vAlign w:val="bottom"/>
          </w:tcPr>
          <w:p>
            <w:pPr>
              <w:spacing w:after="0"/>
              <w:rPr>
                <w:sz w:val="18"/>
                <w:szCs w:val="18"/>
                <w:color w:val="auto"/>
              </w:rPr>
            </w:pPr>
          </w:p>
        </w:tc>
        <w:tc>
          <w:tcPr>
            <w:tcW w:w="860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Prof. Dermot Kelleher</w:t>
            </w:r>
          </w:p>
        </w:tc>
      </w:tr>
      <w:tr>
        <w:trPr>
          <w:trHeight w:val="216"/>
        </w:trPr>
        <w:tc>
          <w:tcPr>
            <w:tcW w:w="2820" w:type="dxa"/>
            <w:vAlign w:val="bottom"/>
          </w:tcPr>
          <w:p>
            <w:pPr>
              <w:spacing w:after="0"/>
              <w:rPr>
                <w:sz w:val="18"/>
                <w:szCs w:val="18"/>
                <w:color w:val="auto"/>
              </w:rPr>
            </w:pPr>
          </w:p>
        </w:tc>
        <w:tc>
          <w:tcPr>
            <w:tcW w:w="860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Prof. William Hall</w:t>
            </w:r>
          </w:p>
        </w:tc>
      </w:tr>
      <w:tr>
        <w:trPr>
          <w:trHeight w:val="216"/>
        </w:trPr>
        <w:tc>
          <w:tcPr>
            <w:tcW w:w="2820" w:type="dxa"/>
            <w:vAlign w:val="bottom"/>
          </w:tcPr>
          <w:p>
            <w:pPr>
              <w:spacing w:after="0"/>
              <w:rPr>
                <w:sz w:val="18"/>
                <w:szCs w:val="18"/>
                <w:color w:val="auto"/>
              </w:rPr>
            </w:pPr>
          </w:p>
        </w:tc>
        <w:tc>
          <w:tcPr>
            <w:tcW w:w="860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Mary Pendergast (American)</w:t>
            </w:r>
          </w:p>
        </w:tc>
      </w:tr>
      <w:tr>
        <w:trPr>
          <w:trHeight w:val="216"/>
        </w:trPr>
        <w:tc>
          <w:tcPr>
            <w:tcW w:w="2820" w:type="dxa"/>
            <w:vAlign w:val="bottom"/>
          </w:tcPr>
          <w:p>
            <w:pPr>
              <w:spacing w:after="0"/>
              <w:rPr>
                <w:sz w:val="18"/>
                <w:szCs w:val="18"/>
                <w:color w:val="auto"/>
              </w:rPr>
            </w:pPr>
          </w:p>
        </w:tc>
        <w:tc>
          <w:tcPr>
            <w:tcW w:w="860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Dr. Hugh Brady</w:t>
            </w:r>
          </w:p>
        </w:tc>
      </w:tr>
      <w:tr>
        <w:trPr>
          <w:trHeight w:val="234"/>
        </w:trPr>
        <w:tc>
          <w:tcPr>
            <w:tcW w:w="2820" w:type="dxa"/>
            <w:vAlign w:val="bottom"/>
          </w:tcPr>
          <w:p>
            <w:pPr>
              <w:spacing w:after="0"/>
              <w:rPr>
                <w:sz w:val="20"/>
                <w:szCs w:val="20"/>
                <w:color w:val="auto"/>
              </w:rPr>
            </w:pPr>
          </w:p>
        </w:tc>
        <w:tc>
          <w:tcPr>
            <w:tcW w:w="860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Mr. Ronan Murphy (appointed 24 October 2016)</w:t>
            </w:r>
          </w:p>
        </w:tc>
      </w:tr>
      <w:tr>
        <w:trPr>
          <w:trHeight w:val="432"/>
        </w:trPr>
        <w:tc>
          <w:tcPr>
            <w:tcW w:w="2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Secretary</w:t>
            </w:r>
          </w:p>
        </w:tc>
        <w:tc>
          <w:tcPr>
            <w:tcW w:w="860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Diarmaid Cunningham</w:t>
            </w:r>
          </w:p>
        </w:tc>
      </w:tr>
      <w:tr>
        <w:trPr>
          <w:trHeight w:val="414"/>
        </w:trPr>
        <w:tc>
          <w:tcPr>
            <w:tcW w:w="2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Registered office</w:t>
            </w:r>
          </w:p>
        </w:tc>
        <w:tc>
          <w:tcPr>
            <w:tcW w:w="860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South County Business Park</w:t>
            </w:r>
          </w:p>
        </w:tc>
      </w:tr>
      <w:tr>
        <w:trPr>
          <w:trHeight w:val="216"/>
        </w:trPr>
        <w:tc>
          <w:tcPr>
            <w:tcW w:w="2820" w:type="dxa"/>
            <w:vAlign w:val="bottom"/>
          </w:tcPr>
          <w:p>
            <w:pPr>
              <w:spacing w:after="0"/>
              <w:rPr>
                <w:sz w:val="18"/>
                <w:szCs w:val="18"/>
                <w:color w:val="auto"/>
              </w:rPr>
            </w:pPr>
          </w:p>
        </w:tc>
        <w:tc>
          <w:tcPr>
            <w:tcW w:w="860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Leopardstown</w:t>
            </w:r>
          </w:p>
        </w:tc>
      </w:tr>
      <w:tr>
        <w:trPr>
          <w:trHeight w:val="234"/>
        </w:trPr>
        <w:tc>
          <w:tcPr>
            <w:tcW w:w="2820" w:type="dxa"/>
            <w:vAlign w:val="bottom"/>
          </w:tcPr>
          <w:p>
            <w:pPr>
              <w:spacing w:after="0"/>
              <w:rPr>
                <w:sz w:val="20"/>
                <w:szCs w:val="20"/>
                <w:color w:val="auto"/>
              </w:rPr>
            </w:pPr>
          </w:p>
        </w:tc>
        <w:tc>
          <w:tcPr>
            <w:tcW w:w="860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Dublin 18</w:t>
            </w:r>
          </w:p>
        </w:tc>
      </w:tr>
      <w:tr>
        <w:trPr>
          <w:trHeight w:val="414"/>
        </w:trPr>
        <w:tc>
          <w:tcPr>
            <w:tcW w:w="2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Solicitors</w:t>
            </w:r>
          </w:p>
        </w:tc>
        <w:tc>
          <w:tcPr>
            <w:tcW w:w="860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A &amp; L Goodbody</w:t>
            </w:r>
          </w:p>
        </w:tc>
      </w:tr>
      <w:tr>
        <w:trPr>
          <w:trHeight w:val="216"/>
        </w:trPr>
        <w:tc>
          <w:tcPr>
            <w:tcW w:w="2820" w:type="dxa"/>
            <w:vAlign w:val="bottom"/>
          </w:tcPr>
          <w:p>
            <w:pPr>
              <w:spacing w:after="0"/>
              <w:rPr>
                <w:sz w:val="18"/>
                <w:szCs w:val="18"/>
                <w:color w:val="auto"/>
              </w:rPr>
            </w:pPr>
          </w:p>
        </w:tc>
        <w:tc>
          <w:tcPr>
            <w:tcW w:w="860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IFSC</w:t>
            </w:r>
          </w:p>
        </w:tc>
      </w:tr>
      <w:tr>
        <w:trPr>
          <w:trHeight w:val="216"/>
        </w:trPr>
        <w:tc>
          <w:tcPr>
            <w:tcW w:w="2820" w:type="dxa"/>
            <w:vAlign w:val="bottom"/>
          </w:tcPr>
          <w:p>
            <w:pPr>
              <w:spacing w:after="0"/>
              <w:rPr>
                <w:sz w:val="18"/>
                <w:szCs w:val="18"/>
                <w:color w:val="auto"/>
              </w:rPr>
            </w:pPr>
          </w:p>
        </w:tc>
        <w:tc>
          <w:tcPr>
            <w:tcW w:w="860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25-28 North Wall Quay</w:t>
            </w:r>
          </w:p>
        </w:tc>
      </w:tr>
      <w:tr>
        <w:trPr>
          <w:trHeight w:val="234"/>
        </w:trPr>
        <w:tc>
          <w:tcPr>
            <w:tcW w:w="2820" w:type="dxa"/>
            <w:vAlign w:val="bottom"/>
          </w:tcPr>
          <w:p>
            <w:pPr>
              <w:spacing w:after="0"/>
              <w:rPr>
                <w:sz w:val="20"/>
                <w:szCs w:val="20"/>
                <w:color w:val="auto"/>
              </w:rPr>
            </w:pPr>
          </w:p>
        </w:tc>
        <w:tc>
          <w:tcPr>
            <w:tcW w:w="860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Dublin 1</w:t>
            </w:r>
          </w:p>
        </w:tc>
      </w:tr>
      <w:tr>
        <w:trPr>
          <w:trHeight w:val="414"/>
        </w:trPr>
        <w:tc>
          <w:tcPr>
            <w:tcW w:w="2820" w:type="dxa"/>
            <w:vAlign w:val="bottom"/>
          </w:tcPr>
          <w:p>
            <w:pPr>
              <w:spacing w:after="0"/>
              <w:rPr>
                <w:sz w:val="24"/>
                <w:szCs w:val="24"/>
                <w:color w:val="auto"/>
              </w:rPr>
            </w:pPr>
          </w:p>
        </w:tc>
        <w:tc>
          <w:tcPr>
            <w:tcW w:w="860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Cahill Gordon Reindel LLP</w:t>
            </w:r>
          </w:p>
        </w:tc>
      </w:tr>
      <w:tr>
        <w:trPr>
          <w:trHeight w:val="216"/>
        </w:trPr>
        <w:tc>
          <w:tcPr>
            <w:tcW w:w="2820" w:type="dxa"/>
            <w:vAlign w:val="bottom"/>
          </w:tcPr>
          <w:p>
            <w:pPr>
              <w:spacing w:after="0"/>
              <w:rPr>
                <w:sz w:val="18"/>
                <w:szCs w:val="18"/>
                <w:color w:val="auto"/>
              </w:rPr>
            </w:pPr>
          </w:p>
        </w:tc>
        <w:tc>
          <w:tcPr>
            <w:tcW w:w="860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80 Pine Street</w:t>
            </w:r>
          </w:p>
        </w:tc>
      </w:tr>
      <w:tr>
        <w:trPr>
          <w:trHeight w:val="216"/>
        </w:trPr>
        <w:tc>
          <w:tcPr>
            <w:tcW w:w="2820" w:type="dxa"/>
            <w:vAlign w:val="bottom"/>
          </w:tcPr>
          <w:p>
            <w:pPr>
              <w:spacing w:after="0"/>
              <w:rPr>
                <w:sz w:val="18"/>
                <w:szCs w:val="18"/>
                <w:color w:val="auto"/>
              </w:rPr>
            </w:pPr>
          </w:p>
        </w:tc>
        <w:tc>
          <w:tcPr>
            <w:tcW w:w="860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NY10005</w:t>
            </w:r>
          </w:p>
        </w:tc>
      </w:tr>
      <w:tr>
        <w:trPr>
          <w:trHeight w:val="234"/>
        </w:trPr>
        <w:tc>
          <w:tcPr>
            <w:tcW w:w="2820" w:type="dxa"/>
            <w:vAlign w:val="bottom"/>
          </w:tcPr>
          <w:p>
            <w:pPr>
              <w:spacing w:after="0"/>
              <w:rPr>
                <w:sz w:val="20"/>
                <w:szCs w:val="20"/>
                <w:color w:val="auto"/>
              </w:rPr>
            </w:pPr>
          </w:p>
        </w:tc>
        <w:tc>
          <w:tcPr>
            <w:tcW w:w="860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USA</w:t>
            </w:r>
          </w:p>
        </w:tc>
      </w:tr>
      <w:tr>
        <w:trPr>
          <w:trHeight w:val="414"/>
        </w:trPr>
        <w:tc>
          <w:tcPr>
            <w:tcW w:w="2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Registrars</w:t>
            </w:r>
          </w:p>
        </w:tc>
        <w:tc>
          <w:tcPr>
            <w:tcW w:w="860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Computershare Investor Services (Ireland) Limited</w:t>
            </w:r>
          </w:p>
        </w:tc>
      </w:tr>
      <w:tr>
        <w:trPr>
          <w:trHeight w:val="216"/>
        </w:trPr>
        <w:tc>
          <w:tcPr>
            <w:tcW w:w="2820" w:type="dxa"/>
            <w:vAlign w:val="bottom"/>
          </w:tcPr>
          <w:p>
            <w:pPr>
              <w:spacing w:after="0"/>
              <w:rPr>
                <w:sz w:val="18"/>
                <w:szCs w:val="18"/>
                <w:color w:val="auto"/>
              </w:rPr>
            </w:pPr>
          </w:p>
        </w:tc>
        <w:tc>
          <w:tcPr>
            <w:tcW w:w="860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Herron House</w:t>
            </w:r>
          </w:p>
        </w:tc>
      </w:tr>
      <w:tr>
        <w:trPr>
          <w:trHeight w:val="216"/>
        </w:trPr>
        <w:tc>
          <w:tcPr>
            <w:tcW w:w="2820" w:type="dxa"/>
            <w:vAlign w:val="bottom"/>
          </w:tcPr>
          <w:p>
            <w:pPr>
              <w:spacing w:after="0"/>
              <w:rPr>
                <w:sz w:val="18"/>
                <w:szCs w:val="18"/>
                <w:color w:val="auto"/>
              </w:rPr>
            </w:pPr>
          </w:p>
        </w:tc>
        <w:tc>
          <w:tcPr>
            <w:tcW w:w="860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Corrig Road</w:t>
            </w:r>
          </w:p>
        </w:tc>
      </w:tr>
      <w:tr>
        <w:trPr>
          <w:trHeight w:val="216"/>
        </w:trPr>
        <w:tc>
          <w:tcPr>
            <w:tcW w:w="2820" w:type="dxa"/>
            <w:vAlign w:val="bottom"/>
          </w:tcPr>
          <w:p>
            <w:pPr>
              <w:spacing w:after="0"/>
              <w:rPr>
                <w:sz w:val="18"/>
                <w:szCs w:val="18"/>
                <w:color w:val="auto"/>
              </w:rPr>
            </w:pPr>
          </w:p>
        </w:tc>
        <w:tc>
          <w:tcPr>
            <w:tcW w:w="860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Sandyford Industrial Estate</w:t>
            </w:r>
          </w:p>
        </w:tc>
      </w:tr>
      <w:tr>
        <w:trPr>
          <w:trHeight w:val="234"/>
        </w:trPr>
        <w:tc>
          <w:tcPr>
            <w:tcW w:w="2820" w:type="dxa"/>
            <w:vAlign w:val="bottom"/>
          </w:tcPr>
          <w:p>
            <w:pPr>
              <w:spacing w:after="0"/>
              <w:rPr>
                <w:sz w:val="20"/>
                <w:szCs w:val="20"/>
                <w:color w:val="auto"/>
              </w:rPr>
            </w:pPr>
          </w:p>
        </w:tc>
        <w:tc>
          <w:tcPr>
            <w:tcW w:w="860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Dublin 18</w:t>
            </w:r>
          </w:p>
        </w:tc>
      </w:tr>
      <w:tr>
        <w:trPr>
          <w:trHeight w:val="414"/>
        </w:trPr>
        <w:tc>
          <w:tcPr>
            <w:tcW w:w="2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Bankers</w:t>
            </w:r>
          </w:p>
        </w:tc>
        <w:tc>
          <w:tcPr>
            <w:tcW w:w="860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Citibank</w:t>
            </w:r>
          </w:p>
        </w:tc>
      </w:tr>
      <w:tr>
        <w:trPr>
          <w:trHeight w:val="216"/>
        </w:trPr>
        <w:tc>
          <w:tcPr>
            <w:tcW w:w="2820" w:type="dxa"/>
            <w:vAlign w:val="bottom"/>
          </w:tcPr>
          <w:p>
            <w:pPr>
              <w:spacing w:after="0"/>
              <w:rPr>
                <w:sz w:val="18"/>
                <w:szCs w:val="18"/>
                <w:color w:val="auto"/>
              </w:rPr>
            </w:pPr>
          </w:p>
        </w:tc>
        <w:tc>
          <w:tcPr>
            <w:tcW w:w="860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Canada Square Canary Wharf</w:t>
            </w:r>
          </w:p>
        </w:tc>
      </w:tr>
      <w:tr>
        <w:trPr>
          <w:trHeight w:val="216"/>
        </w:trPr>
        <w:tc>
          <w:tcPr>
            <w:tcW w:w="2820" w:type="dxa"/>
            <w:vAlign w:val="bottom"/>
          </w:tcPr>
          <w:p>
            <w:pPr>
              <w:spacing w:after="0"/>
              <w:rPr>
                <w:sz w:val="18"/>
                <w:szCs w:val="18"/>
                <w:color w:val="auto"/>
              </w:rPr>
            </w:pPr>
          </w:p>
        </w:tc>
        <w:tc>
          <w:tcPr>
            <w:tcW w:w="860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London E145LB</w:t>
            </w:r>
          </w:p>
        </w:tc>
      </w:tr>
      <w:tr>
        <w:trPr>
          <w:trHeight w:val="234"/>
        </w:trPr>
        <w:tc>
          <w:tcPr>
            <w:tcW w:w="2820" w:type="dxa"/>
            <w:vAlign w:val="bottom"/>
          </w:tcPr>
          <w:p>
            <w:pPr>
              <w:spacing w:after="0"/>
              <w:rPr>
                <w:sz w:val="20"/>
                <w:szCs w:val="20"/>
                <w:color w:val="auto"/>
              </w:rPr>
            </w:pPr>
          </w:p>
        </w:tc>
        <w:tc>
          <w:tcPr>
            <w:tcW w:w="860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414"/>
        </w:trPr>
        <w:tc>
          <w:tcPr>
            <w:tcW w:w="2820" w:type="dxa"/>
            <w:vAlign w:val="bottom"/>
          </w:tcPr>
          <w:p>
            <w:pPr>
              <w:spacing w:after="0"/>
              <w:rPr>
                <w:sz w:val="24"/>
                <w:szCs w:val="24"/>
                <w:color w:val="auto"/>
              </w:rPr>
            </w:pPr>
          </w:p>
        </w:tc>
        <w:tc>
          <w:tcPr>
            <w:tcW w:w="860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JP Morgan Chase Bank N.A.</w:t>
            </w:r>
          </w:p>
        </w:tc>
      </w:tr>
      <w:tr>
        <w:trPr>
          <w:trHeight w:val="216"/>
        </w:trPr>
        <w:tc>
          <w:tcPr>
            <w:tcW w:w="2820" w:type="dxa"/>
            <w:vAlign w:val="bottom"/>
          </w:tcPr>
          <w:p>
            <w:pPr>
              <w:spacing w:after="0"/>
              <w:rPr>
                <w:sz w:val="18"/>
                <w:szCs w:val="18"/>
                <w:color w:val="auto"/>
              </w:rPr>
            </w:pPr>
          </w:p>
        </w:tc>
        <w:tc>
          <w:tcPr>
            <w:tcW w:w="860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4 New York Plaza</w:t>
            </w:r>
          </w:p>
        </w:tc>
      </w:tr>
      <w:tr>
        <w:trPr>
          <w:trHeight w:val="216"/>
        </w:trPr>
        <w:tc>
          <w:tcPr>
            <w:tcW w:w="2820" w:type="dxa"/>
            <w:vAlign w:val="bottom"/>
          </w:tcPr>
          <w:p>
            <w:pPr>
              <w:spacing w:after="0"/>
              <w:rPr>
                <w:sz w:val="18"/>
                <w:szCs w:val="18"/>
                <w:color w:val="auto"/>
              </w:rPr>
            </w:pPr>
          </w:p>
        </w:tc>
        <w:tc>
          <w:tcPr>
            <w:tcW w:w="860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New York</w:t>
            </w:r>
          </w:p>
        </w:tc>
      </w:tr>
      <w:tr>
        <w:trPr>
          <w:trHeight w:val="234"/>
        </w:trPr>
        <w:tc>
          <w:tcPr>
            <w:tcW w:w="2820" w:type="dxa"/>
            <w:vAlign w:val="bottom"/>
          </w:tcPr>
          <w:p>
            <w:pPr>
              <w:spacing w:after="0"/>
              <w:rPr>
                <w:sz w:val="20"/>
                <w:szCs w:val="20"/>
                <w:color w:val="auto"/>
              </w:rPr>
            </w:pPr>
          </w:p>
        </w:tc>
        <w:tc>
          <w:tcPr>
            <w:tcW w:w="860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NY10004</w:t>
            </w:r>
          </w:p>
        </w:tc>
      </w:tr>
      <w:tr>
        <w:trPr>
          <w:trHeight w:val="414"/>
        </w:trPr>
        <w:tc>
          <w:tcPr>
            <w:tcW w:w="2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Auditor</w:t>
            </w:r>
          </w:p>
        </w:tc>
        <w:tc>
          <w:tcPr>
            <w:tcW w:w="860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KPMG</w:t>
            </w:r>
          </w:p>
        </w:tc>
      </w:tr>
      <w:tr>
        <w:trPr>
          <w:trHeight w:val="216"/>
        </w:trPr>
        <w:tc>
          <w:tcPr>
            <w:tcW w:w="2820" w:type="dxa"/>
            <w:vAlign w:val="bottom"/>
          </w:tcPr>
          <w:p>
            <w:pPr>
              <w:spacing w:after="0"/>
              <w:rPr>
                <w:sz w:val="18"/>
                <w:szCs w:val="18"/>
                <w:color w:val="auto"/>
              </w:rPr>
            </w:pPr>
          </w:p>
        </w:tc>
        <w:tc>
          <w:tcPr>
            <w:tcW w:w="860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Chartered Accountants</w:t>
            </w:r>
          </w:p>
        </w:tc>
      </w:tr>
      <w:tr>
        <w:trPr>
          <w:trHeight w:val="216"/>
        </w:trPr>
        <w:tc>
          <w:tcPr>
            <w:tcW w:w="2820" w:type="dxa"/>
            <w:vAlign w:val="bottom"/>
          </w:tcPr>
          <w:p>
            <w:pPr>
              <w:spacing w:after="0"/>
              <w:rPr>
                <w:sz w:val="18"/>
                <w:szCs w:val="18"/>
                <w:color w:val="auto"/>
              </w:rPr>
            </w:pPr>
          </w:p>
        </w:tc>
        <w:tc>
          <w:tcPr>
            <w:tcW w:w="860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1 Stokes Place</w:t>
            </w:r>
          </w:p>
        </w:tc>
      </w:tr>
      <w:tr>
        <w:trPr>
          <w:trHeight w:val="216"/>
        </w:trPr>
        <w:tc>
          <w:tcPr>
            <w:tcW w:w="2820" w:type="dxa"/>
            <w:vAlign w:val="bottom"/>
          </w:tcPr>
          <w:p>
            <w:pPr>
              <w:spacing w:after="0"/>
              <w:rPr>
                <w:sz w:val="18"/>
                <w:szCs w:val="18"/>
                <w:color w:val="auto"/>
              </w:rPr>
            </w:pPr>
          </w:p>
        </w:tc>
        <w:tc>
          <w:tcPr>
            <w:tcW w:w="860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St. Stephen’s Green</w:t>
            </w:r>
          </w:p>
        </w:tc>
      </w:tr>
      <w:tr>
        <w:trPr>
          <w:trHeight w:val="234"/>
        </w:trPr>
        <w:tc>
          <w:tcPr>
            <w:tcW w:w="2820" w:type="dxa"/>
            <w:vAlign w:val="bottom"/>
          </w:tcPr>
          <w:p>
            <w:pPr>
              <w:spacing w:after="0"/>
              <w:rPr>
                <w:sz w:val="20"/>
                <w:szCs w:val="20"/>
                <w:color w:val="auto"/>
              </w:rPr>
            </w:pPr>
          </w:p>
        </w:tc>
        <w:tc>
          <w:tcPr>
            <w:tcW w:w="860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Dublin 2</w:t>
            </w:r>
          </w:p>
        </w:tc>
      </w:tr>
      <w:tr>
        <w:trPr>
          <w:trHeight w:val="608"/>
        </w:trPr>
        <w:tc>
          <w:tcPr>
            <w:tcW w:w="2820" w:type="dxa"/>
            <w:vAlign w:val="bottom"/>
          </w:tcPr>
          <w:p>
            <w:pPr>
              <w:spacing w:after="0"/>
              <w:rPr>
                <w:sz w:val="24"/>
                <w:szCs w:val="24"/>
                <w:color w:val="auto"/>
              </w:rPr>
            </w:pPr>
          </w:p>
        </w:tc>
        <w:tc>
          <w:tcPr>
            <w:tcW w:w="8600" w:type="dxa"/>
            <w:vAlign w:val="bottom"/>
          </w:tcPr>
          <w:p>
            <w:pPr>
              <w:ind w:left="2840"/>
              <w:spacing w:after="0"/>
              <w:rPr>
                <w:sz w:val="20"/>
                <w:szCs w:val="20"/>
                <w:color w:val="auto"/>
              </w:rPr>
            </w:pPr>
            <w:r>
              <w:rPr>
                <w:rFonts w:ascii="Times New Roman" w:cs="Times New Roman" w:eastAsia="Times New Roman" w:hAnsi="Times New Roman"/>
                <w:sz w:val="18"/>
                <w:szCs w:val="18"/>
                <w:color w:val="auto"/>
              </w:rPr>
              <w:t>1</w:t>
            </w:r>
          </w:p>
        </w:tc>
      </w:tr>
      <w:tr>
        <w:trPr>
          <w:trHeight w:val="61"/>
        </w:trPr>
        <w:tc>
          <w:tcPr>
            <w:tcW w:w="2820" w:type="dxa"/>
            <w:vAlign w:val="bottom"/>
            <w:tcBorders>
              <w:bottom w:val="single" w:sz="8" w:color="auto"/>
            </w:tcBorders>
          </w:tcPr>
          <w:p>
            <w:pPr>
              <w:spacing w:after="0"/>
              <w:rPr>
                <w:sz w:val="5"/>
                <w:szCs w:val="5"/>
                <w:color w:val="auto"/>
              </w:rPr>
            </w:pPr>
          </w:p>
        </w:tc>
        <w:tc>
          <w:tcPr>
            <w:tcW w:w="8600" w:type="dxa"/>
            <w:vAlign w:val="bottom"/>
            <w:tcBorders>
              <w:bottom w:val="single" w:sz="8" w:color="auto"/>
            </w:tcBorders>
          </w:tcPr>
          <w:p>
            <w:pPr>
              <w:spacing w:after="0"/>
              <w:rPr>
                <w:sz w:val="5"/>
                <w:szCs w:val="5"/>
                <w:color w:val="auto"/>
              </w:rPr>
            </w:pPr>
          </w:p>
        </w:tc>
      </w:tr>
    </w:tbl>
    <w:p>
      <w:pPr>
        <w:sectPr>
          <w:pgSz w:w="11900" w:h="16838" w:orient="portrait"/>
          <w:cols w:equalWidth="0" w:num="1">
            <w:col w:w="11420"/>
          </w:cols>
          <w:pgMar w:left="240" w:top="108" w:right="2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9"/>
          <w:szCs w:val="29"/>
          <w:color w:val="auto"/>
        </w:rPr>
        <w:t>ICON Plc</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Statement of directors’ responsibilities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directors are responsible for preparing these non-statutory financial statements which give a true and fair view of the state of affairs of the Company as an individual entity and the profit or loss of the company for the period.</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preparing the financial statements, the directors are required to:</w:t>
      </w:r>
    </w:p>
    <w:p>
      <w:pPr>
        <w:spacing w:after="0" w:line="117" w:lineRule="exact"/>
        <w:rPr>
          <w:sz w:val="20"/>
          <w:szCs w:val="20"/>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 suitable accounting policies and then apply them consistently;</w:t>
      </w:r>
    </w:p>
    <w:p>
      <w:pPr>
        <w:spacing w:after="0" w:line="25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judgments and estimates that are reasonable and prudent; and</w:t>
      </w:r>
    </w:p>
    <w:p>
      <w:pPr>
        <w:spacing w:after="0" w:line="25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the financial statements on the going concern basis unless it is inappropriate to presume that the company will continue in business.</w:t>
      </w:r>
    </w:p>
    <w:p>
      <w:pPr>
        <w:spacing w:after="0" w:line="3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directors are responsible for keeping proper books of account that disclose with reasonable accuracy at any time the financial position of the company and enable them to ensure that its statutory financial statements, should they be required and which would be prepared separately, comply with the Companies Acts 2014. They are also responsible for taking such steps as are reasonably open to them to safeguard the assets of the company and to prevent and detect fraud and other irregularities.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On behalf of the board</w:t>
            </w:r>
          </w:p>
        </w:tc>
        <w:tc>
          <w:tcPr>
            <w:tcW w:w="4740" w:type="dxa"/>
            <w:vAlign w:val="bottom"/>
          </w:tcPr>
          <w:p>
            <w:pPr>
              <w:spacing w:after="0"/>
              <w:rPr>
                <w:sz w:val="20"/>
                <w:szCs w:val="20"/>
                <w:color w:val="auto"/>
              </w:rPr>
            </w:pPr>
          </w:p>
        </w:tc>
        <w:tc>
          <w:tcPr>
            <w:tcW w:w="3400" w:type="dxa"/>
            <w:vAlign w:val="bottom"/>
          </w:tcPr>
          <w:p>
            <w:pPr>
              <w:spacing w:after="0"/>
              <w:rPr>
                <w:sz w:val="20"/>
                <w:szCs w:val="20"/>
                <w:color w:val="auto"/>
              </w:rPr>
            </w:pPr>
          </w:p>
        </w:tc>
      </w:tr>
      <w:tr>
        <w:trPr>
          <w:trHeight w:val="925"/>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Declan McKeon</w:t>
            </w:r>
          </w:p>
        </w:tc>
        <w:tc>
          <w:tcPr>
            <w:tcW w:w="474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Ciaran Murray</w:t>
            </w:r>
          </w:p>
        </w:tc>
        <w:tc>
          <w:tcPr>
            <w:tcW w:w="3400" w:type="dxa"/>
            <w:vAlign w:val="bottom"/>
          </w:tcPr>
          <w:p>
            <w:pPr>
              <w:ind w:left="2040"/>
              <w:spacing w:after="0"/>
              <w:rPr>
                <w:sz w:val="20"/>
                <w:szCs w:val="20"/>
                <w:color w:val="auto"/>
              </w:rPr>
            </w:pPr>
            <w:r>
              <w:rPr>
                <w:rFonts w:ascii="Times New Roman" w:cs="Times New Roman" w:eastAsia="Times New Roman" w:hAnsi="Times New Roman"/>
                <w:sz w:val="18"/>
                <w:szCs w:val="18"/>
                <w:color w:val="auto"/>
                <w:w w:val="97"/>
              </w:rPr>
              <w:t>13 December 2016</w:t>
            </w:r>
          </w:p>
        </w:tc>
      </w:tr>
      <w:tr>
        <w:trPr>
          <w:trHeight w:val="236"/>
        </w:trPr>
        <w:tc>
          <w:tcPr>
            <w:tcW w:w="32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Director</w:t>
            </w:r>
          </w:p>
        </w:tc>
        <w:tc>
          <w:tcPr>
            <w:tcW w:w="4740" w:type="dxa"/>
            <w:vAlign w:val="bottom"/>
          </w:tcPr>
          <w:p>
            <w:pPr>
              <w:ind w:left="1640"/>
              <w:spacing w:after="0"/>
              <w:rPr>
                <w:sz w:val="20"/>
                <w:szCs w:val="20"/>
                <w:color w:val="auto"/>
              </w:rPr>
            </w:pPr>
            <w:r>
              <w:rPr>
                <w:rFonts w:ascii="Times New Roman" w:cs="Times New Roman" w:eastAsia="Times New Roman" w:hAnsi="Times New Roman"/>
                <w:sz w:val="18"/>
                <w:szCs w:val="18"/>
                <w:i w:val="1"/>
                <w:iCs w:val="1"/>
                <w:color w:val="auto"/>
              </w:rPr>
              <w:t>Director</w:t>
            </w:r>
          </w:p>
        </w:tc>
        <w:tc>
          <w:tcPr>
            <w:tcW w:w="3400" w:type="dxa"/>
            <w:vAlign w:val="bottom"/>
          </w:tcPr>
          <w:p>
            <w:pPr>
              <w:spacing w:after="0"/>
              <w:rPr>
                <w:sz w:val="20"/>
                <w:szCs w:val="20"/>
                <w:color w:val="auto"/>
              </w:rPr>
            </w:pPr>
          </w:p>
        </w:tc>
      </w:tr>
      <w:tr>
        <w:trPr>
          <w:trHeight w:val="635"/>
        </w:trPr>
        <w:tc>
          <w:tcPr>
            <w:tcW w:w="3280" w:type="dxa"/>
            <w:vAlign w:val="bottom"/>
          </w:tcPr>
          <w:p>
            <w:pPr>
              <w:spacing w:after="0"/>
              <w:rPr>
                <w:sz w:val="24"/>
                <w:szCs w:val="24"/>
                <w:color w:val="auto"/>
              </w:rPr>
            </w:pPr>
          </w:p>
        </w:tc>
        <w:tc>
          <w:tcPr>
            <w:tcW w:w="4740" w:type="dxa"/>
            <w:vAlign w:val="bottom"/>
          </w:tcPr>
          <w:p>
            <w:pPr>
              <w:jc w:val="right"/>
              <w:ind w:right="2170"/>
              <w:spacing w:after="0"/>
              <w:rPr>
                <w:sz w:val="20"/>
                <w:szCs w:val="20"/>
                <w:color w:val="auto"/>
              </w:rPr>
            </w:pPr>
            <w:r>
              <w:rPr>
                <w:rFonts w:ascii="Times New Roman" w:cs="Times New Roman" w:eastAsia="Times New Roman" w:hAnsi="Times New Roman"/>
                <w:sz w:val="18"/>
                <w:szCs w:val="18"/>
                <w:color w:val="auto"/>
              </w:rPr>
              <w:t>2</w:t>
            </w:r>
          </w:p>
        </w:tc>
        <w:tc>
          <w:tcPr>
            <w:tcW w:w="3400" w:type="dxa"/>
            <w:vAlign w:val="bottom"/>
          </w:tcPr>
          <w:p>
            <w:pPr>
              <w:spacing w:after="0"/>
              <w:rPr>
                <w:sz w:val="24"/>
                <w:szCs w:val="24"/>
                <w:color w:val="auto"/>
              </w:rPr>
            </w:pPr>
          </w:p>
        </w:tc>
      </w:tr>
      <w:tr>
        <w:trPr>
          <w:trHeight w:val="61"/>
        </w:trPr>
        <w:tc>
          <w:tcPr>
            <w:tcW w:w="3280" w:type="dxa"/>
            <w:vAlign w:val="bottom"/>
            <w:tcBorders>
              <w:bottom w:val="single" w:sz="8" w:color="auto"/>
            </w:tcBorders>
          </w:tcPr>
          <w:p>
            <w:pPr>
              <w:spacing w:after="0"/>
              <w:rPr>
                <w:sz w:val="5"/>
                <w:szCs w:val="5"/>
                <w:color w:val="auto"/>
              </w:rPr>
            </w:pPr>
          </w:p>
        </w:tc>
        <w:tc>
          <w:tcPr>
            <w:tcW w:w="4740" w:type="dxa"/>
            <w:vAlign w:val="bottom"/>
            <w:tcBorders>
              <w:bottom w:val="single" w:sz="8" w:color="auto"/>
            </w:tcBorders>
          </w:tcPr>
          <w:p>
            <w:pPr>
              <w:spacing w:after="0"/>
              <w:rPr>
                <w:sz w:val="5"/>
                <w:szCs w:val="5"/>
                <w:color w:val="auto"/>
              </w:rPr>
            </w:pPr>
          </w:p>
        </w:tc>
        <w:tc>
          <w:tcPr>
            <w:tcW w:w="3400" w:type="dxa"/>
            <w:vAlign w:val="bottom"/>
            <w:tcBorders>
              <w:bottom w:val="single" w:sz="8" w:color="auto"/>
            </w:tcBorders>
          </w:tcPr>
          <w:p>
            <w:pPr>
              <w:spacing w:after="0"/>
              <w:rPr>
                <w:sz w:val="5"/>
                <w:szCs w:val="5"/>
                <w:color w:val="auto"/>
              </w:rPr>
            </w:pPr>
          </w:p>
        </w:tc>
      </w:tr>
    </w:tbl>
    <w:p>
      <w:pPr>
        <w:sectPr>
          <w:pgSz w:w="11900" w:h="16838" w:orient="portrait"/>
          <w:cols w:equalWidth="0" w:num="1">
            <w:col w:w="11420"/>
          </w:cols>
          <w:pgMar w:left="240" w:top="108" w:right="2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29"/>
          <w:szCs w:val="29"/>
          <w:color w:val="auto"/>
        </w:rPr>
        <w:t>ICON Plc</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Unaudited interim income statement</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 the period ended 31 October 2016</w:t>
      </w: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3500" w:type="dxa"/>
            <w:vAlign w:val="bottom"/>
          </w:tcPr>
          <w:p>
            <w:pPr>
              <w:jc w:val="center"/>
              <w:ind w:left="1710"/>
              <w:spacing w:after="0"/>
              <w:rPr>
                <w:sz w:val="20"/>
                <w:szCs w:val="20"/>
                <w:color w:val="auto"/>
              </w:rPr>
            </w:pPr>
            <w:r>
              <w:rPr>
                <w:rFonts w:ascii="Times New Roman" w:cs="Times New Roman" w:eastAsia="Times New Roman" w:hAnsi="Times New Roman"/>
                <w:sz w:val="18"/>
                <w:szCs w:val="18"/>
                <w:i w:val="1"/>
                <w:iCs w:val="1"/>
                <w:color w:val="auto"/>
                <w:w w:val="99"/>
              </w:rPr>
              <w:t>Note</w:t>
            </w:r>
          </w:p>
        </w:tc>
        <w:tc>
          <w:tcPr>
            <w:tcW w:w="20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Period ended</w:t>
            </w: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Year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20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31 October</w:t>
            </w: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 December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20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20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Audited</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20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$’000</w:t>
            </w: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8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Turnover</w:t>
            </w:r>
          </w:p>
        </w:tc>
        <w:tc>
          <w:tcPr>
            <w:tcW w:w="3500" w:type="dxa"/>
            <w:vAlign w:val="bottom"/>
            <w:shd w:val="clear" w:color="auto" w:fill="CCEEFF"/>
          </w:tcPr>
          <w:p>
            <w:pPr>
              <w:jc w:val="center"/>
              <w:ind w:left="1710"/>
              <w:spacing w:after="0"/>
              <w:rPr>
                <w:sz w:val="20"/>
                <w:szCs w:val="20"/>
                <w:color w:val="auto"/>
              </w:rPr>
            </w:pPr>
            <w:r>
              <w:rPr>
                <w:rFonts w:ascii="Times New Roman" w:cs="Times New Roman" w:eastAsia="Times New Roman" w:hAnsi="Times New Roman"/>
                <w:sz w:val="18"/>
                <w:szCs w:val="18"/>
                <w:i w:val="1"/>
                <w:iCs w:val="1"/>
                <w:color w:val="auto"/>
              </w:rPr>
              <w:t>2</w:t>
            </w:r>
          </w:p>
        </w:tc>
        <w:tc>
          <w:tcPr>
            <w:tcW w:w="20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39,990</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56,140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8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 costs</w:t>
            </w:r>
          </w:p>
        </w:tc>
        <w:tc>
          <w:tcPr>
            <w:tcW w:w="3500" w:type="dxa"/>
            <w:vAlign w:val="bottom"/>
            <w:shd w:val="clear" w:color="auto" w:fill="CCEEFF"/>
          </w:tcPr>
          <w:p>
            <w:pPr>
              <w:jc w:val="center"/>
              <w:ind w:left="1710"/>
              <w:spacing w:after="0"/>
              <w:rPr>
                <w:sz w:val="20"/>
                <w:szCs w:val="20"/>
                <w:color w:val="auto"/>
              </w:rPr>
            </w:pPr>
            <w:r>
              <w:rPr>
                <w:rFonts w:ascii="Times New Roman" w:cs="Times New Roman" w:eastAsia="Times New Roman" w:hAnsi="Times New Roman"/>
                <w:sz w:val="18"/>
                <w:szCs w:val="18"/>
                <w:i w:val="1"/>
                <w:iCs w:val="1"/>
                <w:color w:val="auto"/>
              </w:rPr>
              <w:t>3</w:t>
            </w:r>
          </w:p>
        </w:tc>
        <w:tc>
          <w:tcPr>
            <w:tcW w:w="20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(20,563)</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(26,641)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Other operating expenses</w:t>
            </w:r>
          </w:p>
        </w:tc>
        <w:tc>
          <w:tcPr>
            <w:tcW w:w="3500" w:type="dxa"/>
            <w:vAlign w:val="bottom"/>
            <w:tcBorders>
              <w:bottom w:val="single" w:sz="8" w:color="auto"/>
            </w:tcBorders>
          </w:tcPr>
          <w:p>
            <w:pPr>
              <w:jc w:val="center"/>
              <w:ind w:left="1710"/>
              <w:spacing w:after="0"/>
              <w:rPr>
                <w:sz w:val="20"/>
                <w:szCs w:val="20"/>
                <w:color w:val="auto"/>
              </w:rPr>
            </w:pPr>
            <w:r>
              <w:rPr>
                <w:rFonts w:ascii="Times New Roman" w:cs="Times New Roman" w:eastAsia="Times New Roman" w:hAnsi="Times New Roman"/>
                <w:sz w:val="18"/>
                <w:szCs w:val="18"/>
                <w:i w:val="1"/>
                <w:iCs w:val="1"/>
                <w:color w:val="auto"/>
              </w:rPr>
              <w:t>4</w:t>
            </w:r>
          </w:p>
        </w:tc>
        <w:tc>
          <w:tcPr>
            <w:tcW w:w="20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(27,757)</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(31,471)</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80" w:type="dxa"/>
            <w:vAlign w:val="bottom"/>
            <w:shd w:val="clear" w:color="auto" w:fill="CCEEFF"/>
          </w:tcPr>
          <w:p>
            <w:pPr>
              <w:spacing w:after="0"/>
              <w:rPr>
                <w:sz w:val="18"/>
                <w:szCs w:val="18"/>
                <w:color w:val="auto"/>
              </w:rPr>
            </w:pPr>
          </w:p>
        </w:tc>
        <w:tc>
          <w:tcPr>
            <w:tcW w:w="350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loss – continuing operations</w:t>
            </w:r>
          </w:p>
        </w:tc>
        <w:tc>
          <w:tcPr>
            <w:tcW w:w="3500" w:type="dxa"/>
            <w:vAlign w:val="bottom"/>
          </w:tcPr>
          <w:p>
            <w:pPr>
              <w:spacing w:after="0"/>
              <w:rPr>
                <w:sz w:val="18"/>
                <w:szCs w:val="18"/>
                <w:color w:val="auto"/>
              </w:rPr>
            </w:pPr>
          </w:p>
        </w:tc>
        <w:tc>
          <w:tcPr>
            <w:tcW w:w="20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(8,330)</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80" w:type="dxa"/>
            <w:vAlign w:val="bottom"/>
            <w:shd w:val="clear" w:color="auto" w:fill="CCEEFF"/>
          </w:tcPr>
          <w:p>
            <w:pPr>
              <w:spacing w:after="0"/>
              <w:rPr>
                <w:sz w:val="18"/>
                <w:szCs w:val="18"/>
                <w:color w:val="auto"/>
              </w:rPr>
            </w:pPr>
          </w:p>
        </w:tc>
        <w:tc>
          <w:tcPr>
            <w:tcW w:w="350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Profit on disposal of subsidiary undertaking</w:t>
            </w:r>
          </w:p>
        </w:tc>
        <w:tc>
          <w:tcPr>
            <w:tcW w:w="3500" w:type="dxa"/>
            <w:vAlign w:val="bottom"/>
          </w:tcPr>
          <w:p>
            <w:pPr>
              <w:jc w:val="center"/>
              <w:ind w:left="1710"/>
              <w:spacing w:after="0"/>
              <w:rPr>
                <w:sz w:val="20"/>
                <w:szCs w:val="20"/>
                <w:color w:val="auto"/>
              </w:rPr>
            </w:pPr>
            <w:r>
              <w:rPr>
                <w:rFonts w:ascii="Times New Roman" w:cs="Times New Roman" w:eastAsia="Times New Roman" w:hAnsi="Times New Roman"/>
                <w:sz w:val="18"/>
                <w:szCs w:val="18"/>
                <w:i w:val="1"/>
                <w:iCs w:val="1"/>
                <w:color w:val="auto"/>
              </w:rPr>
              <w:t>5</w:t>
            </w:r>
          </w:p>
        </w:tc>
        <w:tc>
          <w:tcPr>
            <w:tcW w:w="20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Restructuring</w:t>
            </w:r>
          </w:p>
        </w:tc>
        <w:tc>
          <w:tcPr>
            <w:tcW w:w="3500" w:type="dxa"/>
            <w:vAlign w:val="bottom"/>
            <w:shd w:val="clear" w:color="auto" w:fill="CCEEFF"/>
          </w:tcPr>
          <w:p>
            <w:pPr>
              <w:jc w:val="center"/>
              <w:ind w:left="1710"/>
              <w:spacing w:after="0"/>
              <w:rPr>
                <w:sz w:val="20"/>
                <w:szCs w:val="20"/>
                <w:color w:val="auto"/>
              </w:rPr>
            </w:pPr>
            <w:r>
              <w:rPr>
                <w:rFonts w:ascii="Times New Roman" w:cs="Times New Roman" w:eastAsia="Times New Roman" w:hAnsi="Times New Roman"/>
                <w:sz w:val="18"/>
                <w:szCs w:val="18"/>
                <w:i w:val="1"/>
                <w:iCs w:val="1"/>
                <w:color w:val="auto"/>
              </w:rPr>
              <w:t>8</w:t>
            </w:r>
          </w:p>
        </w:tc>
        <w:tc>
          <w:tcPr>
            <w:tcW w:w="20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(569)</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Financing income</w:t>
            </w:r>
          </w:p>
        </w:tc>
        <w:tc>
          <w:tcPr>
            <w:tcW w:w="3500" w:type="dxa"/>
            <w:vAlign w:val="bottom"/>
          </w:tcPr>
          <w:p>
            <w:pPr>
              <w:jc w:val="center"/>
              <w:ind w:left="1710"/>
              <w:spacing w:after="0"/>
              <w:rPr>
                <w:sz w:val="20"/>
                <w:szCs w:val="20"/>
                <w:color w:val="auto"/>
              </w:rPr>
            </w:pPr>
            <w:r>
              <w:rPr>
                <w:rFonts w:ascii="Times New Roman" w:cs="Times New Roman" w:eastAsia="Times New Roman" w:hAnsi="Times New Roman"/>
                <w:sz w:val="18"/>
                <w:szCs w:val="18"/>
                <w:i w:val="1"/>
                <w:iCs w:val="1"/>
                <w:color w:val="auto"/>
              </w:rPr>
              <w:t>6</w:t>
            </w:r>
          </w:p>
        </w:tc>
        <w:tc>
          <w:tcPr>
            <w:tcW w:w="20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249,355</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expenses</w:t>
            </w:r>
          </w:p>
        </w:tc>
        <w:tc>
          <w:tcPr>
            <w:tcW w:w="3500" w:type="dxa"/>
            <w:vAlign w:val="bottom"/>
            <w:tcBorders>
              <w:bottom w:val="single" w:sz="8" w:color="auto"/>
            </w:tcBorders>
            <w:shd w:val="clear" w:color="auto" w:fill="CCEEFF"/>
          </w:tcPr>
          <w:p>
            <w:pPr>
              <w:jc w:val="center"/>
              <w:ind w:left="1710"/>
              <w:spacing w:after="0"/>
              <w:rPr>
                <w:sz w:val="20"/>
                <w:szCs w:val="20"/>
                <w:color w:val="auto"/>
              </w:rPr>
            </w:pPr>
            <w:r>
              <w:rPr>
                <w:rFonts w:ascii="Times New Roman" w:cs="Times New Roman" w:eastAsia="Times New Roman" w:hAnsi="Times New Roman"/>
                <w:sz w:val="18"/>
                <w:szCs w:val="18"/>
                <w:i w:val="1"/>
                <w:iCs w:val="1"/>
                <w:color w:val="auto"/>
              </w:rPr>
              <w:t>7</w:t>
            </w:r>
          </w:p>
        </w:tc>
        <w:tc>
          <w:tcPr>
            <w:tcW w:w="20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8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Profit on ordinary activities before taxation</w:t>
            </w:r>
          </w:p>
        </w:tc>
        <w:tc>
          <w:tcPr>
            <w:tcW w:w="3500" w:type="dxa"/>
            <w:vAlign w:val="bottom"/>
            <w:shd w:val="clear" w:color="auto" w:fill="CCEEFF"/>
          </w:tcPr>
          <w:p>
            <w:pPr>
              <w:spacing w:after="0"/>
              <w:rPr>
                <w:sz w:val="18"/>
                <w:szCs w:val="18"/>
                <w:color w:val="auto"/>
              </w:rPr>
            </w:pPr>
          </w:p>
        </w:tc>
        <w:tc>
          <w:tcPr>
            <w:tcW w:w="20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240,456</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357,793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8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4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on profit on ordinary activities</w:t>
            </w:r>
          </w:p>
        </w:tc>
        <w:tc>
          <w:tcPr>
            <w:tcW w:w="3500" w:type="dxa"/>
            <w:vAlign w:val="bottom"/>
            <w:tcBorders>
              <w:bottom w:val="single" w:sz="8" w:color="auto"/>
            </w:tcBorders>
            <w:shd w:val="clear" w:color="auto" w:fill="CCEEFF"/>
          </w:tcPr>
          <w:p>
            <w:pPr>
              <w:jc w:val="center"/>
              <w:ind w:left="1710"/>
              <w:spacing w:after="0"/>
              <w:rPr>
                <w:sz w:val="20"/>
                <w:szCs w:val="20"/>
                <w:color w:val="auto"/>
              </w:rPr>
            </w:pPr>
            <w:r>
              <w:rPr>
                <w:rFonts w:ascii="Times New Roman" w:cs="Times New Roman" w:eastAsia="Times New Roman" w:hAnsi="Times New Roman"/>
                <w:sz w:val="18"/>
                <w:szCs w:val="18"/>
                <w:i w:val="1"/>
                <w:iCs w:val="1"/>
                <w:color w:val="auto"/>
              </w:rPr>
              <w:t>9</w:t>
            </w:r>
          </w:p>
        </w:tc>
        <w:tc>
          <w:tcPr>
            <w:tcW w:w="20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(225)</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8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4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Profit for the financial year - equity</w:t>
            </w:r>
          </w:p>
        </w:tc>
        <w:tc>
          <w:tcPr>
            <w:tcW w:w="3500" w:type="dxa"/>
            <w:vAlign w:val="bottom"/>
            <w:tcBorders>
              <w:bottom w:val="single" w:sz="8" w:color="auto"/>
            </w:tcBorders>
            <w:shd w:val="clear" w:color="auto" w:fill="CCEEFF"/>
          </w:tcPr>
          <w:p>
            <w:pPr>
              <w:spacing w:after="0"/>
              <w:rPr>
                <w:sz w:val="19"/>
                <w:szCs w:val="19"/>
                <w:color w:val="auto"/>
              </w:rPr>
            </w:pPr>
          </w:p>
        </w:tc>
        <w:tc>
          <w:tcPr>
            <w:tcW w:w="20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240,231</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357,096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78"/>
        </w:trPr>
        <w:tc>
          <w:tcPr>
            <w:tcW w:w="2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3500" w:type="dxa"/>
            <w:vAlign w:val="bottom"/>
          </w:tcPr>
          <w:p>
            <w:pPr>
              <w:jc w:val="right"/>
              <w:ind w:right="2150"/>
              <w:spacing w:after="0"/>
              <w:rPr>
                <w:sz w:val="20"/>
                <w:szCs w:val="20"/>
                <w:color w:val="auto"/>
              </w:rPr>
            </w:pPr>
            <w:r>
              <w:rPr>
                <w:rFonts w:ascii="Times New Roman" w:cs="Times New Roman" w:eastAsia="Times New Roman" w:hAnsi="Times New Roman"/>
                <w:sz w:val="18"/>
                <w:szCs w:val="18"/>
                <w:color w:val="auto"/>
              </w:rPr>
              <w:t>3</w:t>
            </w:r>
          </w:p>
        </w:tc>
        <w:tc>
          <w:tcPr>
            <w:tcW w:w="20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480" w:type="dxa"/>
            <w:vAlign w:val="bottom"/>
            <w:tcBorders>
              <w:bottom w:val="single" w:sz="8" w:color="auto"/>
            </w:tcBorders>
          </w:tcPr>
          <w:p>
            <w:pPr>
              <w:spacing w:after="0"/>
              <w:rPr>
                <w:sz w:val="5"/>
                <w:szCs w:val="5"/>
                <w:color w:val="auto"/>
              </w:rPr>
            </w:pPr>
          </w:p>
        </w:tc>
        <w:tc>
          <w:tcPr>
            <w:tcW w:w="3500" w:type="dxa"/>
            <w:vAlign w:val="bottom"/>
            <w:tcBorders>
              <w:bottom w:val="single" w:sz="8" w:color="auto"/>
            </w:tcBorders>
          </w:tcPr>
          <w:p>
            <w:pPr>
              <w:spacing w:after="0"/>
              <w:rPr>
                <w:sz w:val="5"/>
                <w:szCs w:val="5"/>
                <w:color w:val="auto"/>
              </w:rPr>
            </w:pPr>
          </w:p>
        </w:tc>
        <w:tc>
          <w:tcPr>
            <w:tcW w:w="208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08" w:right="2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29"/>
          <w:szCs w:val="29"/>
          <w:color w:val="auto"/>
        </w:rPr>
        <w:t>ICON Plc</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Unaudited interim statement of comprehensive income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 the period ended 31 October 2016</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38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0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Period ended</w:t>
            </w: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Year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0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31 October</w:t>
            </w: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 December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18"/>
                <w:szCs w:val="18"/>
                <w:color w:val="auto"/>
              </w:rPr>
            </w:pPr>
          </w:p>
        </w:tc>
        <w:tc>
          <w:tcPr>
            <w:tcW w:w="2620" w:type="dxa"/>
            <w:vAlign w:val="bottom"/>
          </w:tcPr>
          <w:p>
            <w:pPr>
              <w:jc w:val="center"/>
              <w:ind w:left="790"/>
              <w:spacing w:after="0"/>
              <w:rPr>
                <w:sz w:val="20"/>
                <w:szCs w:val="20"/>
                <w:color w:val="auto"/>
              </w:rPr>
            </w:pPr>
            <w:r>
              <w:rPr>
                <w:rFonts w:ascii="Times New Roman" w:cs="Times New Roman" w:eastAsia="Times New Roman" w:hAnsi="Times New Roman"/>
                <w:sz w:val="18"/>
                <w:szCs w:val="18"/>
                <w:b w:val="1"/>
                <w:bCs w:val="1"/>
                <w:i w:val="1"/>
                <w:iCs w:val="1"/>
                <w:color w:val="auto"/>
                <w:w w:val="97"/>
              </w:rPr>
              <w:t>Note</w:t>
            </w:r>
          </w:p>
        </w:tc>
        <w:tc>
          <w:tcPr>
            <w:tcW w:w="20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0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Audited</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38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20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$’000</w:t>
            </w: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432"/>
        </w:trPr>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w:t>
            </w:r>
          </w:p>
        </w:tc>
        <w:tc>
          <w:tcPr>
            <w:tcW w:w="26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8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3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Currency translation differences</w:t>
            </w:r>
          </w:p>
        </w:tc>
        <w:tc>
          <w:tcPr>
            <w:tcW w:w="2620" w:type="dxa"/>
            <w:vAlign w:val="bottom"/>
            <w:tcBorders>
              <w:bottom w:val="single" w:sz="8" w:color="auto"/>
            </w:tcBorders>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i w:val="1"/>
                <w:iCs w:val="1"/>
                <w:color w:val="auto"/>
              </w:rPr>
              <w:t>17</w:t>
            </w:r>
          </w:p>
        </w:tc>
        <w:tc>
          <w:tcPr>
            <w:tcW w:w="20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2,049</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(57,031)</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8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gain/(loss) recognised directly within other comprehensive income</w:t>
            </w:r>
          </w:p>
        </w:tc>
        <w:tc>
          <w:tcPr>
            <w:tcW w:w="2620" w:type="dxa"/>
            <w:vAlign w:val="bottom"/>
            <w:shd w:val="clear" w:color="auto" w:fill="CCEEFF"/>
          </w:tcPr>
          <w:p>
            <w:pPr>
              <w:spacing w:after="0"/>
              <w:rPr>
                <w:sz w:val="18"/>
                <w:szCs w:val="18"/>
                <w:color w:val="auto"/>
              </w:rPr>
            </w:pPr>
          </w:p>
        </w:tc>
        <w:tc>
          <w:tcPr>
            <w:tcW w:w="20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2,049</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(57,031)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8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3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Profit for the financial year</w:t>
            </w:r>
          </w:p>
        </w:tc>
        <w:tc>
          <w:tcPr>
            <w:tcW w:w="2620" w:type="dxa"/>
            <w:vAlign w:val="bottom"/>
            <w:tcBorders>
              <w:bottom w:val="single" w:sz="8" w:color="auto"/>
            </w:tcBorders>
            <w:shd w:val="clear" w:color="auto" w:fill="CCEEFF"/>
          </w:tcPr>
          <w:p>
            <w:pPr>
              <w:spacing w:after="0"/>
              <w:rPr>
                <w:sz w:val="19"/>
                <w:szCs w:val="19"/>
                <w:color w:val="auto"/>
              </w:rPr>
            </w:pPr>
          </w:p>
        </w:tc>
        <w:tc>
          <w:tcPr>
            <w:tcW w:w="20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240,231</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357,096</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8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3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comprehensive income for the financial year</w:t>
            </w:r>
          </w:p>
        </w:tc>
        <w:tc>
          <w:tcPr>
            <w:tcW w:w="2620" w:type="dxa"/>
            <w:vAlign w:val="bottom"/>
            <w:tcBorders>
              <w:bottom w:val="single" w:sz="8" w:color="auto"/>
            </w:tcBorders>
            <w:shd w:val="clear" w:color="auto" w:fill="CCEEFF"/>
          </w:tcPr>
          <w:p>
            <w:pPr>
              <w:spacing w:after="0"/>
              <w:rPr>
                <w:sz w:val="19"/>
                <w:szCs w:val="19"/>
                <w:color w:val="auto"/>
              </w:rPr>
            </w:pPr>
          </w:p>
        </w:tc>
        <w:tc>
          <w:tcPr>
            <w:tcW w:w="20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242,280</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300,065</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8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Attributable to:</w:t>
            </w:r>
          </w:p>
        </w:tc>
        <w:tc>
          <w:tcPr>
            <w:tcW w:w="262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5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Equity holders of the Company</w:t>
            </w:r>
          </w:p>
        </w:tc>
        <w:tc>
          <w:tcPr>
            <w:tcW w:w="262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242,280</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300,065</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8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Total comprehensive income for the financial year</w:t>
            </w:r>
          </w:p>
        </w:tc>
        <w:tc>
          <w:tcPr>
            <w:tcW w:w="262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242,280</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300,065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78"/>
        </w:trPr>
        <w:tc>
          <w:tcPr>
            <w:tcW w:w="20" w:type="dxa"/>
            <w:vAlign w:val="bottom"/>
          </w:tcPr>
          <w:p>
            <w:pPr>
              <w:spacing w:after="0"/>
              <w:rPr>
                <w:sz w:val="24"/>
                <w:szCs w:val="24"/>
                <w:color w:val="auto"/>
              </w:rPr>
            </w:pPr>
          </w:p>
        </w:tc>
        <w:tc>
          <w:tcPr>
            <w:tcW w:w="5380" w:type="dxa"/>
            <w:vAlign w:val="bottom"/>
          </w:tcPr>
          <w:p>
            <w:pPr>
              <w:spacing w:after="0"/>
              <w:rPr>
                <w:sz w:val="24"/>
                <w:szCs w:val="24"/>
                <w:color w:val="auto"/>
              </w:rPr>
            </w:pPr>
          </w:p>
        </w:tc>
        <w:tc>
          <w:tcPr>
            <w:tcW w:w="2620" w:type="dxa"/>
            <w:vAlign w:val="bottom"/>
          </w:tcPr>
          <w:p>
            <w:pPr>
              <w:jc w:val="right"/>
              <w:ind w:right="2170"/>
              <w:spacing w:after="0"/>
              <w:rPr>
                <w:sz w:val="20"/>
                <w:szCs w:val="20"/>
                <w:color w:val="auto"/>
              </w:rPr>
            </w:pPr>
            <w:r>
              <w:rPr>
                <w:rFonts w:ascii="Times New Roman" w:cs="Times New Roman" w:eastAsia="Times New Roman" w:hAnsi="Times New Roman"/>
                <w:sz w:val="18"/>
                <w:szCs w:val="18"/>
                <w:color w:val="auto"/>
              </w:rPr>
              <w:t>4</w:t>
            </w:r>
          </w:p>
        </w:tc>
        <w:tc>
          <w:tcPr>
            <w:tcW w:w="20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380" w:type="dxa"/>
            <w:vAlign w:val="bottom"/>
            <w:tcBorders>
              <w:bottom w:val="single" w:sz="8" w:color="auto"/>
            </w:tcBorders>
          </w:tcPr>
          <w:p>
            <w:pPr>
              <w:spacing w:after="0"/>
              <w:rPr>
                <w:sz w:val="5"/>
                <w:szCs w:val="5"/>
                <w:color w:val="auto"/>
              </w:rPr>
            </w:pPr>
          </w:p>
        </w:tc>
        <w:tc>
          <w:tcPr>
            <w:tcW w:w="2620" w:type="dxa"/>
            <w:vAlign w:val="bottom"/>
            <w:tcBorders>
              <w:bottom w:val="single" w:sz="8" w:color="auto"/>
            </w:tcBorders>
          </w:tcPr>
          <w:p>
            <w:pPr>
              <w:spacing w:after="0"/>
              <w:rPr>
                <w:sz w:val="5"/>
                <w:szCs w:val="5"/>
                <w:color w:val="auto"/>
              </w:rPr>
            </w:pPr>
          </w:p>
        </w:tc>
        <w:tc>
          <w:tcPr>
            <w:tcW w:w="206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08" w:right="2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29"/>
          <w:szCs w:val="29"/>
          <w:color w:val="auto"/>
        </w:rPr>
        <w:t>ICON Plc</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Unaudited interim statement of financial position</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at 31 October 2016</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20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Period ended</w:t>
            </w: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Year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4020" w:type="dxa"/>
            <w:vAlign w:val="bottom"/>
          </w:tcPr>
          <w:p>
            <w:pPr>
              <w:ind w:left="2960"/>
              <w:spacing w:after="0"/>
              <w:rPr>
                <w:sz w:val="20"/>
                <w:szCs w:val="20"/>
                <w:color w:val="auto"/>
              </w:rPr>
            </w:pPr>
            <w:r>
              <w:rPr>
                <w:rFonts w:ascii="Times New Roman" w:cs="Times New Roman" w:eastAsia="Times New Roman" w:hAnsi="Times New Roman"/>
                <w:sz w:val="18"/>
                <w:szCs w:val="18"/>
                <w:b w:val="1"/>
                <w:bCs w:val="1"/>
                <w:i w:val="1"/>
                <w:iCs w:val="1"/>
                <w:color w:val="auto"/>
              </w:rPr>
              <w:t>Note</w:t>
            </w:r>
          </w:p>
        </w:tc>
        <w:tc>
          <w:tcPr>
            <w:tcW w:w="20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31 October</w:t>
            </w: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 December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20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20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Audited</w:t>
            </w:r>
          </w:p>
        </w:tc>
        <w:tc>
          <w:tcPr>
            <w:tcW w:w="0" w:type="dxa"/>
            <w:vAlign w:val="bottom"/>
          </w:tcPr>
          <w:p>
            <w:pPr>
              <w:spacing w:after="0"/>
              <w:rPr>
                <w:sz w:val="1"/>
                <w:szCs w:val="1"/>
                <w:color w:val="auto"/>
              </w:rPr>
            </w:pPr>
          </w:p>
        </w:tc>
      </w:tr>
      <w:tr>
        <w:trPr>
          <w:trHeight w:val="216"/>
        </w:trPr>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020" w:type="dxa"/>
            <w:vAlign w:val="bottom"/>
          </w:tcPr>
          <w:p>
            <w:pPr>
              <w:spacing w:after="0"/>
              <w:rPr>
                <w:sz w:val="18"/>
                <w:szCs w:val="18"/>
                <w:color w:val="auto"/>
              </w:rPr>
            </w:pPr>
          </w:p>
        </w:tc>
        <w:tc>
          <w:tcPr>
            <w:tcW w:w="20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$’000</w:t>
            </w: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38"/>
        </w:trPr>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40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4020" w:type="dxa"/>
            <w:vAlign w:val="bottom"/>
            <w:shd w:val="clear" w:color="auto" w:fill="CCEEFF"/>
          </w:tcPr>
          <w:p>
            <w:pPr>
              <w:jc w:val="center"/>
              <w:ind w:left="2130"/>
              <w:spacing w:after="0"/>
              <w:rPr>
                <w:sz w:val="20"/>
                <w:szCs w:val="20"/>
                <w:color w:val="auto"/>
              </w:rPr>
            </w:pPr>
            <w:r>
              <w:rPr>
                <w:rFonts w:ascii="Times New Roman" w:cs="Times New Roman" w:eastAsia="Times New Roman" w:hAnsi="Times New Roman"/>
                <w:sz w:val="18"/>
                <w:szCs w:val="18"/>
                <w:i w:val="1"/>
                <w:iCs w:val="1"/>
                <w:color w:val="auto"/>
                <w:w w:val="88"/>
              </w:rPr>
              <w:t>11</w:t>
            </w:r>
          </w:p>
        </w:tc>
        <w:tc>
          <w:tcPr>
            <w:tcW w:w="20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306</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4020" w:type="dxa"/>
            <w:vAlign w:val="bottom"/>
          </w:tcPr>
          <w:p>
            <w:pPr>
              <w:jc w:val="center"/>
              <w:ind w:left="2150"/>
              <w:spacing w:after="0"/>
              <w:rPr>
                <w:sz w:val="20"/>
                <w:szCs w:val="20"/>
                <w:color w:val="auto"/>
              </w:rPr>
            </w:pPr>
            <w:r>
              <w:rPr>
                <w:rFonts w:ascii="Times New Roman" w:cs="Times New Roman" w:eastAsia="Times New Roman" w:hAnsi="Times New Roman"/>
                <w:sz w:val="18"/>
                <w:szCs w:val="18"/>
                <w:i w:val="1"/>
                <w:iCs w:val="1"/>
                <w:color w:val="auto"/>
                <w:w w:val="99"/>
              </w:rPr>
              <w:t>12</w:t>
            </w:r>
          </w:p>
        </w:tc>
        <w:tc>
          <w:tcPr>
            <w:tcW w:w="20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72</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in subsidiaries</w:t>
            </w:r>
          </w:p>
        </w:tc>
        <w:tc>
          <w:tcPr>
            <w:tcW w:w="4020" w:type="dxa"/>
            <w:vAlign w:val="bottom"/>
            <w:shd w:val="clear" w:color="auto" w:fill="CCEEFF"/>
          </w:tcPr>
          <w:p>
            <w:pPr>
              <w:jc w:val="center"/>
              <w:ind w:left="2150"/>
              <w:spacing w:after="0"/>
              <w:rPr>
                <w:sz w:val="20"/>
                <w:szCs w:val="20"/>
                <w:color w:val="auto"/>
              </w:rPr>
            </w:pPr>
            <w:r>
              <w:rPr>
                <w:rFonts w:ascii="Times New Roman" w:cs="Times New Roman" w:eastAsia="Times New Roman" w:hAnsi="Times New Roman"/>
                <w:sz w:val="18"/>
                <w:szCs w:val="18"/>
                <w:i w:val="1"/>
                <w:iCs w:val="1"/>
                <w:color w:val="auto"/>
                <w:w w:val="99"/>
              </w:rPr>
              <w:t>13</w:t>
            </w:r>
          </w:p>
        </w:tc>
        <w:tc>
          <w:tcPr>
            <w:tcW w:w="20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333,373</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355,853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4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Deferred tax asset</w:t>
            </w:r>
          </w:p>
        </w:tc>
        <w:tc>
          <w:tcPr>
            <w:tcW w:w="4020" w:type="dxa"/>
            <w:vAlign w:val="bottom"/>
            <w:tcBorders>
              <w:bottom w:val="single" w:sz="8" w:color="auto"/>
            </w:tcBorders>
          </w:tcPr>
          <w:p>
            <w:pPr>
              <w:jc w:val="center"/>
              <w:ind w:left="2150"/>
              <w:spacing w:after="0"/>
              <w:rPr>
                <w:sz w:val="20"/>
                <w:szCs w:val="20"/>
                <w:color w:val="auto"/>
              </w:rPr>
            </w:pPr>
            <w:r>
              <w:rPr>
                <w:rFonts w:ascii="Times New Roman" w:cs="Times New Roman" w:eastAsia="Times New Roman" w:hAnsi="Times New Roman"/>
                <w:sz w:val="18"/>
                <w:szCs w:val="18"/>
                <w:i w:val="1"/>
                <w:iCs w:val="1"/>
                <w:color w:val="auto"/>
              </w:rPr>
              <w:t>9</w:t>
            </w:r>
          </w:p>
        </w:tc>
        <w:tc>
          <w:tcPr>
            <w:tcW w:w="20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582</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00" w:type="dxa"/>
            <w:vAlign w:val="bottom"/>
            <w:shd w:val="clear" w:color="auto" w:fill="CCEEFF"/>
          </w:tcPr>
          <w:p>
            <w:pPr>
              <w:spacing w:after="0"/>
              <w:rPr>
                <w:sz w:val="18"/>
                <w:szCs w:val="18"/>
                <w:color w:val="auto"/>
              </w:rPr>
            </w:pPr>
          </w:p>
        </w:tc>
        <w:tc>
          <w:tcPr>
            <w:tcW w:w="402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vMerge w:val="continue"/>
          </w:tcPr>
          <w:p>
            <w:pPr>
              <w:spacing w:after="0"/>
              <w:rPr>
                <w:sz w:val="19"/>
                <w:szCs w:val="19"/>
                <w:color w:val="auto"/>
              </w:rPr>
            </w:pPr>
          </w:p>
        </w:tc>
        <w:tc>
          <w:tcPr>
            <w:tcW w:w="4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402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334,333</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356,875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00" w:type="dxa"/>
            <w:vAlign w:val="bottom"/>
            <w:shd w:val="clear" w:color="auto" w:fill="CCEEFF"/>
          </w:tcPr>
          <w:p>
            <w:pPr>
              <w:spacing w:after="0"/>
              <w:rPr>
                <w:sz w:val="18"/>
                <w:szCs w:val="18"/>
                <w:color w:val="auto"/>
              </w:rPr>
            </w:pPr>
          </w:p>
        </w:tc>
        <w:tc>
          <w:tcPr>
            <w:tcW w:w="402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40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4020" w:type="dxa"/>
            <w:vAlign w:val="bottom"/>
            <w:shd w:val="clear" w:color="auto" w:fill="CCEEFF"/>
          </w:tcPr>
          <w:p>
            <w:pPr>
              <w:jc w:val="center"/>
              <w:ind w:left="2150"/>
              <w:spacing w:after="0"/>
              <w:rPr>
                <w:sz w:val="20"/>
                <w:szCs w:val="20"/>
                <w:color w:val="auto"/>
              </w:rPr>
            </w:pPr>
            <w:r>
              <w:rPr>
                <w:rFonts w:ascii="Times New Roman" w:cs="Times New Roman" w:eastAsia="Times New Roman" w:hAnsi="Times New Roman"/>
                <w:sz w:val="18"/>
                <w:szCs w:val="18"/>
                <w:i w:val="1"/>
                <w:iCs w:val="1"/>
                <w:color w:val="auto"/>
                <w:w w:val="99"/>
              </w:rPr>
              <w:t>14</w:t>
            </w:r>
          </w:p>
        </w:tc>
        <w:tc>
          <w:tcPr>
            <w:tcW w:w="20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3,589</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Amounts due from subsidiary undertakings</w:t>
            </w:r>
          </w:p>
        </w:tc>
        <w:tc>
          <w:tcPr>
            <w:tcW w:w="4020" w:type="dxa"/>
            <w:vAlign w:val="bottom"/>
          </w:tcPr>
          <w:p>
            <w:pPr>
              <w:spacing w:after="0"/>
              <w:rPr>
                <w:sz w:val="18"/>
                <w:szCs w:val="18"/>
                <w:color w:val="auto"/>
              </w:rPr>
            </w:pPr>
          </w:p>
        </w:tc>
        <w:tc>
          <w:tcPr>
            <w:tcW w:w="20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336,817</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149,989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taxes receivable</w:t>
            </w:r>
          </w:p>
        </w:tc>
        <w:tc>
          <w:tcPr>
            <w:tcW w:w="4020" w:type="dxa"/>
            <w:vAlign w:val="bottom"/>
            <w:shd w:val="clear" w:color="auto" w:fill="CCEEFF"/>
          </w:tcPr>
          <w:p>
            <w:pPr>
              <w:spacing w:after="0"/>
              <w:rPr>
                <w:sz w:val="18"/>
                <w:szCs w:val="18"/>
                <w:color w:val="auto"/>
              </w:rPr>
            </w:pPr>
          </w:p>
        </w:tc>
        <w:tc>
          <w:tcPr>
            <w:tcW w:w="20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11</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4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02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78,915</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1,169</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00" w:type="dxa"/>
            <w:vAlign w:val="bottom"/>
            <w:shd w:val="clear" w:color="auto" w:fill="CCEEFF"/>
          </w:tcPr>
          <w:p>
            <w:pPr>
              <w:spacing w:after="0"/>
              <w:rPr>
                <w:sz w:val="18"/>
                <w:szCs w:val="18"/>
                <w:color w:val="auto"/>
              </w:rPr>
            </w:pPr>
          </w:p>
        </w:tc>
        <w:tc>
          <w:tcPr>
            <w:tcW w:w="402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vMerge w:val="continue"/>
          </w:tcPr>
          <w:p>
            <w:pPr>
              <w:spacing w:after="0"/>
              <w:rPr>
                <w:sz w:val="19"/>
                <w:szCs w:val="19"/>
                <w:color w:val="auto"/>
              </w:rPr>
            </w:pPr>
          </w:p>
        </w:tc>
        <w:tc>
          <w:tcPr>
            <w:tcW w:w="4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402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419,332</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154,230</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00" w:type="dxa"/>
            <w:vAlign w:val="bottom"/>
            <w:shd w:val="clear" w:color="auto" w:fill="CCEEFF"/>
          </w:tcPr>
          <w:p>
            <w:pPr>
              <w:spacing w:after="0"/>
              <w:rPr>
                <w:sz w:val="18"/>
                <w:szCs w:val="18"/>
                <w:color w:val="auto"/>
              </w:rPr>
            </w:pPr>
          </w:p>
        </w:tc>
        <w:tc>
          <w:tcPr>
            <w:tcW w:w="402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vMerge w:val="continue"/>
          </w:tcPr>
          <w:p>
            <w:pPr>
              <w:spacing w:after="0"/>
              <w:rPr>
                <w:sz w:val="19"/>
                <w:szCs w:val="19"/>
                <w:color w:val="auto"/>
              </w:rPr>
            </w:pPr>
          </w:p>
        </w:tc>
        <w:tc>
          <w:tcPr>
            <w:tcW w:w="4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402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753,665</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511,105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00" w:type="dxa"/>
            <w:vAlign w:val="bottom"/>
            <w:shd w:val="clear" w:color="auto" w:fill="CCEEFF"/>
          </w:tcPr>
          <w:p>
            <w:pPr>
              <w:spacing w:after="0"/>
              <w:rPr>
                <w:sz w:val="18"/>
                <w:szCs w:val="18"/>
                <w:color w:val="auto"/>
              </w:rPr>
            </w:pPr>
          </w:p>
        </w:tc>
        <w:tc>
          <w:tcPr>
            <w:tcW w:w="402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40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capital</w:t>
            </w:r>
          </w:p>
        </w:tc>
        <w:tc>
          <w:tcPr>
            <w:tcW w:w="4020" w:type="dxa"/>
            <w:vAlign w:val="bottom"/>
            <w:shd w:val="clear" w:color="auto" w:fill="CCEEFF"/>
          </w:tcPr>
          <w:p>
            <w:pPr>
              <w:jc w:val="center"/>
              <w:ind w:left="2130"/>
              <w:spacing w:after="0"/>
              <w:rPr>
                <w:sz w:val="20"/>
                <w:szCs w:val="20"/>
                <w:color w:val="auto"/>
              </w:rPr>
            </w:pPr>
            <w:r>
              <w:rPr>
                <w:rFonts w:ascii="Times New Roman" w:cs="Times New Roman" w:eastAsia="Times New Roman" w:hAnsi="Times New Roman"/>
                <w:sz w:val="18"/>
                <w:szCs w:val="18"/>
                <w:i w:val="1"/>
                <w:iCs w:val="1"/>
                <w:color w:val="auto"/>
                <w:w w:val="98"/>
              </w:rPr>
              <w:t>16,17</w:t>
            </w:r>
          </w:p>
        </w:tc>
        <w:tc>
          <w:tcPr>
            <w:tcW w:w="20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4,668</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Share premium</w:t>
            </w:r>
          </w:p>
        </w:tc>
        <w:tc>
          <w:tcPr>
            <w:tcW w:w="4020" w:type="dxa"/>
            <w:vAlign w:val="bottom"/>
          </w:tcPr>
          <w:p>
            <w:pPr>
              <w:jc w:val="center"/>
              <w:ind w:left="2150"/>
              <w:spacing w:after="0"/>
              <w:rPr>
                <w:sz w:val="20"/>
                <w:szCs w:val="20"/>
                <w:color w:val="auto"/>
              </w:rPr>
            </w:pPr>
            <w:r>
              <w:rPr>
                <w:rFonts w:ascii="Times New Roman" w:cs="Times New Roman" w:eastAsia="Times New Roman" w:hAnsi="Times New Roman"/>
                <w:sz w:val="18"/>
                <w:szCs w:val="18"/>
                <w:i w:val="1"/>
                <w:iCs w:val="1"/>
                <w:color w:val="auto"/>
                <w:w w:val="99"/>
              </w:rPr>
              <w:t>17</w:t>
            </w:r>
          </w:p>
        </w:tc>
        <w:tc>
          <w:tcPr>
            <w:tcW w:w="20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251,144</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242,904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redemption reserve</w:t>
            </w:r>
          </w:p>
        </w:tc>
        <w:tc>
          <w:tcPr>
            <w:tcW w:w="4020" w:type="dxa"/>
            <w:vAlign w:val="bottom"/>
            <w:shd w:val="clear" w:color="auto" w:fill="CCEEFF"/>
          </w:tcPr>
          <w:p>
            <w:pPr>
              <w:jc w:val="center"/>
              <w:ind w:left="2150"/>
              <w:spacing w:after="0"/>
              <w:rPr>
                <w:sz w:val="20"/>
                <w:szCs w:val="20"/>
                <w:color w:val="auto"/>
              </w:rPr>
            </w:pPr>
            <w:r>
              <w:rPr>
                <w:rFonts w:ascii="Times New Roman" w:cs="Times New Roman" w:eastAsia="Times New Roman" w:hAnsi="Times New Roman"/>
                <w:sz w:val="18"/>
                <w:szCs w:val="18"/>
                <w:i w:val="1"/>
                <w:iCs w:val="1"/>
                <w:color w:val="auto"/>
                <w:w w:val="99"/>
              </w:rPr>
              <w:t>17</w:t>
            </w:r>
          </w:p>
        </w:tc>
        <w:tc>
          <w:tcPr>
            <w:tcW w:w="20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747</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Share-based payment reserve</w:t>
            </w:r>
          </w:p>
        </w:tc>
        <w:tc>
          <w:tcPr>
            <w:tcW w:w="4020" w:type="dxa"/>
            <w:vAlign w:val="bottom"/>
          </w:tcPr>
          <w:p>
            <w:pPr>
              <w:jc w:val="center"/>
              <w:ind w:left="2150"/>
              <w:spacing w:after="0"/>
              <w:rPr>
                <w:sz w:val="20"/>
                <w:szCs w:val="20"/>
                <w:color w:val="auto"/>
              </w:rPr>
            </w:pPr>
            <w:r>
              <w:rPr>
                <w:rFonts w:ascii="Times New Roman" w:cs="Times New Roman" w:eastAsia="Times New Roman" w:hAnsi="Times New Roman"/>
                <w:sz w:val="18"/>
                <w:szCs w:val="18"/>
                <w:i w:val="1"/>
                <w:iCs w:val="1"/>
                <w:color w:val="auto"/>
                <w:w w:val="99"/>
              </w:rPr>
              <w:t>17</w:t>
            </w:r>
          </w:p>
        </w:tc>
        <w:tc>
          <w:tcPr>
            <w:tcW w:w="20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114,690</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reserves</w:t>
            </w:r>
          </w:p>
        </w:tc>
        <w:tc>
          <w:tcPr>
            <w:tcW w:w="4020" w:type="dxa"/>
            <w:vAlign w:val="bottom"/>
            <w:shd w:val="clear" w:color="auto" w:fill="CCEEFF"/>
          </w:tcPr>
          <w:p>
            <w:pPr>
              <w:jc w:val="center"/>
              <w:ind w:left="2150"/>
              <w:spacing w:after="0"/>
              <w:rPr>
                <w:sz w:val="20"/>
                <w:szCs w:val="20"/>
                <w:color w:val="auto"/>
              </w:rPr>
            </w:pPr>
            <w:r>
              <w:rPr>
                <w:rFonts w:ascii="Times New Roman" w:cs="Times New Roman" w:eastAsia="Times New Roman" w:hAnsi="Times New Roman"/>
                <w:sz w:val="18"/>
                <w:szCs w:val="18"/>
                <w:i w:val="1"/>
                <w:iCs w:val="1"/>
                <w:color w:val="auto"/>
                <w:w w:val="99"/>
              </w:rPr>
              <w:t>17</w:t>
            </w:r>
          </w:p>
        </w:tc>
        <w:tc>
          <w:tcPr>
            <w:tcW w:w="20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(107,949)</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4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4020" w:type="dxa"/>
            <w:vAlign w:val="bottom"/>
            <w:tcBorders>
              <w:bottom w:val="single" w:sz="8" w:color="auto"/>
            </w:tcBorders>
          </w:tcPr>
          <w:p>
            <w:pPr>
              <w:jc w:val="center"/>
              <w:ind w:left="2150"/>
              <w:spacing w:after="0"/>
              <w:rPr>
                <w:sz w:val="20"/>
                <w:szCs w:val="20"/>
                <w:color w:val="auto"/>
              </w:rPr>
            </w:pPr>
            <w:r>
              <w:rPr>
                <w:rFonts w:ascii="Times New Roman" w:cs="Times New Roman" w:eastAsia="Times New Roman" w:hAnsi="Times New Roman"/>
                <w:sz w:val="18"/>
                <w:szCs w:val="18"/>
                <w:i w:val="1"/>
                <w:iCs w:val="1"/>
                <w:color w:val="auto"/>
                <w:w w:val="99"/>
              </w:rPr>
              <w:t>17</w:t>
            </w:r>
          </w:p>
        </w:tc>
        <w:tc>
          <w:tcPr>
            <w:tcW w:w="20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481,468</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274,888</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00" w:type="dxa"/>
            <w:vAlign w:val="bottom"/>
            <w:shd w:val="clear" w:color="auto" w:fill="CCEEFF"/>
          </w:tcPr>
          <w:p>
            <w:pPr>
              <w:spacing w:after="0"/>
              <w:rPr>
                <w:sz w:val="18"/>
                <w:szCs w:val="18"/>
                <w:color w:val="auto"/>
              </w:rPr>
            </w:pPr>
          </w:p>
        </w:tc>
        <w:tc>
          <w:tcPr>
            <w:tcW w:w="402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vMerge w:val="continue"/>
          </w:tcPr>
          <w:p>
            <w:pPr>
              <w:spacing w:after="0"/>
              <w:rPr>
                <w:sz w:val="19"/>
                <w:szCs w:val="19"/>
                <w:color w:val="auto"/>
              </w:rPr>
            </w:pPr>
          </w:p>
        </w:tc>
        <w:tc>
          <w:tcPr>
            <w:tcW w:w="4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Attributable to equity holders</w:t>
            </w:r>
          </w:p>
        </w:tc>
        <w:tc>
          <w:tcPr>
            <w:tcW w:w="402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744,768</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496,969</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00" w:type="dxa"/>
            <w:vAlign w:val="bottom"/>
            <w:shd w:val="clear" w:color="auto" w:fill="CCEEFF"/>
          </w:tcPr>
          <w:p>
            <w:pPr>
              <w:spacing w:after="0"/>
              <w:rPr>
                <w:sz w:val="18"/>
                <w:szCs w:val="18"/>
                <w:color w:val="auto"/>
              </w:rPr>
            </w:pPr>
          </w:p>
        </w:tc>
        <w:tc>
          <w:tcPr>
            <w:tcW w:w="402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vMerge w:val="continue"/>
          </w:tcPr>
          <w:p>
            <w:pPr>
              <w:spacing w:after="0"/>
              <w:rPr>
                <w:sz w:val="19"/>
                <w:szCs w:val="19"/>
                <w:color w:val="auto"/>
              </w:rPr>
            </w:pPr>
          </w:p>
        </w:tc>
        <w:tc>
          <w:tcPr>
            <w:tcW w:w="4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402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744,768</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496,969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00" w:type="dxa"/>
            <w:vAlign w:val="bottom"/>
            <w:shd w:val="clear" w:color="auto" w:fill="CCEEFF"/>
          </w:tcPr>
          <w:p>
            <w:pPr>
              <w:spacing w:after="0"/>
              <w:rPr>
                <w:sz w:val="18"/>
                <w:szCs w:val="18"/>
                <w:color w:val="auto"/>
              </w:rPr>
            </w:pPr>
          </w:p>
        </w:tc>
        <w:tc>
          <w:tcPr>
            <w:tcW w:w="402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40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402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4020" w:type="dxa"/>
            <w:vAlign w:val="bottom"/>
          </w:tcPr>
          <w:p>
            <w:pPr>
              <w:spacing w:after="0"/>
              <w:rPr>
                <w:sz w:val="18"/>
                <w:szCs w:val="18"/>
                <w:color w:val="auto"/>
              </w:rPr>
            </w:pPr>
          </w:p>
        </w:tc>
        <w:tc>
          <w:tcPr>
            <w:tcW w:w="20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7</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and other liabilities</w:t>
            </w:r>
          </w:p>
        </w:tc>
        <w:tc>
          <w:tcPr>
            <w:tcW w:w="4020" w:type="dxa"/>
            <w:vAlign w:val="bottom"/>
            <w:shd w:val="clear" w:color="auto" w:fill="CCEEFF"/>
          </w:tcPr>
          <w:p>
            <w:pPr>
              <w:jc w:val="center"/>
              <w:ind w:left="2150"/>
              <w:spacing w:after="0"/>
              <w:rPr>
                <w:sz w:val="20"/>
                <w:szCs w:val="20"/>
                <w:color w:val="auto"/>
              </w:rPr>
            </w:pPr>
            <w:r>
              <w:rPr>
                <w:rFonts w:ascii="Times New Roman" w:cs="Times New Roman" w:eastAsia="Times New Roman" w:hAnsi="Times New Roman"/>
                <w:sz w:val="18"/>
                <w:szCs w:val="18"/>
                <w:i w:val="1"/>
                <w:iCs w:val="1"/>
                <w:color w:val="auto"/>
                <w:w w:val="99"/>
              </w:rPr>
              <w:t>15</w:t>
            </w:r>
          </w:p>
        </w:tc>
        <w:tc>
          <w:tcPr>
            <w:tcW w:w="20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8,706</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4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Current taxes payable</w:t>
            </w:r>
          </w:p>
        </w:tc>
        <w:tc>
          <w:tcPr>
            <w:tcW w:w="402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184</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00" w:type="dxa"/>
            <w:vAlign w:val="bottom"/>
            <w:shd w:val="clear" w:color="auto" w:fill="CCEEFF"/>
          </w:tcPr>
          <w:p>
            <w:pPr>
              <w:spacing w:after="0"/>
              <w:rPr>
                <w:sz w:val="18"/>
                <w:szCs w:val="18"/>
                <w:color w:val="auto"/>
              </w:rPr>
            </w:pPr>
          </w:p>
        </w:tc>
        <w:tc>
          <w:tcPr>
            <w:tcW w:w="402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vMerge w:val="continue"/>
          </w:tcPr>
          <w:p>
            <w:pPr>
              <w:spacing w:after="0"/>
              <w:rPr>
                <w:sz w:val="19"/>
                <w:szCs w:val="19"/>
                <w:color w:val="auto"/>
              </w:rPr>
            </w:pPr>
          </w:p>
        </w:tc>
        <w:tc>
          <w:tcPr>
            <w:tcW w:w="4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402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8,897</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14,136</w:t>
            </w:r>
          </w:p>
        </w:tc>
        <w:tc>
          <w:tcPr>
            <w:tcW w:w="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00" w:type="dxa"/>
            <w:vAlign w:val="bottom"/>
            <w:shd w:val="clear" w:color="auto" w:fill="CCEEFF"/>
          </w:tcPr>
          <w:p>
            <w:pPr>
              <w:spacing w:after="0"/>
              <w:rPr>
                <w:sz w:val="18"/>
                <w:szCs w:val="18"/>
                <w:color w:val="auto"/>
              </w:rPr>
            </w:pPr>
          </w:p>
        </w:tc>
        <w:tc>
          <w:tcPr>
            <w:tcW w:w="402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vMerge w:val="continue"/>
          </w:tcPr>
          <w:p>
            <w:pPr>
              <w:spacing w:after="0"/>
              <w:rPr>
                <w:sz w:val="19"/>
                <w:szCs w:val="19"/>
                <w:color w:val="auto"/>
              </w:rPr>
            </w:pPr>
          </w:p>
        </w:tc>
        <w:tc>
          <w:tcPr>
            <w:tcW w:w="4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402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8,897</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14,136</w:t>
            </w:r>
          </w:p>
        </w:tc>
        <w:tc>
          <w:tcPr>
            <w:tcW w:w="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18"/>
                <w:szCs w:val="18"/>
                <w:color w:val="auto"/>
              </w:rPr>
            </w:pPr>
          </w:p>
        </w:tc>
        <w:tc>
          <w:tcPr>
            <w:tcW w:w="402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0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0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equity and liabilities</w:t>
            </w:r>
          </w:p>
        </w:tc>
        <w:tc>
          <w:tcPr>
            <w:tcW w:w="4020" w:type="dxa"/>
            <w:vAlign w:val="bottom"/>
            <w:tcBorders>
              <w:bottom w:val="single" w:sz="8" w:color="auto"/>
            </w:tcBorders>
            <w:shd w:val="clear" w:color="auto" w:fill="CCEEFF"/>
          </w:tcPr>
          <w:p>
            <w:pPr>
              <w:spacing w:after="0"/>
              <w:rPr>
                <w:sz w:val="19"/>
                <w:szCs w:val="19"/>
                <w:color w:val="auto"/>
              </w:rPr>
            </w:pPr>
          </w:p>
        </w:tc>
        <w:tc>
          <w:tcPr>
            <w:tcW w:w="20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753,665</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511,105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On behalf of the Board</w:t>
            </w:r>
          </w:p>
        </w:tc>
        <w:tc>
          <w:tcPr>
            <w:tcW w:w="40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25"/>
        </w:trPr>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Declan McKeon</w:t>
            </w:r>
          </w:p>
        </w:tc>
        <w:tc>
          <w:tcPr>
            <w:tcW w:w="402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Ciaran Murray</w:t>
            </w:r>
          </w:p>
        </w:tc>
        <w:tc>
          <w:tcPr>
            <w:tcW w:w="20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Director</w:t>
            </w:r>
          </w:p>
        </w:tc>
        <w:tc>
          <w:tcPr>
            <w:tcW w:w="4020" w:type="dxa"/>
            <w:vAlign w:val="bottom"/>
          </w:tcPr>
          <w:p>
            <w:pPr>
              <w:ind w:left="900"/>
              <w:spacing w:after="0"/>
              <w:rPr>
                <w:sz w:val="20"/>
                <w:szCs w:val="20"/>
                <w:color w:val="auto"/>
              </w:rPr>
            </w:pPr>
            <w:r>
              <w:rPr>
                <w:rFonts w:ascii="Times New Roman" w:cs="Times New Roman" w:eastAsia="Times New Roman" w:hAnsi="Times New Roman"/>
                <w:sz w:val="18"/>
                <w:szCs w:val="18"/>
                <w:i w:val="1"/>
                <w:iCs w:val="1"/>
                <w:color w:val="auto"/>
              </w:rPr>
              <w:t>Director</w:t>
            </w:r>
          </w:p>
        </w:tc>
        <w:tc>
          <w:tcPr>
            <w:tcW w:w="20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08" w:right="239" w:bottom="1440" w:gutter="0" w:footer="0" w:header="0"/>
        </w:sectPr>
      </w:pP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29"/>
          <w:szCs w:val="29"/>
          <w:color w:val="auto"/>
        </w:rPr>
        <w:t>ICON Plc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Unaudited interim statement of changes in equity</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 the period ended 31 October 2016</w:t>
      </w: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1160" w:type="dxa"/>
            <w:vAlign w:val="bottom"/>
          </w:tcPr>
          <w:p>
            <w:pPr>
              <w:jc w:val="right"/>
              <w:ind w:right="205"/>
              <w:spacing w:after="0"/>
              <w:rPr>
                <w:sz w:val="20"/>
                <w:szCs w:val="20"/>
                <w:color w:val="auto"/>
              </w:rPr>
            </w:pPr>
            <w:r>
              <w:rPr>
                <w:rFonts w:ascii="Times New Roman" w:cs="Times New Roman" w:eastAsia="Times New Roman" w:hAnsi="Times New Roman"/>
                <w:sz w:val="15"/>
                <w:szCs w:val="15"/>
                <w:b w:val="1"/>
                <w:bCs w:val="1"/>
                <w:color w:val="auto"/>
              </w:rPr>
              <w:t>Number</w:t>
            </w:r>
          </w:p>
        </w:tc>
        <w:tc>
          <w:tcPr>
            <w:tcW w:w="960" w:type="dxa"/>
            <w:vAlign w:val="bottom"/>
          </w:tcPr>
          <w:p>
            <w:pPr>
              <w:jc w:val="right"/>
              <w:ind w:right="145"/>
              <w:spacing w:after="0"/>
              <w:rPr>
                <w:sz w:val="20"/>
                <w:szCs w:val="20"/>
                <w:color w:val="auto"/>
              </w:rPr>
            </w:pPr>
            <w:r>
              <w:rPr>
                <w:rFonts w:ascii="Times New Roman" w:cs="Times New Roman" w:eastAsia="Times New Roman" w:hAnsi="Times New Roman"/>
                <w:sz w:val="15"/>
                <w:szCs w:val="15"/>
                <w:b w:val="1"/>
                <w:bCs w:val="1"/>
                <w:color w:val="auto"/>
              </w:rPr>
              <w:t>Share</w:t>
            </w:r>
          </w:p>
        </w:tc>
        <w:tc>
          <w:tcPr>
            <w:tcW w:w="940" w:type="dxa"/>
            <w:vAlign w:val="bottom"/>
          </w:tcPr>
          <w:p>
            <w:pPr>
              <w:jc w:val="right"/>
              <w:ind w:right="65"/>
              <w:spacing w:after="0"/>
              <w:rPr>
                <w:sz w:val="20"/>
                <w:szCs w:val="20"/>
                <w:color w:val="auto"/>
              </w:rPr>
            </w:pPr>
            <w:r>
              <w:rPr>
                <w:rFonts w:ascii="Times New Roman" w:cs="Times New Roman" w:eastAsia="Times New Roman" w:hAnsi="Times New Roman"/>
                <w:sz w:val="15"/>
                <w:szCs w:val="15"/>
                <w:b w:val="1"/>
                <w:bCs w:val="1"/>
                <w:color w:val="auto"/>
              </w:rPr>
              <w:t>Share</w:t>
            </w:r>
          </w:p>
        </w:tc>
        <w:tc>
          <w:tcPr>
            <w:tcW w:w="1000" w:type="dxa"/>
            <w:vAlign w:val="bottom"/>
          </w:tcPr>
          <w:p>
            <w:pPr>
              <w:jc w:val="right"/>
              <w:ind w:right="25"/>
              <w:spacing w:after="0"/>
              <w:rPr>
                <w:sz w:val="20"/>
                <w:szCs w:val="20"/>
                <w:color w:val="auto"/>
              </w:rPr>
            </w:pPr>
            <w:r>
              <w:rPr>
                <w:rFonts w:ascii="Times New Roman" w:cs="Times New Roman" w:eastAsia="Times New Roman" w:hAnsi="Times New Roman"/>
                <w:sz w:val="15"/>
                <w:szCs w:val="15"/>
                <w:b w:val="1"/>
                <w:bCs w:val="1"/>
                <w:color w:val="auto"/>
              </w:rPr>
              <w:t>Capital</w:t>
            </w:r>
          </w:p>
        </w:tc>
        <w:tc>
          <w:tcPr>
            <w:tcW w:w="1160" w:type="dxa"/>
            <w:vAlign w:val="bottom"/>
          </w:tcPr>
          <w:p>
            <w:pPr>
              <w:jc w:val="right"/>
              <w:ind w:right="165"/>
              <w:spacing w:after="0"/>
              <w:rPr>
                <w:sz w:val="20"/>
                <w:szCs w:val="20"/>
                <w:color w:val="auto"/>
              </w:rPr>
            </w:pPr>
            <w:r>
              <w:rPr>
                <w:rFonts w:ascii="Times New Roman" w:cs="Times New Roman" w:eastAsia="Times New Roman" w:hAnsi="Times New Roman"/>
                <w:sz w:val="15"/>
                <w:szCs w:val="15"/>
                <w:b w:val="1"/>
                <w:bCs w:val="1"/>
                <w:color w:val="auto"/>
              </w:rPr>
              <w:t>Share-Based</w:t>
            </w:r>
          </w:p>
        </w:tc>
        <w:tc>
          <w:tcPr>
            <w:tcW w:w="1000" w:type="dxa"/>
            <w:vAlign w:val="bottom"/>
          </w:tcPr>
          <w:p>
            <w:pPr>
              <w:jc w:val="right"/>
              <w:ind w:right="145"/>
              <w:spacing w:after="0"/>
              <w:rPr>
                <w:sz w:val="20"/>
                <w:szCs w:val="20"/>
                <w:color w:val="auto"/>
              </w:rPr>
            </w:pPr>
            <w:r>
              <w:rPr>
                <w:rFonts w:ascii="Times New Roman" w:cs="Times New Roman" w:eastAsia="Times New Roman" w:hAnsi="Times New Roman"/>
                <w:sz w:val="15"/>
                <w:szCs w:val="15"/>
                <w:b w:val="1"/>
                <w:bCs w:val="1"/>
                <w:color w:val="auto"/>
              </w:rPr>
              <w:t>Other</w:t>
            </w:r>
          </w:p>
        </w:tc>
        <w:tc>
          <w:tcPr>
            <w:tcW w:w="1040" w:type="dxa"/>
            <w:vAlign w:val="bottom"/>
          </w:tcPr>
          <w:p>
            <w:pPr>
              <w:jc w:val="right"/>
              <w:ind w:right="145"/>
              <w:spacing w:after="0"/>
              <w:rPr>
                <w:sz w:val="20"/>
                <w:szCs w:val="20"/>
                <w:color w:val="auto"/>
              </w:rPr>
            </w:pPr>
            <w:r>
              <w:rPr>
                <w:rFonts w:ascii="Times New Roman" w:cs="Times New Roman" w:eastAsia="Times New Roman" w:hAnsi="Times New Roman"/>
                <w:sz w:val="15"/>
                <w:szCs w:val="15"/>
                <w:b w:val="1"/>
                <w:bCs w:val="1"/>
                <w:color w:val="auto"/>
              </w:rPr>
              <w:t>Currency</w:t>
            </w:r>
          </w:p>
        </w:tc>
        <w:tc>
          <w:tcPr>
            <w:tcW w:w="1040" w:type="dxa"/>
            <w:vAlign w:val="bottom"/>
          </w:tcPr>
          <w:p>
            <w:pPr>
              <w:jc w:val="right"/>
              <w:ind w:right="165"/>
              <w:spacing w:after="0"/>
              <w:rPr>
                <w:sz w:val="20"/>
                <w:szCs w:val="20"/>
                <w:color w:val="auto"/>
              </w:rPr>
            </w:pPr>
            <w:r>
              <w:rPr>
                <w:rFonts w:ascii="Times New Roman" w:cs="Times New Roman" w:eastAsia="Times New Roman" w:hAnsi="Times New Roman"/>
                <w:sz w:val="15"/>
                <w:szCs w:val="15"/>
                <w:b w:val="1"/>
                <w:bCs w:val="1"/>
                <w:color w:val="auto"/>
              </w:rPr>
              <w:t>Retained</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b w:val="1"/>
                <w:bCs w:val="1"/>
                <w:color w:val="auto"/>
              </w:rPr>
              <w:t>Total</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160" w:type="dxa"/>
            <w:vAlign w:val="bottom"/>
          </w:tcPr>
          <w:p>
            <w:pPr>
              <w:jc w:val="right"/>
              <w:ind w:right="205"/>
              <w:spacing w:after="0" w:line="162" w:lineRule="exact"/>
              <w:rPr>
                <w:sz w:val="20"/>
                <w:szCs w:val="20"/>
                <w:color w:val="auto"/>
              </w:rPr>
            </w:pPr>
            <w:r>
              <w:rPr>
                <w:rFonts w:ascii="Times New Roman" w:cs="Times New Roman" w:eastAsia="Times New Roman" w:hAnsi="Times New Roman"/>
                <w:sz w:val="15"/>
                <w:szCs w:val="15"/>
                <w:b w:val="1"/>
                <w:bCs w:val="1"/>
                <w:color w:val="auto"/>
              </w:rPr>
              <w:t>of shares</w:t>
            </w:r>
          </w:p>
        </w:tc>
        <w:tc>
          <w:tcPr>
            <w:tcW w:w="960" w:type="dxa"/>
            <w:vAlign w:val="bottom"/>
          </w:tcPr>
          <w:p>
            <w:pPr>
              <w:jc w:val="right"/>
              <w:ind w:right="145"/>
              <w:spacing w:after="0" w:line="162" w:lineRule="exact"/>
              <w:rPr>
                <w:sz w:val="20"/>
                <w:szCs w:val="20"/>
                <w:color w:val="auto"/>
              </w:rPr>
            </w:pPr>
            <w:r>
              <w:rPr>
                <w:rFonts w:ascii="Times New Roman" w:cs="Times New Roman" w:eastAsia="Times New Roman" w:hAnsi="Times New Roman"/>
                <w:sz w:val="15"/>
                <w:szCs w:val="15"/>
                <w:b w:val="1"/>
                <w:bCs w:val="1"/>
                <w:color w:val="auto"/>
              </w:rPr>
              <w:t>Capital</w:t>
            </w:r>
          </w:p>
        </w:tc>
        <w:tc>
          <w:tcPr>
            <w:tcW w:w="940" w:type="dxa"/>
            <w:vAlign w:val="bottom"/>
          </w:tcPr>
          <w:p>
            <w:pPr>
              <w:jc w:val="right"/>
              <w:ind w:right="65"/>
              <w:spacing w:after="0" w:line="162" w:lineRule="exact"/>
              <w:rPr>
                <w:sz w:val="20"/>
                <w:szCs w:val="20"/>
                <w:color w:val="auto"/>
              </w:rPr>
            </w:pPr>
            <w:r>
              <w:rPr>
                <w:rFonts w:ascii="Times New Roman" w:cs="Times New Roman" w:eastAsia="Times New Roman" w:hAnsi="Times New Roman"/>
                <w:sz w:val="15"/>
                <w:szCs w:val="15"/>
                <w:b w:val="1"/>
                <w:bCs w:val="1"/>
                <w:color w:val="auto"/>
              </w:rPr>
              <w:t>Premium</w:t>
            </w:r>
          </w:p>
        </w:tc>
        <w:tc>
          <w:tcPr>
            <w:tcW w:w="1000" w:type="dxa"/>
            <w:vAlign w:val="bottom"/>
          </w:tcPr>
          <w:p>
            <w:pPr>
              <w:jc w:val="right"/>
              <w:ind w:right="25"/>
              <w:spacing w:after="0" w:line="162" w:lineRule="exact"/>
              <w:rPr>
                <w:sz w:val="20"/>
                <w:szCs w:val="20"/>
                <w:color w:val="auto"/>
              </w:rPr>
            </w:pPr>
            <w:r>
              <w:rPr>
                <w:rFonts w:ascii="Times New Roman" w:cs="Times New Roman" w:eastAsia="Times New Roman" w:hAnsi="Times New Roman"/>
                <w:sz w:val="15"/>
                <w:szCs w:val="15"/>
                <w:b w:val="1"/>
                <w:bCs w:val="1"/>
                <w:color w:val="auto"/>
              </w:rPr>
              <w:t>Redemption</w:t>
            </w:r>
          </w:p>
        </w:tc>
        <w:tc>
          <w:tcPr>
            <w:tcW w:w="1160" w:type="dxa"/>
            <w:vAlign w:val="bottom"/>
          </w:tcPr>
          <w:p>
            <w:pPr>
              <w:jc w:val="right"/>
              <w:ind w:right="165"/>
              <w:spacing w:after="0" w:line="162" w:lineRule="exact"/>
              <w:rPr>
                <w:sz w:val="20"/>
                <w:szCs w:val="20"/>
                <w:color w:val="auto"/>
              </w:rPr>
            </w:pPr>
            <w:r>
              <w:rPr>
                <w:rFonts w:ascii="Times New Roman" w:cs="Times New Roman" w:eastAsia="Times New Roman" w:hAnsi="Times New Roman"/>
                <w:sz w:val="15"/>
                <w:szCs w:val="15"/>
                <w:b w:val="1"/>
                <w:bCs w:val="1"/>
                <w:color w:val="auto"/>
              </w:rPr>
              <w:t>Payment</w:t>
            </w:r>
          </w:p>
        </w:tc>
        <w:tc>
          <w:tcPr>
            <w:tcW w:w="1000" w:type="dxa"/>
            <w:vAlign w:val="bottom"/>
          </w:tcPr>
          <w:p>
            <w:pPr>
              <w:jc w:val="right"/>
              <w:ind w:right="145"/>
              <w:spacing w:after="0" w:line="162" w:lineRule="exact"/>
              <w:rPr>
                <w:sz w:val="20"/>
                <w:szCs w:val="20"/>
                <w:color w:val="auto"/>
              </w:rPr>
            </w:pPr>
            <w:r>
              <w:rPr>
                <w:rFonts w:ascii="Times New Roman" w:cs="Times New Roman" w:eastAsia="Times New Roman" w:hAnsi="Times New Roman"/>
                <w:sz w:val="15"/>
                <w:szCs w:val="15"/>
                <w:b w:val="1"/>
                <w:bCs w:val="1"/>
                <w:color w:val="auto"/>
              </w:rPr>
              <w:t>Reserves</w:t>
            </w:r>
          </w:p>
        </w:tc>
        <w:tc>
          <w:tcPr>
            <w:tcW w:w="1040" w:type="dxa"/>
            <w:vAlign w:val="bottom"/>
          </w:tcPr>
          <w:p>
            <w:pPr>
              <w:jc w:val="right"/>
              <w:ind w:right="145"/>
              <w:spacing w:after="0" w:line="162" w:lineRule="exact"/>
              <w:rPr>
                <w:sz w:val="20"/>
                <w:szCs w:val="20"/>
                <w:color w:val="auto"/>
              </w:rPr>
            </w:pPr>
            <w:r>
              <w:rPr>
                <w:rFonts w:ascii="Times New Roman" w:cs="Times New Roman" w:eastAsia="Times New Roman" w:hAnsi="Times New Roman"/>
                <w:sz w:val="15"/>
                <w:szCs w:val="15"/>
                <w:b w:val="1"/>
                <w:bCs w:val="1"/>
                <w:color w:val="auto"/>
              </w:rPr>
              <w:t>Reserve</w:t>
            </w:r>
          </w:p>
        </w:tc>
        <w:tc>
          <w:tcPr>
            <w:tcW w:w="1040" w:type="dxa"/>
            <w:vAlign w:val="bottom"/>
          </w:tcPr>
          <w:p>
            <w:pPr>
              <w:jc w:val="right"/>
              <w:ind w:right="165"/>
              <w:spacing w:after="0" w:line="162" w:lineRule="exact"/>
              <w:rPr>
                <w:sz w:val="20"/>
                <w:szCs w:val="20"/>
                <w:color w:val="auto"/>
              </w:rPr>
            </w:pPr>
            <w:r>
              <w:rPr>
                <w:rFonts w:ascii="Times New Roman" w:cs="Times New Roman" w:eastAsia="Times New Roman" w:hAnsi="Times New Roman"/>
                <w:sz w:val="15"/>
                <w:szCs w:val="15"/>
                <w:b w:val="1"/>
                <w:bCs w:val="1"/>
                <w:color w:val="auto"/>
              </w:rPr>
              <w:t>Earnings</w:t>
            </w:r>
          </w:p>
        </w:tc>
        <w:tc>
          <w:tcPr>
            <w:tcW w:w="780" w:type="dxa"/>
            <w:vAlign w:val="bottom"/>
            <w:gridSpan w:val="2"/>
          </w:tcPr>
          <w:p>
            <w:pPr>
              <w:jc w:val="right"/>
              <w:ind w:right="20"/>
              <w:spacing w:after="0" w:line="162" w:lineRule="exact"/>
              <w:rPr>
                <w:sz w:val="20"/>
                <w:szCs w:val="20"/>
                <w:color w:val="auto"/>
              </w:rPr>
            </w:pPr>
            <w:r>
              <w:rPr>
                <w:rFonts w:ascii="Times New Roman" w:cs="Times New Roman" w:eastAsia="Times New Roman" w:hAnsi="Times New Roman"/>
                <w:sz w:val="15"/>
                <w:szCs w:val="15"/>
                <w:b w:val="1"/>
                <w:bCs w:val="1"/>
                <w:color w:val="auto"/>
              </w:rPr>
              <w:t>Equity</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0" w:type="dxa"/>
            <w:vAlign w:val="bottom"/>
          </w:tcPr>
          <w:p>
            <w:pPr>
              <w:jc w:val="right"/>
              <w:ind w:right="25"/>
              <w:spacing w:after="0" w:line="162" w:lineRule="exact"/>
              <w:rPr>
                <w:sz w:val="20"/>
                <w:szCs w:val="20"/>
                <w:color w:val="auto"/>
              </w:rPr>
            </w:pPr>
            <w:r>
              <w:rPr>
                <w:rFonts w:ascii="Times New Roman" w:cs="Times New Roman" w:eastAsia="Times New Roman" w:hAnsi="Times New Roman"/>
                <w:sz w:val="15"/>
                <w:szCs w:val="15"/>
                <w:b w:val="1"/>
                <w:bCs w:val="1"/>
                <w:color w:val="auto"/>
              </w:rPr>
              <w:t>Reserve</w:t>
            </w:r>
          </w:p>
        </w:tc>
        <w:tc>
          <w:tcPr>
            <w:tcW w:w="1160" w:type="dxa"/>
            <w:vAlign w:val="bottom"/>
          </w:tcPr>
          <w:p>
            <w:pPr>
              <w:jc w:val="right"/>
              <w:ind w:right="165"/>
              <w:spacing w:after="0" w:line="162" w:lineRule="exact"/>
              <w:rPr>
                <w:sz w:val="20"/>
                <w:szCs w:val="20"/>
                <w:color w:val="auto"/>
              </w:rPr>
            </w:pPr>
            <w:r>
              <w:rPr>
                <w:rFonts w:ascii="Times New Roman" w:cs="Times New Roman" w:eastAsia="Times New Roman" w:hAnsi="Times New Roman"/>
                <w:sz w:val="15"/>
                <w:szCs w:val="15"/>
                <w:b w:val="1"/>
                <w:bCs w:val="1"/>
                <w:color w:val="auto"/>
              </w:rPr>
              <w:t>Reserve</w:t>
            </w:r>
          </w:p>
        </w:tc>
        <w:tc>
          <w:tcPr>
            <w:tcW w:w="10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60" w:type="dxa"/>
            <w:vAlign w:val="bottom"/>
          </w:tcPr>
          <w:p>
            <w:pPr>
              <w:jc w:val="right"/>
              <w:ind w:right="145"/>
              <w:spacing w:after="0"/>
              <w:rPr>
                <w:sz w:val="20"/>
                <w:szCs w:val="20"/>
                <w:color w:val="auto"/>
              </w:rPr>
            </w:pPr>
            <w:r>
              <w:rPr>
                <w:rFonts w:ascii="Times New Roman" w:cs="Times New Roman" w:eastAsia="Times New Roman" w:hAnsi="Times New Roman"/>
                <w:sz w:val="15"/>
                <w:szCs w:val="15"/>
                <w:b w:val="1"/>
                <w:bCs w:val="1"/>
                <w:color w:val="auto"/>
              </w:rPr>
              <w:t>$’000</w:t>
            </w:r>
          </w:p>
        </w:tc>
        <w:tc>
          <w:tcPr>
            <w:tcW w:w="940" w:type="dxa"/>
            <w:vAlign w:val="bottom"/>
          </w:tcPr>
          <w:p>
            <w:pPr>
              <w:jc w:val="right"/>
              <w:ind w:right="65"/>
              <w:spacing w:after="0"/>
              <w:rPr>
                <w:sz w:val="20"/>
                <w:szCs w:val="20"/>
                <w:color w:val="auto"/>
              </w:rPr>
            </w:pPr>
            <w:r>
              <w:rPr>
                <w:rFonts w:ascii="Times New Roman" w:cs="Times New Roman" w:eastAsia="Times New Roman" w:hAnsi="Times New Roman"/>
                <w:sz w:val="15"/>
                <w:szCs w:val="15"/>
                <w:b w:val="1"/>
                <w:bCs w:val="1"/>
                <w:color w:val="auto"/>
              </w:rPr>
              <w:t>$’000</w:t>
            </w:r>
          </w:p>
        </w:tc>
        <w:tc>
          <w:tcPr>
            <w:tcW w:w="1000" w:type="dxa"/>
            <w:vAlign w:val="bottom"/>
          </w:tcPr>
          <w:p>
            <w:pPr>
              <w:jc w:val="right"/>
              <w:ind w:right="25"/>
              <w:spacing w:after="0"/>
              <w:rPr>
                <w:sz w:val="20"/>
                <w:szCs w:val="20"/>
                <w:color w:val="auto"/>
              </w:rPr>
            </w:pPr>
            <w:r>
              <w:rPr>
                <w:rFonts w:ascii="Times New Roman" w:cs="Times New Roman" w:eastAsia="Times New Roman" w:hAnsi="Times New Roman"/>
                <w:sz w:val="15"/>
                <w:szCs w:val="15"/>
                <w:b w:val="1"/>
                <w:bCs w:val="1"/>
                <w:color w:val="auto"/>
              </w:rPr>
              <w:t>$’000</w:t>
            </w:r>
          </w:p>
        </w:tc>
        <w:tc>
          <w:tcPr>
            <w:tcW w:w="1160" w:type="dxa"/>
            <w:vAlign w:val="bottom"/>
          </w:tcPr>
          <w:p>
            <w:pPr>
              <w:jc w:val="right"/>
              <w:ind w:right="165"/>
              <w:spacing w:after="0"/>
              <w:rPr>
                <w:sz w:val="20"/>
                <w:szCs w:val="20"/>
                <w:color w:val="auto"/>
              </w:rPr>
            </w:pPr>
            <w:r>
              <w:rPr>
                <w:rFonts w:ascii="Times New Roman" w:cs="Times New Roman" w:eastAsia="Times New Roman" w:hAnsi="Times New Roman"/>
                <w:sz w:val="15"/>
                <w:szCs w:val="15"/>
                <w:b w:val="1"/>
                <w:bCs w:val="1"/>
                <w:color w:val="auto"/>
              </w:rPr>
              <w:t>$’000</w:t>
            </w:r>
          </w:p>
        </w:tc>
        <w:tc>
          <w:tcPr>
            <w:tcW w:w="1000" w:type="dxa"/>
            <w:vAlign w:val="bottom"/>
          </w:tcPr>
          <w:p>
            <w:pPr>
              <w:jc w:val="right"/>
              <w:ind w:right="145"/>
              <w:spacing w:after="0"/>
              <w:rPr>
                <w:sz w:val="20"/>
                <w:szCs w:val="20"/>
                <w:color w:val="auto"/>
              </w:rPr>
            </w:pPr>
            <w:r>
              <w:rPr>
                <w:rFonts w:ascii="Times New Roman" w:cs="Times New Roman" w:eastAsia="Times New Roman" w:hAnsi="Times New Roman"/>
                <w:sz w:val="15"/>
                <w:szCs w:val="15"/>
                <w:b w:val="1"/>
                <w:bCs w:val="1"/>
                <w:color w:val="auto"/>
              </w:rPr>
              <w:t>$’000</w:t>
            </w:r>
          </w:p>
        </w:tc>
        <w:tc>
          <w:tcPr>
            <w:tcW w:w="1040" w:type="dxa"/>
            <w:vAlign w:val="bottom"/>
          </w:tcPr>
          <w:p>
            <w:pPr>
              <w:jc w:val="right"/>
              <w:ind w:right="145"/>
              <w:spacing w:after="0"/>
              <w:rPr>
                <w:sz w:val="20"/>
                <w:szCs w:val="20"/>
                <w:color w:val="auto"/>
              </w:rPr>
            </w:pPr>
            <w:r>
              <w:rPr>
                <w:rFonts w:ascii="Times New Roman" w:cs="Times New Roman" w:eastAsia="Times New Roman" w:hAnsi="Times New Roman"/>
                <w:sz w:val="15"/>
                <w:szCs w:val="15"/>
                <w:b w:val="1"/>
                <w:bCs w:val="1"/>
                <w:color w:val="auto"/>
              </w:rPr>
              <w:t>$’000</w:t>
            </w:r>
          </w:p>
        </w:tc>
        <w:tc>
          <w:tcPr>
            <w:tcW w:w="1040" w:type="dxa"/>
            <w:vAlign w:val="bottom"/>
          </w:tcPr>
          <w:p>
            <w:pPr>
              <w:jc w:val="right"/>
              <w:ind w:right="165"/>
              <w:spacing w:after="0"/>
              <w:rPr>
                <w:sz w:val="20"/>
                <w:szCs w:val="20"/>
                <w:color w:val="auto"/>
              </w:rPr>
            </w:pPr>
            <w:r>
              <w:rPr>
                <w:rFonts w:ascii="Times New Roman" w:cs="Times New Roman" w:eastAsia="Times New Roman" w:hAnsi="Times New Roman"/>
                <w:sz w:val="15"/>
                <w:szCs w:val="15"/>
                <w:b w:val="1"/>
                <w:bCs w:val="1"/>
                <w:color w:val="auto"/>
              </w:rPr>
              <w:t>$’000</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b w:val="1"/>
                <w:bCs w:val="1"/>
                <w:color w:val="auto"/>
              </w:rPr>
              <w:t>$’000</w:t>
            </w:r>
          </w:p>
        </w:tc>
        <w:tc>
          <w:tcPr>
            <w:tcW w:w="0" w:type="dxa"/>
            <w:vAlign w:val="bottom"/>
          </w:tcPr>
          <w:p>
            <w:pPr>
              <w:spacing w:after="0"/>
              <w:rPr>
                <w:sz w:val="1"/>
                <w:szCs w:val="1"/>
                <w:color w:val="auto"/>
              </w:rPr>
            </w:pPr>
          </w:p>
        </w:tc>
      </w:tr>
      <w:tr>
        <w:trPr>
          <w:trHeight w:val="145"/>
        </w:trPr>
        <w:tc>
          <w:tcPr>
            <w:tcW w:w="20" w:type="dxa"/>
            <w:vAlign w:val="bottom"/>
            <w:vMerge w:val="restart"/>
          </w:tcPr>
          <w:p>
            <w:pPr>
              <w:spacing w:after="0"/>
              <w:rPr>
                <w:sz w:val="12"/>
                <w:szCs w:val="12"/>
                <w:color w:val="auto"/>
              </w:rPr>
            </w:pPr>
          </w:p>
        </w:tc>
        <w:tc>
          <w:tcPr>
            <w:tcW w:w="23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34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Balance at 1 January 2016</w:t>
            </w:r>
          </w:p>
        </w:tc>
        <w:tc>
          <w:tcPr>
            <w:tcW w:w="1160" w:type="dxa"/>
            <w:vAlign w:val="bottom"/>
            <w:shd w:val="clear" w:color="auto" w:fill="CCEEFF"/>
          </w:tcPr>
          <w:p>
            <w:pPr>
              <w:jc w:val="right"/>
              <w:ind w:right="205"/>
              <w:spacing w:after="0" w:line="162" w:lineRule="exact"/>
              <w:rPr>
                <w:sz w:val="20"/>
                <w:szCs w:val="20"/>
                <w:color w:val="auto"/>
              </w:rPr>
            </w:pPr>
            <w:r>
              <w:rPr>
                <w:rFonts w:ascii="Times New Roman" w:cs="Times New Roman" w:eastAsia="Times New Roman" w:hAnsi="Times New Roman"/>
                <w:sz w:val="15"/>
                <w:szCs w:val="15"/>
                <w:color w:val="auto"/>
              </w:rPr>
              <w:t>54,958,912</w:t>
            </w:r>
          </w:p>
        </w:tc>
        <w:tc>
          <w:tcPr>
            <w:tcW w:w="960" w:type="dxa"/>
            <w:vAlign w:val="bottom"/>
            <w:shd w:val="clear" w:color="auto" w:fill="CCEEFF"/>
          </w:tcPr>
          <w:p>
            <w:pPr>
              <w:jc w:val="right"/>
              <w:ind w:right="145"/>
              <w:spacing w:after="0" w:line="162" w:lineRule="exact"/>
              <w:rPr>
                <w:sz w:val="20"/>
                <w:szCs w:val="20"/>
                <w:color w:val="auto"/>
              </w:rPr>
            </w:pPr>
            <w:r>
              <w:rPr>
                <w:rFonts w:ascii="Times New Roman" w:cs="Times New Roman" w:eastAsia="Times New Roman" w:hAnsi="Times New Roman"/>
                <w:sz w:val="15"/>
                <w:szCs w:val="15"/>
                <w:color w:val="auto"/>
              </w:rPr>
              <w:t>4,679</w:t>
            </w:r>
          </w:p>
        </w:tc>
        <w:tc>
          <w:tcPr>
            <w:tcW w:w="940" w:type="dxa"/>
            <w:vAlign w:val="bottom"/>
            <w:shd w:val="clear" w:color="auto" w:fill="CCEEFF"/>
          </w:tcPr>
          <w:p>
            <w:pPr>
              <w:jc w:val="right"/>
              <w:ind w:right="65"/>
              <w:spacing w:after="0" w:line="162" w:lineRule="exact"/>
              <w:rPr>
                <w:sz w:val="20"/>
                <w:szCs w:val="20"/>
                <w:color w:val="auto"/>
              </w:rPr>
            </w:pPr>
            <w:r>
              <w:rPr>
                <w:rFonts w:ascii="Times New Roman" w:cs="Times New Roman" w:eastAsia="Times New Roman" w:hAnsi="Times New Roman"/>
                <w:sz w:val="15"/>
                <w:szCs w:val="15"/>
                <w:color w:val="auto"/>
              </w:rPr>
              <w:t>242,904</w:t>
            </w:r>
          </w:p>
        </w:tc>
        <w:tc>
          <w:tcPr>
            <w:tcW w:w="1000" w:type="dxa"/>
            <w:vAlign w:val="bottom"/>
            <w:shd w:val="clear" w:color="auto" w:fill="CCEEFF"/>
          </w:tcPr>
          <w:p>
            <w:pPr>
              <w:jc w:val="right"/>
              <w:ind w:right="25"/>
              <w:spacing w:after="0" w:line="162" w:lineRule="exact"/>
              <w:rPr>
                <w:sz w:val="20"/>
                <w:szCs w:val="20"/>
                <w:color w:val="auto"/>
              </w:rPr>
            </w:pPr>
            <w:r>
              <w:rPr>
                <w:rFonts w:ascii="Times New Roman" w:cs="Times New Roman" w:eastAsia="Times New Roman" w:hAnsi="Times New Roman"/>
                <w:sz w:val="15"/>
                <w:szCs w:val="15"/>
                <w:color w:val="auto"/>
              </w:rPr>
              <w:t>715</w:t>
            </w:r>
          </w:p>
        </w:tc>
        <w:tc>
          <w:tcPr>
            <w:tcW w:w="1160" w:type="dxa"/>
            <w:vAlign w:val="bottom"/>
            <w:shd w:val="clear" w:color="auto" w:fill="CCEEFF"/>
          </w:tcPr>
          <w:p>
            <w:pPr>
              <w:jc w:val="right"/>
              <w:ind w:right="165"/>
              <w:spacing w:after="0" w:line="162" w:lineRule="exact"/>
              <w:rPr>
                <w:sz w:val="20"/>
                <w:szCs w:val="20"/>
                <w:color w:val="auto"/>
              </w:rPr>
            </w:pPr>
            <w:r>
              <w:rPr>
                <w:rFonts w:ascii="Times New Roman" w:cs="Times New Roman" w:eastAsia="Times New Roman" w:hAnsi="Times New Roman"/>
                <w:sz w:val="15"/>
                <w:szCs w:val="15"/>
                <w:color w:val="auto"/>
              </w:rPr>
              <w:t>83,781</w:t>
            </w:r>
          </w:p>
        </w:tc>
        <w:tc>
          <w:tcPr>
            <w:tcW w:w="1000" w:type="dxa"/>
            <w:vAlign w:val="bottom"/>
            <w:shd w:val="clear" w:color="auto" w:fill="CCEEFF"/>
          </w:tcPr>
          <w:p>
            <w:pPr>
              <w:jc w:val="right"/>
              <w:ind w:right="145"/>
              <w:spacing w:after="0" w:line="162" w:lineRule="exact"/>
              <w:rPr>
                <w:sz w:val="20"/>
                <w:szCs w:val="20"/>
                <w:color w:val="auto"/>
              </w:rPr>
            </w:pPr>
            <w:r>
              <w:rPr>
                <w:rFonts w:ascii="Times New Roman" w:cs="Times New Roman" w:eastAsia="Times New Roman" w:hAnsi="Times New Roman"/>
                <w:sz w:val="15"/>
                <w:szCs w:val="15"/>
                <w:color w:val="auto"/>
              </w:rPr>
              <w:t>6,071</w:t>
            </w:r>
          </w:p>
        </w:tc>
        <w:tc>
          <w:tcPr>
            <w:tcW w:w="1040" w:type="dxa"/>
            <w:vAlign w:val="bottom"/>
            <w:shd w:val="clear" w:color="auto" w:fill="CCEEFF"/>
          </w:tcPr>
          <w:p>
            <w:pPr>
              <w:jc w:val="right"/>
              <w:ind w:right="145"/>
              <w:spacing w:after="0" w:line="162" w:lineRule="exact"/>
              <w:rPr>
                <w:sz w:val="20"/>
                <w:szCs w:val="20"/>
                <w:color w:val="auto"/>
              </w:rPr>
            </w:pPr>
            <w:r>
              <w:rPr>
                <w:rFonts w:ascii="Times New Roman" w:cs="Times New Roman" w:eastAsia="Times New Roman" w:hAnsi="Times New Roman"/>
                <w:sz w:val="15"/>
                <w:szCs w:val="15"/>
                <w:color w:val="auto"/>
              </w:rPr>
              <w:t>(116,069)</w:t>
            </w:r>
          </w:p>
        </w:tc>
        <w:tc>
          <w:tcPr>
            <w:tcW w:w="1040" w:type="dxa"/>
            <w:vAlign w:val="bottom"/>
            <w:shd w:val="clear" w:color="auto" w:fill="CCEEFF"/>
          </w:tcPr>
          <w:p>
            <w:pPr>
              <w:jc w:val="right"/>
              <w:ind w:right="165"/>
              <w:spacing w:after="0" w:line="162" w:lineRule="exact"/>
              <w:rPr>
                <w:sz w:val="20"/>
                <w:szCs w:val="20"/>
                <w:color w:val="auto"/>
              </w:rPr>
            </w:pPr>
            <w:r>
              <w:rPr>
                <w:rFonts w:ascii="Times New Roman" w:cs="Times New Roman" w:eastAsia="Times New Roman" w:hAnsi="Times New Roman"/>
                <w:sz w:val="15"/>
                <w:szCs w:val="15"/>
                <w:color w:val="auto"/>
              </w:rPr>
              <w:t>274,888</w:t>
            </w:r>
          </w:p>
        </w:tc>
        <w:tc>
          <w:tcPr>
            <w:tcW w:w="7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496,969</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2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0" w:type="dxa"/>
            <w:vAlign w:val="bottom"/>
            <w:vMerge w:val="continue"/>
          </w:tcPr>
          <w:p>
            <w:pPr>
              <w:spacing w:after="0"/>
              <w:rPr>
                <w:sz w:val="12"/>
                <w:szCs w:val="12"/>
                <w:color w:val="auto"/>
              </w:rPr>
            </w:pPr>
          </w:p>
        </w:tc>
        <w:tc>
          <w:tcPr>
            <w:tcW w:w="234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5"/>
                <w:szCs w:val="15"/>
                <w:b w:val="1"/>
                <w:bCs w:val="1"/>
                <w:color w:val="auto"/>
              </w:rPr>
              <w:t>Total comprehensive income for</w:t>
            </w:r>
          </w:p>
        </w:tc>
        <w:tc>
          <w:tcPr>
            <w:tcW w:w="11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the interim period</w:t>
            </w:r>
          </w:p>
        </w:tc>
        <w:tc>
          <w:tcPr>
            <w:tcW w:w="1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34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Profit for the interim period</w:t>
            </w:r>
          </w:p>
        </w:tc>
        <w:tc>
          <w:tcPr>
            <w:tcW w:w="1160" w:type="dxa"/>
            <w:vAlign w:val="bottom"/>
          </w:tcPr>
          <w:p>
            <w:pPr>
              <w:jc w:val="right"/>
              <w:ind w:right="205"/>
              <w:spacing w:after="0" w:line="162" w:lineRule="exact"/>
              <w:rPr>
                <w:sz w:val="20"/>
                <w:szCs w:val="20"/>
                <w:color w:val="auto"/>
              </w:rPr>
            </w:pPr>
            <w:r>
              <w:rPr>
                <w:rFonts w:ascii="Times New Roman" w:cs="Times New Roman" w:eastAsia="Times New Roman" w:hAnsi="Times New Roman"/>
                <w:sz w:val="15"/>
                <w:szCs w:val="15"/>
                <w:color w:val="auto"/>
              </w:rPr>
              <w:t>-</w:t>
            </w:r>
          </w:p>
        </w:tc>
        <w:tc>
          <w:tcPr>
            <w:tcW w:w="960" w:type="dxa"/>
            <w:vAlign w:val="bottom"/>
          </w:tcPr>
          <w:p>
            <w:pPr>
              <w:jc w:val="right"/>
              <w:ind w:right="145"/>
              <w:spacing w:after="0" w:line="162" w:lineRule="exact"/>
              <w:rPr>
                <w:sz w:val="20"/>
                <w:szCs w:val="20"/>
                <w:color w:val="auto"/>
              </w:rPr>
            </w:pPr>
            <w:r>
              <w:rPr>
                <w:rFonts w:ascii="Times New Roman" w:cs="Times New Roman" w:eastAsia="Times New Roman" w:hAnsi="Times New Roman"/>
                <w:sz w:val="15"/>
                <w:szCs w:val="15"/>
                <w:color w:val="auto"/>
              </w:rPr>
              <w:t>-</w:t>
            </w:r>
          </w:p>
        </w:tc>
        <w:tc>
          <w:tcPr>
            <w:tcW w:w="940" w:type="dxa"/>
            <w:vAlign w:val="bottom"/>
          </w:tcPr>
          <w:p>
            <w:pPr>
              <w:jc w:val="right"/>
              <w:ind w:right="65"/>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0" w:type="dxa"/>
            <w:vAlign w:val="bottom"/>
          </w:tcPr>
          <w:p>
            <w:pPr>
              <w:jc w:val="right"/>
              <w:ind w:right="25"/>
              <w:spacing w:after="0" w:line="162" w:lineRule="exact"/>
              <w:rPr>
                <w:sz w:val="20"/>
                <w:szCs w:val="20"/>
                <w:color w:val="auto"/>
              </w:rPr>
            </w:pPr>
            <w:r>
              <w:rPr>
                <w:rFonts w:ascii="Times New Roman" w:cs="Times New Roman" w:eastAsia="Times New Roman" w:hAnsi="Times New Roman"/>
                <w:sz w:val="15"/>
                <w:szCs w:val="15"/>
                <w:color w:val="auto"/>
              </w:rPr>
              <w:t>-</w:t>
            </w:r>
          </w:p>
        </w:tc>
        <w:tc>
          <w:tcPr>
            <w:tcW w:w="1160" w:type="dxa"/>
            <w:vAlign w:val="bottom"/>
          </w:tcPr>
          <w:p>
            <w:pPr>
              <w:jc w:val="right"/>
              <w:ind w:right="165"/>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0" w:type="dxa"/>
            <w:vAlign w:val="bottom"/>
          </w:tcPr>
          <w:p>
            <w:pPr>
              <w:jc w:val="right"/>
              <w:ind w:right="145"/>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jc w:val="right"/>
              <w:ind w:right="145"/>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jc w:val="right"/>
              <w:ind w:right="165"/>
              <w:spacing w:after="0" w:line="162" w:lineRule="exact"/>
              <w:rPr>
                <w:sz w:val="20"/>
                <w:szCs w:val="20"/>
                <w:color w:val="auto"/>
              </w:rPr>
            </w:pPr>
            <w:r>
              <w:rPr>
                <w:rFonts w:ascii="Times New Roman" w:cs="Times New Roman" w:eastAsia="Times New Roman" w:hAnsi="Times New Roman"/>
                <w:sz w:val="15"/>
                <w:szCs w:val="15"/>
                <w:color w:val="auto"/>
              </w:rPr>
              <w:t>240,231</w:t>
            </w:r>
          </w:p>
        </w:tc>
        <w:tc>
          <w:tcPr>
            <w:tcW w:w="7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240,231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34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b w:val="1"/>
                <w:bCs w:val="1"/>
                <w:color w:val="auto"/>
              </w:rPr>
              <w:t>Other comprehensive income</w:t>
            </w:r>
          </w:p>
        </w:tc>
        <w:tc>
          <w:tcPr>
            <w:tcW w:w="1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tcPr>
          <w:p>
            <w:pPr>
              <w:spacing w:after="0" w:line="162" w:lineRule="exact"/>
              <w:rPr>
                <w:sz w:val="20"/>
                <w:szCs w:val="20"/>
                <w:color w:val="auto"/>
              </w:rPr>
            </w:pPr>
            <w:r>
              <w:rPr>
                <w:rFonts w:ascii="Times New Roman" w:cs="Times New Roman" w:eastAsia="Times New Roman" w:hAnsi="Times New Roman"/>
                <w:sz w:val="15"/>
                <w:szCs w:val="15"/>
                <w:color w:val="auto"/>
              </w:rPr>
              <w:t>Foreign currency translation</w:t>
            </w:r>
          </w:p>
        </w:tc>
        <w:tc>
          <w:tcPr>
            <w:tcW w:w="1160" w:type="dxa"/>
            <w:vAlign w:val="bottom"/>
            <w:tcBorders>
              <w:bottom w:val="single" w:sz="8" w:color="auto"/>
            </w:tcBorders>
          </w:tcPr>
          <w:p>
            <w:pPr>
              <w:jc w:val="right"/>
              <w:ind w:right="205"/>
              <w:spacing w:after="0" w:line="162" w:lineRule="exact"/>
              <w:rPr>
                <w:sz w:val="20"/>
                <w:szCs w:val="20"/>
                <w:color w:val="auto"/>
              </w:rPr>
            </w:pPr>
            <w:r>
              <w:rPr>
                <w:rFonts w:ascii="Times New Roman" w:cs="Times New Roman" w:eastAsia="Times New Roman" w:hAnsi="Times New Roman"/>
                <w:sz w:val="15"/>
                <w:szCs w:val="15"/>
                <w:color w:val="auto"/>
              </w:rPr>
              <w:t>-</w:t>
            </w:r>
          </w:p>
        </w:tc>
        <w:tc>
          <w:tcPr>
            <w:tcW w:w="960" w:type="dxa"/>
            <w:vAlign w:val="bottom"/>
            <w:tcBorders>
              <w:bottom w:val="single" w:sz="8" w:color="auto"/>
            </w:tcBorders>
          </w:tcPr>
          <w:p>
            <w:pPr>
              <w:jc w:val="right"/>
              <w:ind w:right="145"/>
              <w:spacing w:after="0" w:line="162" w:lineRule="exact"/>
              <w:rPr>
                <w:sz w:val="20"/>
                <w:szCs w:val="20"/>
                <w:color w:val="auto"/>
              </w:rPr>
            </w:pPr>
            <w:r>
              <w:rPr>
                <w:rFonts w:ascii="Times New Roman" w:cs="Times New Roman" w:eastAsia="Times New Roman" w:hAnsi="Times New Roman"/>
                <w:sz w:val="15"/>
                <w:szCs w:val="15"/>
                <w:color w:val="auto"/>
              </w:rPr>
              <w:t>-</w:t>
            </w:r>
          </w:p>
        </w:tc>
        <w:tc>
          <w:tcPr>
            <w:tcW w:w="940" w:type="dxa"/>
            <w:vAlign w:val="bottom"/>
            <w:tcBorders>
              <w:bottom w:val="single" w:sz="8" w:color="auto"/>
            </w:tcBorders>
          </w:tcPr>
          <w:p>
            <w:pPr>
              <w:jc w:val="right"/>
              <w:ind w:right="65"/>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bottom w:val="single" w:sz="8" w:color="auto"/>
            </w:tcBorders>
          </w:tcPr>
          <w:p>
            <w:pPr>
              <w:jc w:val="right"/>
              <w:ind w:right="25"/>
              <w:spacing w:after="0" w:line="162" w:lineRule="exact"/>
              <w:rPr>
                <w:sz w:val="20"/>
                <w:szCs w:val="20"/>
                <w:color w:val="auto"/>
              </w:rPr>
            </w:pPr>
            <w:r>
              <w:rPr>
                <w:rFonts w:ascii="Times New Roman" w:cs="Times New Roman" w:eastAsia="Times New Roman" w:hAnsi="Times New Roman"/>
                <w:sz w:val="15"/>
                <w:szCs w:val="15"/>
                <w:color w:val="auto"/>
              </w:rPr>
              <w:t>-</w:t>
            </w:r>
          </w:p>
        </w:tc>
        <w:tc>
          <w:tcPr>
            <w:tcW w:w="1160" w:type="dxa"/>
            <w:vAlign w:val="bottom"/>
            <w:tcBorders>
              <w:bottom w:val="single" w:sz="8" w:color="auto"/>
            </w:tcBorders>
          </w:tcPr>
          <w:p>
            <w:pPr>
              <w:jc w:val="right"/>
              <w:ind w:right="165"/>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bottom w:val="single" w:sz="8" w:color="auto"/>
            </w:tcBorders>
          </w:tcPr>
          <w:p>
            <w:pPr>
              <w:jc w:val="right"/>
              <w:ind w:right="145"/>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40" w:type="dxa"/>
            <w:vAlign w:val="bottom"/>
            <w:tcBorders>
              <w:bottom w:val="single" w:sz="8" w:color="auto"/>
            </w:tcBorders>
          </w:tcPr>
          <w:p>
            <w:pPr>
              <w:jc w:val="right"/>
              <w:ind w:right="145"/>
              <w:spacing w:after="0" w:line="162" w:lineRule="exact"/>
              <w:rPr>
                <w:sz w:val="20"/>
                <w:szCs w:val="20"/>
                <w:color w:val="auto"/>
              </w:rPr>
            </w:pPr>
            <w:r>
              <w:rPr>
                <w:rFonts w:ascii="Times New Roman" w:cs="Times New Roman" w:eastAsia="Times New Roman" w:hAnsi="Times New Roman"/>
                <w:sz w:val="15"/>
                <w:szCs w:val="15"/>
                <w:color w:val="auto"/>
              </w:rPr>
              <w:t>2,049</w:t>
            </w:r>
          </w:p>
        </w:tc>
        <w:tc>
          <w:tcPr>
            <w:tcW w:w="1040" w:type="dxa"/>
            <w:vAlign w:val="bottom"/>
            <w:tcBorders>
              <w:bottom w:val="single" w:sz="8" w:color="auto"/>
            </w:tcBorders>
          </w:tcPr>
          <w:p>
            <w:pPr>
              <w:jc w:val="right"/>
              <w:ind w:right="165"/>
              <w:spacing w:after="0" w:line="162" w:lineRule="exact"/>
              <w:rPr>
                <w:sz w:val="20"/>
                <w:szCs w:val="20"/>
                <w:color w:val="auto"/>
              </w:rPr>
            </w:pPr>
            <w:r>
              <w:rPr>
                <w:rFonts w:ascii="Times New Roman" w:cs="Times New Roman" w:eastAsia="Times New Roman" w:hAnsi="Times New Roman"/>
                <w:sz w:val="15"/>
                <w:szCs w:val="15"/>
                <w:color w:val="auto"/>
              </w:rPr>
              <w:t>-</w:t>
            </w:r>
          </w:p>
        </w:tc>
        <w:tc>
          <w:tcPr>
            <w:tcW w:w="76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2,049</w:t>
            </w: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23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Borders>
              <w:bottom w:val="single" w:sz="8" w:color="auto"/>
            </w:tcBorders>
            <w:vMerge w:val="continue"/>
          </w:tcPr>
          <w:p>
            <w:pPr>
              <w:spacing w:after="0"/>
              <w:rPr>
                <w:sz w:val="14"/>
                <w:szCs w:val="14"/>
                <w:color w:val="auto"/>
              </w:rPr>
            </w:pPr>
          </w:p>
        </w:tc>
        <w:tc>
          <w:tcPr>
            <w:tcW w:w="2340" w:type="dxa"/>
            <w:vAlign w:val="bottom"/>
            <w:tcBorders>
              <w:bottom w:val="single" w:sz="8" w:color="auto"/>
            </w:tcBorders>
          </w:tcPr>
          <w:p>
            <w:pPr>
              <w:spacing w:after="0" w:line="162" w:lineRule="exact"/>
              <w:rPr>
                <w:sz w:val="20"/>
                <w:szCs w:val="20"/>
                <w:color w:val="auto"/>
              </w:rPr>
            </w:pPr>
            <w:r>
              <w:rPr>
                <w:rFonts w:ascii="Times New Roman" w:cs="Times New Roman" w:eastAsia="Times New Roman" w:hAnsi="Times New Roman"/>
                <w:sz w:val="15"/>
                <w:szCs w:val="15"/>
                <w:color w:val="auto"/>
              </w:rPr>
              <w:t>Total other comprehensive income</w:t>
            </w:r>
          </w:p>
        </w:tc>
        <w:tc>
          <w:tcPr>
            <w:tcW w:w="1160" w:type="dxa"/>
            <w:vAlign w:val="bottom"/>
            <w:tcBorders>
              <w:bottom w:val="single" w:sz="8" w:color="auto"/>
            </w:tcBorders>
          </w:tcPr>
          <w:p>
            <w:pPr>
              <w:jc w:val="right"/>
              <w:ind w:right="205"/>
              <w:spacing w:after="0" w:line="162" w:lineRule="exact"/>
              <w:rPr>
                <w:sz w:val="20"/>
                <w:szCs w:val="20"/>
                <w:color w:val="auto"/>
              </w:rPr>
            </w:pPr>
            <w:r>
              <w:rPr>
                <w:rFonts w:ascii="Times New Roman" w:cs="Times New Roman" w:eastAsia="Times New Roman" w:hAnsi="Times New Roman"/>
                <w:sz w:val="15"/>
                <w:szCs w:val="15"/>
                <w:color w:val="auto"/>
              </w:rPr>
              <w:t>-</w:t>
            </w:r>
          </w:p>
        </w:tc>
        <w:tc>
          <w:tcPr>
            <w:tcW w:w="960" w:type="dxa"/>
            <w:vAlign w:val="bottom"/>
            <w:tcBorders>
              <w:bottom w:val="single" w:sz="8" w:color="auto"/>
            </w:tcBorders>
          </w:tcPr>
          <w:p>
            <w:pPr>
              <w:jc w:val="right"/>
              <w:ind w:right="145"/>
              <w:spacing w:after="0" w:line="162" w:lineRule="exact"/>
              <w:rPr>
                <w:sz w:val="20"/>
                <w:szCs w:val="20"/>
                <w:color w:val="auto"/>
              </w:rPr>
            </w:pPr>
            <w:r>
              <w:rPr>
                <w:rFonts w:ascii="Times New Roman" w:cs="Times New Roman" w:eastAsia="Times New Roman" w:hAnsi="Times New Roman"/>
                <w:sz w:val="15"/>
                <w:szCs w:val="15"/>
                <w:color w:val="auto"/>
              </w:rPr>
              <w:t>-</w:t>
            </w:r>
          </w:p>
        </w:tc>
        <w:tc>
          <w:tcPr>
            <w:tcW w:w="940" w:type="dxa"/>
            <w:vAlign w:val="bottom"/>
            <w:tcBorders>
              <w:bottom w:val="single" w:sz="8" w:color="auto"/>
            </w:tcBorders>
          </w:tcPr>
          <w:p>
            <w:pPr>
              <w:jc w:val="right"/>
              <w:ind w:right="65"/>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bottom w:val="single" w:sz="8" w:color="auto"/>
            </w:tcBorders>
          </w:tcPr>
          <w:p>
            <w:pPr>
              <w:jc w:val="right"/>
              <w:ind w:right="25"/>
              <w:spacing w:after="0" w:line="162" w:lineRule="exact"/>
              <w:rPr>
                <w:sz w:val="20"/>
                <w:szCs w:val="20"/>
                <w:color w:val="auto"/>
              </w:rPr>
            </w:pPr>
            <w:r>
              <w:rPr>
                <w:rFonts w:ascii="Times New Roman" w:cs="Times New Roman" w:eastAsia="Times New Roman" w:hAnsi="Times New Roman"/>
                <w:sz w:val="15"/>
                <w:szCs w:val="15"/>
                <w:color w:val="auto"/>
              </w:rPr>
              <w:t>-</w:t>
            </w:r>
          </w:p>
        </w:tc>
        <w:tc>
          <w:tcPr>
            <w:tcW w:w="1160" w:type="dxa"/>
            <w:vAlign w:val="bottom"/>
            <w:tcBorders>
              <w:bottom w:val="single" w:sz="8" w:color="auto"/>
            </w:tcBorders>
          </w:tcPr>
          <w:p>
            <w:pPr>
              <w:jc w:val="right"/>
              <w:ind w:right="165"/>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bottom w:val="single" w:sz="8" w:color="auto"/>
            </w:tcBorders>
          </w:tcPr>
          <w:p>
            <w:pPr>
              <w:jc w:val="right"/>
              <w:ind w:right="145"/>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40" w:type="dxa"/>
            <w:vAlign w:val="bottom"/>
            <w:tcBorders>
              <w:bottom w:val="single" w:sz="8" w:color="auto"/>
            </w:tcBorders>
          </w:tcPr>
          <w:p>
            <w:pPr>
              <w:jc w:val="right"/>
              <w:ind w:right="145"/>
              <w:spacing w:after="0" w:line="162" w:lineRule="exact"/>
              <w:rPr>
                <w:sz w:val="20"/>
                <w:szCs w:val="20"/>
                <w:color w:val="auto"/>
              </w:rPr>
            </w:pPr>
            <w:r>
              <w:rPr>
                <w:rFonts w:ascii="Times New Roman" w:cs="Times New Roman" w:eastAsia="Times New Roman" w:hAnsi="Times New Roman"/>
                <w:sz w:val="15"/>
                <w:szCs w:val="15"/>
                <w:color w:val="auto"/>
              </w:rPr>
              <w:t>2,049</w:t>
            </w:r>
          </w:p>
        </w:tc>
        <w:tc>
          <w:tcPr>
            <w:tcW w:w="1040" w:type="dxa"/>
            <w:vAlign w:val="bottom"/>
            <w:tcBorders>
              <w:bottom w:val="single" w:sz="8" w:color="auto"/>
            </w:tcBorders>
          </w:tcPr>
          <w:p>
            <w:pPr>
              <w:jc w:val="right"/>
              <w:ind w:right="165"/>
              <w:spacing w:after="0" w:line="162" w:lineRule="exact"/>
              <w:rPr>
                <w:sz w:val="20"/>
                <w:szCs w:val="20"/>
                <w:color w:val="auto"/>
              </w:rPr>
            </w:pPr>
            <w:r>
              <w:rPr>
                <w:rFonts w:ascii="Times New Roman" w:cs="Times New Roman" w:eastAsia="Times New Roman" w:hAnsi="Times New Roman"/>
                <w:sz w:val="15"/>
                <w:szCs w:val="15"/>
                <w:color w:val="auto"/>
              </w:rPr>
              <w:t>-</w:t>
            </w:r>
          </w:p>
        </w:tc>
        <w:tc>
          <w:tcPr>
            <w:tcW w:w="76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2,049</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23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20" w:type="dxa"/>
            <w:vAlign w:val="bottom"/>
            <w:vMerge w:val="continue"/>
          </w:tcPr>
          <w:p>
            <w:pPr>
              <w:spacing w:after="0"/>
              <w:rPr>
                <w:sz w:val="12"/>
                <w:szCs w:val="12"/>
                <w:color w:val="auto"/>
              </w:rPr>
            </w:pPr>
          </w:p>
        </w:tc>
        <w:tc>
          <w:tcPr>
            <w:tcW w:w="2340" w:type="dxa"/>
            <w:vAlign w:val="bottom"/>
          </w:tcPr>
          <w:p>
            <w:pPr>
              <w:spacing w:after="0" w:line="148" w:lineRule="exact"/>
              <w:rPr>
                <w:sz w:val="20"/>
                <w:szCs w:val="20"/>
                <w:color w:val="auto"/>
              </w:rPr>
            </w:pPr>
            <w:r>
              <w:rPr>
                <w:rFonts w:ascii="Times New Roman" w:cs="Times New Roman" w:eastAsia="Times New Roman" w:hAnsi="Times New Roman"/>
                <w:sz w:val="15"/>
                <w:szCs w:val="15"/>
                <w:color w:val="auto"/>
              </w:rPr>
              <w:t>Total comprehensive income for</w:t>
            </w:r>
          </w:p>
        </w:tc>
        <w:tc>
          <w:tcPr>
            <w:tcW w:w="1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3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the year</w:t>
            </w:r>
          </w:p>
        </w:tc>
        <w:tc>
          <w:tcPr>
            <w:tcW w:w="1160" w:type="dxa"/>
            <w:vAlign w:val="bottom"/>
          </w:tcPr>
          <w:p>
            <w:pPr>
              <w:jc w:val="right"/>
              <w:ind w:right="205"/>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tcPr>
          <w:p>
            <w:pPr>
              <w:jc w:val="right"/>
              <w:ind w:right="145"/>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Pr>
          <w:p>
            <w:pPr>
              <w:jc w:val="right"/>
              <w:ind w:right="65"/>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tcPr>
          <w:p>
            <w:pPr>
              <w:jc w:val="right"/>
              <w:ind w:right="165"/>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Pr>
          <w:p>
            <w:pPr>
              <w:jc w:val="right"/>
              <w:ind w:right="145"/>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jc w:val="right"/>
              <w:ind w:right="145"/>
              <w:spacing w:after="0"/>
              <w:rPr>
                <w:sz w:val="20"/>
                <w:szCs w:val="20"/>
                <w:color w:val="auto"/>
              </w:rPr>
            </w:pPr>
            <w:r>
              <w:rPr>
                <w:rFonts w:ascii="Times New Roman" w:cs="Times New Roman" w:eastAsia="Times New Roman" w:hAnsi="Times New Roman"/>
                <w:sz w:val="15"/>
                <w:szCs w:val="15"/>
                <w:color w:val="auto"/>
              </w:rPr>
              <w:t>2,049</w:t>
            </w:r>
          </w:p>
        </w:tc>
        <w:tc>
          <w:tcPr>
            <w:tcW w:w="1040" w:type="dxa"/>
            <w:vAlign w:val="bottom"/>
          </w:tcPr>
          <w:p>
            <w:pPr>
              <w:jc w:val="right"/>
              <w:ind w:right="165"/>
              <w:spacing w:after="0"/>
              <w:rPr>
                <w:sz w:val="20"/>
                <w:szCs w:val="20"/>
                <w:color w:val="auto"/>
              </w:rPr>
            </w:pPr>
            <w:r>
              <w:rPr>
                <w:rFonts w:ascii="Times New Roman" w:cs="Times New Roman" w:eastAsia="Times New Roman" w:hAnsi="Times New Roman"/>
                <w:sz w:val="15"/>
                <w:szCs w:val="15"/>
                <w:color w:val="auto"/>
              </w:rPr>
              <w:t>240,231</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242,280</w:t>
            </w:r>
          </w:p>
        </w:tc>
        <w:tc>
          <w:tcPr>
            <w:tcW w:w="0" w:type="dxa"/>
            <w:vAlign w:val="bottom"/>
          </w:tcPr>
          <w:p>
            <w:pPr>
              <w:spacing w:after="0"/>
              <w:rPr>
                <w:sz w:val="1"/>
                <w:szCs w:val="1"/>
                <w:color w:val="auto"/>
              </w:rPr>
            </w:pPr>
          </w:p>
        </w:tc>
      </w:tr>
      <w:tr>
        <w:trPr>
          <w:trHeight w:val="162"/>
        </w:trPr>
        <w:tc>
          <w:tcPr>
            <w:tcW w:w="20" w:type="dxa"/>
            <w:vAlign w:val="bottom"/>
            <w:tcBorders>
              <w:top w:val="single" w:sz="8" w:color="auto"/>
            </w:tcBorders>
            <w:vMerge w:val="restart"/>
          </w:tcPr>
          <w:p>
            <w:pPr>
              <w:spacing w:after="0"/>
              <w:rPr>
                <w:sz w:val="14"/>
                <w:szCs w:val="14"/>
                <w:color w:val="auto"/>
              </w:rPr>
            </w:pPr>
          </w:p>
        </w:tc>
        <w:tc>
          <w:tcPr>
            <w:tcW w:w="2340" w:type="dxa"/>
            <w:vAlign w:val="bottom"/>
            <w:tcBorders>
              <w:top w:val="single" w:sz="8" w:color="auto"/>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0" w:type="dxa"/>
            <w:vAlign w:val="bottom"/>
            <w:vMerge w:val="continue"/>
          </w:tcPr>
          <w:p>
            <w:pPr>
              <w:spacing w:after="0"/>
              <w:rPr>
                <w:sz w:val="12"/>
                <w:szCs w:val="12"/>
                <w:color w:val="auto"/>
              </w:rPr>
            </w:pPr>
          </w:p>
        </w:tc>
        <w:tc>
          <w:tcPr>
            <w:tcW w:w="2340" w:type="dxa"/>
            <w:vAlign w:val="bottom"/>
          </w:tcPr>
          <w:p>
            <w:pPr>
              <w:spacing w:after="0" w:line="144" w:lineRule="exact"/>
              <w:rPr>
                <w:sz w:val="20"/>
                <w:szCs w:val="20"/>
                <w:color w:val="auto"/>
              </w:rPr>
            </w:pPr>
            <w:r>
              <w:rPr>
                <w:rFonts w:ascii="Times New Roman" w:cs="Times New Roman" w:eastAsia="Times New Roman" w:hAnsi="Times New Roman"/>
                <w:sz w:val="15"/>
                <w:szCs w:val="15"/>
                <w:b w:val="1"/>
                <w:bCs w:val="1"/>
                <w:color w:val="auto"/>
              </w:rPr>
              <w:t>Transactions with owners,</w:t>
            </w:r>
          </w:p>
        </w:tc>
        <w:tc>
          <w:tcPr>
            <w:tcW w:w="1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36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recorded directly in equity</w:t>
            </w:r>
          </w:p>
        </w:tc>
        <w:tc>
          <w:tcPr>
            <w:tcW w:w="1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34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Exercise of share options</w:t>
            </w:r>
          </w:p>
        </w:tc>
        <w:tc>
          <w:tcPr>
            <w:tcW w:w="1160" w:type="dxa"/>
            <w:vAlign w:val="bottom"/>
            <w:shd w:val="clear" w:color="auto" w:fill="CCEEFF"/>
          </w:tcPr>
          <w:p>
            <w:pPr>
              <w:jc w:val="right"/>
              <w:ind w:right="205"/>
              <w:spacing w:after="0" w:line="162" w:lineRule="exact"/>
              <w:rPr>
                <w:sz w:val="20"/>
                <w:szCs w:val="20"/>
                <w:color w:val="auto"/>
              </w:rPr>
            </w:pPr>
            <w:r>
              <w:rPr>
                <w:rFonts w:ascii="Times New Roman" w:cs="Times New Roman" w:eastAsia="Times New Roman" w:hAnsi="Times New Roman"/>
                <w:sz w:val="15"/>
                <w:szCs w:val="15"/>
                <w:color w:val="auto"/>
              </w:rPr>
              <w:t>308,203</w:t>
            </w:r>
          </w:p>
        </w:tc>
        <w:tc>
          <w:tcPr>
            <w:tcW w:w="960" w:type="dxa"/>
            <w:vAlign w:val="bottom"/>
            <w:shd w:val="clear" w:color="auto" w:fill="CCEEFF"/>
          </w:tcPr>
          <w:p>
            <w:pPr>
              <w:jc w:val="right"/>
              <w:ind w:right="145"/>
              <w:spacing w:after="0" w:line="162" w:lineRule="exact"/>
              <w:rPr>
                <w:sz w:val="20"/>
                <w:szCs w:val="20"/>
                <w:color w:val="auto"/>
              </w:rPr>
            </w:pPr>
            <w:r>
              <w:rPr>
                <w:rFonts w:ascii="Times New Roman" w:cs="Times New Roman" w:eastAsia="Times New Roman" w:hAnsi="Times New Roman"/>
                <w:sz w:val="15"/>
                <w:szCs w:val="15"/>
                <w:color w:val="auto"/>
              </w:rPr>
              <w:t>21</w:t>
            </w:r>
          </w:p>
        </w:tc>
        <w:tc>
          <w:tcPr>
            <w:tcW w:w="940" w:type="dxa"/>
            <w:vAlign w:val="bottom"/>
            <w:shd w:val="clear" w:color="auto" w:fill="CCEEFF"/>
          </w:tcPr>
          <w:p>
            <w:pPr>
              <w:jc w:val="right"/>
              <w:ind w:right="65"/>
              <w:spacing w:after="0" w:line="162" w:lineRule="exact"/>
              <w:rPr>
                <w:sz w:val="20"/>
                <w:szCs w:val="20"/>
                <w:color w:val="auto"/>
              </w:rPr>
            </w:pPr>
            <w:r>
              <w:rPr>
                <w:rFonts w:ascii="Times New Roman" w:cs="Times New Roman" w:eastAsia="Times New Roman" w:hAnsi="Times New Roman"/>
                <w:sz w:val="15"/>
                <w:szCs w:val="15"/>
                <w:color w:val="auto"/>
              </w:rPr>
              <w:t>8,216</w:t>
            </w:r>
          </w:p>
        </w:tc>
        <w:tc>
          <w:tcPr>
            <w:tcW w:w="1000" w:type="dxa"/>
            <w:vAlign w:val="bottom"/>
            <w:shd w:val="clear" w:color="auto" w:fill="CCEEFF"/>
          </w:tcPr>
          <w:p>
            <w:pPr>
              <w:jc w:val="right"/>
              <w:ind w:right="25"/>
              <w:spacing w:after="0" w:line="162" w:lineRule="exact"/>
              <w:rPr>
                <w:sz w:val="20"/>
                <w:szCs w:val="20"/>
                <w:color w:val="auto"/>
              </w:rPr>
            </w:pPr>
            <w:r>
              <w:rPr>
                <w:rFonts w:ascii="Times New Roman" w:cs="Times New Roman" w:eastAsia="Times New Roman" w:hAnsi="Times New Roman"/>
                <w:sz w:val="15"/>
                <w:szCs w:val="15"/>
                <w:color w:val="auto"/>
              </w:rPr>
              <w:t>-</w:t>
            </w:r>
          </w:p>
        </w:tc>
        <w:tc>
          <w:tcPr>
            <w:tcW w:w="1160" w:type="dxa"/>
            <w:vAlign w:val="bottom"/>
            <w:shd w:val="clear" w:color="auto" w:fill="CCEEFF"/>
          </w:tcPr>
          <w:p>
            <w:pPr>
              <w:jc w:val="right"/>
              <w:ind w:right="165"/>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ind w:right="145"/>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CEEFF"/>
          </w:tcPr>
          <w:p>
            <w:pPr>
              <w:jc w:val="right"/>
              <w:ind w:right="145"/>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CEEFF"/>
          </w:tcPr>
          <w:p>
            <w:pPr>
              <w:jc w:val="right"/>
              <w:ind w:right="165"/>
              <w:spacing w:after="0" w:line="162" w:lineRule="exact"/>
              <w:rPr>
                <w:sz w:val="20"/>
                <w:szCs w:val="20"/>
                <w:color w:val="auto"/>
              </w:rPr>
            </w:pPr>
            <w:r>
              <w:rPr>
                <w:rFonts w:ascii="Times New Roman" w:cs="Times New Roman" w:eastAsia="Times New Roman" w:hAnsi="Times New Roman"/>
                <w:sz w:val="15"/>
                <w:szCs w:val="15"/>
                <w:color w:val="auto"/>
              </w:rPr>
              <w:t>-</w:t>
            </w:r>
          </w:p>
        </w:tc>
        <w:tc>
          <w:tcPr>
            <w:tcW w:w="7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8,237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34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Share-based payment</w:t>
            </w:r>
          </w:p>
        </w:tc>
        <w:tc>
          <w:tcPr>
            <w:tcW w:w="1160" w:type="dxa"/>
            <w:vAlign w:val="bottom"/>
          </w:tcPr>
          <w:p>
            <w:pPr>
              <w:jc w:val="right"/>
              <w:ind w:right="205"/>
              <w:spacing w:after="0" w:line="162" w:lineRule="exact"/>
              <w:rPr>
                <w:sz w:val="20"/>
                <w:szCs w:val="20"/>
                <w:color w:val="auto"/>
              </w:rPr>
            </w:pPr>
            <w:r>
              <w:rPr>
                <w:rFonts w:ascii="Times New Roman" w:cs="Times New Roman" w:eastAsia="Times New Roman" w:hAnsi="Times New Roman"/>
                <w:sz w:val="15"/>
                <w:szCs w:val="15"/>
                <w:color w:val="auto"/>
              </w:rPr>
              <w:t>-</w:t>
            </w:r>
          </w:p>
        </w:tc>
        <w:tc>
          <w:tcPr>
            <w:tcW w:w="960" w:type="dxa"/>
            <w:vAlign w:val="bottom"/>
          </w:tcPr>
          <w:p>
            <w:pPr>
              <w:jc w:val="right"/>
              <w:ind w:right="145"/>
              <w:spacing w:after="0" w:line="162" w:lineRule="exact"/>
              <w:rPr>
                <w:sz w:val="20"/>
                <w:szCs w:val="20"/>
                <w:color w:val="auto"/>
              </w:rPr>
            </w:pPr>
            <w:r>
              <w:rPr>
                <w:rFonts w:ascii="Times New Roman" w:cs="Times New Roman" w:eastAsia="Times New Roman" w:hAnsi="Times New Roman"/>
                <w:sz w:val="15"/>
                <w:szCs w:val="15"/>
                <w:color w:val="auto"/>
              </w:rPr>
              <w:t>-</w:t>
            </w:r>
          </w:p>
        </w:tc>
        <w:tc>
          <w:tcPr>
            <w:tcW w:w="940" w:type="dxa"/>
            <w:vAlign w:val="bottom"/>
          </w:tcPr>
          <w:p>
            <w:pPr>
              <w:jc w:val="right"/>
              <w:ind w:right="65"/>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0" w:type="dxa"/>
            <w:vAlign w:val="bottom"/>
          </w:tcPr>
          <w:p>
            <w:pPr>
              <w:jc w:val="right"/>
              <w:ind w:right="25"/>
              <w:spacing w:after="0" w:line="162" w:lineRule="exact"/>
              <w:rPr>
                <w:sz w:val="20"/>
                <w:szCs w:val="20"/>
                <w:color w:val="auto"/>
              </w:rPr>
            </w:pPr>
            <w:r>
              <w:rPr>
                <w:rFonts w:ascii="Times New Roman" w:cs="Times New Roman" w:eastAsia="Times New Roman" w:hAnsi="Times New Roman"/>
                <w:sz w:val="15"/>
                <w:szCs w:val="15"/>
                <w:color w:val="auto"/>
              </w:rPr>
              <w:t>-</w:t>
            </w:r>
          </w:p>
        </w:tc>
        <w:tc>
          <w:tcPr>
            <w:tcW w:w="1160" w:type="dxa"/>
            <w:vAlign w:val="bottom"/>
          </w:tcPr>
          <w:p>
            <w:pPr>
              <w:jc w:val="right"/>
              <w:ind w:right="165"/>
              <w:spacing w:after="0" w:line="162" w:lineRule="exact"/>
              <w:rPr>
                <w:sz w:val="20"/>
                <w:szCs w:val="20"/>
                <w:color w:val="auto"/>
              </w:rPr>
            </w:pPr>
            <w:r>
              <w:rPr>
                <w:rFonts w:ascii="Times New Roman" w:cs="Times New Roman" w:eastAsia="Times New Roman" w:hAnsi="Times New Roman"/>
                <w:sz w:val="15"/>
                <w:szCs w:val="15"/>
                <w:color w:val="auto"/>
              </w:rPr>
              <w:t>34,029</w:t>
            </w:r>
          </w:p>
        </w:tc>
        <w:tc>
          <w:tcPr>
            <w:tcW w:w="1000" w:type="dxa"/>
            <w:vAlign w:val="bottom"/>
          </w:tcPr>
          <w:p>
            <w:pPr>
              <w:jc w:val="right"/>
              <w:ind w:right="145"/>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jc w:val="right"/>
              <w:ind w:right="145"/>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jc w:val="right"/>
              <w:ind w:right="165"/>
              <w:spacing w:after="0" w:line="162" w:lineRule="exact"/>
              <w:rPr>
                <w:sz w:val="20"/>
                <w:szCs w:val="20"/>
                <w:color w:val="auto"/>
              </w:rPr>
            </w:pPr>
            <w:r>
              <w:rPr>
                <w:rFonts w:ascii="Times New Roman" w:cs="Times New Roman" w:eastAsia="Times New Roman" w:hAnsi="Times New Roman"/>
                <w:sz w:val="15"/>
                <w:szCs w:val="15"/>
                <w:color w:val="auto"/>
              </w:rPr>
              <w:t>-</w:t>
            </w:r>
          </w:p>
        </w:tc>
        <w:tc>
          <w:tcPr>
            <w:tcW w:w="7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34,029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340" w:type="dxa"/>
            <w:vAlign w:val="bottom"/>
            <w:shd w:val="clear" w:color="auto" w:fill="CCEEFF"/>
          </w:tcPr>
          <w:p>
            <w:pPr>
              <w:spacing w:after="0" w:line="148" w:lineRule="exact"/>
              <w:rPr>
                <w:sz w:val="20"/>
                <w:szCs w:val="20"/>
                <w:color w:val="auto"/>
              </w:rPr>
            </w:pPr>
            <w:r>
              <w:rPr>
                <w:rFonts w:ascii="Times New Roman" w:cs="Times New Roman" w:eastAsia="Times New Roman" w:hAnsi="Times New Roman"/>
                <w:sz w:val="15"/>
                <w:szCs w:val="15"/>
                <w:color w:val="auto"/>
              </w:rPr>
              <w:t>Issue of shares arising from issue of</w:t>
            </w:r>
          </w:p>
        </w:tc>
        <w:tc>
          <w:tcPr>
            <w:tcW w:w="11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restricted share units</w:t>
            </w:r>
          </w:p>
        </w:tc>
        <w:tc>
          <w:tcPr>
            <w:tcW w:w="1160" w:type="dxa"/>
            <w:vAlign w:val="bottom"/>
            <w:shd w:val="clear" w:color="auto" w:fill="CCEEFF"/>
          </w:tcPr>
          <w:p>
            <w:pPr>
              <w:jc w:val="right"/>
              <w:ind w:right="205"/>
              <w:spacing w:after="0"/>
              <w:rPr>
                <w:sz w:val="20"/>
                <w:szCs w:val="20"/>
                <w:color w:val="auto"/>
              </w:rPr>
            </w:pPr>
            <w:r>
              <w:rPr>
                <w:rFonts w:ascii="Times New Roman" w:cs="Times New Roman" w:eastAsia="Times New Roman" w:hAnsi="Times New Roman"/>
                <w:sz w:val="15"/>
                <w:szCs w:val="15"/>
                <w:color w:val="auto"/>
              </w:rPr>
              <w:t>600,088</w:t>
            </w:r>
          </w:p>
        </w:tc>
        <w:tc>
          <w:tcPr>
            <w:tcW w:w="960" w:type="dxa"/>
            <w:vAlign w:val="bottom"/>
            <w:shd w:val="clear" w:color="auto" w:fill="CCEEFF"/>
          </w:tcPr>
          <w:p>
            <w:pPr>
              <w:jc w:val="right"/>
              <w:ind w:right="145"/>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shd w:val="clear" w:color="auto" w:fill="CCEEFF"/>
          </w:tcPr>
          <w:p>
            <w:pPr>
              <w:jc w:val="right"/>
              <w:ind w:right="65"/>
              <w:spacing w:after="0"/>
              <w:rPr>
                <w:sz w:val="20"/>
                <w:szCs w:val="20"/>
                <w:color w:val="auto"/>
              </w:rPr>
            </w:pPr>
            <w:r>
              <w:rPr>
                <w:rFonts w:ascii="Times New Roman" w:cs="Times New Roman" w:eastAsia="Times New Roman" w:hAnsi="Times New Roman"/>
                <w:sz w:val="15"/>
                <w:szCs w:val="15"/>
                <w:color w:val="auto"/>
              </w:rPr>
              <w:t>40</w:t>
            </w:r>
          </w:p>
        </w:tc>
        <w:tc>
          <w:tcPr>
            <w:tcW w:w="100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shd w:val="clear" w:color="auto" w:fill="CCEEFF"/>
          </w:tcPr>
          <w:p>
            <w:pPr>
              <w:jc w:val="right"/>
              <w:ind w:right="165"/>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ind w:right="145"/>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CEEFF"/>
          </w:tcPr>
          <w:p>
            <w:pPr>
              <w:jc w:val="right"/>
              <w:ind w:right="145"/>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CEEFF"/>
          </w:tcPr>
          <w:p>
            <w:pPr>
              <w:jc w:val="right"/>
              <w:ind w:right="165"/>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34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Share issue costs</w:t>
            </w:r>
          </w:p>
        </w:tc>
        <w:tc>
          <w:tcPr>
            <w:tcW w:w="1160" w:type="dxa"/>
            <w:vAlign w:val="bottom"/>
          </w:tcPr>
          <w:p>
            <w:pPr>
              <w:jc w:val="right"/>
              <w:ind w:right="205"/>
              <w:spacing w:after="0" w:line="162" w:lineRule="exact"/>
              <w:rPr>
                <w:sz w:val="20"/>
                <w:szCs w:val="20"/>
                <w:color w:val="auto"/>
              </w:rPr>
            </w:pPr>
            <w:r>
              <w:rPr>
                <w:rFonts w:ascii="Times New Roman" w:cs="Times New Roman" w:eastAsia="Times New Roman" w:hAnsi="Times New Roman"/>
                <w:sz w:val="15"/>
                <w:szCs w:val="15"/>
                <w:color w:val="auto"/>
              </w:rPr>
              <w:t>-</w:t>
            </w:r>
          </w:p>
        </w:tc>
        <w:tc>
          <w:tcPr>
            <w:tcW w:w="960" w:type="dxa"/>
            <w:vAlign w:val="bottom"/>
          </w:tcPr>
          <w:p>
            <w:pPr>
              <w:jc w:val="right"/>
              <w:ind w:right="145"/>
              <w:spacing w:after="0" w:line="162" w:lineRule="exact"/>
              <w:rPr>
                <w:sz w:val="20"/>
                <w:szCs w:val="20"/>
                <w:color w:val="auto"/>
              </w:rPr>
            </w:pPr>
            <w:r>
              <w:rPr>
                <w:rFonts w:ascii="Times New Roman" w:cs="Times New Roman" w:eastAsia="Times New Roman" w:hAnsi="Times New Roman"/>
                <w:sz w:val="15"/>
                <w:szCs w:val="15"/>
                <w:color w:val="auto"/>
              </w:rPr>
              <w:t>-</w:t>
            </w:r>
          </w:p>
        </w:tc>
        <w:tc>
          <w:tcPr>
            <w:tcW w:w="940" w:type="dxa"/>
            <w:vAlign w:val="bottom"/>
          </w:tcPr>
          <w:p>
            <w:pPr>
              <w:jc w:val="right"/>
              <w:ind w:right="65"/>
              <w:spacing w:after="0" w:line="162" w:lineRule="exact"/>
              <w:rPr>
                <w:sz w:val="20"/>
                <w:szCs w:val="20"/>
                <w:color w:val="auto"/>
              </w:rPr>
            </w:pPr>
            <w:r>
              <w:rPr>
                <w:rFonts w:ascii="Times New Roman" w:cs="Times New Roman" w:eastAsia="Times New Roman" w:hAnsi="Times New Roman"/>
                <w:sz w:val="15"/>
                <w:szCs w:val="15"/>
                <w:color w:val="auto"/>
              </w:rPr>
              <w:t>(16)</w:t>
            </w:r>
          </w:p>
        </w:tc>
        <w:tc>
          <w:tcPr>
            <w:tcW w:w="1000" w:type="dxa"/>
            <w:vAlign w:val="bottom"/>
          </w:tcPr>
          <w:p>
            <w:pPr>
              <w:jc w:val="right"/>
              <w:ind w:right="25"/>
              <w:spacing w:after="0" w:line="162" w:lineRule="exact"/>
              <w:rPr>
                <w:sz w:val="20"/>
                <w:szCs w:val="20"/>
                <w:color w:val="auto"/>
              </w:rPr>
            </w:pPr>
            <w:r>
              <w:rPr>
                <w:rFonts w:ascii="Times New Roman" w:cs="Times New Roman" w:eastAsia="Times New Roman" w:hAnsi="Times New Roman"/>
                <w:sz w:val="15"/>
                <w:szCs w:val="15"/>
                <w:color w:val="auto"/>
              </w:rPr>
              <w:t>-</w:t>
            </w:r>
          </w:p>
        </w:tc>
        <w:tc>
          <w:tcPr>
            <w:tcW w:w="1160" w:type="dxa"/>
            <w:vAlign w:val="bottom"/>
          </w:tcPr>
          <w:p>
            <w:pPr>
              <w:jc w:val="right"/>
              <w:ind w:right="165"/>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0" w:type="dxa"/>
            <w:vAlign w:val="bottom"/>
          </w:tcPr>
          <w:p>
            <w:pPr>
              <w:jc w:val="right"/>
              <w:ind w:right="145"/>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jc w:val="right"/>
              <w:ind w:right="145"/>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jc w:val="right"/>
              <w:ind w:right="165"/>
              <w:spacing w:after="0" w:line="162" w:lineRule="exact"/>
              <w:rPr>
                <w:sz w:val="20"/>
                <w:szCs w:val="20"/>
                <w:color w:val="auto"/>
              </w:rPr>
            </w:pPr>
            <w:r>
              <w:rPr>
                <w:rFonts w:ascii="Times New Roman" w:cs="Times New Roman" w:eastAsia="Times New Roman" w:hAnsi="Times New Roman"/>
                <w:sz w:val="15"/>
                <w:szCs w:val="15"/>
                <w:color w:val="auto"/>
              </w:rPr>
              <w:t>-</w:t>
            </w:r>
          </w:p>
        </w:tc>
        <w:tc>
          <w:tcPr>
            <w:tcW w:w="7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34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Repurchase of ordinary shares</w:t>
            </w:r>
          </w:p>
        </w:tc>
        <w:tc>
          <w:tcPr>
            <w:tcW w:w="1160" w:type="dxa"/>
            <w:vAlign w:val="bottom"/>
            <w:shd w:val="clear" w:color="auto" w:fill="CCEEFF"/>
          </w:tcPr>
          <w:p>
            <w:pPr>
              <w:jc w:val="right"/>
              <w:ind w:right="205"/>
              <w:spacing w:after="0" w:line="162" w:lineRule="exact"/>
              <w:rPr>
                <w:sz w:val="20"/>
                <w:szCs w:val="20"/>
                <w:color w:val="auto"/>
              </w:rPr>
            </w:pPr>
            <w:r>
              <w:rPr>
                <w:rFonts w:ascii="Times New Roman" w:cs="Times New Roman" w:eastAsia="Times New Roman" w:hAnsi="Times New Roman"/>
                <w:sz w:val="15"/>
                <w:szCs w:val="15"/>
                <w:color w:val="auto"/>
              </w:rPr>
              <w:t>(473,338)</w:t>
            </w:r>
          </w:p>
        </w:tc>
        <w:tc>
          <w:tcPr>
            <w:tcW w:w="960" w:type="dxa"/>
            <w:vAlign w:val="bottom"/>
            <w:shd w:val="clear" w:color="auto" w:fill="CCEEFF"/>
          </w:tcPr>
          <w:p>
            <w:pPr>
              <w:jc w:val="right"/>
              <w:ind w:right="145"/>
              <w:spacing w:after="0" w:line="162" w:lineRule="exact"/>
              <w:rPr>
                <w:sz w:val="20"/>
                <w:szCs w:val="20"/>
                <w:color w:val="auto"/>
              </w:rPr>
            </w:pPr>
            <w:r>
              <w:rPr>
                <w:rFonts w:ascii="Times New Roman" w:cs="Times New Roman" w:eastAsia="Times New Roman" w:hAnsi="Times New Roman"/>
                <w:sz w:val="15"/>
                <w:szCs w:val="15"/>
                <w:color w:val="auto"/>
              </w:rPr>
              <w:t>(32)</w:t>
            </w:r>
          </w:p>
        </w:tc>
        <w:tc>
          <w:tcPr>
            <w:tcW w:w="940" w:type="dxa"/>
            <w:vAlign w:val="bottom"/>
            <w:shd w:val="clear" w:color="auto" w:fill="CCEEFF"/>
          </w:tcPr>
          <w:p>
            <w:pPr>
              <w:jc w:val="right"/>
              <w:ind w:right="65"/>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ind w:right="25"/>
              <w:spacing w:after="0" w:line="162" w:lineRule="exact"/>
              <w:rPr>
                <w:sz w:val="20"/>
                <w:szCs w:val="20"/>
                <w:color w:val="auto"/>
              </w:rPr>
            </w:pPr>
            <w:r>
              <w:rPr>
                <w:rFonts w:ascii="Times New Roman" w:cs="Times New Roman" w:eastAsia="Times New Roman" w:hAnsi="Times New Roman"/>
                <w:sz w:val="15"/>
                <w:szCs w:val="15"/>
                <w:color w:val="auto"/>
              </w:rPr>
              <w:t>32</w:t>
            </w:r>
          </w:p>
        </w:tc>
        <w:tc>
          <w:tcPr>
            <w:tcW w:w="1160" w:type="dxa"/>
            <w:vAlign w:val="bottom"/>
            <w:shd w:val="clear" w:color="auto" w:fill="CCEEFF"/>
          </w:tcPr>
          <w:p>
            <w:pPr>
              <w:jc w:val="right"/>
              <w:ind w:right="165"/>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ind w:right="145"/>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CEEFF"/>
          </w:tcPr>
          <w:p>
            <w:pPr>
              <w:jc w:val="right"/>
              <w:ind w:right="145"/>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CEEFF"/>
          </w:tcPr>
          <w:p>
            <w:pPr>
              <w:jc w:val="right"/>
              <w:ind w:right="165"/>
              <w:spacing w:after="0" w:line="162" w:lineRule="exact"/>
              <w:rPr>
                <w:sz w:val="20"/>
                <w:szCs w:val="20"/>
                <w:color w:val="auto"/>
              </w:rPr>
            </w:pPr>
            <w:r>
              <w:rPr>
                <w:rFonts w:ascii="Times New Roman" w:cs="Times New Roman" w:eastAsia="Times New Roman" w:hAnsi="Times New Roman"/>
                <w:sz w:val="15"/>
                <w:szCs w:val="15"/>
                <w:color w:val="auto"/>
              </w:rPr>
              <w:t>(36,742)</w:t>
            </w:r>
          </w:p>
        </w:tc>
        <w:tc>
          <w:tcPr>
            <w:tcW w:w="7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(36,742)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34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Share repurchase costs</w:t>
            </w:r>
          </w:p>
        </w:tc>
        <w:tc>
          <w:tcPr>
            <w:tcW w:w="1160" w:type="dxa"/>
            <w:vAlign w:val="bottom"/>
          </w:tcPr>
          <w:p>
            <w:pPr>
              <w:jc w:val="right"/>
              <w:ind w:right="205"/>
              <w:spacing w:after="0" w:line="162" w:lineRule="exact"/>
              <w:rPr>
                <w:sz w:val="20"/>
                <w:szCs w:val="20"/>
                <w:color w:val="auto"/>
              </w:rPr>
            </w:pPr>
            <w:r>
              <w:rPr>
                <w:rFonts w:ascii="Times New Roman" w:cs="Times New Roman" w:eastAsia="Times New Roman" w:hAnsi="Times New Roman"/>
                <w:sz w:val="15"/>
                <w:szCs w:val="15"/>
                <w:color w:val="auto"/>
              </w:rPr>
              <w:t>-</w:t>
            </w:r>
          </w:p>
        </w:tc>
        <w:tc>
          <w:tcPr>
            <w:tcW w:w="960" w:type="dxa"/>
            <w:vAlign w:val="bottom"/>
          </w:tcPr>
          <w:p>
            <w:pPr>
              <w:jc w:val="right"/>
              <w:ind w:right="145"/>
              <w:spacing w:after="0" w:line="162" w:lineRule="exact"/>
              <w:rPr>
                <w:sz w:val="20"/>
                <w:szCs w:val="20"/>
                <w:color w:val="auto"/>
              </w:rPr>
            </w:pPr>
            <w:r>
              <w:rPr>
                <w:rFonts w:ascii="Times New Roman" w:cs="Times New Roman" w:eastAsia="Times New Roman" w:hAnsi="Times New Roman"/>
                <w:sz w:val="15"/>
                <w:szCs w:val="15"/>
                <w:color w:val="auto"/>
              </w:rPr>
              <w:t>-</w:t>
            </w:r>
          </w:p>
        </w:tc>
        <w:tc>
          <w:tcPr>
            <w:tcW w:w="940" w:type="dxa"/>
            <w:vAlign w:val="bottom"/>
          </w:tcPr>
          <w:p>
            <w:pPr>
              <w:jc w:val="right"/>
              <w:ind w:right="65"/>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0" w:type="dxa"/>
            <w:vAlign w:val="bottom"/>
          </w:tcPr>
          <w:p>
            <w:pPr>
              <w:jc w:val="right"/>
              <w:ind w:right="25"/>
              <w:spacing w:after="0" w:line="162" w:lineRule="exact"/>
              <w:rPr>
                <w:sz w:val="20"/>
                <w:szCs w:val="20"/>
                <w:color w:val="auto"/>
              </w:rPr>
            </w:pPr>
            <w:r>
              <w:rPr>
                <w:rFonts w:ascii="Times New Roman" w:cs="Times New Roman" w:eastAsia="Times New Roman" w:hAnsi="Times New Roman"/>
                <w:sz w:val="15"/>
                <w:szCs w:val="15"/>
                <w:color w:val="auto"/>
              </w:rPr>
              <w:t>-</w:t>
            </w:r>
          </w:p>
        </w:tc>
        <w:tc>
          <w:tcPr>
            <w:tcW w:w="1160" w:type="dxa"/>
            <w:vAlign w:val="bottom"/>
          </w:tcPr>
          <w:p>
            <w:pPr>
              <w:jc w:val="right"/>
              <w:ind w:right="165"/>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0" w:type="dxa"/>
            <w:vAlign w:val="bottom"/>
          </w:tcPr>
          <w:p>
            <w:pPr>
              <w:jc w:val="right"/>
              <w:ind w:right="145"/>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jc w:val="right"/>
              <w:ind w:right="145"/>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jc w:val="right"/>
              <w:ind w:right="165"/>
              <w:spacing w:after="0" w:line="162" w:lineRule="exact"/>
              <w:rPr>
                <w:sz w:val="20"/>
                <w:szCs w:val="20"/>
                <w:color w:val="auto"/>
              </w:rPr>
            </w:pPr>
            <w:r>
              <w:rPr>
                <w:rFonts w:ascii="Times New Roman" w:cs="Times New Roman" w:eastAsia="Times New Roman" w:hAnsi="Times New Roman"/>
                <w:sz w:val="15"/>
                <w:szCs w:val="15"/>
                <w:color w:val="auto"/>
              </w:rPr>
              <w:t>(29)</w:t>
            </w:r>
          </w:p>
        </w:tc>
        <w:tc>
          <w:tcPr>
            <w:tcW w:w="7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340" w:type="dxa"/>
            <w:vAlign w:val="bottom"/>
            <w:shd w:val="clear" w:color="auto" w:fill="CCEEFF"/>
          </w:tcPr>
          <w:p>
            <w:pPr>
              <w:spacing w:after="0" w:line="148" w:lineRule="exact"/>
              <w:rPr>
                <w:sz w:val="20"/>
                <w:szCs w:val="20"/>
                <w:color w:val="auto"/>
              </w:rPr>
            </w:pPr>
            <w:r>
              <w:rPr>
                <w:rFonts w:ascii="Times New Roman" w:cs="Times New Roman" w:eastAsia="Times New Roman" w:hAnsi="Times New Roman"/>
                <w:sz w:val="15"/>
                <w:szCs w:val="15"/>
                <w:color w:val="auto"/>
              </w:rPr>
              <w:t>Transfer of exercised and expired</w:t>
            </w:r>
          </w:p>
        </w:tc>
        <w:tc>
          <w:tcPr>
            <w:tcW w:w="11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23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share–based awards</w:t>
            </w:r>
          </w:p>
        </w:tc>
        <w:tc>
          <w:tcPr>
            <w:tcW w:w="1160" w:type="dxa"/>
            <w:vAlign w:val="bottom"/>
            <w:tcBorders>
              <w:bottom w:val="single" w:sz="8" w:color="auto"/>
            </w:tcBorders>
            <w:shd w:val="clear" w:color="auto" w:fill="CCEEFF"/>
          </w:tcPr>
          <w:p>
            <w:pPr>
              <w:jc w:val="right"/>
              <w:ind w:right="205"/>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tcBorders>
              <w:bottom w:val="single" w:sz="8" w:color="auto"/>
            </w:tcBorders>
            <w:shd w:val="clear" w:color="auto" w:fill="CCEEFF"/>
          </w:tcPr>
          <w:p>
            <w:pPr>
              <w:jc w:val="right"/>
              <w:ind w:right="145"/>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Borders>
              <w:bottom w:val="single" w:sz="8" w:color="auto"/>
            </w:tcBorders>
            <w:shd w:val="clear" w:color="auto" w:fill="CCEEFF"/>
          </w:tcPr>
          <w:p>
            <w:pPr>
              <w:jc w:val="right"/>
              <w:ind w:right="65"/>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bottom w:val="single" w:sz="8" w:color="auto"/>
            </w:tcBorders>
            <w:shd w:val="clear" w:color="auto" w:fill="CCEEFF"/>
          </w:tcPr>
          <w:p>
            <w:pPr>
              <w:jc w:val="right"/>
              <w:ind w:right="25"/>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tcBorders>
              <w:bottom w:val="single" w:sz="8" w:color="auto"/>
            </w:tcBorders>
            <w:shd w:val="clear" w:color="auto" w:fill="CCEEFF"/>
          </w:tcPr>
          <w:p>
            <w:pPr>
              <w:jc w:val="right"/>
              <w:ind w:right="165"/>
              <w:spacing w:after="0"/>
              <w:rPr>
                <w:sz w:val="20"/>
                <w:szCs w:val="20"/>
                <w:color w:val="auto"/>
              </w:rPr>
            </w:pPr>
            <w:r>
              <w:rPr>
                <w:rFonts w:ascii="Times New Roman" w:cs="Times New Roman" w:eastAsia="Times New Roman" w:hAnsi="Times New Roman"/>
                <w:sz w:val="15"/>
                <w:szCs w:val="15"/>
                <w:color w:val="auto"/>
              </w:rPr>
              <w:t>(3,120)</w:t>
            </w:r>
          </w:p>
        </w:tc>
        <w:tc>
          <w:tcPr>
            <w:tcW w:w="1000" w:type="dxa"/>
            <w:vAlign w:val="bottom"/>
            <w:tcBorders>
              <w:bottom w:val="single" w:sz="8" w:color="auto"/>
            </w:tcBorders>
            <w:shd w:val="clear" w:color="auto" w:fill="CCEEFF"/>
          </w:tcPr>
          <w:p>
            <w:pPr>
              <w:jc w:val="right"/>
              <w:ind w:right="145"/>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Borders>
              <w:bottom w:val="single" w:sz="8" w:color="auto"/>
            </w:tcBorders>
            <w:shd w:val="clear" w:color="auto" w:fill="CCEEFF"/>
          </w:tcPr>
          <w:p>
            <w:pPr>
              <w:jc w:val="right"/>
              <w:ind w:right="145"/>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Borders>
              <w:bottom w:val="single" w:sz="8" w:color="auto"/>
            </w:tcBorders>
            <w:shd w:val="clear" w:color="auto" w:fill="CCEEFF"/>
          </w:tcPr>
          <w:p>
            <w:pPr>
              <w:jc w:val="right"/>
              <w:ind w:right="165"/>
              <w:spacing w:after="0"/>
              <w:rPr>
                <w:sz w:val="20"/>
                <w:szCs w:val="20"/>
                <w:color w:val="auto"/>
              </w:rPr>
            </w:pPr>
            <w:r>
              <w:rPr>
                <w:rFonts w:ascii="Times New Roman" w:cs="Times New Roman" w:eastAsia="Times New Roman" w:hAnsi="Times New Roman"/>
                <w:sz w:val="15"/>
                <w:szCs w:val="15"/>
                <w:color w:val="auto"/>
              </w:rPr>
              <w:t>3,120</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2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20" w:type="dxa"/>
            <w:vAlign w:val="bottom"/>
            <w:vMerge w:val="continue"/>
          </w:tcPr>
          <w:p>
            <w:pPr>
              <w:spacing w:after="0"/>
              <w:rPr>
                <w:sz w:val="12"/>
                <w:szCs w:val="12"/>
                <w:color w:val="auto"/>
              </w:rPr>
            </w:pPr>
          </w:p>
        </w:tc>
        <w:tc>
          <w:tcPr>
            <w:tcW w:w="2340" w:type="dxa"/>
            <w:vAlign w:val="bottom"/>
            <w:shd w:val="clear" w:color="auto" w:fill="CCEEFF"/>
          </w:tcPr>
          <w:p>
            <w:pPr>
              <w:spacing w:after="0" w:line="148" w:lineRule="exact"/>
              <w:rPr>
                <w:sz w:val="20"/>
                <w:szCs w:val="20"/>
                <w:color w:val="auto"/>
              </w:rPr>
            </w:pPr>
            <w:r>
              <w:rPr>
                <w:rFonts w:ascii="Times New Roman" w:cs="Times New Roman" w:eastAsia="Times New Roman" w:hAnsi="Times New Roman"/>
                <w:sz w:val="15"/>
                <w:szCs w:val="15"/>
                <w:color w:val="auto"/>
              </w:rPr>
              <w:t>Total contributions by and</w:t>
            </w:r>
          </w:p>
        </w:tc>
        <w:tc>
          <w:tcPr>
            <w:tcW w:w="11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23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distributions to owners</w:t>
            </w:r>
          </w:p>
        </w:tc>
        <w:tc>
          <w:tcPr>
            <w:tcW w:w="1160" w:type="dxa"/>
            <w:vAlign w:val="bottom"/>
            <w:tcBorders>
              <w:bottom w:val="single" w:sz="8" w:color="auto"/>
            </w:tcBorders>
            <w:shd w:val="clear" w:color="auto" w:fill="CCEEFF"/>
          </w:tcPr>
          <w:p>
            <w:pPr>
              <w:jc w:val="right"/>
              <w:ind w:right="205"/>
              <w:spacing w:after="0"/>
              <w:rPr>
                <w:sz w:val="20"/>
                <w:szCs w:val="20"/>
                <w:color w:val="auto"/>
              </w:rPr>
            </w:pPr>
            <w:r>
              <w:rPr>
                <w:rFonts w:ascii="Times New Roman" w:cs="Times New Roman" w:eastAsia="Times New Roman" w:hAnsi="Times New Roman"/>
                <w:sz w:val="15"/>
                <w:szCs w:val="15"/>
                <w:color w:val="auto"/>
              </w:rPr>
              <w:t>434,953</w:t>
            </w:r>
          </w:p>
        </w:tc>
        <w:tc>
          <w:tcPr>
            <w:tcW w:w="960" w:type="dxa"/>
            <w:vAlign w:val="bottom"/>
            <w:tcBorders>
              <w:bottom w:val="single" w:sz="8" w:color="auto"/>
            </w:tcBorders>
            <w:shd w:val="clear" w:color="auto" w:fill="CCEEFF"/>
          </w:tcPr>
          <w:p>
            <w:pPr>
              <w:jc w:val="right"/>
              <w:ind w:right="145"/>
              <w:spacing w:after="0"/>
              <w:rPr>
                <w:sz w:val="20"/>
                <w:szCs w:val="20"/>
                <w:color w:val="auto"/>
              </w:rPr>
            </w:pPr>
            <w:r>
              <w:rPr>
                <w:rFonts w:ascii="Times New Roman" w:cs="Times New Roman" w:eastAsia="Times New Roman" w:hAnsi="Times New Roman"/>
                <w:sz w:val="15"/>
                <w:szCs w:val="15"/>
                <w:color w:val="auto"/>
              </w:rPr>
              <w:t>(11)</w:t>
            </w:r>
          </w:p>
        </w:tc>
        <w:tc>
          <w:tcPr>
            <w:tcW w:w="940" w:type="dxa"/>
            <w:vAlign w:val="bottom"/>
            <w:tcBorders>
              <w:bottom w:val="single" w:sz="8" w:color="auto"/>
            </w:tcBorders>
            <w:shd w:val="clear" w:color="auto" w:fill="CCEEFF"/>
          </w:tcPr>
          <w:p>
            <w:pPr>
              <w:jc w:val="right"/>
              <w:ind w:right="65"/>
              <w:spacing w:after="0"/>
              <w:rPr>
                <w:sz w:val="20"/>
                <w:szCs w:val="20"/>
                <w:color w:val="auto"/>
              </w:rPr>
            </w:pPr>
            <w:r>
              <w:rPr>
                <w:rFonts w:ascii="Times New Roman" w:cs="Times New Roman" w:eastAsia="Times New Roman" w:hAnsi="Times New Roman"/>
                <w:sz w:val="15"/>
                <w:szCs w:val="15"/>
                <w:color w:val="auto"/>
              </w:rPr>
              <w:t>8,240</w:t>
            </w:r>
          </w:p>
        </w:tc>
        <w:tc>
          <w:tcPr>
            <w:tcW w:w="1000" w:type="dxa"/>
            <w:vAlign w:val="bottom"/>
            <w:tcBorders>
              <w:bottom w:val="single" w:sz="8" w:color="auto"/>
            </w:tcBorders>
            <w:shd w:val="clear" w:color="auto" w:fill="CCEEFF"/>
          </w:tcPr>
          <w:p>
            <w:pPr>
              <w:jc w:val="right"/>
              <w:ind w:right="25"/>
              <w:spacing w:after="0"/>
              <w:rPr>
                <w:sz w:val="20"/>
                <w:szCs w:val="20"/>
                <w:color w:val="auto"/>
              </w:rPr>
            </w:pPr>
            <w:r>
              <w:rPr>
                <w:rFonts w:ascii="Times New Roman" w:cs="Times New Roman" w:eastAsia="Times New Roman" w:hAnsi="Times New Roman"/>
                <w:sz w:val="15"/>
                <w:szCs w:val="15"/>
                <w:color w:val="auto"/>
              </w:rPr>
              <w:t>32</w:t>
            </w:r>
          </w:p>
        </w:tc>
        <w:tc>
          <w:tcPr>
            <w:tcW w:w="1160" w:type="dxa"/>
            <w:vAlign w:val="bottom"/>
            <w:tcBorders>
              <w:bottom w:val="single" w:sz="8" w:color="auto"/>
            </w:tcBorders>
            <w:shd w:val="clear" w:color="auto" w:fill="CCEEFF"/>
          </w:tcPr>
          <w:p>
            <w:pPr>
              <w:jc w:val="right"/>
              <w:ind w:right="165"/>
              <w:spacing w:after="0"/>
              <w:rPr>
                <w:sz w:val="20"/>
                <w:szCs w:val="20"/>
                <w:color w:val="auto"/>
              </w:rPr>
            </w:pPr>
            <w:r>
              <w:rPr>
                <w:rFonts w:ascii="Times New Roman" w:cs="Times New Roman" w:eastAsia="Times New Roman" w:hAnsi="Times New Roman"/>
                <w:sz w:val="15"/>
                <w:szCs w:val="15"/>
                <w:color w:val="auto"/>
              </w:rPr>
              <w:t>30,909</w:t>
            </w:r>
          </w:p>
        </w:tc>
        <w:tc>
          <w:tcPr>
            <w:tcW w:w="1000" w:type="dxa"/>
            <w:vAlign w:val="bottom"/>
            <w:tcBorders>
              <w:bottom w:val="single" w:sz="8" w:color="auto"/>
            </w:tcBorders>
            <w:shd w:val="clear" w:color="auto" w:fill="CCEEFF"/>
          </w:tcPr>
          <w:p>
            <w:pPr>
              <w:jc w:val="right"/>
              <w:ind w:right="145"/>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Borders>
              <w:bottom w:val="single" w:sz="8" w:color="auto"/>
            </w:tcBorders>
            <w:shd w:val="clear" w:color="auto" w:fill="CCEEFF"/>
          </w:tcPr>
          <w:p>
            <w:pPr>
              <w:jc w:val="right"/>
              <w:ind w:right="145"/>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Borders>
              <w:bottom w:val="single" w:sz="8" w:color="auto"/>
            </w:tcBorders>
            <w:shd w:val="clear" w:color="auto" w:fill="CCEEFF"/>
          </w:tcPr>
          <w:p>
            <w:pPr>
              <w:jc w:val="right"/>
              <w:ind w:right="165"/>
              <w:spacing w:after="0"/>
              <w:rPr>
                <w:sz w:val="20"/>
                <w:szCs w:val="20"/>
                <w:color w:val="auto"/>
              </w:rPr>
            </w:pPr>
            <w:r>
              <w:rPr>
                <w:rFonts w:ascii="Times New Roman" w:cs="Times New Roman" w:eastAsia="Times New Roman" w:hAnsi="Times New Roman"/>
                <w:sz w:val="15"/>
                <w:szCs w:val="15"/>
                <w:color w:val="auto"/>
              </w:rPr>
              <w:t>(33,651)</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5,519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360" w:type="dxa"/>
            <w:vAlign w:val="bottom"/>
            <w:gridSpan w:val="2"/>
          </w:tcPr>
          <w:p>
            <w:pPr>
              <w:spacing w:after="0"/>
              <w:rPr>
                <w:sz w:val="14"/>
                <w:szCs w:val="14"/>
                <w:color w:val="auto"/>
              </w:rPr>
            </w:pPr>
          </w:p>
        </w:tc>
        <w:tc>
          <w:tcPr>
            <w:tcW w:w="1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8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23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Borders>
              <w:bottom w:val="single" w:sz="8" w:color="auto"/>
            </w:tcBorders>
            <w:vMerge w:val="continue"/>
          </w:tcPr>
          <w:p>
            <w:pPr>
              <w:spacing w:after="0"/>
              <w:rPr>
                <w:sz w:val="14"/>
                <w:szCs w:val="14"/>
                <w:color w:val="auto"/>
              </w:rPr>
            </w:pPr>
          </w:p>
        </w:tc>
        <w:tc>
          <w:tcPr>
            <w:tcW w:w="2340" w:type="dxa"/>
            <w:vAlign w:val="bottom"/>
            <w:tcBorders>
              <w:bottom w:val="single" w:sz="8" w:color="auto"/>
            </w:tcBorders>
          </w:tcPr>
          <w:p>
            <w:pPr>
              <w:spacing w:after="0" w:line="162" w:lineRule="exact"/>
              <w:rPr>
                <w:sz w:val="20"/>
                <w:szCs w:val="20"/>
                <w:color w:val="auto"/>
              </w:rPr>
            </w:pPr>
            <w:r>
              <w:rPr>
                <w:rFonts w:ascii="Times New Roman" w:cs="Times New Roman" w:eastAsia="Times New Roman" w:hAnsi="Times New Roman"/>
                <w:sz w:val="15"/>
                <w:szCs w:val="15"/>
                <w:color w:val="auto"/>
              </w:rPr>
              <w:t>Total transactions with owners</w:t>
            </w:r>
          </w:p>
        </w:tc>
        <w:tc>
          <w:tcPr>
            <w:tcW w:w="1160" w:type="dxa"/>
            <w:vAlign w:val="bottom"/>
            <w:tcBorders>
              <w:bottom w:val="single" w:sz="8" w:color="auto"/>
            </w:tcBorders>
          </w:tcPr>
          <w:p>
            <w:pPr>
              <w:jc w:val="right"/>
              <w:ind w:right="205"/>
              <w:spacing w:after="0" w:line="162" w:lineRule="exact"/>
              <w:rPr>
                <w:sz w:val="20"/>
                <w:szCs w:val="20"/>
                <w:color w:val="auto"/>
              </w:rPr>
            </w:pPr>
            <w:r>
              <w:rPr>
                <w:rFonts w:ascii="Times New Roman" w:cs="Times New Roman" w:eastAsia="Times New Roman" w:hAnsi="Times New Roman"/>
                <w:sz w:val="15"/>
                <w:szCs w:val="15"/>
                <w:color w:val="auto"/>
              </w:rPr>
              <w:t>434,953</w:t>
            </w:r>
          </w:p>
        </w:tc>
        <w:tc>
          <w:tcPr>
            <w:tcW w:w="960" w:type="dxa"/>
            <w:vAlign w:val="bottom"/>
            <w:tcBorders>
              <w:bottom w:val="single" w:sz="8" w:color="auto"/>
            </w:tcBorders>
          </w:tcPr>
          <w:p>
            <w:pPr>
              <w:jc w:val="right"/>
              <w:ind w:right="145"/>
              <w:spacing w:after="0" w:line="162" w:lineRule="exact"/>
              <w:rPr>
                <w:sz w:val="20"/>
                <w:szCs w:val="20"/>
                <w:color w:val="auto"/>
              </w:rPr>
            </w:pPr>
            <w:r>
              <w:rPr>
                <w:rFonts w:ascii="Times New Roman" w:cs="Times New Roman" w:eastAsia="Times New Roman" w:hAnsi="Times New Roman"/>
                <w:sz w:val="15"/>
                <w:szCs w:val="15"/>
                <w:color w:val="auto"/>
              </w:rPr>
              <w:t>(11)</w:t>
            </w:r>
          </w:p>
        </w:tc>
        <w:tc>
          <w:tcPr>
            <w:tcW w:w="940" w:type="dxa"/>
            <w:vAlign w:val="bottom"/>
            <w:tcBorders>
              <w:bottom w:val="single" w:sz="8" w:color="auto"/>
            </w:tcBorders>
          </w:tcPr>
          <w:p>
            <w:pPr>
              <w:jc w:val="right"/>
              <w:ind w:right="65"/>
              <w:spacing w:after="0" w:line="162" w:lineRule="exact"/>
              <w:rPr>
                <w:sz w:val="20"/>
                <w:szCs w:val="20"/>
                <w:color w:val="auto"/>
              </w:rPr>
            </w:pPr>
            <w:r>
              <w:rPr>
                <w:rFonts w:ascii="Times New Roman" w:cs="Times New Roman" w:eastAsia="Times New Roman" w:hAnsi="Times New Roman"/>
                <w:sz w:val="15"/>
                <w:szCs w:val="15"/>
                <w:color w:val="auto"/>
              </w:rPr>
              <w:t>8,240</w:t>
            </w:r>
          </w:p>
        </w:tc>
        <w:tc>
          <w:tcPr>
            <w:tcW w:w="1000" w:type="dxa"/>
            <w:vAlign w:val="bottom"/>
            <w:tcBorders>
              <w:bottom w:val="single" w:sz="8" w:color="auto"/>
            </w:tcBorders>
          </w:tcPr>
          <w:p>
            <w:pPr>
              <w:jc w:val="right"/>
              <w:ind w:right="25"/>
              <w:spacing w:after="0" w:line="162" w:lineRule="exact"/>
              <w:rPr>
                <w:sz w:val="20"/>
                <w:szCs w:val="20"/>
                <w:color w:val="auto"/>
              </w:rPr>
            </w:pPr>
            <w:r>
              <w:rPr>
                <w:rFonts w:ascii="Times New Roman" w:cs="Times New Roman" w:eastAsia="Times New Roman" w:hAnsi="Times New Roman"/>
                <w:sz w:val="15"/>
                <w:szCs w:val="15"/>
                <w:color w:val="auto"/>
              </w:rPr>
              <w:t>32</w:t>
            </w:r>
          </w:p>
        </w:tc>
        <w:tc>
          <w:tcPr>
            <w:tcW w:w="1160" w:type="dxa"/>
            <w:vAlign w:val="bottom"/>
            <w:tcBorders>
              <w:bottom w:val="single" w:sz="8" w:color="auto"/>
            </w:tcBorders>
          </w:tcPr>
          <w:p>
            <w:pPr>
              <w:jc w:val="right"/>
              <w:ind w:right="165"/>
              <w:spacing w:after="0" w:line="162" w:lineRule="exact"/>
              <w:rPr>
                <w:sz w:val="20"/>
                <w:szCs w:val="20"/>
                <w:color w:val="auto"/>
              </w:rPr>
            </w:pPr>
            <w:r>
              <w:rPr>
                <w:rFonts w:ascii="Times New Roman" w:cs="Times New Roman" w:eastAsia="Times New Roman" w:hAnsi="Times New Roman"/>
                <w:sz w:val="15"/>
                <w:szCs w:val="15"/>
                <w:color w:val="auto"/>
              </w:rPr>
              <w:t>30,909</w:t>
            </w:r>
          </w:p>
        </w:tc>
        <w:tc>
          <w:tcPr>
            <w:tcW w:w="1000" w:type="dxa"/>
            <w:vAlign w:val="bottom"/>
            <w:tcBorders>
              <w:bottom w:val="single" w:sz="8" w:color="auto"/>
            </w:tcBorders>
          </w:tcPr>
          <w:p>
            <w:pPr>
              <w:jc w:val="right"/>
              <w:ind w:right="145"/>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40" w:type="dxa"/>
            <w:vAlign w:val="bottom"/>
            <w:tcBorders>
              <w:bottom w:val="single" w:sz="8" w:color="auto"/>
            </w:tcBorders>
          </w:tcPr>
          <w:p>
            <w:pPr>
              <w:jc w:val="right"/>
              <w:ind w:right="145"/>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40" w:type="dxa"/>
            <w:vAlign w:val="bottom"/>
            <w:tcBorders>
              <w:bottom w:val="single" w:sz="8" w:color="auto"/>
            </w:tcBorders>
          </w:tcPr>
          <w:p>
            <w:pPr>
              <w:jc w:val="right"/>
              <w:ind w:right="165"/>
              <w:spacing w:after="0" w:line="162" w:lineRule="exact"/>
              <w:rPr>
                <w:sz w:val="20"/>
                <w:szCs w:val="20"/>
                <w:color w:val="auto"/>
              </w:rPr>
            </w:pPr>
            <w:r>
              <w:rPr>
                <w:rFonts w:ascii="Times New Roman" w:cs="Times New Roman" w:eastAsia="Times New Roman" w:hAnsi="Times New Roman"/>
                <w:sz w:val="15"/>
                <w:szCs w:val="15"/>
                <w:color w:val="auto"/>
              </w:rPr>
              <w:t>(33,651)</w:t>
            </w:r>
          </w:p>
        </w:tc>
        <w:tc>
          <w:tcPr>
            <w:tcW w:w="76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5,519</w:t>
            </w:r>
          </w:p>
        </w:tc>
        <w:tc>
          <w:tcPr>
            <w:tcW w:w="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3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2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2340" w:type="dxa"/>
            <w:vAlign w:val="bottom"/>
            <w:tcBorders>
              <w:bottom w:val="single" w:sz="8" w:color="auto"/>
            </w:tcBorders>
            <w:shd w:val="clear" w:color="auto" w:fill="CCEEFF"/>
          </w:tcPr>
          <w:p>
            <w:pPr>
              <w:spacing w:after="0" w:line="162" w:lineRule="exact"/>
              <w:rPr>
                <w:sz w:val="20"/>
                <w:szCs w:val="20"/>
                <w:color w:val="auto"/>
              </w:rPr>
            </w:pPr>
            <w:r>
              <w:rPr>
                <w:rFonts w:ascii="Times New Roman" w:cs="Times New Roman" w:eastAsia="Times New Roman" w:hAnsi="Times New Roman"/>
                <w:sz w:val="15"/>
                <w:szCs w:val="15"/>
                <w:b w:val="1"/>
                <w:bCs w:val="1"/>
                <w:color w:val="auto"/>
              </w:rPr>
              <w:t>Balance at 31 October 2016</w:t>
            </w:r>
          </w:p>
        </w:tc>
        <w:tc>
          <w:tcPr>
            <w:tcW w:w="1160" w:type="dxa"/>
            <w:vAlign w:val="bottom"/>
            <w:tcBorders>
              <w:bottom w:val="single" w:sz="8" w:color="auto"/>
            </w:tcBorders>
            <w:shd w:val="clear" w:color="auto" w:fill="CCEEFF"/>
          </w:tcPr>
          <w:p>
            <w:pPr>
              <w:jc w:val="right"/>
              <w:ind w:right="205"/>
              <w:spacing w:after="0" w:line="162" w:lineRule="exact"/>
              <w:rPr>
                <w:sz w:val="20"/>
                <w:szCs w:val="20"/>
                <w:color w:val="auto"/>
              </w:rPr>
            </w:pPr>
            <w:r>
              <w:rPr>
                <w:rFonts w:ascii="Times New Roman" w:cs="Times New Roman" w:eastAsia="Times New Roman" w:hAnsi="Times New Roman"/>
                <w:sz w:val="15"/>
                <w:szCs w:val="15"/>
                <w:b w:val="1"/>
                <w:bCs w:val="1"/>
                <w:color w:val="auto"/>
              </w:rPr>
              <w:t>55,393,865</w:t>
            </w:r>
          </w:p>
        </w:tc>
        <w:tc>
          <w:tcPr>
            <w:tcW w:w="960" w:type="dxa"/>
            <w:vAlign w:val="bottom"/>
            <w:tcBorders>
              <w:bottom w:val="single" w:sz="8" w:color="auto"/>
            </w:tcBorders>
            <w:shd w:val="clear" w:color="auto" w:fill="CCEEFF"/>
          </w:tcPr>
          <w:p>
            <w:pPr>
              <w:jc w:val="right"/>
              <w:ind w:right="145"/>
              <w:spacing w:after="0" w:line="162" w:lineRule="exact"/>
              <w:rPr>
                <w:sz w:val="20"/>
                <w:szCs w:val="20"/>
                <w:color w:val="auto"/>
              </w:rPr>
            </w:pPr>
            <w:r>
              <w:rPr>
                <w:rFonts w:ascii="Times New Roman" w:cs="Times New Roman" w:eastAsia="Times New Roman" w:hAnsi="Times New Roman"/>
                <w:sz w:val="15"/>
                <w:szCs w:val="15"/>
                <w:b w:val="1"/>
                <w:bCs w:val="1"/>
                <w:color w:val="auto"/>
              </w:rPr>
              <w:t>4,668</w:t>
            </w:r>
          </w:p>
        </w:tc>
        <w:tc>
          <w:tcPr>
            <w:tcW w:w="940" w:type="dxa"/>
            <w:vAlign w:val="bottom"/>
            <w:tcBorders>
              <w:bottom w:val="single" w:sz="8" w:color="auto"/>
            </w:tcBorders>
            <w:shd w:val="clear" w:color="auto" w:fill="CCEEFF"/>
          </w:tcPr>
          <w:p>
            <w:pPr>
              <w:jc w:val="right"/>
              <w:ind w:right="65"/>
              <w:spacing w:after="0" w:line="162" w:lineRule="exact"/>
              <w:rPr>
                <w:sz w:val="20"/>
                <w:szCs w:val="20"/>
                <w:color w:val="auto"/>
              </w:rPr>
            </w:pPr>
            <w:r>
              <w:rPr>
                <w:rFonts w:ascii="Times New Roman" w:cs="Times New Roman" w:eastAsia="Times New Roman" w:hAnsi="Times New Roman"/>
                <w:sz w:val="15"/>
                <w:szCs w:val="15"/>
                <w:b w:val="1"/>
                <w:bCs w:val="1"/>
                <w:color w:val="auto"/>
              </w:rPr>
              <w:t>251,144</w:t>
            </w:r>
          </w:p>
        </w:tc>
        <w:tc>
          <w:tcPr>
            <w:tcW w:w="1000" w:type="dxa"/>
            <w:vAlign w:val="bottom"/>
            <w:tcBorders>
              <w:bottom w:val="single" w:sz="8" w:color="auto"/>
            </w:tcBorders>
            <w:shd w:val="clear" w:color="auto" w:fill="CCEEFF"/>
          </w:tcPr>
          <w:p>
            <w:pPr>
              <w:jc w:val="right"/>
              <w:ind w:right="25"/>
              <w:spacing w:after="0" w:line="162" w:lineRule="exact"/>
              <w:rPr>
                <w:sz w:val="20"/>
                <w:szCs w:val="20"/>
                <w:color w:val="auto"/>
              </w:rPr>
            </w:pPr>
            <w:r>
              <w:rPr>
                <w:rFonts w:ascii="Times New Roman" w:cs="Times New Roman" w:eastAsia="Times New Roman" w:hAnsi="Times New Roman"/>
                <w:sz w:val="15"/>
                <w:szCs w:val="15"/>
                <w:b w:val="1"/>
                <w:bCs w:val="1"/>
                <w:color w:val="auto"/>
              </w:rPr>
              <w:t>747</w:t>
            </w:r>
          </w:p>
        </w:tc>
        <w:tc>
          <w:tcPr>
            <w:tcW w:w="1160" w:type="dxa"/>
            <w:vAlign w:val="bottom"/>
            <w:tcBorders>
              <w:bottom w:val="single" w:sz="8" w:color="auto"/>
            </w:tcBorders>
            <w:shd w:val="clear" w:color="auto" w:fill="CCEEFF"/>
          </w:tcPr>
          <w:p>
            <w:pPr>
              <w:jc w:val="right"/>
              <w:ind w:right="165"/>
              <w:spacing w:after="0" w:line="162" w:lineRule="exact"/>
              <w:rPr>
                <w:sz w:val="20"/>
                <w:szCs w:val="20"/>
                <w:color w:val="auto"/>
              </w:rPr>
            </w:pPr>
            <w:r>
              <w:rPr>
                <w:rFonts w:ascii="Times New Roman" w:cs="Times New Roman" w:eastAsia="Times New Roman" w:hAnsi="Times New Roman"/>
                <w:sz w:val="15"/>
                <w:szCs w:val="15"/>
                <w:b w:val="1"/>
                <w:bCs w:val="1"/>
                <w:color w:val="auto"/>
              </w:rPr>
              <w:t>114,690</w:t>
            </w:r>
          </w:p>
        </w:tc>
        <w:tc>
          <w:tcPr>
            <w:tcW w:w="1000" w:type="dxa"/>
            <w:vAlign w:val="bottom"/>
            <w:tcBorders>
              <w:bottom w:val="single" w:sz="8" w:color="auto"/>
            </w:tcBorders>
            <w:shd w:val="clear" w:color="auto" w:fill="CCEEFF"/>
          </w:tcPr>
          <w:p>
            <w:pPr>
              <w:jc w:val="right"/>
              <w:ind w:right="145"/>
              <w:spacing w:after="0" w:line="162" w:lineRule="exact"/>
              <w:rPr>
                <w:sz w:val="20"/>
                <w:szCs w:val="20"/>
                <w:color w:val="auto"/>
              </w:rPr>
            </w:pPr>
            <w:r>
              <w:rPr>
                <w:rFonts w:ascii="Times New Roman" w:cs="Times New Roman" w:eastAsia="Times New Roman" w:hAnsi="Times New Roman"/>
                <w:sz w:val="15"/>
                <w:szCs w:val="15"/>
                <w:b w:val="1"/>
                <w:bCs w:val="1"/>
                <w:color w:val="auto"/>
              </w:rPr>
              <w:t>6,071</w:t>
            </w:r>
          </w:p>
        </w:tc>
        <w:tc>
          <w:tcPr>
            <w:tcW w:w="1040" w:type="dxa"/>
            <w:vAlign w:val="bottom"/>
            <w:tcBorders>
              <w:bottom w:val="single" w:sz="8" w:color="auto"/>
            </w:tcBorders>
            <w:shd w:val="clear" w:color="auto" w:fill="CCEEFF"/>
          </w:tcPr>
          <w:p>
            <w:pPr>
              <w:jc w:val="right"/>
              <w:ind w:right="145"/>
              <w:spacing w:after="0" w:line="162" w:lineRule="exact"/>
              <w:rPr>
                <w:sz w:val="20"/>
                <w:szCs w:val="20"/>
                <w:color w:val="auto"/>
              </w:rPr>
            </w:pPr>
            <w:r>
              <w:rPr>
                <w:rFonts w:ascii="Times New Roman" w:cs="Times New Roman" w:eastAsia="Times New Roman" w:hAnsi="Times New Roman"/>
                <w:sz w:val="15"/>
                <w:szCs w:val="15"/>
                <w:b w:val="1"/>
                <w:bCs w:val="1"/>
                <w:color w:val="auto"/>
              </w:rPr>
              <w:t>(114,020)</w:t>
            </w:r>
          </w:p>
        </w:tc>
        <w:tc>
          <w:tcPr>
            <w:tcW w:w="1040" w:type="dxa"/>
            <w:vAlign w:val="bottom"/>
            <w:tcBorders>
              <w:bottom w:val="single" w:sz="8" w:color="auto"/>
            </w:tcBorders>
            <w:shd w:val="clear" w:color="auto" w:fill="CCEEFF"/>
          </w:tcPr>
          <w:p>
            <w:pPr>
              <w:jc w:val="right"/>
              <w:ind w:right="165"/>
              <w:spacing w:after="0" w:line="162" w:lineRule="exact"/>
              <w:rPr>
                <w:sz w:val="20"/>
                <w:szCs w:val="20"/>
                <w:color w:val="auto"/>
              </w:rPr>
            </w:pPr>
            <w:r>
              <w:rPr>
                <w:rFonts w:ascii="Times New Roman" w:cs="Times New Roman" w:eastAsia="Times New Roman" w:hAnsi="Times New Roman"/>
                <w:sz w:val="15"/>
                <w:szCs w:val="15"/>
                <w:b w:val="1"/>
                <w:bCs w:val="1"/>
                <w:color w:val="auto"/>
              </w:rPr>
              <w:t>481,468</w:t>
            </w:r>
          </w:p>
        </w:tc>
        <w:tc>
          <w:tcPr>
            <w:tcW w:w="76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b w:val="1"/>
                <w:bCs w:val="1"/>
                <w:color w:val="auto"/>
              </w:rPr>
              <w:t>744,768</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29"/>
          <w:szCs w:val="29"/>
          <w:color w:val="auto"/>
        </w:rPr>
        <w:t>ICON Plc</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Statement of changes in equity (Audited)</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 the year ended 31 December 2015</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234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right"/>
              <w:ind w:right="205"/>
              <w:spacing w:after="0" w:line="171" w:lineRule="exact"/>
              <w:rPr>
                <w:sz w:val="20"/>
                <w:szCs w:val="20"/>
                <w:color w:val="auto"/>
              </w:rPr>
            </w:pPr>
            <w:r>
              <w:rPr>
                <w:rFonts w:ascii="Times New Roman" w:cs="Times New Roman" w:eastAsia="Times New Roman" w:hAnsi="Times New Roman"/>
                <w:sz w:val="15"/>
                <w:szCs w:val="15"/>
                <w:b w:val="1"/>
                <w:bCs w:val="1"/>
                <w:color w:val="auto"/>
              </w:rPr>
              <w:t>Number</w:t>
            </w:r>
          </w:p>
        </w:tc>
        <w:tc>
          <w:tcPr>
            <w:tcW w:w="960" w:type="dxa"/>
            <w:vAlign w:val="bottom"/>
            <w:tcBorders>
              <w:top w:val="single" w:sz="8" w:color="auto"/>
            </w:tcBorders>
          </w:tcPr>
          <w:p>
            <w:pPr>
              <w:jc w:val="right"/>
              <w:ind w:right="145"/>
              <w:spacing w:after="0" w:line="171" w:lineRule="exact"/>
              <w:rPr>
                <w:sz w:val="20"/>
                <w:szCs w:val="20"/>
                <w:color w:val="auto"/>
              </w:rPr>
            </w:pPr>
            <w:r>
              <w:rPr>
                <w:rFonts w:ascii="Times New Roman" w:cs="Times New Roman" w:eastAsia="Times New Roman" w:hAnsi="Times New Roman"/>
                <w:sz w:val="15"/>
                <w:szCs w:val="15"/>
                <w:b w:val="1"/>
                <w:bCs w:val="1"/>
                <w:color w:val="auto"/>
              </w:rPr>
              <w:t>Share</w:t>
            </w:r>
          </w:p>
        </w:tc>
        <w:tc>
          <w:tcPr>
            <w:tcW w:w="940" w:type="dxa"/>
            <w:vAlign w:val="bottom"/>
            <w:tcBorders>
              <w:top w:val="single" w:sz="8" w:color="auto"/>
            </w:tcBorders>
          </w:tcPr>
          <w:p>
            <w:pPr>
              <w:jc w:val="right"/>
              <w:ind w:right="65"/>
              <w:spacing w:after="0" w:line="171" w:lineRule="exact"/>
              <w:rPr>
                <w:sz w:val="20"/>
                <w:szCs w:val="20"/>
                <w:color w:val="auto"/>
              </w:rPr>
            </w:pPr>
            <w:r>
              <w:rPr>
                <w:rFonts w:ascii="Times New Roman" w:cs="Times New Roman" w:eastAsia="Times New Roman" w:hAnsi="Times New Roman"/>
                <w:sz w:val="15"/>
                <w:szCs w:val="15"/>
                <w:b w:val="1"/>
                <w:bCs w:val="1"/>
                <w:color w:val="auto"/>
              </w:rPr>
              <w:t>Share</w:t>
            </w:r>
          </w:p>
        </w:tc>
        <w:tc>
          <w:tcPr>
            <w:tcW w:w="1000" w:type="dxa"/>
            <w:vAlign w:val="bottom"/>
            <w:tcBorders>
              <w:top w:val="single" w:sz="8" w:color="auto"/>
            </w:tcBorders>
          </w:tcPr>
          <w:p>
            <w:pPr>
              <w:jc w:val="right"/>
              <w:ind w:right="25"/>
              <w:spacing w:after="0" w:line="171" w:lineRule="exact"/>
              <w:rPr>
                <w:sz w:val="20"/>
                <w:szCs w:val="20"/>
                <w:color w:val="auto"/>
              </w:rPr>
            </w:pPr>
            <w:r>
              <w:rPr>
                <w:rFonts w:ascii="Times New Roman" w:cs="Times New Roman" w:eastAsia="Times New Roman" w:hAnsi="Times New Roman"/>
                <w:sz w:val="15"/>
                <w:szCs w:val="15"/>
                <w:b w:val="1"/>
                <w:bCs w:val="1"/>
                <w:color w:val="auto"/>
              </w:rPr>
              <w:t>Capital</w:t>
            </w:r>
          </w:p>
        </w:tc>
        <w:tc>
          <w:tcPr>
            <w:tcW w:w="1160" w:type="dxa"/>
            <w:vAlign w:val="bottom"/>
            <w:tcBorders>
              <w:top w:val="single" w:sz="8" w:color="auto"/>
            </w:tcBorders>
          </w:tcPr>
          <w:p>
            <w:pPr>
              <w:jc w:val="right"/>
              <w:ind w:right="165"/>
              <w:spacing w:after="0" w:line="171" w:lineRule="exact"/>
              <w:rPr>
                <w:sz w:val="20"/>
                <w:szCs w:val="20"/>
                <w:color w:val="auto"/>
              </w:rPr>
            </w:pPr>
            <w:r>
              <w:rPr>
                <w:rFonts w:ascii="Times New Roman" w:cs="Times New Roman" w:eastAsia="Times New Roman" w:hAnsi="Times New Roman"/>
                <w:sz w:val="15"/>
                <w:szCs w:val="15"/>
                <w:b w:val="1"/>
                <w:bCs w:val="1"/>
                <w:color w:val="auto"/>
              </w:rPr>
              <w:t>Share-Based</w:t>
            </w:r>
          </w:p>
        </w:tc>
        <w:tc>
          <w:tcPr>
            <w:tcW w:w="1000" w:type="dxa"/>
            <w:vAlign w:val="bottom"/>
            <w:tcBorders>
              <w:top w:val="single" w:sz="8" w:color="auto"/>
            </w:tcBorders>
          </w:tcPr>
          <w:p>
            <w:pPr>
              <w:jc w:val="right"/>
              <w:ind w:right="145"/>
              <w:spacing w:after="0" w:line="171" w:lineRule="exact"/>
              <w:rPr>
                <w:sz w:val="20"/>
                <w:szCs w:val="20"/>
                <w:color w:val="auto"/>
              </w:rPr>
            </w:pPr>
            <w:r>
              <w:rPr>
                <w:rFonts w:ascii="Times New Roman" w:cs="Times New Roman" w:eastAsia="Times New Roman" w:hAnsi="Times New Roman"/>
                <w:sz w:val="15"/>
                <w:szCs w:val="15"/>
                <w:b w:val="1"/>
                <w:bCs w:val="1"/>
                <w:color w:val="auto"/>
              </w:rPr>
              <w:t>Other</w:t>
            </w:r>
          </w:p>
        </w:tc>
        <w:tc>
          <w:tcPr>
            <w:tcW w:w="1040" w:type="dxa"/>
            <w:vAlign w:val="bottom"/>
            <w:tcBorders>
              <w:top w:val="single" w:sz="8" w:color="auto"/>
            </w:tcBorders>
          </w:tcPr>
          <w:p>
            <w:pPr>
              <w:jc w:val="right"/>
              <w:ind w:right="145"/>
              <w:spacing w:after="0" w:line="171" w:lineRule="exact"/>
              <w:rPr>
                <w:sz w:val="20"/>
                <w:szCs w:val="20"/>
                <w:color w:val="auto"/>
              </w:rPr>
            </w:pPr>
            <w:r>
              <w:rPr>
                <w:rFonts w:ascii="Times New Roman" w:cs="Times New Roman" w:eastAsia="Times New Roman" w:hAnsi="Times New Roman"/>
                <w:sz w:val="15"/>
                <w:szCs w:val="15"/>
                <w:b w:val="1"/>
                <w:bCs w:val="1"/>
                <w:color w:val="auto"/>
              </w:rPr>
              <w:t>Currency</w:t>
            </w:r>
          </w:p>
        </w:tc>
        <w:tc>
          <w:tcPr>
            <w:tcW w:w="1000" w:type="dxa"/>
            <w:vAlign w:val="bottom"/>
            <w:tcBorders>
              <w:top w:val="single" w:sz="8" w:color="auto"/>
            </w:tcBorders>
          </w:tcPr>
          <w:p>
            <w:pPr>
              <w:jc w:val="right"/>
              <w:ind w:right="125"/>
              <w:spacing w:after="0" w:line="171" w:lineRule="exact"/>
              <w:rPr>
                <w:sz w:val="20"/>
                <w:szCs w:val="20"/>
                <w:color w:val="auto"/>
              </w:rPr>
            </w:pPr>
            <w:r>
              <w:rPr>
                <w:rFonts w:ascii="Times New Roman" w:cs="Times New Roman" w:eastAsia="Times New Roman" w:hAnsi="Times New Roman"/>
                <w:sz w:val="15"/>
                <w:szCs w:val="15"/>
                <w:b w:val="1"/>
                <w:bCs w:val="1"/>
                <w:color w:val="auto"/>
              </w:rPr>
              <w:t>Retained</w:t>
            </w:r>
          </w:p>
        </w:tc>
        <w:tc>
          <w:tcPr>
            <w:tcW w:w="820" w:type="dxa"/>
            <w:vAlign w:val="bottom"/>
            <w:tcBorders>
              <w:top w:val="single" w:sz="8" w:color="auto"/>
            </w:tcBorders>
            <w:gridSpan w:val="2"/>
          </w:tcPr>
          <w:p>
            <w:pPr>
              <w:jc w:val="right"/>
              <w:ind w:right="20"/>
              <w:spacing w:after="0" w:line="171" w:lineRule="exact"/>
              <w:rPr>
                <w:sz w:val="20"/>
                <w:szCs w:val="20"/>
                <w:color w:val="auto"/>
              </w:rPr>
            </w:pPr>
            <w:r>
              <w:rPr>
                <w:rFonts w:ascii="Times New Roman" w:cs="Times New Roman" w:eastAsia="Times New Roman" w:hAnsi="Times New Roman"/>
                <w:sz w:val="15"/>
                <w:szCs w:val="15"/>
                <w:b w:val="1"/>
                <w:bCs w:val="1"/>
                <w:color w:val="auto"/>
              </w:rPr>
              <w:t>Total</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160" w:type="dxa"/>
            <w:vAlign w:val="bottom"/>
          </w:tcPr>
          <w:p>
            <w:pPr>
              <w:jc w:val="right"/>
              <w:ind w:right="205"/>
              <w:spacing w:after="0" w:line="162" w:lineRule="exact"/>
              <w:rPr>
                <w:sz w:val="20"/>
                <w:szCs w:val="20"/>
                <w:color w:val="auto"/>
              </w:rPr>
            </w:pPr>
            <w:r>
              <w:rPr>
                <w:rFonts w:ascii="Times New Roman" w:cs="Times New Roman" w:eastAsia="Times New Roman" w:hAnsi="Times New Roman"/>
                <w:sz w:val="15"/>
                <w:szCs w:val="15"/>
                <w:b w:val="1"/>
                <w:bCs w:val="1"/>
                <w:color w:val="auto"/>
              </w:rPr>
              <w:t>of shares</w:t>
            </w:r>
          </w:p>
        </w:tc>
        <w:tc>
          <w:tcPr>
            <w:tcW w:w="960" w:type="dxa"/>
            <w:vAlign w:val="bottom"/>
          </w:tcPr>
          <w:p>
            <w:pPr>
              <w:jc w:val="right"/>
              <w:ind w:right="145"/>
              <w:spacing w:after="0" w:line="162" w:lineRule="exact"/>
              <w:rPr>
                <w:sz w:val="20"/>
                <w:szCs w:val="20"/>
                <w:color w:val="auto"/>
              </w:rPr>
            </w:pPr>
            <w:r>
              <w:rPr>
                <w:rFonts w:ascii="Times New Roman" w:cs="Times New Roman" w:eastAsia="Times New Roman" w:hAnsi="Times New Roman"/>
                <w:sz w:val="15"/>
                <w:szCs w:val="15"/>
                <w:b w:val="1"/>
                <w:bCs w:val="1"/>
                <w:color w:val="auto"/>
              </w:rPr>
              <w:t>Capital</w:t>
            </w:r>
          </w:p>
        </w:tc>
        <w:tc>
          <w:tcPr>
            <w:tcW w:w="940" w:type="dxa"/>
            <w:vAlign w:val="bottom"/>
          </w:tcPr>
          <w:p>
            <w:pPr>
              <w:jc w:val="right"/>
              <w:ind w:right="65"/>
              <w:spacing w:after="0" w:line="162" w:lineRule="exact"/>
              <w:rPr>
                <w:sz w:val="20"/>
                <w:szCs w:val="20"/>
                <w:color w:val="auto"/>
              </w:rPr>
            </w:pPr>
            <w:r>
              <w:rPr>
                <w:rFonts w:ascii="Times New Roman" w:cs="Times New Roman" w:eastAsia="Times New Roman" w:hAnsi="Times New Roman"/>
                <w:sz w:val="15"/>
                <w:szCs w:val="15"/>
                <w:b w:val="1"/>
                <w:bCs w:val="1"/>
                <w:color w:val="auto"/>
              </w:rPr>
              <w:t>Premium</w:t>
            </w:r>
          </w:p>
        </w:tc>
        <w:tc>
          <w:tcPr>
            <w:tcW w:w="1000" w:type="dxa"/>
            <w:vAlign w:val="bottom"/>
          </w:tcPr>
          <w:p>
            <w:pPr>
              <w:jc w:val="right"/>
              <w:ind w:right="25"/>
              <w:spacing w:after="0" w:line="162" w:lineRule="exact"/>
              <w:rPr>
                <w:sz w:val="20"/>
                <w:szCs w:val="20"/>
                <w:color w:val="auto"/>
              </w:rPr>
            </w:pPr>
            <w:r>
              <w:rPr>
                <w:rFonts w:ascii="Times New Roman" w:cs="Times New Roman" w:eastAsia="Times New Roman" w:hAnsi="Times New Roman"/>
                <w:sz w:val="15"/>
                <w:szCs w:val="15"/>
                <w:b w:val="1"/>
                <w:bCs w:val="1"/>
                <w:color w:val="auto"/>
              </w:rPr>
              <w:t>Redemption</w:t>
            </w:r>
          </w:p>
        </w:tc>
        <w:tc>
          <w:tcPr>
            <w:tcW w:w="1160" w:type="dxa"/>
            <w:vAlign w:val="bottom"/>
          </w:tcPr>
          <w:p>
            <w:pPr>
              <w:jc w:val="right"/>
              <w:ind w:right="165"/>
              <w:spacing w:after="0" w:line="162" w:lineRule="exact"/>
              <w:rPr>
                <w:sz w:val="20"/>
                <w:szCs w:val="20"/>
                <w:color w:val="auto"/>
              </w:rPr>
            </w:pPr>
            <w:r>
              <w:rPr>
                <w:rFonts w:ascii="Times New Roman" w:cs="Times New Roman" w:eastAsia="Times New Roman" w:hAnsi="Times New Roman"/>
                <w:sz w:val="15"/>
                <w:szCs w:val="15"/>
                <w:b w:val="1"/>
                <w:bCs w:val="1"/>
                <w:color w:val="auto"/>
              </w:rPr>
              <w:t>Payment</w:t>
            </w:r>
          </w:p>
        </w:tc>
        <w:tc>
          <w:tcPr>
            <w:tcW w:w="1000" w:type="dxa"/>
            <w:vAlign w:val="bottom"/>
          </w:tcPr>
          <w:p>
            <w:pPr>
              <w:jc w:val="right"/>
              <w:ind w:right="145"/>
              <w:spacing w:after="0" w:line="162" w:lineRule="exact"/>
              <w:rPr>
                <w:sz w:val="20"/>
                <w:szCs w:val="20"/>
                <w:color w:val="auto"/>
              </w:rPr>
            </w:pPr>
            <w:r>
              <w:rPr>
                <w:rFonts w:ascii="Times New Roman" w:cs="Times New Roman" w:eastAsia="Times New Roman" w:hAnsi="Times New Roman"/>
                <w:sz w:val="15"/>
                <w:szCs w:val="15"/>
                <w:b w:val="1"/>
                <w:bCs w:val="1"/>
                <w:color w:val="auto"/>
              </w:rPr>
              <w:t>Reserves</w:t>
            </w:r>
          </w:p>
        </w:tc>
        <w:tc>
          <w:tcPr>
            <w:tcW w:w="1040" w:type="dxa"/>
            <w:vAlign w:val="bottom"/>
          </w:tcPr>
          <w:p>
            <w:pPr>
              <w:jc w:val="right"/>
              <w:ind w:right="145"/>
              <w:spacing w:after="0" w:line="162" w:lineRule="exact"/>
              <w:rPr>
                <w:sz w:val="20"/>
                <w:szCs w:val="20"/>
                <w:color w:val="auto"/>
              </w:rPr>
            </w:pPr>
            <w:r>
              <w:rPr>
                <w:rFonts w:ascii="Times New Roman" w:cs="Times New Roman" w:eastAsia="Times New Roman" w:hAnsi="Times New Roman"/>
                <w:sz w:val="15"/>
                <w:szCs w:val="15"/>
                <w:b w:val="1"/>
                <w:bCs w:val="1"/>
                <w:color w:val="auto"/>
              </w:rPr>
              <w:t>Reserve</w:t>
            </w:r>
          </w:p>
        </w:tc>
        <w:tc>
          <w:tcPr>
            <w:tcW w:w="1000" w:type="dxa"/>
            <w:vAlign w:val="bottom"/>
          </w:tcPr>
          <w:p>
            <w:pPr>
              <w:jc w:val="right"/>
              <w:ind w:right="125"/>
              <w:spacing w:after="0" w:line="162" w:lineRule="exact"/>
              <w:rPr>
                <w:sz w:val="20"/>
                <w:szCs w:val="20"/>
                <w:color w:val="auto"/>
              </w:rPr>
            </w:pPr>
            <w:r>
              <w:rPr>
                <w:rFonts w:ascii="Times New Roman" w:cs="Times New Roman" w:eastAsia="Times New Roman" w:hAnsi="Times New Roman"/>
                <w:sz w:val="15"/>
                <w:szCs w:val="15"/>
                <w:b w:val="1"/>
                <w:bCs w:val="1"/>
                <w:color w:val="auto"/>
              </w:rPr>
              <w:t>Earnings</w:t>
            </w:r>
          </w:p>
        </w:tc>
        <w:tc>
          <w:tcPr>
            <w:tcW w:w="820" w:type="dxa"/>
            <w:vAlign w:val="bottom"/>
            <w:gridSpan w:val="2"/>
          </w:tcPr>
          <w:p>
            <w:pPr>
              <w:jc w:val="right"/>
              <w:ind w:right="20"/>
              <w:spacing w:after="0" w:line="162" w:lineRule="exact"/>
              <w:rPr>
                <w:sz w:val="20"/>
                <w:szCs w:val="20"/>
                <w:color w:val="auto"/>
              </w:rPr>
            </w:pPr>
            <w:r>
              <w:rPr>
                <w:rFonts w:ascii="Times New Roman" w:cs="Times New Roman" w:eastAsia="Times New Roman" w:hAnsi="Times New Roman"/>
                <w:sz w:val="15"/>
                <w:szCs w:val="15"/>
                <w:b w:val="1"/>
                <w:bCs w:val="1"/>
                <w:color w:val="auto"/>
              </w:rPr>
              <w:t>Equity</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0" w:type="dxa"/>
            <w:vAlign w:val="bottom"/>
          </w:tcPr>
          <w:p>
            <w:pPr>
              <w:jc w:val="right"/>
              <w:ind w:right="25"/>
              <w:spacing w:after="0" w:line="162" w:lineRule="exact"/>
              <w:rPr>
                <w:sz w:val="20"/>
                <w:szCs w:val="20"/>
                <w:color w:val="auto"/>
              </w:rPr>
            </w:pPr>
            <w:r>
              <w:rPr>
                <w:rFonts w:ascii="Times New Roman" w:cs="Times New Roman" w:eastAsia="Times New Roman" w:hAnsi="Times New Roman"/>
                <w:sz w:val="15"/>
                <w:szCs w:val="15"/>
                <w:b w:val="1"/>
                <w:bCs w:val="1"/>
                <w:color w:val="auto"/>
              </w:rPr>
              <w:t>Reserve</w:t>
            </w:r>
          </w:p>
        </w:tc>
        <w:tc>
          <w:tcPr>
            <w:tcW w:w="1160" w:type="dxa"/>
            <w:vAlign w:val="bottom"/>
          </w:tcPr>
          <w:p>
            <w:pPr>
              <w:jc w:val="right"/>
              <w:ind w:right="165"/>
              <w:spacing w:after="0" w:line="162" w:lineRule="exact"/>
              <w:rPr>
                <w:sz w:val="20"/>
                <w:szCs w:val="20"/>
                <w:color w:val="auto"/>
              </w:rPr>
            </w:pPr>
            <w:r>
              <w:rPr>
                <w:rFonts w:ascii="Times New Roman" w:cs="Times New Roman" w:eastAsia="Times New Roman" w:hAnsi="Times New Roman"/>
                <w:sz w:val="15"/>
                <w:szCs w:val="15"/>
                <w:b w:val="1"/>
                <w:bCs w:val="1"/>
                <w:color w:val="auto"/>
              </w:rPr>
              <w:t>Reserve</w:t>
            </w:r>
          </w:p>
        </w:tc>
        <w:tc>
          <w:tcPr>
            <w:tcW w:w="10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60" w:type="dxa"/>
            <w:vAlign w:val="bottom"/>
          </w:tcPr>
          <w:p>
            <w:pPr>
              <w:jc w:val="right"/>
              <w:ind w:right="145"/>
              <w:spacing w:after="0"/>
              <w:rPr>
                <w:sz w:val="20"/>
                <w:szCs w:val="20"/>
                <w:color w:val="auto"/>
              </w:rPr>
            </w:pPr>
            <w:r>
              <w:rPr>
                <w:rFonts w:ascii="Times New Roman" w:cs="Times New Roman" w:eastAsia="Times New Roman" w:hAnsi="Times New Roman"/>
                <w:sz w:val="15"/>
                <w:szCs w:val="15"/>
                <w:b w:val="1"/>
                <w:bCs w:val="1"/>
                <w:color w:val="auto"/>
              </w:rPr>
              <w:t>$’000</w:t>
            </w:r>
          </w:p>
        </w:tc>
        <w:tc>
          <w:tcPr>
            <w:tcW w:w="940" w:type="dxa"/>
            <w:vAlign w:val="bottom"/>
          </w:tcPr>
          <w:p>
            <w:pPr>
              <w:jc w:val="right"/>
              <w:ind w:right="65"/>
              <w:spacing w:after="0"/>
              <w:rPr>
                <w:sz w:val="20"/>
                <w:szCs w:val="20"/>
                <w:color w:val="auto"/>
              </w:rPr>
            </w:pPr>
            <w:r>
              <w:rPr>
                <w:rFonts w:ascii="Times New Roman" w:cs="Times New Roman" w:eastAsia="Times New Roman" w:hAnsi="Times New Roman"/>
                <w:sz w:val="15"/>
                <w:szCs w:val="15"/>
                <w:b w:val="1"/>
                <w:bCs w:val="1"/>
                <w:color w:val="auto"/>
              </w:rPr>
              <w:t>$’000</w:t>
            </w:r>
          </w:p>
        </w:tc>
        <w:tc>
          <w:tcPr>
            <w:tcW w:w="1000" w:type="dxa"/>
            <w:vAlign w:val="bottom"/>
          </w:tcPr>
          <w:p>
            <w:pPr>
              <w:jc w:val="right"/>
              <w:ind w:right="25"/>
              <w:spacing w:after="0"/>
              <w:rPr>
                <w:sz w:val="20"/>
                <w:szCs w:val="20"/>
                <w:color w:val="auto"/>
              </w:rPr>
            </w:pPr>
            <w:r>
              <w:rPr>
                <w:rFonts w:ascii="Times New Roman" w:cs="Times New Roman" w:eastAsia="Times New Roman" w:hAnsi="Times New Roman"/>
                <w:sz w:val="15"/>
                <w:szCs w:val="15"/>
                <w:b w:val="1"/>
                <w:bCs w:val="1"/>
                <w:color w:val="auto"/>
              </w:rPr>
              <w:t>$’000</w:t>
            </w:r>
          </w:p>
        </w:tc>
        <w:tc>
          <w:tcPr>
            <w:tcW w:w="1160" w:type="dxa"/>
            <w:vAlign w:val="bottom"/>
          </w:tcPr>
          <w:p>
            <w:pPr>
              <w:jc w:val="right"/>
              <w:ind w:right="165"/>
              <w:spacing w:after="0"/>
              <w:rPr>
                <w:sz w:val="20"/>
                <w:szCs w:val="20"/>
                <w:color w:val="auto"/>
              </w:rPr>
            </w:pPr>
            <w:r>
              <w:rPr>
                <w:rFonts w:ascii="Times New Roman" w:cs="Times New Roman" w:eastAsia="Times New Roman" w:hAnsi="Times New Roman"/>
                <w:sz w:val="15"/>
                <w:szCs w:val="15"/>
                <w:b w:val="1"/>
                <w:bCs w:val="1"/>
                <w:color w:val="auto"/>
              </w:rPr>
              <w:t>$’000</w:t>
            </w:r>
          </w:p>
        </w:tc>
        <w:tc>
          <w:tcPr>
            <w:tcW w:w="1000" w:type="dxa"/>
            <w:vAlign w:val="bottom"/>
          </w:tcPr>
          <w:p>
            <w:pPr>
              <w:jc w:val="right"/>
              <w:ind w:right="145"/>
              <w:spacing w:after="0"/>
              <w:rPr>
                <w:sz w:val="20"/>
                <w:szCs w:val="20"/>
                <w:color w:val="auto"/>
              </w:rPr>
            </w:pPr>
            <w:r>
              <w:rPr>
                <w:rFonts w:ascii="Times New Roman" w:cs="Times New Roman" w:eastAsia="Times New Roman" w:hAnsi="Times New Roman"/>
                <w:sz w:val="15"/>
                <w:szCs w:val="15"/>
                <w:b w:val="1"/>
                <w:bCs w:val="1"/>
                <w:color w:val="auto"/>
              </w:rPr>
              <w:t>$’000</w:t>
            </w:r>
          </w:p>
        </w:tc>
        <w:tc>
          <w:tcPr>
            <w:tcW w:w="1040" w:type="dxa"/>
            <w:vAlign w:val="bottom"/>
          </w:tcPr>
          <w:p>
            <w:pPr>
              <w:jc w:val="right"/>
              <w:ind w:right="145"/>
              <w:spacing w:after="0"/>
              <w:rPr>
                <w:sz w:val="20"/>
                <w:szCs w:val="20"/>
                <w:color w:val="auto"/>
              </w:rPr>
            </w:pPr>
            <w:r>
              <w:rPr>
                <w:rFonts w:ascii="Times New Roman" w:cs="Times New Roman" w:eastAsia="Times New Roman" w:hAnsi="Times New Roman"/>
                <w:sz w:val="15"/>
                <w:szCs w:val="15"/>
                <w:b w:val="1"/>
                <w:bCs w:val="1"/>
                <w:color w:val="auto"/>
              </w:rPr>
              <w:t>$’000</w:t>
            </w:r>
          </w:p>
        </w:tc>
        <w:tc>
          <w:tcPr>
            <w:tcW w:w="1000" w:type="dxa"/>
            <w:vAlign w:val="bottom"/>
          </w:tcPr>
          <w:p>
            <w:pPr>
              <w:jc w:val="right"/>
              <w:ind w:right="125"/>
              <w:spacing w:after="0"/>
              <w:rPr>
                <w:sz w:val="20"/>
                <w:szCs w:val="20"/>
                <w:color w:val="auto"/>
              </w:rPr>
            </w:pPr>
            <w:r>
              <w:rPr>
                <w:rFonts w:ascii="Times New Roman" w:cs="Times New Roman" w:eastAsia="Times New Roman" w:hAnsi="Times New Roman"/>
                <w:sz w:val="15"/>
                <w:szCs w:val="15"/>
                <w:b w:val="1"/>
                <w:bCs w:val="1"/>
                <w:color w:val="auto"/>
              </w:rPr>
              <w:t>$’000</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b w:val="1"/>
                <w:bCs w:val="1"/>
                <w:color w:val="auto"/>
              </w:rPr>
              <w:t>$’000</w:t>
            </w:r>
          </w:p>
        </w:tc>
        <w:tc>
          <w:tcPr>
            <w:tcW w:w="0" w:type="dxa"/>
            <w:vAlign w:val="bottom"/>
          </w:tcPr>
          <w:p>
            <w:pPr>
              <w:spacing w:after="0"/>
              <w:rPr>
                <w:sz w:val="1"/>
                <w:szCs w:val="1"/>
                <w:color w:val="auto"/>
              </w:rPr>
            </w:pPr>
          </w:p>
        </w:tc>
      </w:tr>
      <w:tr>
        <w:trPr>
          <w:trHeight w:val="145"/>
        </w:trPr>
        <w:tc>
          <w:tcPr>
            <w:tcW w:w="20" w:type="dxa"/>
            <w:vAlign w:val="bottom"/>
            <w:vMerge w:val="restart"/>
          </w:tcPr>
          <w:p>
            <w:pPr>
              <w:spacing w:after="0"/>
              <w:rPr>
                <w:sz w:val="12"/>
                <w:szCs w:val="12"/>
                <w:color w:val="auto"/>
              </w:rPr>
            </w:pPr>
          </w:p>
        </w:tc>
        <w:tc>
          <w:tcPr>
            <w:tcW w:w="23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34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Balance at 1 January 2015</w:t>
            </w:r>
          </w:p>
        </w:tc>
        <w:tc>
          <w:tcPr>
            <w:tcW w:w="1160" w:type="dxa"/>
            <w:vAlign w:val="bottom"/>
            <w:shd w:val="clear" w:color="auto" w:fill="CCEEFF"/>
          </w:tcPr>
          <w:p>
            <w:pPr>
              <w:jc w:val="right"/>
              <w:ind w:right="205"/>
              <w:spacing w:after="0" w:line="162" w:lineRule="exact"/>
              <w:rPr>
                <w:sz w:val="20"/>
                <w:szCs w:val="20"/>
                <w:color w:val="auto"/>
              </w:rPr>
            </w:pPr>
            <w:r>
              <w:rPr>
                <w:rFonts w:ascii="Times New Roman" w:cs="Times New Roman" w:eastAsia="Times New Roman" w:hAnsi="Times New Roman"/>
                <w:sz w:val="15"/>
                <w:szCs w:val="15"/>
                <w:color w:val="auto"/>
              </w:rPr>
              <w:t>60,106,780</w:t>
            </w:r>
          </w:p>
        </w:tc>
        <w:tc>
          <w:tcPr>
            <w:tcW w:w="960" w:type="dxa"/>
            <w:vAlign w:val="bottom"/>
            <w:shd w:val="clear" w:color="auto" w:fill="CCEEFF"/>
          </w:tcPr>
          <w:p>
            <w:pPr>
              <w:jc w:val="right"/>
              <w:ind w:right="145"/>
              <w:spacing w:after="0" w:line="162" w:lineRule="exact"/>
              <w:rPr>
                <w:sz w:val="20"/>
                <w:szCs w:val="20"/>
                <w:color w:val="auto"/>
              </w:rPr>
            </w:pPr>
            <w:r>
              <w:rPr>
                <w:rFonts w:ascii="Times New Roman" w:cs="Times New Roman" w:eastAsia="Times New Roman" w:hAnsi="Times New Roman"/>
                <w:sz w:val="15"/>
                <w:szCs w:val="15"/>
                <w:color w:val="auto"/>
              </w:rPr>
              <w:t>5,037</w:t>
            </w:r>
          </w:p>
        </w:tc>
        <w:tc>
          <w:tcPr>
            <w:tcW w:w="940" w:type="dxa"/>
            <w:vAlign w:val="bottom"/>
            <w:shd w:val="clear" w:color="auto" w:fill="CCEEFF"/>
          </w:tcPr>
          <w:p>
            <w:pPr>
              <w:jc w:val="right"/>
              <w:ind w:right="65"/>
              <w:spacing w:after="0" w:line="162" w:lineRule="exact"/>
              <w:rPr>
                <w:sz w:val="20"/>
                <w:szCs w:val="20"/>
                <w:color w:val="auto"/>
              </w:rPr>
            </w:pPr>
            <w:r>
              <w:rPr>
                <w:rFonts w:ascii="Times New Roman" w:cs="Times New Roman" w:eastAsia="Times New Roman" w:hAnsi="Times New Roman"/>
                <w:sz w:val="15"/>
                <w:szCs w:val="15"/>
                <w:color w:val="auto"/>
              </w:rPr>
              <w:t>221,965</w:t>
            </w:r>
          </w:p>
        </w:tc>
        <w:tc>
          <w:tcPr>
            <w:tcW w:w="1000" w:type="dxa"/>
            <w:vAlign w:val="bottom"/>
            <w:shd w:val="clear" w:color="auto" w:fill="CCEEFF"/>
          </w:tcPr>
          <w:p>
            <w:pPr>
              <w:jc w:val="right"/>
              <w:ind w:right="25"/>
              <w:spacing w:after="0" w:line="162" w:lineRule="exact"/>
              <w:rPr>
                <w:sz w:val="20"/>
                <w:szCs w:val="20"/>
                <w:color w:val="auto"/>
              </w:rPr>
            </w:pPr>
            <w:r>
              <w:rPr>
                <w:rFonts w:ascii="Times New Roman" w:cs="Times New Roman" w:eastAsia="Times New Roman" w:hAnsi="Times New Roman"/>
                <w:sz w:val="15"/>
                <w:szCs w:val="15"/>
                <w:color w:val="auto"/>
              </w:rPr>
              <w:t>305</w:t>
            </w:r>
          </w:p>
        </w:tc>
        <w:tc>
          <w:tcPr>
            <w:tcW w:w="1160" w:type="dxa"/>
            <w:vAlign w:val="bottom"/>
            <w:shd w:val="clear" w:color="auto" w:fill="CCEEFF"/>
          </w:tcPr>
          <w:p>
            <w:pPr>
              <w:jc w:val="right"/>
              <w:ind w:right="165"/>
              <w:spacing w:after="0" w:line="162" w:lineRule="exact"/>
              <w:rPr>
                <w:sz w:val="20"/>
                <w:szCs w:val="20"/>
                <w:color w:val="auto"/>
              </w:rPr>
            </w:pPr>
            <w:r>
              <w:rPr>
                <w:rFonts w:ascii="Times New Roman" w:cs="Times New Roman" w:eastAsia="Times New Roman" w:hAnsi="Times New Roman"/>
                <w:sz w:val="15"/>
                <w:szCs w:val="15"/>
                <w:color w:val="auto"/>
              </w:rPr>
              <w:t>58,614</w:t>
            </w:r>
          </w:p>
        </w:tc>
        <w:tc>
          <w:tcPr>
            <w:tcW w:w="1000" w:type="dxa"/>
            <w:vAlign w:val="bottom"/>
            <w:shd w:val="clear" w:color="auto" w:fill="CCEEFF"/>
          </w:tcPr>
          <w:p>
            <w:pPr>
              <w:jc w:val="right"/>
              <w:ind w:right="145"/>
              <w:spacing w:after="0" w:line="162" w:lineRule="exact"/>
              <w:rPr>
                <w:sz w:val="20"/>
                <w:szCs w:val="20"/>
                <w:color w:val="auto"/>
              </w:rPr>
            </w:pPr>
            <w:r>
              <w:rPr>
                <w:rFonts w:ascii="Times New Roman" w:cs="Times New Roman" w:eastAsia="Times New Roman" w:hAnsi="Times New Roman"/>
                <w:sz w:val="15"/>
                <w:szCs w:val="15"/>
                <w:color w:val="auto"/>
              </w:rPr>
              <w:t>6,071</w:t>
            </w:r>
          </w:p>
        </w:tc>
        <w:tc>
          <w:tcPr>
            <w:tcW w:w="1040" w:type="dxa"/>
            <w:vAlign w:val="bottom"/>
            <w:shd w:val="clear" w:color="auto" w:fill="CCEEFF"/>
          </w:tcPr>
          <w:p>
            <w:pPr>
              <w:jc w:val="right"/>
              <w:ind w:right="145"/>
              <w:spacing w:after="0" w:line="162" w:lineRule="exact"/>
              <w:rPr>
                <w:sz w:val="20"/>
                <w:szCs w:val="20"/>
                <w:color w:val="auto"/>
              </w:rPr>
            </w:pPr>
            <w:r>
              <w:rPr>
                <w:rFonts w:ascii="Times New Roman" w:cs="Times New Roman" w:eastAsia="Times New Roman" w:hAnsi="Times New Roman"/>
                <w:sz w:val="15"/>
                <w:szCs w:val="15"/>
                <w:color w:val="auto"/>
              </w:rPr>
              <w:t>(59,038)</w:t>
            </w:r>
          </w:p>
        </w:tc>
        <w:tc>
          <w:tcPr>
            <w:tcW w:w="1000" w:type="dxa"/>
            <w:vAlign w:val="bottom"/>
            <w:shd w:val="clear" w:color="auto" w:fill="CCEEFF"/>
          </w:tcPr>
          <w:p>
            <w:pPr>
              <w:jc w:val="right"/>
              <w:ind w:right="125"/>
              <w:spacing w:after="0" w:line="162" w:lineRule="exact"/>
              <w:rPr>
                <w:sz w:val="20"/>
                <w:szCs w:val="20"/>
                <w:color w:val="auto"/>
              </w:rPr>
            </w:pPr>
            <w:r>
              <w:rPr>
                <w:rFonts w:ascii="Times New Roman" w:cs="Times New Roman" w:eastAsia="Times New Roman" w:hAnsi="Times New Roman"/>
                <w:sz w:val="15"/>
                <w:szCs w:val="15"/>
                <w:color w:val="auto"/>
              </w:rPr>
              <w:t>368,553</w:t>
            </w:r>
          </w:p>
        </w:tc>
        <w:tc>
          <w:tcPr>
            <w:tcW w:w="8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601,507</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2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0" w:type="dxa"/>
            <w:vAlign w:val="bottom"/>
            <w:vMerge w:val="continue"/>
          </w:tcPr>
          <w:p>
            <w:pPr>
              <w:spacing w:after="0"/>
              <w:rPr>
                <w:sz w:val="12"/>
                <w:szCs w:val="12"/>
                <w:color w:val="auto"/>
              </w:rPr>
            </w:pPr>
          </w:p>
        </w:tc>
        <w:tc>
          <w:tcPr>
            <w:tcW w:w="234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5"/>
                <w:szCs w:val="15"/>
                <w:b w:val="1"/>
                <w:bCs w:val="1"/>
                <w:color w:val="auto"/>
              </w:rPr>
              <w:t>Total comprehensive income for</w:t>
            </w:r>
          </w:p>
        </w:tc>
        <w:tc>
          <w:tcPr>
            <w:tcW w:w="11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the year</w:t>
            </w:r>
          </w:p>
        </w:tc>
        <w:tc>
          <w:tcPr>
            <w:tcW w:w="1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34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Profit for the year</w:t>
            </w:r>
          </w:p>
        </w:tc>
        <w:tc>
          <w:tcPr>
            <w:tcW w:w="1160" w:type="dxa"/>
            <w:vAlign w:val="bottom"/>
          </w:tcPr>
          <w:p>
            <w:pPr>
              <w:jc w:val="right"/>
              <w:ind w:right="205"/>
              <w:spacing w:after="0" w:line="162" w:lineRule="exact"/>
              <w:rPr>
                <w:sz w:val="20"/>
                <w:szCs w:val="20"/>
                <w:color w:val="auto"/>
              </w:rPr>
            </w:pPr>
            <w:r>
              <w:rPr>
                <w:rFonts w:ascii="Times New Roman" w:cs="Times New Roman" w:eastAsia="Times New Roman" w:hAnsi="Times New Roman"/>
                <w:sz w:val="15"/>
                <w:szCs w:val="15"/>
                <w:color w:val="auto"/>
              </w:rPr>
              <w:t>-</w:t>
            </w:r>
          </w:p>
        </w:tc>
        <w:tc>
          <w:tcPr>
            <w:tcW w:w="960" w:type="dxa"/>
            <w:vAlign w:val="bottom"/>
          </w:tcPr>
          <w:p>
            <w:pPr>
              <w:jc w:val="right"/>
              <w:ind w:right="145"/>
              <w:spacing w:after="0" w:line="162" w:lineRule="exact"/>
              <w:rPr>
                <w:sz w:val="20"/>
                <w:szCs w:val="20"/>
                <w:color w:val="auto"/>
              </w:rPr>
            </w:pPr>
            <w:r>
              <w:rPr>
                <w:rFonts w:ascii="Times New Roman" w:cs="Times New Roman" w:eastAsia="Times New Roman" w:hAnsi="Times New Roman"/>
                <w:sz w:val="15"/>
                <w:szCs w:val="15"/>
                <w:color w:val="auto"/>
              </w:rPr>
              <w:t>-</w:t>
            </w:r>
          </w:p>
        </w:tc>
        <w:tc>
          <w:tcPr>
            <w:tcW w:w="940" w:type="dxa"/>
            <w:vAlign w:val="bottom"/>
          </w:tcPr>
          <w:p>
            <w:pPr>
              <w:jc w:val="right"/>
              <w:ind w:right="65"/>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0" w:type="dxa"/>
            <w:vAlign w:val="bottom"/>
          </w:tcPr>
          <w:p>
            <w:pPr>
              <w:jc w:val="right"/>
              <w:ind w:right="25"/>
              <w:spacing w:after="0" w:line="162" w:lineRule="exact"/>
              <w:rPr>
                <w:sz w:val="20"/>
                <w:szCs w:val="20"/>
                <w:color w:val="auto"/>
              </w:rPr>
            </w:pPr>
            <w:r>
              <w:rPr>
                <w:rFonts w:ascii="Times New Roman" w:cs="Times New Roman" w:eastAsia="Times New Roman" w:hAnsi="Times New Roman"/>
                <w:sz w:val="15"/>
                <w:szCs w:val="15"/>
                <w:color w:val="auto"/>
              </w:rPr>
              <w:t>-</w:t>
            </w:r>
          </w:p>
        </w:tc>
        <w:tc>
          <w:tcPr>
            <w:tcW w:w="1160" w:type="dxa"/>
            <w:vAlign w:val="bottom"/>
          </w:tcPr>
          <w:p>
            <w:pPr>
              <w:jc w:val="right"/>
              <w:ind w:right="165"/>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0" w:type="dxa"/>
            <w:vAlign w:val="bottom"/>
          </w:tcPr>
          <w:p>
            <w:pPr>
              <w:jc w:val="right"/>
              <w:ind w:right="145"/>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jc w:val="right"/>
              <w:ind w:right="145"/>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0" w:type="dxa"/>
            <w:vAlign w:val="bottom"/>
          </w:tcPr>
          <w:p>
            <w:pPr>
              <w:jc w:val="right"/>
              <w:ind w:right="125"/>
              <w:spacing w:after="0" w:line="162" w:lineRule="exact"/>
              <w:rPr>
                <w:sz w:val="20"/>
                <w:szCs w:val="20"/>
                <w:color w:val="auto"/>
              </w:rPr>
            </w:pPr>
            <w:r>
              <w:rPr>
                <w:rFonts w:ascii="Times New Roman" w:cs="Times New Roman" w:eastAsia="Times New Roman" w:hAnsi="Times New Roman"/>
                <w:sz w:val="15"/>
                <w:szCs w:val="15"/>
                <w:color w:val="auto"/>
              </w:rPr>
              <w:t>357,096</w:t>
            </w:r>
          </w:p>
        </w:tc>
        <w:tc>
          <w:tcPr>
            <w:tcW w:w="8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357,096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34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b w:val="1"/>
                <w:bCs w:val="1"/>
                <w:color w:val="auto"/>
              </w:rPr>
              <w:t>Other comprehensive income</w:t>
            </w:r>
          </w:p>
        </w:tc>
        <w:tc>
          <w:tcPr>
            <w:tcW w:w="1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tcPr>
          <w:p>
            <w:pPr>
              <w:spacing w:after="0" w:line="162" w:lineRule="exact"/>
              <w:rPr>
                <w:sz w:val="20"/>
                <w:szCs w:val="20"/>
                <w:color w:val="auto"/>
              </w:rPr>
            </w:pPr>
            <w:r>
              <w:rPr>
                <w:rFonts w:ascii="Times New Roman" w:cs="Times New Roman" w:eastAsia="Times New Roman" w:hAnsi="Times New Roman"/>
                <w:sz w:val="15"/>
                <w:szCs w:val="15"/>
                <w:color w:val="auto"/>
              </w:rPr>
              <w:t>Foreign currency translation</w:t>
            </w:r>
          </w:p>
        </w:tc>
        <w:tc>
          <w:tcPr>
            <w:tcW w:w="1160" w:type="dxa"/>
            <w:vAlign w:val="bottom"/>
            <w:tcBorders>
              <w:bottom w:val="single" w:sz="8" w:color="auto"/>
            </w:tcBorders>
          </w:tcPr>
          <w:p>
            <w:pPr>
              <w:jc w:val="right"/>
              <w:ind w:right="205"/>
              <w:spacing w:after="0" w:line="162" w:lineRule="exact"/>
              <w:rPr>
                <w:sz w:val="20"/>
                <w:szCs w:val="20"/>
                <w:color w:val="auto"/>
              </w:rPr>
            </w:pPr>
            <w:r>
              <w:rPr>
                <w:rFonts w:ascii="Times New Roman" w:cs="Times New Roman" w:eastAsia="Times New Roman" w:hAnsi="Times New Roman"/>
                <w:sz w:val="15"/>
                <w:szCs w:val="15"/>
                <w:color w:val="auto"/>
              </w:rPr>
              <w:t>-</w:t>
            </w:r>
          </w:p>
        </w:tc>
        <w:tc>
          <w:tcPr>
            <w:tcW w:w="960" w:type="dxa"/>
            <w:vAlign w:val="bottom"/>
            <w:tcBorders>
              <w:bottom w:val="single" w:sz="8" w:color="auto"/>
            </w:tcBorders>
          </w:tcPr>
          <w:p>
            <w:pPr>
              <w:jc w:val="right"/>
              <w:ind w:right="145"/>
              <w:spacing w:after="0" w:line="162" w:lineRule="exact"/>
              <w:rPr>
                <w:sz w:val="20"/>
                <w:szCs w:val="20"/>
                <w:color w:val="auto"/>
              </w:rPr>
            </w:pPr>
            <w:r>
              <w:rPr>
                <w:rFonts w:ascii="Times New Roman" w:cs="Times New Roman" w:eastAsia="Times New Roman" w:hAnsi="Times New Roman"/>
                <w:sz w:val="15"/>
                <w:szCs w:val="15"/>
                <w:color w:val="auto"/>
              </w:rPr>
              <w:t>-</w:t>
            </w:r>
          </w:p>
        </w:tc>
        <w:tc>
          <w:tcPr>
            <w:tcW w:w="940" w:type="dxa"/>
            <w:vAlign w:val="bottom"/>
            <w:tcBorders>
              <w:bottom w:val="single" w:sz="8" w:color="auto"/>
            </w:tcBorders>
          </w:tcPr>
          <w:p>
            <w:pPr>
              <w:jc w:val="right"/>
              <w:ind w:right="65"/>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bottom w:val="single" w:sz="8" w:color="auto"/>
            </w:tcBorders>
          </w:tcPr>
          <w:p>
            <w:pPr>
              <w:jc w:val="right"/>
              <w:ind w:right="25"/>
              <w:spacing w:after="0" w:line="162" w:lineRule="exact"/>
              <w:rPr>
                <w:sz w:val="20"/>
                <w:szCs w:val="20"/>
                <w:color w:val="auto"/>
              </w:rPr>
            </w:pPr>
            <w:r>
              <w:rPr>
                <w:rFonts w:ascii="Times New Roman" w:cs="Times New Roman" w:eastAsia="Times New Roman" w:hAnsi="Times New Roman"/>
                <w:sz w:val="15"/>
                <w:szCs w:val="15"/>
                <w:color w:val="auto"/>
              </w:rPr>
              <w:t>-</w:t>
            </w:r>
          </w:p>
        </w:tc>
        <w:tc>
          <w:tcPr>
            <w:tcW w:w="1160" w:type="dxa"/>
            <w:vAlign w:val="bottom"/>
            <w:tcBorders>
              <w:bottom w:val="single" w:sz="8" w:color="auto"/>
            </w:tcBorders>
          </w:tcPr>
          <w:p>
            <w:pPr>
              <w:jc w:val="right"/>
              <w:ind w:right="165"/>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bottom w:val="single" w:sz="8" w:color="auto"/>
            </w:tcBorders>
          </w:tcPr>
          <w:p>
            <w:pPr>
              <w:jc w:val="right"/>
              <w:ind w:right="145"/>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40" w:type="dxa"/>
            <w:vAlign w:val="bottom"/>
            <w:tcBorders>
              <w:bottom w:val="single" w:sz="8" w:color="auto"/>
            </w:tcBorders>
          </w:tcPr>
          <w:p>
            <w:pPr>
              <w:jc w:val="right"/>
              <w:ind w:right="145"/>
              <w:spacing w:after="0" w:line="162" w:lineRule="exact"/>
              <w:rPr>
                <w:sz w:val="20"/>
                <w:szCs w:val="20"/>
                <w:color w:val="auto"/>
              </w:rPr>
            </w:pPr>
            <w:r>
              <w:rPr>
                <w:rFonts w:ascii="Times New Roman" w:cs="Times New Roman" w:eastAsia="Times New Roman" w:hAnsi="Times New Roman"/>
                <w:sz w:val="15"/>
                <w:szCs w:val="15"/>
                <w:color w:val="auto"/>
              </w:rPr>
              <w:t>(57,031)</w:t>
            </w:r>
          </w:p>
        </w:tc>
        <w:tc>
          <w:tcPr>
            <w:tcW w:w="1000" w:type="dxa"/>
            <w:vAlign w:val="bottom"/>
            <w:tcBorders>
              <w:bottom w:val="single" w:sz="8" w:color="auto"/>
            </w:tcBorders>
          </w:tcPr>
          <w:p>
            <w:pPr>
              <w:jc w:val="right"/>
              <w:ind w:right="125"/>
              <w:spacing w:after="0" w:line="162" w:lineRule="exact"/>
              <w:rPr>
                <w:sz w:val="20"/>
                <w:szCs w:val="20"/>
                <w:color w:val="auto"/>
              </w:rPr>
            </w:pPr>
            <w:r>
              <w:rPr>
                <w:rFonts w:ascii="Times New Roman" w:cs="Times New Roman" w:eastAsia="Times New Roman" w:hAnsi="Times New Roman"/>
                <w:sz w:val="15"/>
                <w:szCs w:val="15"/>
                <w:color w:val="auto"/>
              </w:rPr>
              <w:t>-</w:t>
            </w:r>
          </w:p>
        </w:tc>
        <w:tc>
          <w:tcPr>
            <w:tcW w:w="80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(57,031)</w:t>
            </w: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23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Borders>
              <w:bottom w:val="single" w:sz="8" w:color="auto"/>
            </w:tcBorders>
            <w:vMerge w:val="continue"/>
          </w:tcPr>
          <w:p>
            <w:pPr>
              <w:spacing w:after="0"/>
              <w:rPr>
                <w:sz w:val="14"/>
                <w:szCs w:val="14"/>
                <w:color w:val="auto"/>
              </w:rPr>
            </w:pPr>
          </w:p>
        </w:tc>
        <w:tc>
          <w:tcPr>
            <w:tcW w:w="2340" w:type="dxa"/>
            <w:vAlign w:val="bottom"/>
            <w:tcBorders>
              <w:bottom w:val="single" w:sz="8" w:color="auto"/>
            </w:tcBorders>
          </w:tcPr>
          <w:p>
            <w:pPr>
              <w:spacing w:after="0" w:line="162" w:lineRule="exact"/>
              <w:rPr>
                <w:sz w:val="20"/>
                <w:szCs w:val="20"/>
                <w:color w:val="auto"/>
              </w:rPr>
            </w:pPr>
            <w:r>
              <w:rPr>
                <w:rFonts w:ascii="Times New Roman" w:cs="Times New Roman" w:eastAsia="Times New Roman" w:hAnsi="Times New Roman"/>
                <w:sz w:val="15"/>
                <w:szCs w:val="15"/>
                <w:color w:val="auto"/>
              </w:rPr>
              <w:t>Total other comprehensive income</w:t>
            </w:r>
          </w:p>
        </w:tc>
        <w:tc>
          <w:tcPr>
            <w:tcW w:w="1160" w:type="dxa"/>
            <w:vAlign w:val="bottom"/>
            <w:tcBorders>
              <w:bottom w:val="single" w:sz="8" w:color="auto"/>
            </w:tcBorders>
          </w:tcPr>
          <w:p>
            <w:pPr>
              <w:jc w:val="right"/>
              <w:ind w:right="205"/>
              <w:spacing w:after="0" w:line="162" w:lineRule="exact"/>
              <w:rPr>
                <w:sz w:val="20"/>
                <w:szCs w:val="20"/>
                <w:color w:val="auto"/>
              </w:rPr>
            </w:pPr>
            <w:r>
              <w:rPr>
                <w:rFonts w:ascii="Times New Roman" w:cs="Times New Roman" w:eastAsia="Times New Roman" w:hAnsi="Times New Roman"/>
                <w:sz w:val="15"/>
                <w:szCs w:val="15"/>
                <w:color w:val="auto"/>
              </w:rPr>
              <w:t>-</w:t>
            </w:r>
          </w:p>
        </w:tc>
        <w:tc>
          <w:tcPr>
            <w:tcW w:w="960" w:type="dxa"/>
            <w:vAlign w:val="bottom"/>
            <w:tcBorders>
              <w:bottom w:val="single" w:sz="8" w:color="auto"/>
            </w:tcBorders>
          </w:tcPr>
          <w:p>
            <w:pPr>
              <w:jc w:val="right"/>
              <w:ind w:right="145"/>
              <w:spacing w:after="0" w:line="162" w:lineRule="exact"/>
              <w:rPr>
                <w:sz w:val="20"/>
                <w:szCs w:val="20"/>
                <w:color w:val="auto"/>
              </w:rPr>
            </w:pPr>
            <w:r>
              <w:rPr>
                <w:rFonts w:ascii="Times New Roman" w:cs="Times New Roman" w:eastAsia="Times New Roman" w:hAnsi="Times New Roman"/>
                <w:sz w:val="15"/>
                <w:szCs w:val="15"/>
                <w:color w:val="auto"/>
              </w:rPr>
              <w:t>-</w:t>
            </w:r>
          </w:p>
        </w:tc>
        <w:tc>
          <w:tcPr>
            <w:tcW w:w="940" w:type="dxa"/>
            <w:vAlign w:val="bottom"/>
            <w:tcBorders>
              <w:bottom w:val="single" w:sz="8" w:color="auto"/>
            </w:tcBorders>
          </w:tcPr>
          <w:p>
            <w:pPr>
              <w:jc w:val="right"/>
              <w:ind w:right="65"/>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bottom w:val="single" w:sz="8" w:color="auto"/>
            </w:tcBorders>
          </w:tcPr>
          <w:p>
            <w:pPr>
              <w:jc w:val="right"/>
              <w:ind w:right="25"/>
              <w:spacing w:after="0" w:line="162" w:lineRule="exact"/>
              <w:rPr>
                <w:sz w:val="20"/>
                <w:szCs w:val="20"/>
                <w:color w:val="auto"/>
              </w:rPr>
            </w:pPr>
            <w:r>
              <w:rPr>
                <w:rFonts w:ascii="Times New Roman" w:cs="Times New Roman" w:eastAsia="Times New Roman" w:hAnsi="Times New Roman"/>
                <w:sz w:val="15"/>
                <w:szCs w:val="15"/>
                <w:color w:val="auto"/>
              </w:rPr>
              <w:t>-</w:t>
            </w:r>
          </w:p>
        </w:tc>
        <w:tc>
          <w:tcPr>
            <w:tcW w:w="1160" w:type="dxa"/>
            <w:vAlign w:val="bottom"/>
            <w:tcBorders>
              <w:bottom w:val="single" w:sz="8" w:color="auto"/>
            </w:tcBorders>
          </w:tcPr>
          <w:p>
            <w:pPr>
              <w:jc w:val="right"/>
              <w:ind w:right="165"/>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bottom w:val="single" w:sz="8" w:color="auto"/>
            </w:tcBorders>
          </w:tcPr>
          <w:p>
            <w:pPr>
              <w:jc w:val="right"/>
              <w:ind w:right="145"/>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40" w:type="dxa"/>
            <w:vAlign w:val="bottom"/>
            <w:tcBorders>
              <w:bottom w:val="single" w:sz="8" w:color="auto"/>
            </w:tcBorders>
          </w:tcPr>
          <w:p>
            <w:pPr>
              <w:jc w:val="right"/>
              <w:ind w:right="145"/>
              <w:spacing w:after="0" w:line="162" w:lineRule="exact"/>
              <w:rPr>
                <w:sz w:val="20"/>
                <w:szCs w:val="20"/>
                <w:color w:val="auto"/>
              </w:rPr>
            </w:pPr>
            <w:r>
              <w:rPr>
                <w:rFonts w:ascii="Times New Roman" w:cs="Times New Roman" w:eastAsia="Times New Roman" w:hAnsi="Times New Roman"/>
                <w:sz w:val="15"/>
                <w:szCs w:val="15"/>
                <w:color w:val="auto"/>
              </w:rPr>
              <w:t>(57,031)</w:t>
            </w:r>
          </w:p>
        </w:tc>
        <w:tc>
          <w:tcPr>
            <w:tcW w:w="1000" w:type="dxa"/>
            <w:vAlign w:val="bottom"/>
            <w:tcBorders>
              <w:bottom w:val="single" w:sz="8" w:color="auto"/>
            </w:tcBorders>
          </w:tcPr>
          <w:p>
            <w:pPr>
              <w:jc w:val="right"/>
              <w:ind w:right="125"/>
              <w:spacing w:after="0" w:line="162" w:lineRule="exact"/>
              <w:rPr>
                <w:sz w:val="20"/>
                <w:szCs w:val="20"/>
                <w:color w:val="auto"/>
              </w:rPr>
            </w:pPr>
            <w:r>
              <w:rPr>
                <w:rFonts w:ascii="Times New Roman" w:cs="Times New Roman" w:eastAsia="Times New Roman" w:hAnsi="Times New Roman"/>
                <w:sz w:val="15"/>
                <w:szCs w:val="15"/>
                <w:color w:val="auto"/>
              </w:rPr>
              <w:t>-</w:t>
            </w:r>
          </w:p>
        </w:tc>
        <w:tc>
          <w:tcPr>
            <w:tcW w:w="80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(57,031)</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23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20" w:type="dxa"/>
            <w:vAlign w:val="bottom"/>
            <w:vMerge w:val="continue"/>
          </w:tcPr>
          <w:p>
            <w:pPr>
              <w:spacing w:after="0"/>
              <w:rPr>
                <w:sz w:val="12"/>
                <w:szCs w:val="12"/>
                <w:color w:val="auto"/>
              </w:rPr>
            </w:pPr>
          </w:p>
        </w:tc>
        <w:tc>
          <w:tcPr>
            <w:tcW w:w="2340" w:type="dxa"/>
            <w:vAlign w:val="bottom"/>
          </w:tcPr>
          <w:p>
            <w:pPr>
              <w:spacing w:after="0" w:line="148" w:lineRule="exact"/>
              <w:rPr>
                <w:sz w:val="20"/>
                <w:szCs w:val="20"/>
                <w:color w:val="auto"/>
              </w:rPr>
            </w:pPr>
            <w:r>
              <w:rPr>
                <w:rFonts w:ascii="Times New Roman" w:cs="Times New Roman" w:eastAsia="Times New Roman" w:hAnsi="Times New Roman"/>
                <w:sz w:val="15"/>
                <w:szCs w:val="15"/>
                <w:color w:val="auto"/>
              </w:rPr>
              <w:t>Total comprehensive income for</w:t>
            </w:r>
          </w:p>
        </w:tc>
        <w:tc>
          <w:tcPr>
            <w:tcW w:w="1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3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5"/>
                <w:szCs w:val="15"/>
                <w:color w:val="auto"/>
              </w:rPr>
              <w:t>the year</w:t>
            </w:r>
          </w:p>
        </w:tc>
        <w:tc>
          <w:tcPr>
            <w:tcW w:w="1160" w:type="dxa"/>
            <w:vAlign w:val="bottom"/>
            <w:tcBorders>
              <w:bottom w:val="single" w:sz="8" w:color="auto"/>
            </w:tcBorders>
          </w:tcPr>
          <w:p>
            <w:pPr>
              <w:jc w:val="right"/>
              <w:ind w:right="205"/>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tcBorders>
              <w:bottom w:val="single" w:sz="8" w:color="auto"/>
            </w:tcBorders>
          </w:tcPr>
          <w:p>
            <w:pPr>
              <w:jc w:val="right"/>
              <w:ind w:right="145"/>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Borders>
              <w:bottom w:val="single" w:sz="8" w:color="auto"/>
            </w:tcBorders>
          </w:tcPr>
          <w:p>
            <w:pPr>
              <w:jc w:val="right"/>
              <w:ind w:right="65"/>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tcBorders>
              <w:bottom w:val="single" w:sz="8" w:color="auto"/>
            </w:tcBorders>
          </w:tcPr>
          <w:p>
            <w:pPr>
              <w:jc w:val="right"/>
              <w:ind w:right="165"/>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bottom w:val="single" w:sz="8" w:color="auto"/>
            </w:tcBorders>
          </w:tcPr>
          <w:p>
            <w:pPr>
              <w:jc w:val="right"/>
              <w:ind w:right="145"/>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Borders>
              <w:bottom w:val="single" w:sz="8" w:color="auto"/>
            </w:tcBorders>
          </w:tcPr>
          <w:p>
            <w:pPr>
              <w:jc w:val="right"/>
              <w:ind w:right="145"/>
              <w:spacing w:after="0"/>
              <w:rPr>
                <w:sz w:val="20"/>
                <w:szCs w:val="20"/>
                <w:color w:val="auto"/>
              </w:rPr>
            </w:pPr>
            <w:r>
              <w:rPr>
                <w:rFonts w:ascii="Times New Roman" w:cs="Times New Roman" w:eastAsia="Times New Roman" w:hAnsi="Times New Roman"/>
                <w:sz w:val="15"/>
                <w:szCs w:val="15"/>
                <w:color w:val="auto"/>
              </w:rPr>
              <w:t>(57,031)</w:t>
            </w:r>
          </w:p>
        </w:tc>
        <w:tc>
          <w:tcPr>
            <w:tcW w:w="1000" w:type="dxa"/>
            <w:vAlign w:val="bottom"/>
            <w:tcBorders>
              <w:bottom w:val="single" w:sz="8" w:color="auto"/>
            </w:tcBorders>
          </w:tcPr>
          <w:p>
            <w:pPr>
              <w:jc w:val="right"/>
              <w:ind w:right="125"/>
              <w:spacing w:after="0"/>
              <w:rPr>
                <w:sz w:val="20"/>
                <w:szCs w:val="20"/>
                <w:color w:val="auto"/>
              </w:rPr>
            </w:pPr>
            <w:r>
              <w:rPr>
                <w:rFonts w:ascii="Times New Roman" w:cs="Times New Roman" w:eastAsia="Times New Roman" w:hAnsi="Times New Roman"/>
                <w:sz w:val="15"/>
                <w:szCs w:val="15"/>
                <w:color w:val="auto"/>
              </w:rPr>
              <w:t>357,096</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300,065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23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0" w:type="dxa"/>
            <w:vAlign w:val="bottom"/>
            <w:vMerge w:val="continue"/>
          </w:tcPr>
          <w:p>
            <w:pPr>
              <w:spacing w:after="0"/>
              <w:rPr>
                <w:sz w:val="12"/>
                <w:szCs w:val="12"/>
                <w:color w:val="auto"/>
              </w:rPr>
            </w:pPr>
          </w:p>
        </w:tc>
        <w:tc>
          <w:tcPr>
            <w:tcW w:w="2340" w:type="dxa"/>
            <w:vAlign w:val="bottom"/>
          </w:tcPr>
          <w:p>
            <w:pPr>
              <w:spacing w:after="0" w:line="144" w:lineRule="exact"/>
              <w:rPr>
                <w:sz w:val="20"/>
                <w:szCs w:val="20"/>
                <w:color w:val="auto"/>
              </w:rPr>
            </w:pPr>
            <w:r>
              <w:rPr>
                <w:rFonts w:ascii="Times New Roman" w:cs="Times New Roman" w:eastAsia="Times New Roman" w:hAnsi="Times New Roman"/>
                <w:sz w:val="15"/>
                <w:szCs w:val="15"/>
                <w:b w:val="1"/>
                <w:bCs w:val="1"/>
                <w:color w:val="auto"/>
              </w:rPr>
              <w:t>Transactions with owners,</w:t>
            </w:r>
          </w:p>
        </w:tc>
        <w:tc>
          <w:tcPr>
            <w:tcW w:w="1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36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recorded directly in equity</w:t>
            </w:r>
          </w:p>
        </w:tc>
        <w:tc>
          <w:tcPr>
            <w:tcW w:w="1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34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Exercise of share options</w:t>
            </w:r>
          </w:p>
        </w:tc>
        <w:tc>
          <w:tcPr>
            <w:tcW w:w="1160" w:type="dxa"/>
            <w:vAlign w:val="bottom"/>
            <w:shd w:val="clear" w:color="auto" w:fill="CCEEFF"/>
          </w:tcPr>
          <w:p>
            <w:pPr>
              <w:jc w:val="right"/>
              <w:ind w:right="205"/>
              <w:spacing w:after="0" w:line="162" w:lineRule="exact"/>
              <w:rPr>
                <w:sz w:val="20"/>
                <w:szCs w:val="20"/>
                <w:color w:val="auto"/>
              </w:rPr>
            </w:pPr>
            <w:r>
              <w:rPr>
                <w:rFonts w:ascii="Times New Roman" w:cs="Times New Roman" w:eastAsia="Times New Roman" w:hAnsi="Times New Roman"/>
                <w:sz w:val="15"/>
                <w:szCs w:val="15"/>
                <w:color w:val="auto"/>
              </w:rPr>
              <w:t>773,753</w:t>
            </w:r>
          </w:p>
        </w:tc>
        <w:tc>
          <w:tcPr>
            <w:tcW w:w="960" w:type="dxa"/>
            <w:vAlign w:val="bottom"/>
            <w:shd w:val="clear" w:color="auto" w:fill="CCEEFF"/>
          </w:tcPr>
          <w:p>
            <w:pPr>
              <w:jc w:val="right"/>
              <w:ind w:right="145"/>
              <w:spacing w:after="0" w:line="162" w:lineRule="exact"/>
              <w:rPr>
                <w:sz w:val="20"/>
                <w:szCs w:val="20"/>
                <w:color w:val="auto"/>
              </w:rPr>
            </w:pPr>
            <w:r>
              <w:rPr>
                <w:rFonts w:ascii="Times New Roman" w:cs="Times New Roman" w:eastAsia="Times New Roman" w:hAnsi="Times New Roman"/>
                <w:sz w:val="15"/>
                <w:szCs w:val="15"/>
                <w:color w:val="auto"/>
              </w:rPr>
              <w:t>52</w:t>
            </w:r>
          </w:p>
        </w:tc>
        <w:tc>
          <w:tcPr>
            <w:tcW w:w="940" w:type="dxa"/>
            <w:vAlign w:val="bottom"/>
            <w:shd w:val="clear" w:color="auto" w:fill="CCEEFF"/>
          </w:tcPr>
          <w:p>
            <w:pPr>
              <w:jc w:val="right"/>
              <w:ind w:right="65"/>
              <w:spacing w:after="0" w:line="162" w:lineRule="exact"/>
              <w:rPr>
                <w:sz w:val="20"/>
                <w:szCs w:val="20"/>
                <w:color w:val="auto"/>
              </w:rPr>
            </w:pPr>
            <w:r>
              <w:rPr>
                <w:rFonts w:ascii="Times New Roman" w:cs="Times New Roman" w:eastAsia="Times New Roman" w:hAnsi="Times New Roman"/>
                <w:sz w:val="15"/>
                <w:szCs w:val="15"/>
                <w:color w:val="auto"/>
              </w:rPr>
              <w:t>20,929</w:t>
            </w:r>
          </w:p>
        </w:tc>
        <w:tc>
          <w:tcPr>
            <w:tcW w:w="1000" w:type="dxa"/>
            <w:vAlign w:val="bottom"/>
            <w:shd w:val="clear" w:color="auto" w:fill="CCEEFF"/>
          </w:tcPr>
          <w:p>
            <w:pPr>
              <w:jc w:val="right"/>
              <w:ind w:right="25"/>
              <w:spacing w:after="0" w:line="162" w:lineRule="exact"/>
              <w:rPr>
                <w:sz w:val="20"/>
                <w:szCs w:val="20"/>
                <w:color w:val="auto"/>
              </w:rPr>
            </w:pPr>
            <w:r>
              <w:rPr>
                <w:rFonts w:ascii="Times New Roman" w:cs="Times New Roman" w:eastAsia="Times New Roman" w:hAnsi="Times New Roman"/>
                <w:sz w:val="15"/>
                <w:szCs w:val="15"/>
                <w:color w:val="auto"/>
              </w:rPr>
              <w:t>-</w:t>
            </w:r>
          </w:p>
        </w:tc>
        <w:tc>
          <w:tcPr>
            <w:tcW w:w="1160" w:type="dxa"/>
            <w:vAlign w:val="bottom"/>
            <w:shd w:val="clear" w:color="auto" w:fill="CCEEFF"/>
          </w:tcPr>
          <w:p>
            <w:pPr>
              <w:jc w:val="right"/>
              <w:ind w:right="165"/>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ind w:right="145"/>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CEEFF"/>
          </w:tcPr>
          <w:p>
            <w:pPr>
              <w:jc w:val="right"/>
              <w:ind w:right="145"/>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ind w:right="125"/>
              <w:spacing w:after="0" w:line="162" w:lineRule="exact"/>
              <w:rPr>
                <w:sz w:val="20"/>
                <w:szCs w:val="20"/>
                <w:color w:val="auto"/>
              </w:rPr>
            </w:pPr>
            <w:r>
              <w:rPr>
                <w:rFonts w:ascii="Times New Roman" w:cs="Times New Roman" w:eastAsia="Times New Roman" w:hAnsi="Times New Roman"/>
                <w:sz w:val="15"/>
                <w:szCs w:val="15"/>
                <w:color w:val="auto"/>
              </w:rPr>
              <w:t>-</w:t>
            </w:r>
          </w:p>
        </w:tc>
        <w:tc>
          <w:tcPr>
            <w:tcW w:w="8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20,981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34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Share-based payment</w:t>
            </w:r>
          </w:p>
        </w:tc>
        <w:tc>
          <w:tcPr>
            <w:tcW w:w="1160" w:type="dxa"/>
            <w:vAlign w:val="bottom"/>
          </w:tcPr>
          <w:p>
            <w:pPr>
              <w:jc w:val="right"/>
              <w:ind w:right="205"/>
              <w:spacing w:after="0" w:line="162" w:lineRule="exact"/>
              <w:rPr>
                <w:sz w:val="20"/>
                <w:szCs w:val="20"/>
                <w:color w:val="auto"/>
              </w:rPr>
            </w:pPr>
            <w:r>
              <w:rPr>
                <w:rFonts w:ascii="Times New Roman" w:cs="Times New Roman" w:eastAsia="Times New Roman" w:hAnsi="Times New Roman"/>
                <w:sz w:val="15"/>
                <w:szCs w:val="15"/>
                <w:color w:val="auto"/>
              </w:rPr>
              <w:t>-</w:t>
            </w:r>
          </w:p>
        </w:tc>
        <w:tc>
          <w:tcPr>
            <w:tcW w:w="960" w:type="dxa"/>
            <w:vAlign w:val="bottom"/>
          </w:tcPr>
          <w:p>
            <w:pPr>
              <w:jc w:val="right"/>
              <w:ind w:right="145"/>
              <w:spacing w:after="0" w:line="162" w:lineRule="exact"/>
              <w:rPr>
                <w:sz w:val="20"/>
                <w:szCs w:val="20"/>
                <w:color w:val="auto"/>
              </w:rPr>
            </w:pPr>
            <w:r>
              <w:rPr>
                <w:rFonts w:ascii="Times New Roman" w:cs="Times New Roman" w:eastAsia="Times New Roman" w:hAnsi="Times New Roman"/>
                <w:sz w:val="15"/>
                <w:szCs w:val="15"/>
                <w:color w:val="auto"/>
              </w:rPr>
              <w:t>-</w:t>
            </w:r>
          </w:p>
        </w:tc>
        <w:tc>
          <w:tcPr>
            <w:tcW w:w="940" w:type="dxa"/>
            <w:vAlign w:val="bottom"/>
          </w:tcPr>
          <w:p>
            <w:pPr>
              <w:jc w:val="right"/>
              <w:ind w:right="65"/>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0" w:type="dxa"/>
            <w:vAlign w:val="bottom"/>
          </w:tcPr>
          <w:p>
            <w:pPr>
              <w:jc w:val="right"/>
              <w:ind w:right="25"/>
              <w:spacing w:after="0" w:line="162" w:lineRule="exact"/>
              <w:rPr>
                <w:sz w:val="20"/>
                <w:szCs w:val="20"/>
                <w:color w:val="auto"/>
              </w:rPr>
            </w:pPr>
            <w:r>
              <w:rPr>
                <w:rFonts w:ascii="Times New Roman" w:cs="Times New Roman" w:eastAsia="Times New Roman" w:hAnsi="Times New Roman"/>
                <w:sz w:val="15"/>
                <w:szCs w:val="15"/>
                <w:color w:val="auto"/>
              </w:rPr>
              <w:t>-</w:t>
            </w:r>
          </w:p>
        </w:tc>
        <w:tc>
          <w:tcPr>
            <w:tcW w:w="1160" w:type="dxa"/>
            <w:vAlign w:val="bottom"/>
          </w:tcPr>
          <w:p>
            <w:pPr>
              <w:jc w:val="right"/>
              <w:ind w:right="165"/>
              <w:spacing w:after="0" w:line="162" w:lineRule="exact"/>
              <w:rPr>
                <w:sz w:val="20"/>
                <w:szCs w:val="20"/>
                <w:color w:val="auto"/>
              </w:rPr>
            </w:pPr>
            <w:r>
              <w:rPr>
                <w:rFonts w:ascii="Times New Roman" w:cs="Times New Roman" w:eastAsia="Times New Roman" w:hAnsi="Times New Roman"/>
                <w:sz w:val="15"/>
                <w:szCs w:val="15"/>
                <w:color w:val="auto"/>
              </w:rPr>
              <w:t>33,187</w:t>
            </w:r>
          </w:p>
        </w:tc>
        <w:tc>
          <w:tcPr>
            <w:tcW w:w="1000" w:type="dxa"/>
            <w:vAlign w:val="bottom"/>
          </w:tcPr>
          <w:p>
            <w:pPr>
              <w:jc w:val="right"/>
              <w:ind w:right="145"/>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jc w:val="right"/>
              <w:ind w:right="145"/>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0" w:type="dxa"/>
            <w:vAlign w:val="bottom"/>
          </w:tcPr>
          <w:p>
            <w:pPr>
              <w:jc w:val="right"/>
              <w:ind w:right="125"/>
              <w:spacing w:after="0" w:line="162" w:lineRule="exact"/>
              <w:rPr>
                <w:sz w:val="20"/>
                <w:szCs w:val="20"/>
                <w:color w:val="auto"/>
              </w:rPr>
            </w:pPr>
            <w:r>
              <w:rPr>
                <w:rFonts w:ascii="Times New Roman" w:cs="Times New Roman" w:eastAsia="Times New Roman" w:hAnsi="Times New Roman"/>
                <w:sz w:val="15"/>
                <w:szCs w:val="15"/>
                <w:color w:val="auto"/>
              </w:rPr>
              <w:t>-</w:t>
            </w:r>
          </w:p>
        </w:tc>
        <w:tc>
          <w:tcPr>
            <w:tcW w:w="8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33,187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340" w:type="dxa"/>
            <w:vAlign w:val="bottom"/>
            <w:shd w:val="clear" w:color="auto" w:fill="CCEEFF"/>
          </w:tcPr>
          <w:p>
            <w:pPr>
              <w:spacing w:after="0" w:line="148" w:lineRule="exact"/>
              <w:rPr>
                <w:sz w:val="20"/>
                <w:szCs w:val="20"/>
                <w:color w:val="auto"/>
              </w:rPr>
            </w:pPr>
            <w:r>
              <w:rPr>
                <w:rFonts w:ascii="Times New Roman" w:cs="Times New Roman" w:eastAsia="Times New Roman" w:hAnsi="Times New Roman"/>
                <w:sz w:val="15"/>
                <w:szCs w:val="15"/>
                <w:color w:val="auto"/>
              </w:rPr>
              <w:t>Issue of shares arising from issue of</w:t>
            </w:r>
          </w:p>
        </w:tc>
        <w:tc>
          <w:tcPr>
            <w:tcW w:w="11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restricted share units</w:t>
            </w:r>
          </w:p>
        </w:tc>
        <w:tc>
          <w:tcPr>
            <w:tcW w:w="1160" w:type="dxa"/>
            <w:vAlign w:val="bottom"/>
            <w:shd w:val="clear" w:color="auto" w:fill="CCEEFF"/>
          </w:tcPr>
          <w:p>
            <w:pPr>
              <w:jc w:val="right"/>
              <w:ind w:right="205"/>
              <w:spacing w:after="0"/>
              <w:rPr>
                <w:sz w:val="20"/>
                <w:szCs w:val="20"/>
                <w:color w:val="auto"/>
              </w:rPr>
            </w:pPr>
            <w:r>
              <w:rPr>
                <w:rFonts w:ascii="Times New Roman" w:cs="Times New Roman" w:eastAsia="Times New Roman" w:hAnsi="Times New Roman"/>
                <w:sz w:val="15"/>
                <w:szCs w:val="15"/>
                <w:color w:val="auto"/>
              </w:rPr>
              <w:t>276,860</w:t>
            </w:r>
          </w:p>
        </w:tc>
        <w:tc>
          <w:tcPr>
            <w:tcW w:w="960" w:type="dxa"/>
            <w:vAlign w:val="bottom"/>
            <w:shd w:val="clear" w:color="auto" w:fill="CCEEFF"/>
          </w:tcPr>
          <w:p>
            <w:pPr>
              <w:jc w:val="right"/>
              <w:ind w:right="145"/>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shd w:val="clear" w:color="auto" w:fill="CCEEFF"/>
          </w:tcPr>
          <w:p>
            <w:pPr>
              <w:jc w:val="right"/>
              <w:ind w:right="65"/>
              <w:spacing w:after="0"/>
              <w:rPr>
                <w:sz w:val="20"/>
                <w:szCs w:val="20"/>
                <w:color w:val="auto"/>
              </w:rPr>
            </w:pPr>
            <w:r>
              <w:rPr>
                <w:rFonts w:ascii="Times New Roman" w:cs="Times New Roman" w:eastAsia="Times New Roman" w:hAnsi="Times New Roman"/>
                <w:sz w:val="15"/>
                <w:szCs w:val="15"/>
                <w:color w:val="auto"/>
              </w:rPr>
              <w:t>18</w:t>
            </w:r>
          </w:p>
        </w:tc>
        <w:tc>
          <w:tcPr>
            <w:tcW w:w="100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shd w:val="clear" w:color="auto" w:fill="CCEEFF"/>
          </w:tcPr>
          <w:p>
            <w:pPr>
              <w:jc w:val="right"/>
              <w:ind w:right="165"/>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ind w:right="145"/>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CEEFF"/>
          </w:tcPr>
          <w:p>
            <w:pPr>
              <w:jc w:val="right"/>
              <w:ind w:right="145"/>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ind w:right="125"/>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34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Share issue costs</w:t>
            </w:r>
          </w:p>
        </w:tc>
        <w:tc>
          <w:tcPr>
            <w:tcW w:w="1160" w:type="dxa"/>
            <w:vAlign w:val="bottom"/>
          </w:tcPr>
          <w:p>
            <w:pPr>
              <w:jc w:val="right"/>
              <w:ind w:right="205"/>
              <w:spacing w:after="0" w:line="162" w:lineRule="exact"/>
              <w:rPr>
                <w:sz w:val="20"/>
                <w:szCs w:val="20"/>
                <w:color w:val="auto"/>
              </w:rPr>
            </w:pPr>
            <w:r>
              <w:rPr>
                <w:rFonts w:ascii="Times New Roman" w:cs="Times New Roman" w:eastAsia="Times New Roman" w:hAnsi="Times New Roman"/>
                <w:sz w:val="15"/>
                <w:szCs w:val="15"/>
                <w:color w:val="auto"/>
              </w:rPr>
              <w:t>-</w:t>
            </w:r>
          </w:p>
        </w:tc>
        <w:tc>
          <w:tcPr>
            <w:tcW w:w="960" w:type="dxa"/>
            <w:vAlign w:val="bottom"/>
          </w:tcPr>
          <w:p>
            <w:pPr>
              <w:jc w:val="right"/>
              <w:ind w:right="145"/>
              <w:spacing w:after="0" w:line="162" w:lineRule="exact"/>
              <w:rPr>
                <w:sz w:val="20"/>
                <w:szCs w:val="20"/>
                <w:color w:val="auto"/>
              </w:rPr>
            </w:pPr>
            <w:r>
              <w:rPr>
                <w:rFonts w:ascii="Times New Roman" w:cs="Times New Roman" w:eastAsia="Times New Roman" w:hAnsi="Times New Roman"/>
                <w:sz w:val="15"/>
                <w:szCs w:val="15"/>
                <w:color w:val="auto"/>
              </w:rPr>
              <w:t>-</w:t>
            </w:r>
          </w:p>
        </w:tc>
        <w:tc>
          <w:tcPr>
            <w:tcW w:w="940" w:type="dxa"/>
            <w:vAlign w:val="bottom"/>
          </w:tcPr>
          <w:p>
            <w:pPr>
              <w:jc w:val="right"/>
              <w:ind w:right="65"/>
              <w:spacing w:after="0" w:line="162" w:lineRule="exact"/>
              <w:rPr>
                <w:sz w:val="20"/>
                <w:szCs w:val="20"/>
                <w:color w:val="auto"/>
              </w:rPr>
            </w:pPr>
            <w:r>
              <w:rPr>
                <w:rFonts w:ascii="Times New Roman" w:cs="Times New Roman" w:eastAsia="Times New Roman" w:hAnsi="Times New Roman"/>
                <w:sz w:val="15"/>
                <w:szCs w:val="15"/>
                <w:color w:val="auto"/>
              </w:rPr>
              <w:t>(8)</w:t>
            </w:r>
          </w:p>
        </w:tc>
        <w:tc>
          <w:tcPr>
            <w:tcW w:w="1000" w:type="dxa"/>
            <w:vAlign w:val="bottom"/>
          </w:tcPr>
          <w:p>
            <w:pPr>
              <w:jc w:val="right"/>
              <w:ind w:right="25"/>
              <w:spacing w:after="0" w:line="162" w:lineRule="exact"/>
              <w:rPr>
                <w:sz w:val="20"/>
                <w:szCs w:val="20"/>
                <w:color w:val="auto"/>
              </w:rPr>
            </w:pPr>
            <w:r>
              <w:rPr>
                <w:rFonts w:ascii="Times New Roman" w:cs="Times New Roman" w:eastAsia="Times New Roman" w:hAnsi="Times New Roman"/>
                <w:sz w:val="15"/>
                <w:szCs w:val="15"/>
                <w:color w:val="auto"/>
              </w:rPr>
              <w:t>-</w:t>
            </w:r>
          </w:p>
        </w:tc>
        <w:tc>
          <w:tcPr>
            <w:tcW w:w="1160" w:type="dxa"/>
            <w:vAlign w:val="bottom"/>
          </w:tcPr>
          <w:p>
            <w:pPr>
              <w:jc w:val="right"/>
              <w:ind w:right="165"/>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0" w:type="dxa"/>
            <w:vAlign w:val="bottom"/>
          </w:tcPr>
          <w:p>
            <w:pPr>
              <w:jc w:val="right"/>
              <w:ind w:right="145"/>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jc w:val="right"/>
              <w:ind w:right="145"/>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0" w:type="dxa"/>
            <w:vAlign w:val="bottom"/>
          </w:tcPr>
          <w:p>
            <w:pPr>
              <w:jc w:val="right"/>
              <w:ind w:right="125"/>
              <w:spacing w:after="0" w:line="162" w:lineRule="exact"/>
              <w:rPr>
                <w:sz w:val="20"/>
                <w:szCs w:val="20"/>
                <w:color w:val="auto"/>
              </w:rPr>
            </w:pPr>
            <w:r>
              <w:rPr>
                <w:rFonts w:ascii="Times New Roman" w:cs="Times New Roman" w:eastAsia="Times New Roman" w:hAnsi="Times New Roman"/>
                <w:sz w:val="15"/>
                <w:szCs w:val="15"/>
                <w:color w:val="auto"/>
              </w:rPr>
              <w:t>-</w:t>
            </w:r>
          </w:p>
        </w:tc>
        <w:tc>
          <w:tcPr>
            <w:tcW w:w="8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34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Repurchase of ordinary shares</w:t>
            </w:r>
          </w:p>
        </w:tc>
        <w:tc>
          <w:tcPr>
            <w:tcW w:w="1160" w:type="dxa"/>
            <w:vAlign w:val="bottom"/>
            <w:shd w:val="clear" w:color="auto" w:fill="CCEEFF"/>
          </w:tcPr>
          <w:p>
            <w:pPr>
              <w:jc w:val="right"/>
              <w:ind w:right="205"/>
              <w:spacing w:after="0" w:line="162" w:lineRule="exact"/>
              <w:rPr>
                <w:sz w:val="20"/>
                <w:szCs w:val="20"/>
                <w:color w:val="auto"/>
              </w:rPr>
            </w:pPr>
            <w:r>
              <w:rPr>
                <w:rFonts w:ascii="Times New Roman" w:cs="Times New Roman" w:eastAsia="Times New Roman" w:hAnsi="Times New Roman"/>
                <w:sz w:val="15"/>
                <w:szCs w:val="15"/>
                <w:color w:val="auto"/>
              </w:rPr>
              <w:t>(6,198,481)</w:t>
            </w:r>
          </w:p>
        </w:tc>
        <w:tc>
          <w:tcPr>
            <w:tcW w:w="960" w:type="dxa"/>
            <w:vAlign w:val="bottom"/>
            <w:shd w:val="clear" w:color="auto" w:fill="CCEEFF"/>
          </w:tcPr>
          <w:p>
            <w:pPr>
              <w:jc w:val="right"/>
              <w:ind w:right="145"/>
              <w:spacing w:after="0" w:line="162" w:lineRule="exact"/>
              <w:rPr>
                <w:sz w:val="20"/>
                <w:szCs w:val="20"/>
                <w:color w:val="auto"/>
              </w:rPr>
            </w:pPr>
            <w:r>
              <w:rPr>
                <w:rFonts w:ascii="Times New Roman" w:cs="Times New Roman" w:eastAsia="Times New Roman" w:hAnsi="Times New Roman"/>
                <w:sz w:val="15"/>
                <w:szCs w:val="15"/>
                <w:color w:val="auto"/>
              </w:rPr>
              <w:t>(410)</w:t>
            </w:r>
          </w:p>
        </w:tc>
        <w:tc>
          <w:tcPr>
            <w:tcW w:w="940" w:type="dxa"/>
            <w:vAlign w:val="bottom"/>
            <w:shd w:val="clear" w:color="auto" w:fill="CCEEFF"/>
          </w:tcPr>
          <w:p>
            <w:pPr>
              <w:jc w:val="right"/>
              <w:ind w:right="65"/>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ind w:right="25"/>
              <w:spacing w:after="0" w:line="162" w:lineRule="exact"/>
              <w:rPr>
                <w:sz w:val="20"/>
                <w:szCs w:val="20"/>
                <w:color w:val="auto"/>
              </w:rPr>
            </w:pPr>
            <w:r>
              <w:rPr>
                <w:rFonts w:ascii="Times New Roman" w:cs="Times New Roman" w:eastAsia="Times New Roman" w:hAnsi="Times New Roman"/>
                <w:sz w:val="15"/>
                <w:szCs w:val="15"/>
                <w:color w:val="auto"/>
              </w:rPr>
              <w:t>410</w:t>
            </w:r>
          </w:p>
        </w:tc>
        <w:tc>
          <w:tcPr>
            <w:tcW w:w="1160" w:type="dxa"/>
            <w:vAlign w:val="bottom"/>
            <w:shd w:val="clear" w:color="auto" w:fill="CCEEFF"/>
          </w:tcPr>
          <w:p>
            <w:pPr>
              <w:jc w:val="right"/>
              <w:ind w:right="165"/>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ind w:right="145"/>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CEEFF"/>
          </w:tcPr>
          <w:p>
            <w:pPr>
              <w:jc w:val="right"/>
              <w:ind w:right="145"/>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ind w:right="125"/>
              <w:spacing w:after="0" w:line="162" w:lineRule="exact"/>
              <w:rPr>
                <w:sz w:val="20"/>
                <w:szCs w:val="20"/>
                <w:color w:val="auto"/>
              </w:rPr>
            </w:pPr>
            <w:r>
              <w:rPr>
                <w:rFonts w:ascii="Times New Roman" w:cs="Times New Roman" w:eastAsia="Times New Roman" w:hAnsi="Times New Roman"/>
                <w:sz w:val="15"/>
                <w:szCs w:val="15"/>
                <w:color w:val="auto"/>
              </w:rPr>
              <w:t>(457,892)</w:t>
            </w:r>
          </w:p>
        </w:tc>
        <w:tc>
          <w:tcPr>
            <w:tcW w:w="8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(457,892)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34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Share repurchase costs</w:t>
            </w:r>
          </w:p>
        </w:tc>
        <w:tc>
          <w:tcPr>
            <w:tcW w:w="1160" w:type="dxa"/>
            <w:vAlign w:val="bottom"/>
          </w:tcPr>
          <w:p>
            <w:pPr>
              <w:jc w:val="right"/>
              <w:ind w:right="205"/>
              <w:spacing w:after="0" w:line="162" w:lineRule="exact"/>
              <w:rPr>
                <w:sz w:val="20"/>
                <w:szCs w:val="20"/>
                <w:color w:val="auto"/>
              </w:rPr>
            </w:pPr>
            <w:r>
              <w:rPr>
                <w:rFonts w:ascii="Times New Roman" w:cs="Times New Roman" w:eastAsia="Times New Roman" w:hAnsi="Times New Roman"/>
                <w:sz w:val="15"/>
                <w:szCs w:val="15"/>
                <w:color w:val="auto"/>
              </w:rPr>
              <w:t>-</w:t>
            </w:r>
          </w:p>
        </w:tc>
        <w:tc>
          <w:tcPr>
            <w:tcW w:w="960" w:type="dxa"/>
            <w:vAlign w:val="bottom"/>
          </w:tcPr>
          <w:p>
            <w:pPr>
              <w:jc w:val="right"/>
              <w:ind w:right="145"/>
              <w:spacing w:after="0" w:line="162" w:lineRule="exact"/>
              <w:rPr>
                <w:sz w:val="20"/>
                <w:szCs w:val="20"/>
                <w:color w:val="auto"/>
              </w:rPr>
            </w:pPr>
            <w:r>
              <w:rPr>
                <w:rFonts w:ascii="Times New Roman" w:cs="Times New Roman" w:eastAsia="Times New Roman" w:hAnsi="Times New Roman"/>
                <w:sz w:val="15"/>
                <w:szCs w:val="15"/>
                <w:color w:val="auto"/>
              </w:rPr>
              <w:t>-</w:t>
            </w:r>
          </w:p>
        </w:tc>
        <w:tc>
          <w:tcPr>
            <w:tcW w:w="940" w:type="dxa"/>
            <w:vAlign w:val="bottom"/>
          </w:tcPr>
          <w:p>
            <w:pPr>
              <w:jc w:val="right"/>
              <w:ind w:right="65"/>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0" w:type="dxa"/>
            <w:vAlign w:val="bottom"/>
          </w:tcPr>
          <w:p>
            <w:pPr>
              <w:jc w:val="right"/>
              <w:ind w:right="25"/>
              <w:spacing w:after="0" w:line="162" w:lineRule="exact"/>
              <w:rPr>
                <w:sz w:val="20"/>
                <w:szCs w:val="20"/>
                <w:color w:val="auto"/>
              </w:rPr>
            </w:pPr>
            <w:r>
              <w:rPr>
                <w:rFonts w:ascii="Times New Roman" w:cs="Times New Roman" w:eastAsia="Times New Roman" w:hAnsi="Times New Roman"/>
                <w:sz w:val="15"/>
                <w:szCs w:val="15"/>
                <w:color w:val="auto"/>
              </w:rPr>
              <w:t>-</w:t>
            </w:r>
          </w:p>
        </w:tc>
        <w:tc>
          <w:tcPr>
            <w:tcW w:w="1160" w:type="dxa"/>
            <w:vAlign w:val="bottom"/>
          </w:tcPr>
          <w:p>
            <w:pPr>
              <w:jc w:val="right"/>
              <w:ind w:right="165"/>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0" w:type="dxa"/>
            <w:vAlign w:val="bottom"/>
          </w:tcPr>
          <w:p>
            <w:pPr>
              <w:jc w:val="right"/>
              <w:ind w:right="145"/>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jc w:val="right"/>
              <w:ind w:right="145"/>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0" w:type="dxa"/>
            <w:vAlign w:val="bottom"/>
          </w:tcPr>
          <w:p>
            <w:pPr>
              <w:jc w:val="right"/>
              <w:ind w:right="125"/>
              <w:spacing w:after="0" w:line="162" w:lineRule="exact"/>
              <w:rPr>
                <w:sz w:val="20"/>
                <w:szCs w:val="20"/>
                <w:color w:val="auto"/>
              </w:rPr>
            </w:pPr>
            <w:r>
              <w:rPr>
                <w:rFonts w:ascii="Times New Roman" w:cs="Times New Roman" w:eastAsia="Times New Roman" w:hAnsi="Times New Roman"/>
                <w:sz w:val="15"/>
                <w:szCs w:val="15"/>
                <w:color w:val="auto"/>
              </w:rPr>
              <w:t>(889)</w:t>
            </w:r>
          </w:p>
        </w:tc>
        <w:tc>
          <w:tcPr>
            <w:tcW w:w="8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(889)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340" w:type="dxa"/>
            <w:vAlign w:val="bottom"/>
            <w:shd w:val="clear" w:color="auto" w:fill="CCEEFF"/>
          </w:tcPr>
          <w:p>
            <w:pPr>
              <w:spacing w:after="0" w:line="148" w:lineRule="exact"/>
              <w:rPr>
                <w:sz w:val="20"/>
                <w:szCs w:val="20"/>
                <w:color w:val="auto"/>
              </w:rPr>
            </w:pPr>
            <w:r>
              <w:rPr>
                <w:rFonts w:ascii="Times New Roman" w:cs="Times New Roman" w:eastAsia="Times New Roman" w:hAnsi="Times New Roman"/>
                <w:sz w:val="15"/>
                <w:szCs w:val="15"/>
                <w:color w:val="auto"/>
              </w:rPr>
              <w:t>Transfer of exercised and expired</w:t>
            </w:r>
          </w:p>
        </w:tc>
        <w:tc>
          <w:tcPr>
            <w:tcW w:w="11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23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share–based awards</w:t>
            </w:r>
          </w:p>
        </w:tc>
        <w:tc>
          <w:tcPr>
            <w:tcW w:w="1160" w:type="dxa"/>
            <w:vAlign w:val="bottom"/>
            <w:tcBorders>
              <w:bottom w:val="single" w:sz="8" w:color="auto"/>
            </w:tcBorders>
            <w:shd w:val="clear" w:color="auto" w:fill="CCEEFF"/>
          </w:tcPr>
          <w:p>
            <w:pPr>
              <w:jc w:val="right"/>
              <w:ind w:right="205"/>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tcBorders>
              <w:bottom w:val="single" w:sz="8" w:color="auto"/>
            </w:tcBorders>
            <w:shd w:val="clear" w:color="auto" w:fill="CCEEFF"/>
          </w:tcPr>
          <w:p>
            <w:pPr>
              <w:jc w:val="right"/>
              <w:ind w:right="145"/>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Borders>
              <w:bottom w:val="single" w:sz="8" w:color="auto"/>
            </w:tcBorders>
            <w:shd w:val="clear" w:color="auto" w:fill="CCEEFF"/>
          </w:tcPr>
          <w:p>
            <w:pPr>
              <w:jc w:val="right"/>
              <w:ind w:right="65"/>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bottom w:val="single" w:sz="8" w:color="auto"/>
            </w:tcBorders>
            <w:shd w:val="clear" w:color="auto" w:fill="CCEEFF"/>
          </w:tcPr>
          <w:p>
            <w:pPr>
              <w:jc w:val="right"/>
              <w:ind w:right="25"/>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tcBorders>
              <w:bottom w:val="single" w:sz="8" w:color="auto"/>
            </w:tcBorders>
            <w:shd w:val="clear" w:color="auto" w:fill="CCEEFF"/>
          </w:tcPr>
          <w:p>
            <w:pPr>
              <w:jc w:val="right"/>
              <w:ind w:right="165"/>
              <w:spacing w:after="0"/>
              <w:rPr>
                <w:sz w:val="20"/>
                <w:szCs w:val="20"/>
                <w:color w:val="auto"/>
              </w:rPr>
            </w:pPr>
            <w:r>
              <w:rPr>
                <w:rFonts w:ascii="Times New Roman" w:cs="Times New Roman" w:eastAsia="Times New Roman" w:hAnsi="Times New Roman"/>
                <w:sz w:val="15"/>
                <w:szCs w:val="15"/>
                <w:color w:val="auto"/>
              </w:rPr>
              <w:t>(8,020)</w:t>
            </w:r>
          </w:p>
        </w:tc>
        <w:tc>
          <w:tcPr>
            <w:tcW w:w="1000" w:type="dxa"/>
            <w:vAlign w:val="bottom"/>
            <w:tcBorders>
              <w:bottom w:val="single" w:sz="8" w:color="auto"/>
            </w:tcBorders>
            <w:shd w:val="clear" w:color="auto" w:fill="CCEEFF"/>
          </w:tcPr>
          <w:p>
            <w:pPr>
              <w:jc w:val="right"/>
              <w:ind w:right="145"/>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Borders>
              <w:bottom w:val="single" w:sz="8" w:color="auto"/>
            </w:tcBorders>
            <w:shd w:val="clear" w:color="auto" w:fill="CCEEFF"/>
          </w:tcPr>
          <w:p>
            <w:pPr>
              <w:jc w:val="right"/>
              <w:ind w:right="145"/>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bottom w:val="single" w:sz="8" w:color="auto"/>
            </w:tcBorders>
            <w:shd w:val="clear" w:color="auto" w:fill="CCEEFF"/>
          </w:tcPr>
          <w:p>
            <w:pPr>
              <w:jc w:val="right"/>
              <w:ind w:right="125"/>
              <w:spacing w:after="0"/>
              <w:rPr>
                <w:sz w:val="20"/>
                <w:szCs w:val="20"/>
                <w:color w:val="auto"/>
              </w:rPr>
            </w:pPr>
            <w:r>
              <w:rPr>
                <w:rFonts w:ascii="Times New Roman" w:cs="Times New Roman" w:eastAsia="Times New Roman" w:hAnsi="Times New Roman"/>
                <w:sz w:val="15"/>
                <w:szCs w:val="15"/>
                <w:color w:val="auto"/>
              </w:rPr>
              <w:t>8,020</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2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20" w:type="dxa"/>
            <w:vAlign w:val="bottom"/>
            <w:vMerge w:val="continue"/>
          </w:tcPr>
          <w:p>
            <w:pPr>
              <w:spacing w:after="0"/>
              <w:rPr>
                <w:sz w:val="12"/>
                <w:szCs w:val="12"/>
                <w:color w:val="auto"/>
              </w:rPr>
            </w:pPr>
          </w:p>
        </w:tc>
        <w:tc>
          <w:tcPr>
            <w:tcW w:w="2340" w:type="dxa"/>
            <w:vAlign w:val="bottom"/>
            <w:shd w:val="clear" w:color="auto" w:fill="CCEEFF"/>
          </w:tcPr>
          <w:p>
            <w:pPr>
              <w:spacing w:after="0" w:line="148" w:lineRule="exact"/>
              <w:rPr>
                <w:sz w:val="20"/>
                <w:szCs w:val="20"/>
                <w:color w:val="auto"/>
              </w:rPr>
            </w:pPr>
            <w:r>
              <w:rPr>
                <w:rFonts w:ascii="Times New Roman" w:cs="Times New Roman" w:eastAsia="Times New Roman" w:hAnsi="Times New Roman"/>
                <w:sz w:val="15"/>
                <w:szCs w:val="15"/>
                <w:color w:val="auto"/>
              </w:rPr>
              <w:t>Total contributions by and</w:t>
            </w:r>
          </w:p>
        </w:tc>
        <w:tc>
          <w:tcPr>
            <w:tcW w:w="11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23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distributions to owners</w:t>
            </w:r>
          </w:p>
        </w:tc>
        <w:tc>
          <w:tcPr>
            <w:tcW w:w="1160" w:type="dxa"/>
            <w:vAlign w:val="bottom"/>
            <w:tcBorders>
              <w:bottom w:val="single" w:sz="8" w:color="auto"/>
            </w:tcBorders>
            <w:shd w:val="clear" w:color="auto" w:fill="CCEEFF"/>
          </w:tcPr>
          <w:p>
            <w:pPr>
              <w:jc w:val="right"/>
              <w:ind w:right="205"/>
              <w:spacing w:after="0"/>
              <w:rPr>
                <w:sz w:val="20"/>
                <w:szCs w:val="20"/>
                <w:color w:val="auto"/>
              </w:rPr>
            </w:pPr>
            <w:r>
              <w:rPr>
                <w:rFonts w:ascii="Times New Roman" w:cs="Times New Roman" w:eastAsia="Times New Roman" w:hAnsi="Times New Roman"/>
                <w:sz w:val="15"/>
                <w:szCs w:val="15"/>
                <w:color w:val="auto"/>
              </w:rPr>
              <w:t>(5,147,868)</w:t>
            </w:r>
          </w:p>
        </w:tc>
        <w:tc>
          <w:tcPr>
            <w:tcW w:w="960" w:type="dxa"/>
            <w:vAlign w:val="bottom"/>
            <w:tcBorders>
              <w:bottom w:val="single" w:sz="8" w:color="auto"/>
            </w:tcBorders>
            <w:shd w:val="clear" w:color="auto" w:fill="CCEEFF"/>
          </w:tcPr>
          <w:p>
            <w:pPr>
              <w:jc w:val="right"/>
              <w:ind w:right="145"/>
              <w:spacing w:after="0"/>
              <w:rPr>
                <w:sz w:val="20"/>
                <w:szCs w:val="20"/>
                <w:color w:val="auto"/>
              </w:rPr>
            </w:pPr>
            <w:r>
              <w:rPr>
                <w:rFonts w:ascii="Times New Roman" w:cs="Times New Roman" w:eastAsia="Times New Roman" w:hAnsi="Times New Roman"/>
                <w:sz w:val="15"/>
                <w:szCs w:val="15"/>
                <w:color w:val="auto"/>
              </w:rPr>
              <w:t>(358)</w:t>
            </w:r>
          </w:p>
        </w:tc>
        <w:tc>
          <w:tcPr>
            <w:tcW w:w="940" w:type="dxa"/>
            <w:vAlign w:val="bottom"/>
            <w:tcBorders>
              <w:bottom w:val="single" w:sz="8" w:color="auto"/>
            </w:tcBorders>
            <w:shd w:val="clear" w:color="auto" w:fill="CCEEFF"/>
          </w:tcPr>
          <w:p>
            <w:pPr>
              <w:jc w:val="right"/>
              <w:ind w:right="65"/>
              <w:spacing w:after="0"/>
              <w:rPr>
                <w:sz w:val="20"/>
                <w:szCs w:val="20"/>
                <w:color w:val="auto"/>
              </w:rPr>
            </w:pPr>
            <w:r>
              <w:rPr>
                <w:rFonts w:ascii="Times New Roman" w:cs="Times New Roman" w:eastAsia="Times New Roman" w:hAnsi="Times New Roman"/>
                <w:sz w:val="15"/>
                <w:szCs w:val="15"/>
                <w:color w:val="auto"/>
              </w:rPr>
              <w:t>20,939</w:t>
            </w:r>
          </w:p>
        </w:tc>
        <w:tc>
          <w:tcPr>
            <w:tcW w:w="1000" w:type="dxa"/>
            <w:vAlign w:val="bottom"/>
            <w:tcBorders>
              <w:bottom w:val="single" w:sz="8" w:color="auto"/>
            </w:tcBorders>
            <w:shd w:val="clear" w:color="auto" w:fill="CCEEFF"/>
          </w:tcPr>
          <w:p>
            <w:pPr>
              <w:jc w:val="right"/>
              <w:ind w:right="25"/>
              <w:spacing w:after="0"/>
              <w:rPr>
                <w:sz w:val="20"/>
                <w:szCs w:val="20"/>
                <w:color w:val="auto"/>
              </w:rPr>
            </w:pPr>
            <w:r>
              <w:rPr>
                <w:rFonts w:ascii="Times New Roman" w:cs="Times New Roman" w:eastAsia="Times New Roman" w:hAnsi="Times New Roman"/>
                <w:sz w:val="15"/>
                <w:szCs w:val="15"/>
                <w:color w:val="auto"/>
              </w:rPr>
              <w:t>410</w:t>
            </w:r>
          </w:p>
        </w:tc>
        <w:tc>
          <w:tcPr>
            <w:tcW w:w="1160" w:type="dxa"/>
            <w:vAlign w:val="bottom"/>
            <w:tcBorders>
              <w:bottom w:val="single" w:sz="8" w:color="auto"/>
            </w:tcBorders>
            <w:shd w:val="clear" w:color="auto" w:fill="CCEEFF"/>
          </w:tcPr>
          <w:p>
            <w:pPr>
              <w:jc w:val="right"/>
              <w:ind w:right="165"/>
              <w:spacing w:after="0"/>
              <w:rPr>
                <w:sz w:val="20"/>
                <w:szCs w:val="20"/>
                <w:color w:val="auto"/>
              </w:rPr>
            </w:pPr>
            <w:r>
              <w:rPr>
                <w:rFonts w:ascii="Times New Roman" w:cs="Times New Roman" w:eastAsia="Times New Roman" w:hAnsi="Times New Roman"/>
                <w:sz w:val="15"/>
                <w:szCs w:val="15"/>
                <w:color w:val="auto"/>
              </w:rPr>
              <w:t>25,167</w:t>
            </w:r>
          </w:p>
        </w:tc>
        <w:tc>
          <w:tcPr>
            <w:tcW w:w="1000" w:type="dxa"/>
            <w:vAlign w:val="bottom"/>
            <w:tcBorders>
              <w:bottom w:val="single" w:sz="8" w:color="auto"/>
            </w:tcBorders>
            <w:shd w:val="clear" w:color="auto" w:fill="CCEEFF"/>
          </w:tcPr>
          <w:p>
            <w:pPr>
              <w:jc w:val="right"/>
              <w:ind w:right="145"/>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Borders>
              <w:bottom w:val="single" w:sz="8" w:color="auto"/>
            </w:tcBorders>
            <w:shd w:val="clear" w:color="auto" w:fill="CCEEFF"/>
          </w:tcPr>
          <w:p>
            <w:pPr>
              <w:jc w:val="right"/>
              <w:ind w:right="145"/>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bottom w:val="single" w:sz="8" w:color="auto"/>
            </w:tcBorders>
            <w:shd w:val="clear" w:color="auto" w:fill="CCEEFF"/>
          </w:tcPr>
          <w:p>
            <w:pPr>
              <w:jc w:val="right"/>
              <w:ind w:right="125"/>
              <w:spacing w:after="0"/>
              <w:rPr>
                <w:sz w:val="20"/>
                <w:szCs w:val="20"/>
                <w:color w:val="auto"/>
              </w:rPr>
            </w:pPr>
            <w:r>
              <w:rPr>
                <w:rFonts w:ascii="Times New Roman" w:cs="Times New Roman" w:eastAsia="Times New Roman" w:hAnsi="Times New Roman"/>
                <w:sz w:val="15"/>
                <w:szCs w:val="15"/>
                <w:color w:val="auto"/>
              </w:rPr>
              <w:t>(450,761)</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(404,603)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360" w:type="dxa"/>
            <w:vAlign w:val="bottom"/>
            <w:gridSpan w:val="2"/>
          </w:tcPr>
          <w:p>
            <w:pPr>
              <w:spacing w:after="0"/>
              <w:rPr>
                <w:sz w:val="14"/>
                <w:szCs w:val="14"/>
                <w:color w:val="auto"/>
              </w:rPr>
            </w:pPr>
          </w:p>
        </w:tc>
        <w:tc>
          <w:tcPr>
            <w:tcW w:w="1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23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Borders>
              <w:bottom w:val="single" w:sz="8" w:color="auto"/>
            </w:tcBorders>
            <w:vMerge w:val="continue"/>
          </w:tcPr>
          <w:p>
            <w:pPr>
              <w:spacing w:after="0"/>
              <w:rPr>
                <w:sz w:val="14"/>
                <w:szCs w:val="14"/>
                <w:color w:val="auto"/>
              </w:rPr>
            </w:pPr>
          </w:p>
        </w:tc>
        <w:tc>
          <w:tcPr>
            <w:tcW w:w="2340" w:type="dxa"/>
            <w:vAlign w:val="bottom"/>
            <w:tcBorders>
              <w:bottom w:val="single" w:sz="8" w:color="auto"/>
            </w:tcBorders>
          </w:tcPr>
          <w:p>
            <w:pPr>
              <w:spacing w:after="0" w:line="162" w:lineRule="exact"/>
              <w:rPr>
                <w:sz w:val="20"/>
                <w:szCs w:val="20"/>
                <w:color w:val="auto"/>
              </w:rPr>
            </w:pPr>
            <w:r>
              <w:rPr>
                <w:rFonts w:ascii="Times New Roman" w:cs="Times New Roman" w:eastAsia="Times New Roman" w:hAnsi="Times New Roman"/>
                <w:sz w:val="15"/>
                <w:szCs w:val="15"/>
                <w:color w:val="auto"/>
              </w:rPr>
              <w:t>Total transactions with owners</w:t>
            </w:r>
          </w:p>
        </w:tc>
        <w:tc>
          <w:tcPr>
            <w:tcW w:w="1160" w:type="dxa"/>
            <w:vAlign w:val="bottom"/>
            <w:tcBorders>
              <w:bottom w:val="single" w:sz="8" w:color="auto"/>
            </w:tcBorders>
          </w:tcPr>
          <w:p>
            <w:pPr>
              <w:jc w:val="right"/>
              <w:ind w:right="205"/>
              <w:spacing w:after="0" w:line="162" w:lineRule="exact"/>
              <w:rPr>
                <w:sz w:val="20"/>
                <w:szCs w:val="20"/>
                <w:color w:val="auto"/>
              </w:rPr>
            </w:pPr>
            <w:r>
              <w:rPr>
                <w:rFonts w:ascii="Times New Roman" w:cs="Times New Roman" w:eastAsia="Times New Roman" w:hAnsi="Times New Roman"/>
                <w:sz w:val="15"/>
                <w:szCs w:val="15"/>
                <w:color w:val="auto"/>
              </w:rPr>
              <w:t>(5,147,868)</w:t>
            </w:r>
          </w:p>
        </w:tc>
        <w:tc>
          <w:tcPr>
            <w:tcW w:w="960" w:type="dxa"/>
            <w:vAlign w:val="bottom"/>
            <w:tcBorders>
              <w:bottom w:val="single" w:sz="8" w:color="auto"/>
            </w:tcBorders>
          </w:tcPr>
          <w:p>
            <w:pPr>
              <w:jc w:val="right"/>
              <w:ind w:right="145"/>
              <w:spacing w:after="0" w:line="162" w:lineRule="exact"/>
              <w:rPr>
                <w:sz w:val="20"/>
                <w:szCs w:val="20"/>
                <w:color w:val="auto"/>
              </w:rPr>
            </w:pPr>
            <w:r>
              <w:rPr>
                <w:rFonts w:ascii="Times New Roman" w:cs="Times New Roman" w:eastAsia="Times New Roman" w:hAnsi="Times New Roman"/>
                <w:sz w:val="15"/>
                <w:szCs w:val="15"/>
                <w:color w:val="auto"/>
              </w:rPr>
              <w:t>(358)</w:t>
            </w:r>
          </w:p>
        </w:tc>
        <w:tc>
          <w:tcPr>
            <w:tcW w:w="940" w:type="dxa"/>
            <w:vAlign w:val="bottom"/>
            <w:tcBorders>
              <w:bottom w:val="single" w:sz="8" w:color="auto"/>
            </w:tcBorders>
          </w:tcPr>
          <w:p>
            <w:pPr>
              <w:jc w:val="right"/>
              <w:ind w:right="65"/>
              <w:spacing w:after="0" w:line="162" w:lineRule="exact"/>
              <w:rPr>
                <w:sz w:val="20"/>
                <w:szCs w:val="20"/>
                <w:color w:val="auto"/>
              </w:rPr>
            </w:pPr>
            <w:r>
              <w:rPr>
                <w:rFonts w:ascii="Times New Roman" w:cs="Times New Roman" w:eastAsia="Times New Roman" w:hAnsi="Times New Roman"/>
                <w:sz w:val="15"/>
                <w:szCs w:val="15"/>
                <w:color w:val="auto"/>
              </w:rPr>
              <w:t>20,939</w:t>
            </w:r>
          </w:p>
        </w:tc>
        <w:tc>
          <w:tcPr>
            <w:tcW w:w="1000" w:type="dxa"/>
            <w:vAlign w:val="bottom"/>
            <w:tcBorders>
              <w:bottom w:val="single" w:sz="8" w:color="auto"/>
            </w:tcBorders>
          </w:tcPr>
          <w:p>
            <w:pPr>
              <w:jc w:val="right"/>
              <w:ind w:right="25"/>
              <w:spacing w:after="0" w:line="162" w:lineRule="exact"/>
              <w:rPr>
                <w:sz w:val="20"/>
                <w:szCs w:val="20"/>
                <w:color w:val="auto"/>
              </w:rPr>
            </w:pPr>
            <w:r>
              <w:rPr>
                <w:rFonts w:ascii="Times New Roman" w:cs="Times New Roman" w:eastAsia="Times New Roman" w:hAnsi="Times New Roman"/>
                <w:sz w:val="15"/>
                <w:szCs w:val="15"/>
                <w:color w:val="auto"/>
              </w:rPr>
              <w:t>410</w:t>
            </w:r>
          </w:p>
        </w:tc>
        <w:tc>
          <w:tcPr>
            <w:tcW w:w="1160" w:type="dxa"/>
            <w:vAlign w:val="bottom"/>
            <w:tcBorders>
              <w:bottom w:val="single" w:sz="8" w:color="auto"/>
            </w:tcBorders>
          </w:tcPr>
          <w:p>
            <w:pPr>
              <w:jc w:val="right"/>
              <w:ind w:right="165"/>
              <w:spacing w:after="0" w:line="162" w:lineRule="exact"/>
              <w:rPr>
                <w:sz w:val="20"/>
                <w:szCs w:val="20"/>
                <w:color w:val="auto"/>
              </w:rPr>
            </w:pPr>
            <w:r>
              <w:rPr>
                <w:rFonts w:ascii="Times New Roman" w:cs="Times New Roman" w:eastAsia="Times New Roman" w:hAnsi="Times New Roman"/>
                <w:sz w:val="15"/>
                <w:szCs w:val="15"/>
                <w:color w:val="auto"/>
              </w:rPr>
              <w:t>25,167</w:t>
            </w:r>
          </w:p>
        </w:tc>
        <w:tc>
          <w:tcPr>
            <w:tcW w:w="1000" w:type="dxa"/>
            <w:vAlign w:val="bottom"/>
            <w:tcBorders>
              <w:bottom w:val="single" w:sz="8" w:color="auto"/>
            </w:tcBorders>
          </w:tcPr>
          <w:p>
            <w:pPr>
              <w:jc w:val="right"/>
              <w:ind w:right="145"/>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40" w:type="dxa"/>
            <w:vAlign w:val="bottom"/>
            <w:tcBorders>
              <w:bottom w:val="single" w:sz="8" w:color="auto"/>
            </w:tcBorders>
          </w:tcPr>
          <w:p>
            <w:pPr>
              <w:jc w:val="right"/>
              <w:ind w:right="145"/>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bottom w:val="single" w:sz="8" w:color="auto"/>
            </w:tcBorders>
          </w:tcPr>
          <w:p>
            <w:pPr>
              <w:jc w:val="right"/>
              <w:ind w:right="125"/>
              <w:spacing w:after="0" w:line="162" w:lineRule="exact"/>
              <w:rPr>
                <w:sz w:val="20"/>
                <w:szCs w:val="20"/>
                <w:color w:val="auto"/>
              </w:rPr>
            </w:pPr>
            <w:r>
              <w:rPr>
                <w:rFonts w:ascii="Times New Roman" w:cs="Times New Roman" w:eastAsia="Times New Roman" w:hAnsi="Times New Roman"/>
                <w:sz w:val="15"/>
                <w:szCs w:val="15"/>
                <w:color w:val="auto"/>
              </w:rPr>
              <w:t>(450,761)</w:t>
            </w:r>
          </w:p>
        </w:tc>
        <w:tc>
          <w:tcPr>
            <w:tcW w:w="80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(404,603)</w:t>
            </w: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3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2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2340" w:type="dxa"/>
            <w:vAlign w:val="bottom"/>
            <w:tcBorders>
              <w:bottom w:val="single" w:sz="8" w:color="auto"/>
            </w:tcBorders>
            <w:shd w:val="clear" w:color="auto" w:fill="CCEEFF"/>
          </w:tcPr>
          <w:p>
            <w:pPr>
              <w:spacing w:after="0" w:line="162" w:lineRule="exact"/>
              <w:rPr>
                <w:sz w:val="20"/>
                <w:szCs w:val="20"/>
                <w:color w:val="auto"/>
              </w:rPr>
            </w:pPr>
            <w:r>
              <w:rPr>
                <w:rFonts w:ascii="Times New Roman" w:cs="Times New Roman" w:eastAsia="Times New Roman" w:hAnsi="Times New Roman"/>
                <w:sz w:val="15"/>
                <w:szCs w:val="15"/>
                <w:b w:val="1"/>
                <w:bCs w:val="1"/>
                <w:color w:val="auto"/>
              </w:rPr>
              <w:t>Balance at 31 December 2015</w:t>
            </w:r>
          </w:p>
        </w:tc>
        <w:tc>
          <w:tcPr>
            <w:tcW w:w="1160" w:type="dxa"/>
            <w:vAlign w:val="bottom"/>
            <w:tcBorders>
              <w:bottom w:val="single" w:sz="8" w:color="auto"/>
            </w:tcBorders>
            <w:shd w:val="clear" w:color="auto" w:fill="CCEEFF"/>
          </w:tcPr>
          <w:p>
            <w:pPr>
              <w:jc w:val="right"/>
              <w:ind w:right="205"/>
              <w:spacing w:after="0" w:line="162" w:lineRule="exact"/>
              <w:rPr>
                <w:sz w:val="20"/>
                <w:szCs w:val="20"/>
                <w:color w:val="auto"/>
              </w:rPr>
            </w:pPr>
            <w:r>
              <w:rPr>
                <w:rFonts w:ascii="Times New Roman" w:cs="Times New Roman" w:eastAsia="Times New Roman" w:hAnsi="Times New Roman"/>
                <w:sz w:val="15"/>
                <w:szCs w:val="15"/>
                <w:b w:val="1"/>
                <w:bCs w:val="1"/>
                <w:color w:val="auto"/>
              </w:rPr>
              <w:t>54,958,912</w:t>
            </w:r>
          </w:p>
        </w:tc>
        <w:tc>
          <w:tcPr>
            <w:tcW w:w="960" w:type="dxa"/>
            <w:vAlign w:val="bottom"/>
            <w:tcBorders>
              <w:bottom w:val="single" w:sz="8" w:color="auto"/>
            </w:tcBorders>
            <w:shd w:val="clear" w:color="auto" w:fill="CCEEFF"/>
          </w:tcPr>
          <w:p>
            <w:pPr>
              <w:jc w:val="right"/>
              <w:ind w:right="145"/>
              <w:spacing w:after="0" w:line="162" w:lineRule="exact"/>
              <w:rPr>
                <w:sz w:val="20"/>
                <w:szCs w:val="20"/>
                <w:color w:val="auto"/>
              </w:rPr>
            </w:pPr>
            <w:r>
              <w:rPr>
                <w:rFonts w:ascii="Times New Roman" w:cs="Times New Roman" w:eastAsia="Times New Roman" w:hAnsi="Times New Roman"/>
                <w:sz w:val="15"/>
                <w:szCs w:val="15"/>
                <w:b w:val="1"/>
                <w:bCs w:val="1"/>
                <w:color w:val="auto"/>
              </w:rPr>
              <w:t>4,679</w:t>
            </w:r>
          </w:p>
        </w:tc>
        <w:tc>
          <w:tcPr>
            <w:tcW w:w="940" w:type="dxa"/>
            <w:vAlign w:val="bottom"/>
            <w:tcBorders>
              <w:bottom w:val="single" w:sz="8" w:color="auto"/>
            </w:tcBorders>
            <w:shd w:val="clear" w:color="auto" w:fill="CCEEFF"/>
          </w:tcPr>
          <w:p>
            <w:pPr>
              <w:jc w:val="right"/>
              <w:ind w:right="65"/>
              <w:spacing w:after="0" w:line="162" w:lineRule="exact"/>
              <w:rPr>
                <w:sz w:val="20"/>
                <w:szCs w:val="20"/>
                <w:color w:val="auto"/>
              </w:rPr>
            </w:pPr>
            <w:r>
              <w:rPr>
                <w:rFonts w:ascii="Times New Roman" w:cs="Times New Roman" w:eastAsia="Times New Roman" w:hAnsi="Times New Roman"/>
                <w:sz w:val="15"/>
                <w:szCs w:val="15"/>
                <w:b w:val="1"/>
                <w:bCs w:val="1"/>
                <w:color w:val="auto"/>
              </w:rPr>
              <w:t>242,904</w:t>
            </w:r>
          </w:p>
        </w:tc>
        <w:tc>
          <w:tcPr>
            <w:tcW w:w="1000" w:type="dxa"/>
            <w:vAlign w:val="bottom"/>
            <w:tcBorders>
              <w:bottom w:val="single" w:sz="8" w:color="auto"/>
            </w:tcBorders>
            <w:shd w:val="clear" w:color="auto" w:fill="CCEEFF"/>
          </w:tcPr>
          <w:p>
            <w:pPr>
              <w:jc w:val="right"/>
              <w:ind w:right="25"/>
              <w:spacing w:after="0" w:line="162" w:lineRule="exact"/>
              <w:rPr>
                <w:sz w:val="20"/>
                <w:szCs w:val="20"/>
                <w:color w:val="auto"/>
              </w:rPr>
            </w:pPr>
            <w:r>
              <w:rPr>
                <w:rFonts w:ascii="Times New Roman" w:cs="Times New Roman" w:eastAsia="Times New Roman" w:hAnsi="Times New Roman"/>
                <w:sz w:val="15"/>
                <w:szCs w:val="15"/>
                <w:b w:val="1"/>
                <w:bCs w:val="1"/>
                <w:color w:val="auto"/>
              </w:rPr>
              <w:t>715</w:t>
            </w:r>
          </w:p>
        </w:tc>
        <w:tc>
          <w:tcPr>
            <w:tcW w:w="1160" w:type="dxa"/>
            <w:vAlign w:val="bottom"/>
            <w:tcBorders>
              <w:bottom w:val="single" w:sz="8" w:color="auto"/>
            </w:tcBorders>
            <w:shd w:val="clear" w:color="auto" w:fill="CCEEFF"/>
          </w:tcPr>
          <w:p>
            <w:pPr>
              <w:jc w:val="right"/>
              <w:ind w:right="165"/>
              <w:spacing w:after="0" w:line="162" w:lineRule="exact"/>
              <w:rPr>
                <w:sz w:val="20"/>
                <w:szCs w:val="20"/>
                <w:color w:val="auto"/>
              </w:rPr>
            </w:pPr>
            <w:r>
              <w:rPr>
                <w:rFonts w:ascii="Times New Roman" w:cs="Times New Roman" w:eastAsia="Times New Roman" w:hAnsi="Times New Roman"/>
                <w:sz w:val="15"/>
                <w:szCs w:val="15"/>
                <w:b w:val="1"/>
                <w:bCs w:val="1"/>
                <w:color w:val="auto"/>
              </w:rPr>
              <w:t>83,781</w:t>
            </w:r>
          </w:p>
        </w:tc>
        <w:tc>
          <w:tcPr>
            <w:tcW w:w="1000" w:type="dxa"/>
            <w:vAlign w:val="bottom"/>
            <w:tcBorders>
              <w:bottom w:val="single" w:sz="8" w:color="auto"/>
            </w:tcBorders>
            <w:shd w:val="clear" w:color="auto" w:fill="CCEEFF"/>
          </w:tcPr>
          <w:p>
            <w:pPr>
              <w:jc w:val="right"/>
              <w:ind w:right="145"/>
              <w:spacing w:after="0" w:line="162" w:lineRule="exact"/>
              <w:rPr>
                <w:sz w:val="20"/>
                <w:szCs w:val="20"/>
                <w:color w:val="auto"/>
              </w:rPr>
            </w:pPr>
            <w:r>
              <w:rPr>
                <w:rFonts w:ascii="Times New Roman" w:cs="Times New Roman" w:eastAsia="Times New Roman" w:hAnsi="Times New Roman"/>
                <w:sz w:val="15"/>
                <w:szCs w:val="15"/>
                <w:b w:val="1"/>
                <w:bCs w:val="1"/>
                <w:color w:val="auto"/>
              </w:rPr>
              <w:t>6,071</w:t>
            </w:r>
          </w:p>
        </w:tc>
        <w:tc>
          <w:tcPr>
            <w:tcW w:w="1040" w:type="dxa"/>
            <w:vAlign w:val="bottom"/>
            <w:tcBorders>
              <w:bottom w:val="single" w:sz="8" w:color="auto"/>
            </w:tcBorders>
            <w:shd w:val="clear" w:color="auto" w:fill="CCEEFF"/>
          </w:tcPr>
          <w:p>
            <w:pPr>
              <w:jc w:val="right"/>
              <w:ind w:right="145"/>
              <w:spacing w:after="0" w:line="162" w:lineRule="exact"/>
              <w:rPr>
                <w:sz w:val="20"/>
                <w:szCs w:val="20"/>
                <w:color w:val="auto"/>
              </w:rPr>
            </w:pPr>
            <w:r>
              <w:rPr>
                <w:rFonts w:ascii="Times New Roman" w:cs="Times New Roman" w:eastAsia="Times New Roman" w:hAnsi="Times New Roman"/>
                <w:sz w:val="15"/>
                <w:szCs w:val="15"/>
                <w:b w:val="1"/>
                <w:bCs w:val="1"/>
                <w:color w:val="auto"/>
              </w:rPr>
              <w:t>(116,069)</w:t>
            </w:r>
          </w:p>
        </w:tc>
        <w:tc>
          <w:tcPr>
            <w:tcW w:w="1000" w:type="dxa"/>
            <w:vAlign w:val="bottom"/>
            <w:tcBorders>
              <w:bottom w:val="single" w:sz="8" w:color="auto"/>
            </w:tcBorders>
            <w:shd w:val="clear" w:color="auto" w:fill="CCEEFF"/>
          </w:tcPr>
          <w:p>
            <w:pPr>
              <w:jc w:val="right"/>
              <w:ind w:right="125"/>
              <w:spacing w:after="0" w:line="162" w:lineRule="exact"/>
              <w:rPr>
                <w:sz w:val="20"/>
                <w:szCs w:val="20"/>
                <w:color w:val="auto"/>
              </w:rPr>
            </w:pPr>
            <w:r>
              <w:rPr>
                <w:rFonts w:ascii="Times New Roman" w:cs="Times New Roman" w:eastAsia="Times New Roman" w:hAnsi="Times New Roman"/>
                <w:sz w:val="15"/>
                <w:szCs w:val="15"/>
                <w:b w:val="1"/>
                <w:bCs w:val="1"/>
                <w:color w:val="auto"/>
              </w:rPr>
              <w:t>274,888</w:t>
            </w:r>
          </w:p>
        </w:tc>
        <w:tc>
          <w:tcPr>
            <w:tcW w:w="80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b w:val="1"/>
                <w:bCs w:val="1"/>
                <w:color w:val="auto"/>
              </w:rPr>
              <w:t>496,969</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29"/>
          <w:szCs w:val="29"/>
          <w:color w:val="auto"/>
        </w:rPr>
        <w:t>ICON Plc</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Unaudited interim statement of cash flows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 the period ended 31 October 2016</w:t>
      </w: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206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Period ended</w:t>
            </w:r>
          </w:p>
        </w:tc>
        <w:tc>
          <w:tcPr>
            <w:tcW w:w="14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Year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206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31 October</w:t>
            </w:r>
          </w:p>
        </w:tc>
        <w:tc>
          <w:tcPr>
            <w:tcW w:w="14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31 December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206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206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14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Audited</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26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206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$’000</w:t>
            </w:r>
          </w:p>
        </w:tc>
        <w:tc>
          <w:tcPr>
            <w:tcW w:w="14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Profit for the financial period</w:t>
            </w:r>
          </w:p>
        </w:tc>
        <w:tc>
          <w:tcPr>
            <w:tcW w:w="2660" w:type="dxa"/>
            <w:vAlign w:val="bottom"/>
            <w:shd w:val="clear" w:color="auto" w:fill="CCEEFF"/>
          </w:tcPr>
          <w:p>
            <w:pPr>
              <w:spacing w:after="0"/>
              <w:rPr>
                <w:sz w:val="18"/>
                <w:szCs w:val="18"/>
                <w:color w:val="auto"/>
              </w:rPr>
            </w:pPr>
          </w:p>
        </w:tc>
        <w:tc>
          <w:tcPr>
            <w:tcW w:w="20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240,231</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357,096</w:t>
            </w:r>
          </w:p>
        </w:tc>
        <w:tc>
          <w:tcPr>
            <w:tcW w:w="2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26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Adjustments to reconcile net income to net cash generated from</w:t>
            </w:r>
          </w:p>
        </w:tc>
        <w:tc>
          <w:tcPr>
            <w:tcW w:w="266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266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2660" w:type="dxa"/>
            <w:vAlign w:val="bottom"/>
            <w:shd w:val="clear" w:color="auto" w:fill="CCEEFF"/>
          </w:tcPr>
          <w:p>
            <w:pPr>
              <w:jc w:val="center"/>
              <w:ind w:left="1250"/>
              <w:spacing w:after="0"/>
              <w:rPr>
                <w:sz w:val="20"/>
                <w:szCs w:val="20"/>
                <w:color w:val="auto"/>
              </w:rPr>
            </w:pPr>
            <w:r>
              <w:rPr>
                <w:rFonts w:ascii="Times New Roman" w:cs="Times New Roman" w:eastAsia="Times New Roman" w:hAnsi="Times New Roman"/>
                <w:sz w:val="18"/>
                <w:szCs w:val="18"/>
                <w:i w:val="1"/>
                <w:iCs w:val="1"/>
                <w:color w:val="auto"/>
                <w:w w:val="88"/>
              </w:rPr>
              <w:t>11</w:t>
            </w:r>
          </w:p>
        </w:tc>
        <w:tc>
          <w:tcPr>
            <w:tcW w:w="20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141</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Amortisation of intangible assets</w:t>
            </w:r>
          </w:p>
        </w:tc>
        <w:tc>
          <w:tcPr>
            <w:tcW w:w="2660" w:type="dxa"/>
            <w:vAlign w:val="bottom"/>
          </w:tcPr>
          <w:p>
            <w:pPr>
              <w:jc w:val="center"/>
              <w:ind w:left="1230"/>
              <w:spacing w:after="0"/>
              <w:rPr>
                <w:sz w:val="20"/>
                <w:szCs w:val="20"/>
                <w:color w:val="auto"/>
              </w:rPr>
            </w:pPr>
            <w:r>
              <w:rPr>
                <w:rFonts w:ascii="Times New Roman" w:cs="Times New Roman" w:eastAsia="Times New Roman" w:hAnsi="Times New Roman"/>
                <w:sz w:val="18"/>
                <w:szCs w:val="18"/>
                <w:i w:val="1"/>
                <w:iCs w:val="1"/>
                <w:color w:val="auto"/>
                <w:w w:val="99"/>
              </w:rPr>
              <w:t>12</w:t>
            </w:r>
          </w:p>
        </w:tc>
        <w:tc>
          <w:tcPr>
            <w:tcW w:w="206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51</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payment</w:t>
            </w:r>
          </w:p>
        </w:tc>
        <w:tc>
          <w:tcPr>
            <w:tcW w:w="2660" w:type="dxa"/>
            <w:vAlign w:val="bottom"/>
            <w:shd w:val="clear" w:color="auto" w:fill="CCEEFF"/>
          </w:tcPr>
          <w:p>
            <w:pPr>
              <w:spacing w:after="0"/>
              <w:rPr>
                <w:sz w:val="18"/>
                <w:szCs w:val="18"/>
                <w:color w:val="auto"/>
              </w:rPr>
            </w:pPr>
          </w:p>
        </w:tc>
        <w:tc>
          <w:tcPr>
            <w:tcW w:w="20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10,342</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5,717</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5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Gain on sale of shares in subsidiary</w:t>
            </w:r>
          </w:p>
        </w:tc>
        <w:tc>
          <w:tcPr>
            <w:tcW w:w="2660" w:type="dxa"/>
            <w:vAlign w:val="bottom"/>
            <w:tcBorders>
              <w:bottom w:val="single" w:sz="8" w:color="auto"/>
            </w:tcBorders>
          </w:tcPr>
          <w:p>
            <w:pPr>
              <w:jc w:val="center"/>
              <w:ind w:left="1230"/>
              <w:spacing w:after="0"/>
              <w:rPr>
                <w:sz w:val="20"/>
                <w:szCs w:val="20"/>
                <w:color w:val="auto"/>
              </w:rPr>
            </w:pPr>
            <w:r>
              <w:rPr>
                <w:rFonts w:ascii="Times New Roman" w:cs="Times New Roman" w:eastAsia="Times New Roman" w:hAnsi="Times New Roman"/>
                <w:sz w:val="18"/>
                <w:szCs w:val="18"/>
                <w:i w:val="1"/>
                <w:iCs w:val="1"/>
                <w:color w:val="auto"/>
              </w:rPr>
              <w:t>5</w:t>
            </w:r>
          </w:p>
        </w:tc>
        <w:tc>
          <w:tcPr>
            <w:tcW w:w="20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cash inflow before changes in working capital</w:t>
            </w:r>
          </w:p>
        </w:tc>
        <w:tc>
          <w:tcPr>
            <w:tcW w:w="2660" w:type="dxa"/>
            <w:vAlign w:val="bottom"/>
            <w:shd w:val="clear" w:color="auto" w:fill="CCEEFF"/>
          </w:tcPr>
          <w:p>
            <w:pPr>
              <w:spacing w:after="0"/>
              <w:rPr>
                <w:sz w:val="20"/>
                <w:szCs w:val="20"/>
                <w:color w:val="auto"/>
              </w:rPr>
            </w:pPr>
          </w:p>
        </w:tc>
        <w:tc>
          <w:tcPr>
            <w:tcW w:w="20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250,765</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13,182</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260" w:type="dxa"/>
            <w:vAlign w:val="bottom"/>
            <w:tcBorders>
              <w:bottom w:val="single" w:sz="8" w:color="auto"/>
            </w:tcBorders>
            <w:shd w:val="clear" w:color="auto" w:fill="CCEEFF"/>
          </w:tcPr>
          <w:p>
            <w:pPr>
              <w:spacing w:after="0"/>
              <w:rPr>
                <w:sz w:val="17"/>
                <w:szCs w:val="17"/>
                <w:color w:val="auto"/>
              </w:rPr>
            </w:pPr>
          </w:p>
        </w:tc>
        <w:tc>
          <w:tcPr>
            <w:tcW w:w="2660" w:type="dxa"/>
            <w:vAlign w:val="bottom"/>
            <w:tcBorders>
              <w:bottom w:val="single" w:sz="8" w:color="auto"/>
            </w:tcBorders>
            <w:shd w:val="clear" w:color="auto" w:fill="CCEEFF"/>
          </w:tcPr>
          <w:p>
            <w:pPr>
              <w:spacing w:after="0"/>
              <w:rPr>
                <w:sz w:val="17"/>
                <w:szCs w:val="17"/>
                <w:color w:val="auto"/>
              </w:rPr>
            </w:pPr>
          </w:p>
        </w:tc>
        <w:tc>
          <w:tcPr>
            <w:tcW w:w="206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in other current assets</w:t>
            </w:r>
          </w:p>
        </w:tc>
        <w:tc>
          <w:tcPr>
            <w:tcW w:w="2660" w:type="dxa"/>
            <w:vAlign w:val="bottom"/>
            <w:shd w:val="clear" w:color="auto" w:fill="CCEEFF"/>
          </w:tcPr>
          <w:p>
            <w:pPr>
              <w:spacing w:after="0"/>
              <w:rPr>
                <w:sz w:val="18"/>
                <w:szCs w:val="18"/>
                <w:color w:val="auto"/>
              </w:rPr>
            </w:pPr>
          </w:p>
        </w:tc>
        <w:tc>
          <w:tcPr>
            <w:tcW w:w="20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(533)</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(Decrease) in accounts payable and accrued and other liabilities</w:t>
            </w:r>
          </w:p>
        </w:tc>
        <w:tc>
          <w:tcPr>
            <w:tcW w:w="2660" w:type="dxa"/>
            <w:vAlign w:val="bottom"/>
          </w:tcPr>
          <w:p>
            <w:pPr>
              <w:spacing w:after="0"/>
              <w:rPr>
                <w:sz w:val="18"/>
                <w:szCs w:val="18"/>
                <w:color w:val="auto"/>
              </w:rPr>
            </w:pPr>
          </w:p>
        </w:tc>
        <w:tc>
          <w:tcPr>
            <w:tcW w:w="206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(5,021)</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(9,995)</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(Decrease)/increase in income taxes payable</w:t>
            </w:r>
          </w:p>
        </w:tc>
        <w:tc>
          <w:tcPr>
            <w:tcW w:w="2660" w:type="dxa"/>
            <w:vAlign w:val="bottom"/>
            <w:tcBorders>
              <w:bottom w:val="single" w:sz="8" w:color="auto"/>
            </w:tcBorders>
            <w:shd w:val="clear" w:color="auto" w:fill="CCEEFF"/>
          </w:tcPr>
          <w:p>
            <w:pPr>
              <w:spacing w:after="0"/>
              <w:rPr>
                <w:sz w:val="19"/>
                <w:szCs w:val="19"/>
                <w:color w:val="auto"/>
              </w:rPr>
            </w:pPr>
          </w:p>
        </w:tc>
        <w:tc>
          <w:tcPr>
            <w:tcW w:w="20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(276)</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5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Net cash inflow from operating activities</w:t>
            </w:r>
          </w:p>
        </w:tc>
        <w:tc>
          <w:tcPr>
            <w:tcW w:w="266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244,935</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3,511</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266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Purchase of computer software</w:t>
            </w:r>
          </w:p>
        </w:tc>
        <w:tc>
          <w:tcPr>
            <w:tcW w:w="2660" w:type="dxa"/>
            <w:vAlign w:val="bottom"/>
          </w:tcPr>
          <w:p>
            <w:pPr>
              <w:jc w:val="center"/>
              <w:ind w:left="1230"/>
              <w:spacing w:after="0"/>
              <w:rPr>
                <w:sz w:val="20"/>
                <w:szCs w:val="20"/>
                <w:color w:val="auto"/>
              </w:rPr>
            </w:pPr>
            <w:r>
              <w:rPr>
                <w:rFonts w:ascii="Times New Roman" w:cs="Times New Roman" w:eastAsia="Times New Roman" w:hAnsi="Times New Roman"/>
                <w:sz w:val="18"/>
                <w:szCs w:val="18"/>
                <w:i w:val="1"/>
                <w:iCs w:val="1"/>
                <w:color w:val="auto"/>
                <w:w w:val="99"/>
              </w:rPr>
              <w:t>12</w:t>
            </w:r>
          </w:p>
        </w:tc>
        <w:tc>
          <w:tcPr>
            <w:tcW w:w="206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property, plant and equipment</w:t>
            </w:r>
          </w:p>
        </w:tc>
        <w:tc>
          <w:tcPr>
            <w:tcW w:w="2660" w:type="dxa"/>
            <w:vAlign w:val="bottom"/>
            <w:shd w:val="clear" w:color="auto" w:fill="CCEEFF"/>
          </w:tcPr>
          <w:p>
            <w:pPr>
              <w:jc w:val="center"/>
              <w:ind w:left="1250"/>
              <w:spacing w:after="0"/>
              <w:rPr>
                <w:sz w:val="20"/>
                <w:szCs w:val="20"/>
                <w:color w:val="auto"/>
              </w:rPr>
            </w:pPr>
            <w:r>
              <w:rPr>
                <w:rFonts w:ascii="Times New Roman" w:cs="Times New Roman" w:eastAsia="Times New Roman" w:hAnsi="Times New Roman"/>
                <w:sz w:val="18"/>
                <w:szCs w:val="18"/>
                <w:i w:val="1"/>
                <w:iCs w:val="1"/>
                <w:color w:val="auto"/>
                <w:w w:val="88"/>
              </w:rPr>
              <w:t>11</w:t>
            </w:r>
          </w:p>
        </w:tc>
        <w:tc>
          <w:tcPr>
            <w:tcW w:w="20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(75)</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(Increase)/decrease in amounts due from subsidiary undertakings</w:t>
            </w:r>
          </w:p>
        </w:tc>
        <w:tc>
          <w:tcPr>
            <w:tcW w:w="2660" w:type="dxa"/>
            <w:vAlign w:val="bottom"/>
          </w:tcPr>
          <w:p>
            <w:pPr>
              <w:spacing w:after="0"/>
              <w:rPr>
                <w:sz w:val="18"/>
                <w:szCs w:val="18"/>
                <w:color w:val="auto"/>
              </w:rPr>
            </w:pPr>
          </w:p>
        </w:tc>
        <w:tc>
          <w:tcPr>
            <w:tcW w:w="206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(138,604)</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52,041</w:t>
            </w:r>
          </w:p>
        </w:tc>
        <w:tc>
          <w:tcPr>
            <w:tcW w:w="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Decrease in investment in subsidiaries</w:t>
            </w:r>
          </w:p>
        </w:tc>
        <w:tc>
          <w:tcPr>
            <w:tcW w:w="2660" w:type="dxa"/>
            <w:vAlign w:val="bottom"/>
            <w:tcBorders>
              <w:bottom w:val="single" w:sz="8" w:color="auto"/>
            </w:tcBorders>
            <w:shd w:val="clear" w:color="auto" w:fill="CCEEFF"/>
          </w:tcPr>
          <w:p>
            <w:pPr>
              <w:spacing w:after="0"/>
              <w:rPr>
                <w:sz w:val="19"/>
                <w:szCs w:val="19"/>
                <w:color w:val="auto"/>
              </w:rPr>
            </w:pPr>
          </w:p>
        </w:tc>
        <w:tc>
          <w:tcPr>
            <w:tcW w:w="20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29,046</w:t>
            </w:r>
          </w:p>
        </w:tc>
        <w:tc>
          <w:tcPr>
            <w:tcW w:w="4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5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Net cash used by investing activities</w:t>
            </w:r>
          </w:p>
        </w:tc>
        <w:tc>
          <w:tcPr>
            <w:tcW w:w="266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(138,679)</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80,932</w:t>
            </w:r>
          </w:p>
        </w:tc>
        <w:tc>
          <w:tcPr>
            <w:tcW w:w="4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266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disposal of subsidiary</w:t>
            </w:r>
          </w:p>
        </w:tc>
        <w:tc>
          <w:tcPr>
            <w:tcW w:w="2660" w:type="dxa"/>
            <w:vAlign w:val="bottom"/>
          </w:tcPr>
          <w:p>
            <w:pPr>
              <w:spacing w:after="0"/>
              <w:rPr>
                <w:sz w:val="18"/>
                <w:szCs w:val="18"/>
                <w:color w:val="auto"/>
              </w:rPr>
            </w:pPr>
          </w:p>
        </w:tc>
        <w:tc>
          <w:tcPr>
            <w:tcW w:w="206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exercise of share options</w:t>
            </w:r>
          </w:p>
        </w:tc>
        <w:tc>
          <w:tcPr>
            <w:tcW w:w="2660" w:type="dxa"/>
            <w:vAlign w:val="bottom"/>
            <w:shd w:val="clear" w:color="auto" w:fill="CCEEFF"/>
          </w:tcPr>
          <w:p>
            <w:pPr>
              <w:spacing w:after="0"/>
              <w:rPr>
                <w:sz w:val="18"/>
                <w:szCs w:val="18"/>
                <w:color w:val="auto"/>
              </w:rPr>
            </w:pPr>
          </w:p>
        </w:tc>
        <w:tc>
          <w:tcPr>
            <w:tcW w:w="20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8,277</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20,999</w:t>
            </w:r>
          </w:p>
        </w:tc>
        <w:tc>
          <w:tcPr>
            <w:tcW w:w="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Share issuance costs</w:t>
            </w:r>
          </w:p>
        </w:tc>
        <w:tc>
          <w:tcPr>
            <w:tcW w:w="2660" w:type="dxa"/>
            <w:vAlign w:val="bottom"/>
          </w:tcPr>
          <w:p>
            <w:pPr>
              <w:spacing w:after="0"/>
              <w:rPr>
                <w:sz w:val="18"/>
                <w:szCs w:val="18"/>
                <w:color w:val="auto"/>
              </w:rPr>
            </w:pPr>
          </w:p>
        </w:tc>
        <w:tc>
          <w:tcPr>
            <w:tcW w:w="206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(16)</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Repurchase of ordinary shares</w:t>
            </w:r>
          </w:p>
        </w:tc>
        <w:tc>
          <w:tcPr>
            <w:tcW w:w="2660" w:type="dxa"/>
            <w:vAlign w:val="bottom"/>
            <w:shd w:val="clear" w:color="auto" w:fill="CCEEFF"/>
          </w:tcPr>
          <w:p>
            <w:pPr>
              <w:spacing w:after="0"/>
              <w:rPr>
                <w:sz w:val="18"/>
                <w:szCs w:val="18"/>
                <w:color w:val="auto"/>
              </w:rPr>
            </w:pPr>
          </w:p>
        </w:tc>
        <w:tc>
          <w:tcPr>
            <w:tcW w:w="20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(36,742)</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(457,892)</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5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Share repurchase costs</w:t>
            </w:r>
          </w:p>
        </w:tc>
        <w:tc>
          <w:tcPr>
            <w:tcW w:w="266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(29)</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(889)</w:t>
            </w:r>
          </w:p>
        </w:tc>
        <w:tc>
          <w:tcPr>
            <w:tcW w:w="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2660" w:type="dxa"/>
            <w:vAlign w:val="bottom"/>
            <w:tcBorders>
              <w:bottom w:val="single" w:sz="8" w:color="auto"/>
            </w:tcBorders>
            <w:shd w:val="clear" w:color="auto" w:fill="CCEEFF"/>
          </w:tcPr>
          <w:p>
            <w:pPr>
              <w:spacing w:after="0"/>
              <w:rPr>
                <w:sz w:val="19"/>
                <w:szCs w:val="19"/>
                <w:color w:val="auto"/>
              </w:rPr>
            </w:pPr>
          </w:p>
        </w:tc>
        <w:tc>
          <w:tcPr>
            <w:tcW w:w="20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(28,510)</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(87,790)</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increase in cash and cash equivalents</w:t>
            </w:r>
          </w:p>
        </w:tc>
        <w:tc>
          <w:tcPr>
            <w:tcW w:w="2660" w:type="dxa"/>
            <w:vAlign w:val="bottom"/>
          </w:tcPr>
          <w:p>
            <w:pPr>
              <w:spacing w:after="0"/>
              <w:rPr>
                <w:sz w:val="18"/>
                <w:szCs w:val="18"/>
                <w:color w:val="auto"/>
              </w:rPr>
            </w:pPr>
          </w:p>
        </w:tc>
        <w:tc>
          <w:tcPr>
            <w:tcW w:w="206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77,746</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(3,347)</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start of year</w:t>
            </w:r>
          </w:p>
        </w:tc>
        <w:tc>
          <w:tcPr>
            <w:tcW w:w="2660" w:type="dxa"/>
            <w:vAlign w:val="bottom"/>
            <w:tcBorders>
              <w:bottom w:val="single" w:sz="8" w:color="auto"/>
            </w:tcBorders>
            <w:shd w:val="clear" w:color="auto" w:fill="CCEEFF"/>
          </w:tcPr>
          <w:p>
            <w:pPr>
              <w:spacing w:after="0"/>
              <w:rPr>
                <w:sz w:val="19"/>
                <w:szCs w:val="19"/>
                <w:color w:val="auto"/>
              </w:rPr>
            </w:pPr>
          </w:p>
        </w:tc>
        <w:tc>
          <w:tcPr>
            <w:tcW w:w="20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1,169</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4,516</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end of year</w:t>
            </w:r>
          </w:p>
        </w:tc>
        <w:tc>
          <w:tcPr>
            <w:tcW w:w="266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78,915</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1,169</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78"/>
        </w:trPr>
        <w:tc>
          <w:tcPr>
            <w:tcW w:w="2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2660" w:type="dxa"/>
            <w:vAlign w:val="bottom"/>
          </w:tcPr>
          <w:p>
            <w:pPr>
              <w:jc w:val="right"/>
              <w:ind w:right="2090"/>
              <w:spacing w:after="0"/>
              <w:rPr>
                <w:sz w:val="20"/>
                <w:szCs w:val="20"/>
                <w:color w:val="auto"/>
              </w:rPr>
            </w:pPr>
            <w:r>
              <w:rPr>
                <w:rFonts w:ascii="Times New Roman" w:cs="Times New Roman" w:eastAsia="Times New Roman" w:hAnsi="Times New Roman"/>
                <w:sz w:val="18"/>
                <w:szCs w:val="18"/>
                <w:color w:val="auto"/>
              </w:rPr>
              <w:t>8</w:t>
            </w:r>
          </w:p>
        </w:tc>
        <w:tc>
          <w:tcPr>
            <w:tcW w:w="20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260" w:type="dxa"/>
            <w:vAlign w:val="bottom"/>
            <w:tcBorders>
              <w:bottom w:val="single" w:sz="8" w:color="auto"/>
            </w:tcBorders>
          </w:tcPr>
          <w:p>
            <w:pPr>
              <w:spacing w:after="0"/>
              <w:rPr>
                <w:sz w:val="5"/>
                <w:szCs w:val="5"/>
                <w:color w:val="auto"/>
              </w:rPr>
            </w:pPr>
          </w:p>
        </w:tc>
        <w:tc>
          <w:tcPr>
            <w:tcW w:w="2660" w:type="dxa"/>
            <w:vAlign w:val="bottom"/>
            <w:tcBorders>
              <w:bottom w:val="single" w:sz="8" w:color="auto"/>
            </w:tcBorders>
          </w:tcPr>
          <w:p>
            <w:pPr>
              <w:spacing w:after="0"/>
              <w:rPr>
                <w:sz w:val="5"/>
                <w:szCs w:val="5"/>
                <w:color w:val="auto"/>
              </w:rPr>
            </w:pPr>
          </w:p>
        </w:tc>
        <w:tc>
          <w:tcPr>
            <w:tcW w:w="206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08" w:right="2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29"/>
          <w:szCs w:val="29"/>
          <w:color w:val="auto"/>
        </w:rPr>
        <w:t>ICON Plc</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Notes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Forming part of the financial statements</w:t>
      </w:r>
    </w:p>
    <w:p>
      <w:pPr>
        <w:spacing w:after="0" w:line="228" w:lineRule="exact"/>
        <w:rPr>
          <w:sz w:val="20"/>
          <w:szCs w:val="20"/>
          <w:color w:val="auto"/>
        </w:rPr>
      </w:pPr>
    </w:p>
    <w:p>
      <w:pPr>
        <w:ind w:left="400" w:hanging="392"/>
        <w:spacing w:after="0"/>
        <w:tabs>
          <w:tab w:leader="none" w:pos="40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Accounting policies</w:t>
      </w:r>
    </w:p>
    <w:p>
      <w:pPr>
        <w:spacing w:after="0" w:line="256" w:lineRule="exact"/>
        <w:rPr>
          <w:rFonts w:ascii="Times New Roman" w:cs="Times New Roman" w:eastAsia="Times New Roman" w:hAnsi="Times New Roman"/>
          <w:sz w:val="18"/>
          <w:szCs w:val="18"/>
          <w:b w:val="1"/>
          <w:bCs w:val="1"/>
          <w:color w:val="auto"/>
        </w:rPr>
      </w:pPr>
    </w:p>
    <w:p>
      <w:pPr>
        <w:ind w:left="40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accounting policies have been applied consistently in dealing with items which are considered material in relation to the Company’s financial statements.</w:t>
      </w:r>
    </w:p>
    <w:p>
      <w:pPr>
        <w:spacing w:after="0" w:line="184" w:lineRule="exact"/>
        <w:rPr>
          <w:rFonts w:ascii="Times New Roman" w:cs="Times New Roman" w:eastAsia="Times New Roman" w:hAnsi="Times New Roman"/>
          <w:sz w:val="18"/>
          <w:szCs w:val="18"/>
          <w:b w:val="1"/>
          <w:bCs w:val="1"/>
          <w:color w:val="auto"/>
        </w:rPr>
      </w:pPr>
    </w:p>
    <w:p>
      <w:pPr>
        <w:ind w:left="4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Statement of compliance</w:t>
      </w:r>
    </w:p>
    <w:p>
      <w:pPr>
        <w:spacing w:after="0" w:line="256" w:lineRule="exact"/>
        <w:rPr>
          <w:rFonts w:ascii="Times New Roman" w:cs="Times New Roman" w:eastAsia="Times New Roman" w:hAnsi="Times New Roman"/>
          <w:sz w:val="18"/>
          <w:szCs w:val="18"/>
          <w:b w:val="1"/>
          <w:bCs w:val="1"/>
          <w:color w:val="auto"/>
        </w:rPr>
      </w:pPr>
    </w:p>
    <w:p>
      <w:pPr>
        <w:ind w:left="400" w:right="28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financial statements have been prepared in accordance with IFRS as adopted by the EU and those parts of the Companies Act 2014 applicable to companies reporting under IFRS.</w:t>
      </w:r>
    </w:p>
    <w:p>
      <w:pPr>
        <w:spacing w:after="0" w:line="184" w:lineRule="exact"/>
        <w:rPr>
          <w:rFonts w:ascii="Times New Roman" w:cs="Times New Roman" w:eastAsia="Times New Roman" w:hAnsi="Times New Roman"/>
          <w:sz w:val="18"/>
          <w:szCs w:val="18"/>
          <w:b w:val="1"/>
          <w:bCs w:val="1"/>
          <w:color w:val="auto"/>
        </w:rPr>
      </w:pPr>
    </w:p>
    <w:p>
      <w:pPr>
        <w:ind w:left="4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Basis of preparation</w:t>
      </w:r>
    </w:p>
    <w:p>
      <w:pPr>
        <w:spacing w:after="0" w:line="256" w:lineRule="exact"/>
        <w:rPr>
          <w:rFonts w:ascii="Times New Roman" w:cs="Times New Roman" w:eastAsia="Times New Roman" w:hAnsi="Times New Roman"/>
          <w:sz w:val="18"/>
          <w:szCs w:val="18"/>
          <w:b w:val="1"/>
          <w:bCs w:val="1"/>
          <w:color w:val="auto"/>
        </w:rPr>
      </w:pPr>
    </w:p>
    <w:p>
      <w:pPr>
        <w:jc w:val="both"/>
        <w:ind w:left="40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These financial statements are not the statutory financial statements of the Company which company law requires to be prepared and laid before the members at an Annual General Meeting. Statutory financial statements, for the year-ended 31 December 2015, have been prepared separately as consolidated financial statements and present information about the group comprising of this Company and its subsidiaries and associated undertakings.</w:t>
      </w:r>
    </w:p>
    <w:p>
      <w:pPr>
        <w:spacing w:after="0" w:line="203" w:lineRule="exact"/>
        <w:rPr>
          <w:rFonts w:ascii="Times New Roman" w:cs="Times New Roman" w:eastAsia="Times New Roman" w:hAnsi="Times New Roman"/>
          <w:sz w:val="18"/>
          <w:szCs w:val="18"/>
          <w:b w:val="1"/>
          <w:bCs w:val="1"/>
          <w:color w:val="auto"/>
        </w:rPr>
      </w:pPr>
    </w:p>
    <w:p>
      <w:pPr>
        <w:jc w:val="both"/>
        <w:ind w:left="40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These non-statutory unaudited interim financial statements have been prepared solely to facilitate the directors to present information about this Company on a stand-alone basis for filing with the Company Registration Office and to record the Company’s profits available for distribution in its relevant financial statements in accordance with Companies Act 2014, as it continues its share repurchase programme. Except that the financial statements are not consolidated financial statements and do not contain all relevant information required under Company law in Ireland, they have been prepared under the historical cost convention, in accordance with International Financial Reporting Standards. The financial statements include the financial statements of the Company and its branches (Italy, Latvia, Lithuania and Poland). Inter branch transactions and balances have been eliminated in their preparation.</w:t>
      </w:r>
    </w:p>
    <w:p>
      <w:pPr>
        <w:spacing w:after="0" w:line="212" w:lineRule="exact"/>
        <w:rPr>
          <w:rFonts w:ascii="Times New Roman" w:cs="Times New Roman" w:eastAsia="Times New Roman" w:hAnsi="Times New Roman"/>
          <w:sz w:val="18"/>
          <w:szCs w:val="18"/>
          <w:b w:val="1"/>
          <w:bCs w:val="1"/>
          <w:color w:val="auto"/>
        </w:rPr>
      </w:pPr>
    </w:p>
    <w:p>
      <w:pPr>
        <w:ind w:left="4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Turnover</w:t>
      </w:r>
    </w:p>
    <w:p>
      <w:pPr>
        <w:spacing w:after="0" w:line="256" w:lineRule="exact"/>
        <w:rPr>
          <w:rFonts w:ascii="Times New Roman" w:cs="Times New Roman" w:eastAsia="Times New Roman" w:hAnsi="Times New Roman"/>
          <w:sz w:val="18"/>
          <w:szCs w:val="18"/>
          <w:b w:val="1"/>
          <w:bCs w:val="1"/>
          <w:color w:val="auto"/>
        </w:rPr>
      </w:pPr>
    </w:p>
    <w:p>
      <w:pPr>
        <w:jc w:val="both"/>
        <w:ind w:left="40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earns revenue from contract research services provided in Italy, Latvia, Lithuania and Poland and recognises revenue as such services are provided. The cost of providing such services are remunerated on a cost plus basis by a fellow group undertaking. Turnover represents the invoiced fair value (excluding value added tax) to the fellow group undertaking for services provided during the year.</w:t>
      </w:r>
    </w:p>
    <w:p>
      <w:pPr>
        <w:spacing w:after="0" w:line="203" w:lineRule="exact"/>
        <w:rPr>
          <w:rFonts w:ascii="Times New Roman" w:cs="Times New Roman" w:eastAsia="Times New Roman" w:hAnsi="Times New Roman"/>
          <w:sz w:val="18"/>
          <w:szCs w:val="18"/>
          <w:b w:val="1"/>
          <w:bCs w:val="1"/>
          <w:color w:val="auto"/>
        </w:rPr>
      </w:pPr>
    </w:p>
    <w:p>
      <w:pPr>
        <w:ind w:left="40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also earns revenue by recharging subsidiary undertakings for management services provided to them. Turnover represents the invoiced fair value (excluding value added tax) plus a mark up for those services.</w:t>
      </w:r>
    </w:p>
    <w:p>
      <w:pPr>
        <w:spacing w:after="0" w:line="184" w:lineRule="exact"/>
        <w:rPr>
          <w:rFonts w:ascii="Times New Roman" w:cs="Times New Roman" w:eastAsia="Times New Roman" w:hAnsi="Times New Roman"/>
          <w:sz w:val="18"/>
          <w:szCs w:val="18"/>
          <w:b w:val="1"/>
          <w:bCs w:val="1"/>
          <w:color w:val="auto"/>
        </w:rPr>
      </w:pPr>
    </w:p>
    <w:p>
      <w:pPr>
        <w:ind w:left="4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Intangible assets – computer software</w:t>
      </w:r>
    </w:p>
    <w:p>
      <w:pPr>
        <w:spacing w:after="0" w:line="256" w:lineRule="exact"/>
        <w:rPr>
          <w:rFonts w:ascii="Times New Roman" w:cs="Times New Roman" w:eastAsia="Times New Roman" w:hAnsi="Times New Roman"/>
          <w:sz w:val="18"/>
          <w:szCs w:val="18"/>
          <w:b w:val="1"/>
          <w:bCs w:val="1"/>
          <w:color w:val="auto"/>
        </w:rPr>
      </w:pPr>
    </w:p>
    <w:p>
      <w:pPr>
        <w:jc w:val="both"/>
        <w:ind w:left="40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Intangible assets are stated at cost less accumulated amortisation and impairment losses. Useful lives of intangibles are reviewed and adjusted if appropriate at each reporting date. Residual value is estimated to be zero. Amortisation is charged to the income statement on a straight line basis over the estimated useful lives of intangible assets, currently estimated as follows:</w:t>
      </w:r>
    </w:p>
    <w:p>
      <w:pPr>
        <w:sectPr>
          <w:pgSz w:w="11900" w:h="16838" w:orient="portrait"/>
          <w:cols w:equalWidth="0" w:num="1">
            <w:col w:w="11420"/>
          </w:cols>
          <w:pgMar w:left="240" w:top="108" w:right="239" w:bottom="1440" w:gutter="0" w:footer="0" w:header="0"/>
        </w:sect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Computer software</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jc w:val="right"/>
        <w:ind w:right="4420"/>
        <w:spacing w:after="0"/>
        <w:rPr>
          <w:sz w:val="20"/>
          <w:szCs w:val="20"/>
          <w:color w:val="auto"/>
        </w:rPr>
      </w:pPr>
      <w:r>
        <w:rPr>
          <w:rFonts w:ascii="Times New Roman" w:cs="Times New Roman" w:eastAsia="Times New Roman" w:hAnsi="Times New Roman"/>
          <w:sz w:val="16"/>
          <w:szCs w:val="16"/>
          <w:b w:val="1"/>
          <w:bCs w:val="1"/>
          <w:color w:val="auto"/>
        </w:rPr>
        <w:t>Years</w:t>
      </w:r>
    </w:p>
    <w:p>
      <w:pPr>
        <w:spacing w:after="0" w:line="54" w:lineRule="exact"/>
        <w:rPr>
          <w:sz w:val="20"/>
          <w:szCs w:val="20"/>
          <w:color w:val="auto"/>
        </w:rPr>
      </w:pPr>
    </w:p>
    <w:p>
      <w:pPr>
        <w:jc w:val="right"/>
        <w:ind w:right="4420"/>
        <w:spacing w:after="0"/>
        <w:rPr>
          <w:sz w:val="20"/>
          <w:szCs w:val="20"/>
          <w:color w:val="auto"/>
        </w:rPr>
      </w:pPr>
      <w:r>
        <w:rPr>
          <w:rFonts w:ascii="Times New Roman" w:cs="Times New Roman" w:eastAsia="Times New Roman" w:hAnsi="Times New Roman"/>
          <w:sz w:val="18"/>
          <w:szCs w:val="18"/>
          <w:color w:val="auto"/>
        </w:rPr>
        <w:t>4-8</w:t>
      </w:r>
    </w:p>
    <w:p>
      <w:pPr>
        <w:spacing w:after="0" w:line="200" w:lineRule="exact"/>
        <w:rPr>
          <w:sz w:val="20"/>
          <w:szCs w:val="20"/>
          <w:color w:val="auto"/>
        </w:rPr>
      </w:pPr>
    </w:p>
    <w:p>
      <w:pPr>
        <w:sectPr>
          <w:pgSz w:w="11900" w:h="16838" w:orient="portrait"/>
          <w:cols w:equalWidth="0" w:num="2">
            <w:col w:w="5860" w:space="720"/>
            <w:col w:w="4840"/>
          </w:cols>
          <w:pgMar w:left="240" w:top="108" w:right="239" w:bottom="1440" w:gutter="0" w:footer="0" w:header="0"/>
          <w:type w:val="continuous"/>
        </w:sectPr>
      </w:pPr>
    </w:p>
    <w:p>
      <w:pPr>
        <w:spacing w:after="0" w:line="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currencies</w:t>
      </w:r>
    </w:p>
    <w:p>
      <w:pPr>
        <w:spacing w:after="0" w:line="256" w:lineRule="exact"/>
        <w:rPr>
          <w:sz w:val="20"/>
          <w:szCs w:val="20"/>
          <w:color w:val="auto"/>
        </w:rPr>
      </w:pPr>
    </w:p>
    <w:p>
      <w:pPr>
        <w:ind w:left="400" w:right="20"/>
        <w:spacing w:after="0" w:line="256" w:lineRule="auto"/>
        <w:rPr>
          <w:sz w:val="20"/>
          <w:szCs w:val="20"/>
          <w:color w:val="auto"/>
        </w:rPr>
      </w:pPr>
      <w:r>
        <w:rPr>
          <w:rFonts w:ascii="Times New Roman" w:cs="Times New Roman" w:eastAsia="Times New Roman" w:hAnsi="Times New Roman"/>
          <w:sz w:val="18"/>
          <w:szCs w:val="18"/>
          <w:color w:val="auto"/>
        </w:rPr>
        <w:t>The financial statements are prepared in US Dollars ($). The functional currency of the Company changed from Euro (€) to US dollars ($) on 1 August 2015. The change in functional currency was accounted for prospectively from the date of change. All items were translated using the exchange rate at the date of change and the resulting translated amounts for non-monetary items were recorded at their historical cost from 1 August 2015. The Company financial statements continue to be presented in US dollars. Transactions in currencies other than USD are recorded at the rate ruling at the date of the transaction or at a contracted rate. Monetary assets and liabilities denominated in currencies other than USD are translated at exchange rates prevailing at the statement of financial position date. Adjustments resulting from these transactions are charged or credited to income.</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29"/>
          <w:szCs w:val="29"/>
          <w:color w:val="auto"/>
        </w:rPr>
        <w:t>ICON Plc</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Notes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Forming part of the financial statements</w:t>
      </w:r>
    </w:p>
    <w:p>
      <w:pPr>
        <w:spacing w:after="0" w:line="200" w:lineRule="exact"/>
        <w:rPr>
          <w:sz w:val="20"/>
          <w:szCs w:val="20"/>
          <w:color w:val="auto"/>
        </w:rPr>
      </w:pPr>
    </w:p>
    <w:p>
      <w:pPr>
        <w:spacing w:after="0" w:line="271" w:lineRule="exact"/>
        <w:rPr>
          <w:sz w:val="20"/>
          <w:szCs w:val="20"/>
          <w:color w:val="auto"/>
        </w:rPr>
      </w:pPr>
    </w:p>
    <w:p>
      <w:pPr>
        <w:ind w:left="400" w:hanging="392"/>
        <w:spacing w:after="0"/>
        <w:tabs>
          <w:tab w:leader="none" w:pos="40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Accounting policies </w:t>
      </w:r>
      <w:r>
        <w:rPr>
          <w:rFonts w:ascii="Times New Roman" w:cs="Times New Roman" w:eastAsia="Times New Roman" w:hAnsi="Times New Roman"/>
          <w:sz w:val="18"/>
          <w:szCs w:val="18"/>
          <w:i w:val="1"/>
          <w:iCs w:val="1"/>
          <w:color w:val="auto"/>
        </w:rPr>
        <w:t>(continued)</w:t>
      </w:r>
    </w:p>
    <w:p>
      <w:pPr>
        <w:spacing w:after="0" w:line="252" w:lineRule="exact"/>
        <w:rPr>
          <w:rFonts w:ascii="Times New Roman" w:cs="Times New Roman" w:eastAsia="Times New Roman" w:hAnsi="Times New Roman"/>
          <w:sz w:val="18"/>
          <w:szCs w:val="18"/>
          <w:b w:val="1"/>
          <w:bCs w:val="1"/>
          <w:color w:val="auto"/>
        </w:rPr>
      </w:pPr>
    </w:p>
    <w:p>
      <w:pPr>
        <w:ind w:left="4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Property, plant and equipment</w:t>
      </w:r>
    </w:p>
    <w:p>
      <w:pPr>
        <w:spacing w:after="0" w:line="256" w:lineRule="exact"/>
        <w:rPr>
          <w:rFonts w:ascii="Times New Roman" w:cs="Times New Roman" w:eastAsia="Times New Roman" w:hAnsi="Times New Roman"/>
          <w:sz w:val="18"/>
          <w:szCs w:val="18"/>
          <w:b w:val="1"/>
          <w:bCs w:val="1"/>
          <w:color w:val="auto"/>
        </w:rPr>
      </w:pPr>
    </w:p>
    <w:p>
      <w:pPr>
        <w:ind w:left="4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Property, plant and equipment are stated at cost less accumulated depreciation and any provisions for impairment.</w:t>
      </w:r>
    </w:p>
    <w:p>
      <w:pPr>
        <w:spacing w:after="0" w:line="252" w:lineRule="exact"/>
        <w:rPr>
          <w:rFonts w:ascii="Times New Roman" w:cs="Times New Roman" w:eastAsia="Times New Roman" w:hAnsi="Times New Roman"/>
          <w:sz w:val="18"/>
          <w:szCs w:val="18"/>
          <w:b w:val="1"/>
          <w:bCs w:val="1"/>
          <w:color w:val="auto"/>
        </w:rPr>
      </w:pPr>
    </w:p>
    <w:p>
      <w:pPr>
        <w:jc w:val="both"/>
        <w:ind w:left="40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Depreciation is calculated to write off the original cost of property, plant and equipment less its estimated residual value over its expected useful lives on a straight line basis. Residual values and useful lives of property, plant and equipment are reviewed and adjusted if appropriate at each reporting date. At present it is estimated that all items of property, plant and equipment have no residual value. The estimated useful lives applied in determining the charge to depreciation are as follows:</w:t>
      </w:r>
    </w:p>
    <w:p>
      <w:pPr>
        <w:spacing w:after="0" w:line="176" w:lineRule="exact"/>
        <w:rPr>
          <w:sz w:val="20"/>
          <w:szCs w:val="20"/>
          <w:color w:val="auto"/>
        </w:rPr>
      </w:pPr>
    </w:p>
    <w:tbl>
      <w:tblPr>
        <w:tblLayout w:type="fixed"/>
        <w:tblInd w:w="380" w:type="dxa"/>
        <w:tblCellMar>
          <w:top w:w="0" w:type="dxa"/>
          <w:left w:w="0" w:type="dxa"/>
          <w:bottom w:w="0" w:type="dxa"/>
          <w:right w:w="0" w:type="dxa"/>
        </w:tblCellMar>
      </w:tblPr>
      <w:tr>
        <w:trPr>
          <w:trHeight w:val="220"/>
        </w:trPr>
        <w:tc>
          <w:tcPr>
            <w:tcW w:w="4120" w:type="dxa"/>
            <w:vAlign w:val="bottom"/>
          </w:tcPr>
          <w:p>
            <w:pPr>
              <w:spacing w:after="0"/>
              <w:rPr>
                <w:sz w:val="19"/>
                <w:szCs w:val="19"/>
                <w:color w:val="auto"/>
              </w:rPr>
            </w:pP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Years</w:t>
            </w: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34"/>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Office furniture and fixtures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bl>
    <w:p>
      <w:pPr>
        <w:spacing w:after="0" w:line="19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Leasehold improvements are amortised using the straight-line method over the estimated useful life of the asset or the lease term, whichever is shorter.</w:t>
      </w:r>
    </w:p>
    <w:p>
      <w:pPr>
        <w:spacing w:after="0" w:line="2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Assets acquired under finance leases are depreciated over the shorter of their useful economic life and the lease term.</w:t>
      </w:r>
    </w:p>
    <w:p>
      <w:pPr>
        <w:spacing w:after="0" w:line="234" w:lineRule="exact"/>
        <w:rPr>
          <w:sz w:val="20"/>
          <w:szCs w:val="20"/>
          <w:color w:val="auto"/>
        </w:rPr>
      </w:pPr>
    </w:p>
    <w:p>
      <w:pPr>
        <w:jc w:val="both"/>
        <w:ind w:left="400"/>
        <w:spacing w:after="0" w:line="282" w:lineRule="auto"/>
        <w:rPr>
          <w:sz w:val="20"/>
          <w:szCs w:val="20"/>
          <w:color w:val="auto"/>
        </w:rPr>
      </w:pPr>
      <w:r>
        <w:rPr>
          <w:rFonts w:ascii="Times New Roman" w:cs="Times New Roman" w:eastAsia="Times New Roman" w:hAnsi="Times New Roman"/>
          <w:sz w:val="18"/>
          <w:szCs w:val="18"/>
          <w:color w:val="auto"/>
        </w:rPr>
        <w:t>On disposal of property, plant and equipment the cost and related accumulated depreciation and impairment are removed from the financial statements and the net amount, less any proceeds, is taken to the income statement.</w:t>
      </w:r>
    </w:p>
    <w:p>
      <w:pPr>
        <w:spacing w:after="0" w:line="189" w:lineRule="exact"/>
        <w:rPr>
          <w:sz w:val="20"/>
          <w:szCs w:val="20"/>
          <w:color w:val="auto"/>
        </w:rPr>
      </w:pPr>
    </w:p>
    <w:p>
      <w:pPr>
        <w:jc w:val="both"/>
        <w:ind w:left="400"/>
        <w:spacing w:after="0" w:line="261" w:lineRule="auto"/>
        <w:rPr>
          <w:sz w:val="20"/>
          <w:szCs w:val="20"/>
          <w:color w:val="auto"/>
        </w:rPr>
      </w:pPr>
      <w:r>
        <w:rPr>
          <w:rFonts w:ascii="Times New Roman" w:cs="Times New Roman" w:eastAsia="Times New Roman" w:hAnsi="Times New Roman"/>
          <w:sz w:val="18"/>
          <w:szCs w:val="18"/>
          <w:color w:val="auto"/>
        </w:rPr>
        <w:t>The carrying amounts of property, plant and equipment are reviewed at each reporting date to determine whether there is any indication of impairment. Where such an indication exists an impairment review is carried out. An impairment loss is recognised whenever the carrying amount of an asset or its cash generation unit exceeds its recoverable amount. Impairment losses are recognised in the income statement unless the asset is recorded at a re-valued amount in which case it is firstly dealt with through the revaluation reserve with any residual amount being transferred to the income statement.</w:t>
      </w:r>
    </w:p>
    <w:p>
      <w:pPr>
        <w:spacing w:after="0" w:line="207" w:lineRule="exact"/>
        <w:rPr>
          <w:sz w:val="20"/>
          <w:szCs w:val="20"/>
          <w:color w:val="auto"/>
        </w:rPr>
      </w:pPr>
    </w:p>
    <w:p>
      <w:pPr>
        <w:jc w:val="both"/>
        <w:ind w:left="400"/>
        <w:spacing w:after="0" w:line="266" w:lineRule="auto"/>
        <w:rPr>
          <w:sz w:val="20"/>
          <w:szCs w:val="20"/>
          <w:color w:val="auto"/>
        </w:rPr>
      </w:pPr>
      <w:r>
        <w:rPr>
          <w:rFonts w:ascii="Times New Roman" w:cs="Times New Roman" w:eastAsia="Times New Roman" w:hAnsi="Times New Roman"/>
          <w:sz w:val="18"/>
          <w:szCs w:val="18"/>
          <w:color w:val="auto"/>
        </w:rPr>
        <w:t>Subsequent costs are included in an asset’s carrying amount or recognised as a separate asset, as appropriate, only when it is probable that future economic benefits associated with the item will flow to the Company and the cost of the replaced item can be measured reliably. All other repair and maintenance costs are charged to the income statement during the financial period in which they are incurred.</w:t>
      </w:r>
    </w:p>
    <w:p>
      <w:pPr>
        <w:spacing w:after="0" w:line="200" w:lineRule="exact"/>
        <w:rPr>
          <w:sz w:val="20"/>
          <w:szCs w:val="20"/>
          <w:color w:val="auto"/>
        </w:rPr>
      </w:pPr>
    </w:p>
    <w:p>
      <w:pPr>
        <w:spacing w:after="0" w:line="24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Investments in subsidiaries</w:t>
      </w:r>
    </w:p>
    <w:p>
      <w:pPr>
        <w:spacing w:after="0" w:line="256" w:lineRule="exact"/>
        <w:rPr>
          <w:sz w:val="20"/>
          <w:szCs w:val="20"/>
          <w:color w:val="auto"/>
        </w:rPr>
      </w:pPr>
    </w:p>
    <w:p>
      <w:pPr>
        <w:jc w:val="both"/>
        <w:ind w:left="400"/>
        <w:spacing w:after="0" w:line="266" w:lineRule="auto"/>
        <w:rPr>
          <w:sz w:val="20"/>
          <w:szCs w:val="20"/>
          <w:color w:val="auto"/>
        </w:rPr>
      </w:pPr>
      <w:r>
        <w:rPr>
          <w:rFonts w:ascii="Times New Roman" w:cs="Times New Roman" w:eastAsia="Times New Roman" w:hAnsi="Times New Roman"/>
          <w:sz w:val="18"/>
          <w:szCs w:val="18"/>
          <w:color w:val="auto"/>
        </w:rPr>
        <w:t>Investments in subsidiary undertakings are stated at cost less provision for impairment in the Company’s statement of financial position. Loans to subsidiary undertakings are initially recorded at fair value in the Company statement of financial position and subsequently at amortised cost using an effective interest rate methodology.</w:t>
      </w:r>
    </w:p>
    <w:p>
      <w:pPr>
        <w:spacing w:after="0" w:line="203" w:lineRule="exact"/>
        <w:rPr>
          <w:sz w:val="20"/>
          <w:szCs w:val="20"/>
          <w:color w:val="auto"/>
        </w:rPr>
      </w:pPr>
    </w:p>
    <w:p>
      <w:pPr>
        <w:jc w:val="both"/>
        <w:ind w:left="400"/>
        <w:spacing w:after="0" w:line="282" w:lineRule="auto"/>
        <w:rPr>
          <w:sz w:val="20"/>
          <w:szCs w:val="20"/>
          <w:color w:val="auto"/>
        </w:rPr>
      </w:pPr>
      <w:r>
        <w:rPr>
          <w:rFonts w:ascii="Times New Roman" w:cs="Times New Roman" w:eastAsia="Times New Roman" w:hAnsi="Times New Roman"/>
          <w:sz w:val="18"/>
          <w:szCs w:val="18"/>
          <w:color w:val="auto"/>
        </w:rPr>
        <w:t>Share-based payments received by employees of subsidiary undertakings without a related recharge / payment from the subsidiary undertaking, is considered a gift to that subsidiary undertaking, and as a result increases the investment in the subsidiary undertaking.</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29"/>
          <w:szCs w:val="29"/>
          <w:color w:val="auto"/>
        </w:rPr>
        <w:t>ICON Plc</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Notes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Forming part of the financial statements</w:t>
      </w:r>
    </w:p>
    <w:p>
      <w:pPr>
        <w:spacing w:after="0" w:line="228" w:lineRule="exact"/>
        <w:rPr>
          <w:sz w:val="20"/>
          <w:szCs w:val="20"/>
          <w:color w:val="auto"/>
        </w:rPr>
      </w:pPr>
    </w:p>
    <w:p>
      <w:pPr>
        <w:ind w:left="400" w:hanging="392"/>
        <w:spacing w:after="0"/>
        <w:tabs>
          <w:tab w:leader="none" w:pos="40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Accounting policies </w:t>
      </w:r>
      <w:r>
        <w:rPr>
          <w:rFonts w:ascii="Times New Roman" w:cs="Times New Roman" w:eastAsia="Times New Roman" w:hAnsi="Times New Roman"/>
          <w:sz w:val="18"/>
          <w:szCs w:val="18"/>
          <w:i w:val="1"/>
          <w:iCs w:val="1"/>
          <w:color w:val="auto"/>
        </w:rPr>
        <w:t>(continued)</w:t>
      </w:r>
    </w:p>
    <w:p>
      <w:pPr>
        <w:spacing w:after="0" w:line="200" w:lineRule="exact"/>
        <w:rPr>
          <w:rFonts w:ascii="Times New Roman" w:cs="Times New Roman" w:eastAsia="Times New Roman" w:hAnsi="Times New Roman"/>
          <w:sz w:val="18"/>
          <w:szCs w:val="18"/>
          <w:b w:val="1"/>
          <w:bCs w:val="1"/>
          <w:color w:val="auto"/>
        </w:rPr>
      </w:pPr>
    </w:p>
    <w:p>
      <w:pPr>
        <w:spacing w:after="0" w:line="295" w:lineRule="exact"/>
        <w:rPr>
          <w:rFonts w:ascii="Times New Roman" w:cs="Times New Roman" w:eastAsia="Times New Roman" w:hAnsi="Times New Roman"/>
          <w:sz w:val="18"/>
          <w:szCs w:val="18"/>
          <w:b w:val="1"/>
          <w:bCs w:val="1"/>
          <w:color w:val="auto"/>
        </w:rPr>
      </w:pPr>
    </w:p>
    <w:p>
      <w:pPr>
        <w:ind w:left="4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Accounts receivable and other receivables</w:t>
      </w:r>
    </w:p>
    <w:p>
      <w:pPr>
        <w:spacing w:after="0" w:line="256" w:lineRule="exact"/>
        <w:rPr>
          <w:rFonts w:ascii="Times New Roman" w:cs="Times New Roman" w:eastAsia="Times New Roman" w:hAnsi="Times New Roman"/>
          <w:sz w:val="18"/>
          <w:szCs w:val="18"/>
          <w:b w:val="1"/>
          <w:bCs w:val="1"/>
          <w:color w:val="auto"/>
        </w:rPr>
      </w:pPr>
    </w:p>
    <w:p>
      <w:pPr>
        <w:jc w:val="both"/>
        <w:ind w:left="40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Accounts and other receivables are initially measured at fair value and are thereafter measured at amortised cost using the effective interest rate method less any provision for impairment. A provision for impairment of trade receivables is recognised when there is objective evidence that the Company will not be able to collect all amounts due according to the original terms of the receivables. Impairment losses, and any subsequent recovery of such losses, are recognised in the income statement within ‘other operating expenses’.</w:t>
      </w:r>
    </w:p>
    <w:p>
      <w:pPr>
        <w:spacing w:after="0" w:line="203" w:lineRule="exact"/>
        <w:rPr>
          <w:rFonts w:ascii="Times New Roman" w:cs="Times New Roman" w:eastAsia="Times New Roman" w:hAnsi="Times New Roman"/>
          <w:sz w:val="18"/>
          <w:szCs w:val="18"/>
          <w:b w:val="1"/>
          <w:bCs w:val="1"/>
          <w:color w:val="auto"/>
        </w:rPr>
      </w:pPr>
    </w:p>
    <w:p>
      <w:pPr>
        <w:ind w:left="4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56" w:lineRule="exact"/>
        <w:rPr>
          <w:rFonts w:ascii="Times New Roman" w:cs="Times New Roman" w:eastAsia="Times New Roman" w:hAnsi="Times New Roman"/>
          <w:sz w:val="18"/>
          <w:szCs w:val="18"/>
          <w:b w:val="1"/>
          <w:bCs w:val="1"/>
          <w:color w:val="auto"/>
        </w:rPr>
      </w:pPr>
    </w:p>
    <w:p>
      <w:pPr>
        <w:ind w:left="40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Cash and cash equivalents include cash and highly liquid investments with initial maturities of three months or less and are stated at cost, which approximates market value.</w:t>
      </w:r>
    </w:p>
    <w:p>
      <w:pPr>
        <w:spacing w:after="0" w:line="184" w:lineRule="exact"/>
        <w:rPr>
          <w:rFonts w:ascii="Times New Roman" w:cs="Times New Roman" w:eastAsia="Times New Roman" w:hAnsi="Times New Roman"/>
          <w:sz w:val="18"/>
          <w:szCs w:val="18"/>
          <w:b w:val="1"/>
          <w:bCs w:val="1"/>
          <w:color w:val="auto"/>
        </w:rPr>
      </w:pPr>
    </w:p>
    <w:p>
      <w:pPr>
        <w:ind w:left="4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Accounts payable</w:t>
      </w:r>
    </w:p>
    <w:p>
      <w:pPr>
        <w:spacing w:after="0" w:line="256" w:lineRule="exact"/>
        <w:rPr>
          <w:rFonts w:ascii="Times New Roman" w:cs="Times New Roman" w:eastAsia="Times New Roman" w:hAnsi="Times New Roman"/>
          <w:sz w:val="18"/>
          <w:szCs w:val="18"/>
          <w:b w:val="1"/>
          <w:bCs w:val="1"/>
          <w:color w:val="auto"/>
        </w:rPr>
      </w:pPr>
    </w:p>
    <w:p>
      <w:pPr>
        <w:ind w:left="4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Accounts payable are recognised initially at fair value and subsequently measured at amortised cost using the effective interest rate method.</w:t>
      </w:r>
    </w:p>
    <w:p>
      <w:pPr>
        <w:spacing w:after="0" w:line="248" w:lineRule="exact"/>
        <w:rPr>
          <w:rFonts w:ascii="Times New Roman" w:cs="Times New Roman" w:eastAsia="Times New Roman" w:hAnsi="Times New Roman"/>
          <w:sz w:val="18"/>
          <w:szCs w:val="18"/>
          <w:b w:val="1"/>
          <w:bCs w:val="1"/>
          <w:color w:val="auto"/>
        </w:rPr>
      </w:pPr>
    </w:p>
    <w:p>
      <w:pPr>
        <w:ind w:left="4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Provisions</w:t>
      </w:r>
    </w:p>
    <w:p>
      <w:pPr>
        <w:spacing w:after="0" w:line="256" w:lineRule="exact"/>
        <w:rPr>
          <w:rFonts w:ascii="Times New Roman" w:cs="Times New Roman" w:eastAsia="Times New Roman" w:hAnsi="Times New Roman"/>
          <w:sz w:val="18"/>
          <w:szCs w:val="18"/>
          <w:b w:val="1"/>
          <w:bCs w:val="1"/>
          <w:color w:val="auto"/>
        </w:rPr>
      </w:pPr>
    </w:p>
    <w:p>
      <w:pPr>
        <w:jc w:val="both"/>
        <w:ind w:left="40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provision is recognised in the statement of financial position when the Company has a present or legal or constructive obligation as a result of a past event, and it is probable that an outflow of economic benefits will be required to settle the obligation. If the effect of the time value of money is material, provisions are determined by discounting the expected future cash flows at a pre-tax rate that reflects the time value of money and, where appropriate, the risks specific to the liability. Where discounting is used, the increase in the provision due to the passage of time is recognised as a finance cost.</w:t>
      </w:r>
    </w:p>
    <w:p>
      <w:pPr>
        <w:spacing w:after="0" w:line="207" w:lineRule="exact"/>
        <w:rPr>
          <w:rFonts w:ascii="Times New Roman" w:cs="Times New Roman" w:eastAsia="Times New Roman" w:hAnsi="Times New Roman"/>
          <w:sz w:val="18"/>
          <w:szCs w:val="18"/>
          <w:b w:val="1"/>
          <w:bCs w:val="1"/>
          <w:color w:val="auto"/>
        </w:rPr>
      </w:pPr>
    </w:p>
    <w:p>
      <w:pPr>
        <w:ind w:left="40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provision for restructuring is recognised when the Company has approved a detailed and formal restructuring plan, and the restructuring has either commenced or has been announced publicly. Future operating costs are not provided for.</w:t>
      </w:r>
    </w:p>
    <w:p>
      <w:pPr>
        <w:spacing w:after="0" w:line="188" w:lineRule="exact"/>
        <w:rPr>
          <w:rFonts w:ascii="Times New Roman" w:cs="Times New Roman" w:eastAsia="Times New Roman" w:hAnsi="Times New Roman"/>
          <w:sz w:val="18"/>
          <w:szCs w:val="18"/>
          <w:b w:val="1"/>
          <w:bCs w:val="1"/>
          <w:color w:val="auto"/>
        </w:rPr>
      </w:pPr>
    </w:p>
    <w:p>
      <w:pPr>
        <w:ind w:left="400" w:right="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provision for onerous contracts is recognised when the expected benefits to be derived by the Company from a contract are lower than the unavoidable cost of meeting its obligations under the contract.</w:t>
      </w:r>
    </w:p>
    <w:p>
      <w:pPr>
        <w:spacing w:after="0" w:line="188" w:lineRule="exact"/>
        <w:rPr>
          <w:rFonts w:ascii="Times New Roman" w:cs="Times New Roman" w:eastAsia="Times New Roman" w:hAnsi="Times New Roman"/>
          <w:sz w:val="18"/>
          <w:szCs w:val="18"/>
          <w:b w:val="1"/>
          <w:bCs w:val="1"/>
          <w:color w:val="auto"/>
        </w:rPr>
      </w:pPr>
    </w:p>
    <w:p>
      <w:pPr>
        <w:ind w:left="4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Provisions may also include contingent acquisition consideration, where applicable.</w:t>
      </w:r>
    </w:p>
    <w:p>
      <w:pPr>
        <w:spacing w:after="0" w:line="248" w:lineRule="exact"/>
        <w:rPr>
          <w:rFonts w:ascii="Times New Roman" w:cs="Times New Roman" w:eastAsia="Times New Roman" w:hAnsi="Times New Roman"/>
          <w:sz w:val="18"/>
          <w:szCs w:val="18"/>
          <w:b w:val="1"/>
          <w:bCs w:val="1"/>
          <w:color w:val="auto"/>
        </w:rPr>
      </w:pPr>
    </w:p>
    <w:p>
      <w:pPr>
        <w:ind w:left="4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Share capital</w:t>
      </w:r>
    </w:p>
    <w:p>
      <w:pPr>
        <w:spacing w:after="0" w:line="256" w:lineRule="exact"/>
        <w:rPr>
          <w:rFonts w:ascii="Times New Roman" w:cs="Times New Roman" w:eastAsia="Times New Roman" w:hAnsi="Times New Roman"/>
          <w:sz w:val="18"/>
          <w:szCs w:val="18"/>
          <w:b w:val="1"/>
          <w:bCs w:val="1"/>
          <w:color w:val="auto"/>
        </w:rPr>
      </w:pPr>
    </w:p>
    <w:p>
      <w:pPr>
        <w:ind w:left="40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Ordinary shares are classified as equity. Incremental costs directly attributable to the issue of new shares or options are shown in equity as a deduction, net of tax, from the proceeds.</w:t>
      </w:r>
    </w:p>
    <w:p>
      <w:pPr>
        <w:spacing w:after="0" w:line="188" w:lineRule="exact"/>
        <w:rPr>
          <w:rFonts w:ascii="Times New Roman" w:cs="Times New Roman" w:eastAsia="Times New Roman" w:hAnsi="Times New Roman"/>
          <w:sz w:val="18"/>
          <w:szCs w:val="18"/>
          <w:b w:val="1"/>
          <w:bCs w:val="1"/>
          <w:color w:val="auto"/>
        </w:rPr>
      </w:pPr>
    </w:p>
    <w:p>
      <w:pPr>
        <w:ind w:left="40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Where ordinary shares are repurchased by the Company they are cancelled and the nominal value of the shares is transferred to a capital redemption reserve fund within equity.</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29"/>
          <w:szCs w:val="29"/>
          <w:color w:val="auto"/>
        </w:rPr>
        <w:t>ICON Plc</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Notes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Forming part of the financial statements</w:t>
      </w:r>
    </w:p>
    <w:p>
      <w:pPr>
        <w:spacing w:after="0" w:line="228" w:lineRule="exact"/>
        <w:rPr>
          <w:sz w:val="20"/>
          <w:szCs w:val="20"/>
          <w:color w:val="auto"/>
        </w:rPr>
      </w:pPr>
    </w:p>
    <w:p>
      <w:pPr>
        <w:ind w:left="400" w:hanging="392"/>
        <w:spacing w:after="0"/>
        <w:tabs>
          <w:tab w:leader="none" w:pos="40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Accounting policies </w:t>
      </w:r>
      <w:r>
        <w:rPr>
          <w:rFonts w:ascii="Times New Roman" w:cs="Times New Roman" w:eastAsia="Times New Roman" w:hAnsi="Times New Roman"/>
          <w:sz w:val="18"/>
          <w:szCs w:val="18"/>
          <w:i w:val="1"/>
          <w:iCs w:val="1"/>
          <w:color w:val="auto"/>
        </w:rPr>
        <w:t>(continued)</w:t>
      </w:r>
    </w:p>
    <w:p>
      <w:pPr>
        <w:spacing w:after="0" w:line="252" w:lineRule="exact"/>
        <w:rPr>
          <w:rFonts w:ascii="Times New Roman" w:cs="Times New Roman" w:eastAsia="Times New Roman" w:hAnsi="Times New Roman"/>
          <w:sz w:val="18"/>
          <w:szCs w:val="18"/>
          <w:b w:val="1"/>
          <w:bCs w:val="1"/>
          <w:color w:val="auto"/>
        </w:rPr>
      </w:pPr>
    </w:p>
    <w:p>
      <w:pPr>
        <w:ind w:left="4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Employee benefits</w:t>
      </w:r>
    </w:p>
    <w:p>
      <w:pPr>
        <w:spacing w:after="0" w:line="25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(a) Pension and other post-employment benefits</w:t>
      </w:r>
    </w:p>
    <w:p>
      <w:pPr>
        <w:spacing w:after="0" w:line="29" w:lineRule="exact"/>
        <w:rPr>
          <w:sz w:val="20"/>
          <w:szCs w:val="20"/>
          <w:color w:val="auto"/>
        </w:rPr>
      </w:pPr>
    </w:p>
    <w:p>
      <w:pPr>
        <w:jc w:val="both"/>
        <w:ind w:left="400"/>
        <w:spacing w:after="0" w:line="254" w:lineRule="auto"/>
        <w:rPr>
          <w:sz w:val="20"/>
          <w:szCs w:val="20"/>
          <w:color w:val="auto"/>
        </w:rPr>
      </w:pPr>
      <w:r>
        <w:rPr>
          <w:rFonts w:ascii="Times New Roman" w:cs="Times New Roman" w:eastAsia="Times New Roman" w:hAnsi="Times New Roman"/>
          <w:sz w:val="18"/>
          <w:szCs w:val="18"/>
          <w:color w:val="auto"/>
        </w:rPr>
        <w:t>The Company operates a defined contribution pension plan. A defined contribution plan is a pension plan under which the Company pays fixed contributions into a separate entity. The Company has no legal or constructive obligation to pay further contributions if the fund does not hold sufficient assets to pay all employees the benefits relating to employee service in the current and prior periods. Contributions to defined contribution pension plans are expensed as incurred.</w:t>
      </w:r>
    </w:p>
    <w:p>
      <w:pPr>
        <w:spacing w:after="0" w:line="2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(b) Share-based payments</w:t>
      </w:r>
    </w:p>
    <w:p>
      <w:pPr>
        <w:spacing w:after="0" w:line="29" w:lineRule="exact"/>
        <w:rPr>
          <w:sz w:val="20"/>
          <w:szCs w:val="20"/>
          <w:color w:val="auto"/>
        </w:rPr>
      </w:pPr>
    </w:p>
    <w:p>
      <w:pPr>
        <w:jc w:val="both"/>
        <w:ind w:left="400"/>
        <w:spacing w:after="0" w:line="251" w:lineRule="auto"/>
        <w:rPr>
          <w:sz w:val="20"/>
          <w:szCs w:val="20"/>
          <w:color w:val="auto"/>
        </w:rPr>
      </w:pPr>
      <w:r>
        <w:rPr>
          <w:rFonts w:ascii="Times New Roman" w:cs="Times New Roman" w:eastAsia="Times New Roman" w:hAnsi="Times New Roman"/>
          <w:sz w:val="18"/>
          <w:szCs w:val="18"/>
          <w:color w:val="auto"/>
        </w:rPr>
        <w:t>Share-based payments comprise options to acquire ordinary shares in the Company, restricted share units (RSUs) and performance share units (PSUs) in the form of ordinary share entitlements after a certain period of time. These are awarded to the certain key employees of the Group based on service conditions such as term of employment and individual performance. The fair value of options, RSUs and PSUs granted is recognised as an employee expense with a corresponding increase in equity. The fair value is measured at grant date and spread over the period during which the individual become unconditionally entitled to the options, RSU or PSU. The fair value of options granted is measured using a binomial lattice model, taking into account the terms and conditions upon which the options were granted. The fair value of RSUs and PSUs is equal to the market price at date of grant. The total amount to be expensed is determined by reference to the fair value of the options, RSUs or PSUs granted, excluding the impact of any non-market service and performance vesting conditions (for example profitability, sales growth targets). There are no such non-market vesting conditions during the period in relation to options or RSUs that are expected to vest. The amount recognised as an expense is adjusted to reflect the actual number of share options, RSUs or PSUs that vest.</w:t>
      </w:r>
    </w:p>
    <w:p>
      <w:pPr>
        <w:spacing w:after="0" w:line="221" w:lineRule="exact"/>
        <w:rPr>
          <w:sz w:val="20"/>
          <w:szCs w:val="20"/>
          <w:color w:val="auto"/>
        </w:rPr>
      </w:pPr>
    </w:p>
    <w:p>
      <w:pPr>
        <w:ind w:left="400" w:right="40"/>
        <w:spacing w:after="0" w:line="261" w:lineRule="auto"/>
        <w:rPr>
          <w:sz w:val="20"/>
          <w:szCs w:val="20"/>
          <w:color w:val="auto"/>
        </w:rPr>
      </w:pPr>
      <w:r>
        <w:rPr>
          <w:rFonts w:ascii="Times New Roman" w:cs="Times New Roman" w:eastAsia="Times New Roman" w:hAnsi="Times New Roman"/>
          <w:sz w:val="18"/>
          <w:szCs w:val="18"/>
          <w:color w:val="auto"/>
        </w:rPr>
        <w:t>The share-based payment expense associated with the plans is recognised by the entity which receives services in exchange for the share-based payment compensation. Share-based payment expense is recognised over the requisite service period for awards of equity instruments to employees based on the grant date fair value of those awards expected to ultimately vest. Forfeitures are estimated on the date of grant and revised if actual or expected forfeiture activity differs materially from original estimates.</w:t>
      </w:r>
    </w:p>
    <w:p>
      <w:pPr>
        <w:spacing w:after="0" w:line="207" w:lineRule="exact"/>
        <w:rPr>
          <w:sz w:val="20"/>
          <w:szCs w:val="20"/>
          <w:color w:val="auto"/>
        </w:rPr>
      </w:pPr>
    </w:p>
    <w:p>
      <w:pPr>
        <w:ind w:left="400" w:right="80"/>
        <w:spacing w:after="0" w:line="258" w:lineRule="auto"/>
        <w:rPr>
          <w:sz w:val="20"/>
          <w:szCs w:val="20"/>
          <w:color w:val="auto"/>
        </w:rPr>
      </w:pPr>
      <w:r>
        <w:rPr>
          <w:rFonts w:ascii="Times New Roman" w:cs="Times New Roman" w:eastAsia="Times New Roman" w:hAnsi="Times New Roman"/>
          <w:sz w:val="18"/>
          <w:szCs w:val="18"/>
          <w:color w:val="auto"/>
        </w:rPr>
        <w:t>The income statement of the Company is charged with the expense related to the services received by the Company. The remaining portions of the share-based payments represent a contribution to Company entities and are added to the carrying amount of those investments. Under an agreement, the subsidiaries pay the Company an amount equal to the value of the ordinary shares issued that is in excess of the award exercise price with such amount reducing the Company’s investment in its subsidiaries. The net effect of the grant date fair value of the Company’s share-based compensation to employees of the Company’s subsidiaries and recharges received from those subsidiaries is presented as a movement in financial fixed assets.</w:t>
      </w:r>
    </w:p>
    <w:p>
      <w:pPr>
        <w:spacing w:after="0" w:line="20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Direct costs</w:t>
      </w:r>
    </w:p>
    <w:p>
      <w:pPr>
        <w:spacing w:after="0" w:line="256" w:lineRule="exact"/>
        <w:rPr>
          <w:sz w:val="20"/>
          <w:szCs w:val="20"/>
          <w:color w:val="auto"/>
        </w:rPr>
      </w:pPr>
    </w:p>
    <w:p>
      <w:pPr>
        <w:ind w:left="400" w:right="20"/>
        <w:spacing w:after="0" w:line="282" w:lineRule="auto"/>
        <w:rPr>
          <w:sz w:val="20"/>
          <w:szCs w:val="20"/>
          <w:color w:val="auto"/>
        </w:rPr>
      </w:pPr>
      <w:r>
        <w:rPr>
          <w:rFonts w:ascii="Times New Roman" w:cs="Times New Roman" w:eastAsia="Times New Roman" w:hAnsi="Times New Roman"/>
          <w:sz w:val="18"/>
          <w:szCs w:val="18"/>
          <w:color w:val="auto"/>
        </w:rPr>
        <w:t>Direct costs consist of compensation, associated employee benefits and share-based payments for project-related employees and other direct project-related costs.</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29"/>
          <w:szCs w:val="29"/>
          <w:color w:val="auto"/>
        </w:rPr>
        <w:t>ICON Plc</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Notes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Forming part of the financial statements</w:t>
      </w:r>
    </w:p>
    <w:p>
      <w:pPr>
        <w:spacing w:after="0" w:line="228" w:lineRule="exact"/>
        <w:rPr>
          <w:sz w:val="20"/>
          <w:szCs w:val="20"/>
          <w:color w:val="auto"/>
        </w:rPr>
      </w:pPr>
    </w:p>
    <w:p>
      <w:pPr>
        <w:ind w:left="400" w:hanging="392"/>
        <w:spacing w:after="0"/>
        <w:tabs>
          <w:tab w:leader="none" w:pos="40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Accounting policies </w:t>
      </w:r>
      <w:r>
        <w:rPr>
          <w:rFonts w:ascii="Times New Roman" w:cs="Times New Roman" w:eastAsia="Times New Roman" w:hAnsi="Times New Roman"/>
          <w:sz w:val="18"/>
          <w:szCs w:val="18"/>
          <w:i w:val="1"/>
          <w:iCs w:val="1"/>
          <w:color w:val="auto"/>
        </w:rPr>
        <w:t>(continued)</w:t>
      </w:r>
    </w:p>
    <w:p>
      <w:pPr>
        <w:spacing w:after="0" w:line="252" w:lineRule="exact"/>
        <w:rPr>
          <w:rFonts w:ascii="Times New Roman" w:cs="Times New Roman" w:eastAsia="Times New Roman" w:hAnsi="Times New Roman"/>
          <w:sz w:val="18"/>
          <w:szCs w:val="18"/>
          <w:b w:val="1"/>
          <w:bCs w:val="1"/>
          <w:color w:val="auto"/>
        </w:rPr>
      </w:pPr>
    </w:p>
    <w:p>
      <w:pPr>
        <w:ind w:left="4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Other operating expenses</w:t>
      </w:r>
    </w:p>
    <w:p>
      <w:pPr>
        <w:spacing w:after="0" w:line="256" w:lineRule="exact"/>
        <w:rPr>
          <w:rFonts w:ascii="Times New Roman" w:cs="Times New Roman" w:eastAsia="Times New Roman" w:hAnsi="Times New Roman"/>
          <w:sz w:val="18"/>
          <w:szCs w:val="18"/>
          <w:b w:val="1"/>
          <w:bCs w:val="1"/>
          <w:color w:val="auto"/>
        </w:rPr>
      </w:pPr>
    </w:p>
    <w:p>
      <w:pPr>
        <w:ind w:left="400" w:right="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Other operating expenses consist of compensation, associated employee benefits and share-based payments for non-project-related employees and other indirect costs associated with the business. Other operating expenses also includes depreciation expenses and the amortisation of intangible assets.</w:t>
      </w:r>
    </w:p>
    <w:p>
      <w:pPr>
        <w:spacing w:after="0" w:line="184" w:lineRule="exact"/>
        <w:rPr>
          <w:rFonts w:ascii="Times New Roman" w:cs="Times New Roman" w:eastAsia="Times New Roman" w:hAnsi="Times New Roman"/>
          <w:sz w:val="18"/>
          <w:szCs w:val="18"/>
          <w:b w:val="1"/>
          <w:bCs w:val="1"/>
          <w:color w:val="auto"/>
        </w:rPr>
      </w:pPr>
    </w:p>
    <w:p>
      <w:pPr>
        <w:ind w:left="4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Financing expense</w:t>
      </w:r>
    </w:p>
    <w:p>
      <w:pPr>
        <w:spacing w:after="0" w:line="256" w:lineRule="exact"/>
        <w:rPr>
          <w:rFonts w:ascii="Times New Roman" w:cs="Times New Roman" w:eastAsia="Times New Roman" w:hAnsi="Times New Roman"/>
          <w:sz w:val="18"/>
          <w:szCs w:val="18"/>
          <w:b w:val="1"/>
          <w:bCs w:val="1"/>
          <w:color w:val="auto"/>
        </w:rPr>
      </w:pPr>
    </w:p>
    <w:p>
      <w:pPr>
        <w:jc w:val="both"/>
        <w:ind w:left="40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Financing expense comprises interest payable on borrowings calculated using the effective interest rate method, finance charges on finance leases, foreign exchange gains and losses on bank loans, interest costs on defined benefit obligations, non-cash finance charge on contingent consideration and gains and losses on hedging instruments that are recognised in the income statement.</w:t>
      </w:r>
    </w:p>
    <w:p>
      <w:pPr>
        <w:spacing w:after="0" w:line="203" w:lineRule="exact"/>
        <w:rPr>
          <w:rFonts w:ascii="Times New Roman" w:cs="Times New Roman" w:eastAsia="Times New Roman" w:hAnsi="Times New Roman"/>
          <w:sz w:val="18"/>
          <w:szCs w:val="18"/>
          <w:b w:val="1"/>
          <w:bCs w:val="1"/>
          <w:color w:val="auto"/>
        </w:rPr>
      </w:pPr>
    </w:p>
    <w:p>
      <w:pPr>
        <w:jc w:val="both"/>
        <w:ind w:left="40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Financing expense also includes fees paid on the establishment of loan facilities which are recognised as transaction costs of the loan to the extent that it is probable that some or all of the facility will be drawn down. These fees are deferred and recognised in the Statement of Financial Position and are then amortised to the Income Statement over the term the facility is available to the Company.</w:t>
      </w:r>
    </w:p>
    <w:p>
      <w:pPr>
        <w:spacing w:after="0" w:line="199" w:lineRule="exact"/>
        <w:rPr>
          <w:rFonts w:ascii="Times New Roman" w:cs="Times New Roman" w:eastAsia="Times New Roman" w:hAnsi="Times New Roman"/>
          <w:sz w:val="18"/>
          <w:szCs w:val="18"/>
          <w:b w:val="1"/>
          <w:bCs w:val="1"/>
          <w:color w:val="auto"/>
        </w:rPr>
      </w:pPr>
    </w:p>
    <w:p>
      <w:pPr>
        <w:ind w:left="4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Financing income</w:t>
      </w:r>
    </w:p>
    <w:p>
      <w:pPr>
        <w:spacing w:after="0" w:line="256" w:lineRule="exact"/>
        <w:rPr>
          <w:rFonts w:ascii="Times New Roman" w:cs="Times New Roman" w:eastAsia="Times New Roman" w:hAnsi="Times New Roman"/>
          <w:sz w:val="18"/>
          <w:szCs w:val="18"/>
          <w:b w:val="1"/>
          <w:bCs w:val="1"/>
          <w:color w:val="auto"/>
        </w:rPr>
      </w:pPr>
    </w:p>
    <w:p>
      <w:pPr>
        <w:ind w:left="40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Interest income is recognised in the income statement as it accrues, using the effective interest rate method and includes interest receivable on funds invested and actuarial gains on pension plan assets.</w:t>
      </w:r>
    </w:p>
    <w:p>
      <w:pPr>
        <w:spacing w:after="0" w:line="188" w:lineRule="exact"/>
        <w:rPr>
          <w:rFonts w:ascii="Times New Roman" w:cs="Times New Roman" w:eastAsia="Times New Roman" w:hAnsi="Times New Roman"/>
          <w:sz w:val="18"/>
          <w:szCs w:val="18"/>
          <w:b w:val="1"/>
          <w:bCs w:val="1"/>
          <w:color w:val="auto"/>
        </w:rPr>
      </w:pPr>
    </w:p>
    <w:p>
      <w:pPr>
        <w:ind w:left="4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Financing income also includes dividends received from group undertakings.</w:t>
      </w:r>
    </w:p>
    <w:p>
      <w:pPr>
        <w:spacing w:after="0" w:line="248" w:lineRule="exact"/>
        <w:rPr>
          <w:rFonts w:ascii="Times New Roman" w:cs="Times New Roman" w:eastAsia="Times New Roman" w:hAnsi="Times New Roman"/>
          <w:sz w:val="18"/>
          <w:szCs w:val="18"/>
          <w:b w:val="1"/>
          <w:bCs w:val="1"/>
          <w:color w:val="auto"/>
        </w:rPr>
      </w:pPr>
    </w:p>
    <w:p>
      <w:pPr>
        <w:ind w:left="4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Income tax</w:t>
      </w:r>
    </w:p>
    <w:p>
      <w:pPr>
        <w:spacing w:after="0" w:line="256" w:lineRule="exact"/>
        <w:rPr>
          <w:rFonts w:ascii="Times New Roman" w:cs="Times New Roman" w:eastAsia="Times New Roman" w:hAnsi="Times New Roman"/>
          <w:sz w:val="18"/>
          <w:szCs w:val="18"/>
          <w:b w:val="1"/>
          <w:bCs w:val="1"/>
          <w:color w:val="auto"/>
        </w:rPr>
      </w:pPr>
    </w:p>
    <w:p>
      <w:pPr>
        <w:ind w:left="4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Income tax expense in the income statement represents the sum of income tax currently payable and deferred income tax.</w:t>
      </w:r>
    </w:p>
    <w:p>
      <w:pPr>
        <w:spacing w:after="0" w:line="252" w:lineRule="exact"/>
        <w:rPr>
          <w:rFonts w:ascii="Times New Roman" w:cs="Times New Roman" w:eastAsia="Times New Roman" w:hAnsi="Times New Roman"/>
          <w:sz w:val="18"/>
          <w:szCs w:val="18"/>
          <w:b w:val="1"/>
          <w:bCs w:val="1"/>
          <w:color w:val="auto"/>
        </w:rPr>
      </w:pPr>
    </w:p>
    <w:p>
      <w:pPr>
        <w:jc w:val="both"/>
        <w:ind w:left="40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Income tax currently payable is based on taxable profit for the year. Taxable profit differs from profit as reported in the income statement as it excludes items of income or expense that are taxable or deductible in other years and further excludes items that are not taxable or deductible. The Company’s liability for income tax is calculated using rates that have been enacted or substantially enacted at the reporting date. Income tax is recognised in the income statement except to the extent that it relates to items recognised directly in equity.</w:t>
      </w:r>
    </w:p>
    <w:p>
      <w:pPr>
        <w:spacing w:after="0" w:line="207" w:lineRule="exact"/>
        <w:rPr>
          <w:rFonts w:ascii="Times New Roman" w:cs="Times New Roman" w:eastAsia="Times New Roman" w:hAnsi="Times New Roman"/>
          <w:sz w:val="18"/>
          <w:szCs w:val="18"/>
          <w:b w:val="1"/>
          <w:bCs w:val="1"/>
          <w:color w:val="auto"/>
        </w:rPr>
      </w:pPr>
    </w:p>
    <w:p>
      <w:pPr>
        <w:jc w:val="both"/>
        <w:ind w:left="40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Deferred income tax is provided, using the liability method, on all differences between the carrying amounts of assets and liabilities for financial reporting purposes and the amounts used for taxation purposes except those arising from non-deductible goodwill or on initial recognition of an asset or liability which affects neither accounting nor taxable profit. Deferred income tax assets and liabilities are measured at the tax rates that are expected to apply in the year when the asset is expected to be realised or the liability to be settled.</w:t>
      </w:r>
    </w:p>
    <w:p>
      <w:pPr>
        <w:spacing w:after="0" w:line="207" w:lineRule="exact"/>
        <w:rPr>
          <w:rFonts w:ascii="Times New Roman" w:cs="Times New Roman" w:eastAsia="Times New Roman" w:hAnsi="Times New Roman"/>
          <w:sz w:val="18"/>
          <w:szCs w:val="18"/>
          <w:b w:val="1"/>
          <w:bCs w:val="1"/>
          <w:color w:val="auto"/>
        </w:rPr>
      </w:pPr>
    </w:p>
    <w:p>
      <w:pPr>
        <w:jc w:val="both"/>
        <w:ind w:left="40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Deferred tax assets are recognised for all deductible differences, carry forward of unused tax credits and unused tax losses, to the extent that it is probable that taxable profit will be available against which the deductible temporary differences and the carry forward of unused tax credits and unused tax losses can be utilised. The carrying amount of deferred income tax assets is reviewed at each reporting date and reduced to the extent that it is no longer probable that sufficient taxable profit would be available to allow all or part of the deferred income tax asset to be utilised.</w:t>
      </w:r>
    </w:p>
    <w:p>
      <w:pPr>
        <w:spacing w:after="0" w:line="203" w:lineRule="exact"/>
        <w:rPr>
          <w:rFonts w:ascii="Times New Roman" w:cs="Times New Roman" w:eastAsia="Times New Roman" w:hAnsi="Times New Roman"/>
          <w:sz w:val="18"/>
          <w:szCs w:val="18"/>
          <w:b w:val="1"/>
          <w:bCs w:val="1"/>
          <w:color w:val="auto"/>
        </w:rPr>
      </w:pPr>
    </w:p>
    <w:p>
      <w:pPr>
        <w:ind w:left="4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Leased assets</w:t>
      </w:r>
    </w:p>
    <w:p>
      <w:pPr>
        <w:spacing w:after="0" w:line="256" w:lineRule="exact"/>
        <w:rPr>
          <w:rFonts w:ascii="Times New Roman" w:cs="Times New Roman" w:eastAsia="Times New Roman" w:hAnsi="Times New Roman"/>
          <w:sz w:val="18"/>
          <w:szCs w:val="18"/>
          <w:b w:val="1"/>
          <w:bCs w:val="1"/>
          <w:color w:val="auto"/>
        </w:rPr>
      </w:pPr>
    </w:p>
    <w:p>
      <w:pPr>
        <w:ind w:left="400" w:right="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Expenditure on leases other than finance leases, namely operating leases, is charged to the income statement on a basis representative of the benefit derived from the asset, normally on a straight line basis over the lease period.</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29"/>
          <w:szCs w:val="29"/>
          <w:color w:val="auto"/>
        </w:rPr>
        <w:t>ICON Plc</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Notes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Forming part of the financial statements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2. Turnover</w:t>
            </w:r>
          </w:p>
        </w:tc>
        <w:tc>
          <w:tcPr>
            <w:tcW w:w="3700" w:type="dxa"/>
            <w:vAlign w:val="bottom"/>
            <w:vMerge w:val="restart"/>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Period ended</w:t>
            </w:r>
          </w:p>
        </w:tc>
        <w:tc>
          <w:tcPr>
            <w:tcW w:w="18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Year ended</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900" w:type="dxa"/>
            <w:vAlign w:val="bottom"/>
          </w:tcPr>
          <w:p>
            <w:pPr>
              <w:spacing w:after="0"/>
              <w:rPr>
                <w:sz w:val="16"/>
                <w:szCs w:val="16"/>
                <w:color w:val="auto"/>
              </w:rPr>
            </w:pPr>
          </w:p>
        </w:tc>
        <w:tc>
          <w:tcPr>
            <w:tcW w:w="3700" w:type="dxa"/>
            <w:vAlign w:val="bottom"/>
            <w:vMerge w:val="continue"/>
          </w:tcPr>
          <w:p>
            <w:pPr>
              <w:spacing w:after="0"/>
              <w:rPr>
                <w:sz w:val="16"/>
                <w:szCs w:val="16"/>
                <w:color w:val="auto"/>
              </w:rPr>
            </w:pPr>
          </w:p>
        </w:tc>
        <w:tc>
          <w:tcPr>
            <w:tcW w:w="18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18"/>
                <w:szCs w:val="18"/>
                <w:color w:val="auto"/>
              </w:rPr>
            </w:pPr>
          </w:p>
        </w:tc>
        <w:tc>
          <w:tcPr>
            <w:tcW w:w="3700" w:type="dxa"/>
            <w:vAlign w:val="bottom"/>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31 October</w:t>
            </w:r>
          </w:p>
        </w:tc>
        <w:tc>
          <w:tcPr>
            <w:tcW w:w="1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 December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18"/>
                <w:szCs w:val="18"/>
                <w:color w:val="auto"/>
              </w:rPr>
            </w:pPr>
          </w:p>
        </w:tc>
        <w:tc>
          <w:tcPr>
            <w:tcW w:w="3700" w:type="dxa"/>
            <w:vAlign w:val="bottom"/>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90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The analyses of turnover by activity and geographical</w:t>
            </w:r>
          </w:p>
        </w:tc>
        <w:tc>
          <w:tcPr>
            <w:tcW w:w="3700" w:type="dxa"/>
            <w:vAlign w:val="bottom"/>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$’000</w:t>
            </w:r>
          </w:p>
        </w:tc>
        <w:tc>
          <w:tcPr>
            <w:tcW w:w="1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900" w:type="dxa"/>
            <w:vAlign w:val="bottom"/>
            <w:vMerge w:val="continue"/>
          </w:tcPr>
          <w:p>
            <w:pPr>
              <w:spacing w:after="0"/>
              <w:rPr>
                <w:sz w:val="17"/>
                <w:szCs w:val="17"/>
                <w:color w:val="auto"/>
              </w:rPr>
            </w:pPr>
          </w:p>
        </w:tc>
        <w:tc>
          <w:tcPr>
            <w:tcW w:w="37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area is as follows:</w:t>
            </w:r>
          </w:p>
        </w:tc>
        <w:tc>
          <w:tcPr>
            <w:tcW w:w="37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Activity</w:t>
            </w:r>
          </w:p>
        </w:tc>
        <w:tc>
          <w:tcPr>
            <w:tcW w:w="37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Clinical research income</w:t>
            </w:r>
          </w:p>
        </w:tc>
        <w:tc>
          <w:tcPr>
            <w:tcW w:w="370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24,677</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Management services</w:t>
            </w:r>
          </w:p>
        </w:tc>
        <w:tc>
          <w:tcPr>
            <w:tcW w:w="370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15,313</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24,627</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18"/>
                <w:szCs w:val="18"/>
                <w:color w:val="auto"/>
              </w:rPr>
            </w:pPr>
          </w:p>
        </w:tc>
        <w:tc>
          <w:tcPr>
            <w:tcW w:w="370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00" w:type="dxa"/>
            <w:vAlign w:val="bottom"/>
            <w:tcBorders>
              <w:bottom w:val="single" w:sz="8" w:color="auto"/>
            </w:tcBorders>
          </w:tcPr>
          <w:p>
            <w:pPr>
              <w:spacing w:after="0"/>
              <w:rPr>
                <w:sz w:val="19"/>
                <w:szCs w:val="19"/>
                <w:color w:val="auto"/>
              </w:rPr>
            </w:pPr>
          </w:p>
        </w:tc>
        <w:tc>
          <w:tcPr>
            <w:tcW w:w="370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39,990</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56,140</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702"/>
        </w:trPr>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Geographical area</w:t>
            </w:r>
          </w:p>
        </w:tc>
        <w:tc>
          <w:tcPr>
            <w:tcW w:w="3700" w:type="dxa"/>
            <w:vAlign w:val="bottom"/>
            <w:vMerge w:val="restart"/>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Period ended</w:t>
            </w:r>
          </w:p>
        </w:tc>
        <w:tc>
          <w:tcPr>
            <w:tcW w:w="18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Year ended</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900" w:type="dxa"/>
            <w:vAlign w:val="bottom"/>
          </w:tcPr>
          <w:p>
            <w:pPr>
              <w:spacing w:after="0"/>
              <w:rPr>
                <w:sz w:val="16"/>
                <w:szCs w:val="16"/>
                <w:color w:val="auto"/>
              </w:rPr>
            </w:pPr>
          </w:p>
        </w:tc>
        <w:tc>
          <w:tcPr>
            <w:tcW w:w="3700" w:type="dxa"/>
            <w:vAlign w:val="bottom"/>
            <w:vMerge w:val="continue"/>
          </w:tcPr>
          <w:p>
            <w:pPr>
              <w:spacing w:after="0"/>
              <w:rPr>
                <w:sz w:val="16"/>
                <w:szCs w:val="16"/>
                <w:color w:val="auto"/>
              </w:rPr>
            </w:pPr>
          </w:p>
        </w:tc>
        <w:tc>
          <w:tcPr>
            <w:tcW w:w="18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18"/>
                <w:szCs w:val="18"/>
                <w:color w:val="auto"/>
              </w:rPr>
            </w:pPr>
          </w:p>
        </w:tc>
        <w:tc>
          <w:tcPr>
            <w:tcW w:w="3700" w:type="dxa"/>
            <w:vAlign w:val="bottom"/>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31 October</w:t>
            </w:r>
          </w:p>
        </w:tc>
        <w:tc>
          <w:tcPr>
            <w:tcW w:w="1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 December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18"/>
                <w:szCs w:val="18"/>
                <w:color w:val="auto"/>
              </w:rPr>
            </w:pPr>
          </w:p>
        </w:tc>
        <w:tc>
          <w:tcPr>
            <w:tcW w:w="3700" w:type="dxa"/>
            <w:vAlign w:val="bottom"/>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900" w:type="dxa"/>
            <w:vAlign w:val="bottom"/>
          </w:tcPr>
          <w:p>
            <w:pPr>
              <w:spacing w:after="0"/>
              <w:rPr>
                <w:sz w:val="20"/>
                <w:szCs w:val="20"/>
                <w:color w:val="auto"/>
              </w:rPr>
            </w:pPr>
          </w:p>
        </w:tc>
        <w:tc>
          <w:tcPr>
            <w:tcW w:w="3700" w:type="dxa"/>
            <w:vAlign w:val="bottom"/>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$’000</w:t>
            </w:r>
          </w:p>
        </w:tc>
        <w:tc>
          <w:tcPr>
            <w:tcW w:w="1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0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Ireland</w:t>
            </w:r>
          </w:p>
        </w:tc>
        <w:tc>
          <w:tcPr>
            <w:tcW w:w="370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15,313</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24,627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Europe</w:t>
            </w:r>
          </w:p>
        </w:tc>
        <w:tc>
          <w:tcPr>
            <w:tcW w:w="370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24,677</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31,513</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18"/>
                <w:szCs w:val="18"/>
                <w:color w:val="auto"/>
              </w:rPr>
            </w:pPr>
          </w:p>
        </w:tc>
        <w:tc>
          <w:tcPr>
            <w:tcW w:w="370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00" w:type="dxa"/>
            <w:vAlign w:val="bottom"/>
            <w:tcBorders>
              <w:bottom w:val="single" w:sz="8" w:color="auto"/>
            </w:tcBorders>
          </w:tcPr>
          <w:p>
            <w:pPr>
              <w:spacing w:after="0"/>
              <w:rPr>
                <w:sz w:val="19"/>
                <w:szCs w:val="19"/>
                <w:color w:val="auto"/>
              </w:rPr>
            </w:pPr>
          </w:p>
        </w:tc>
        <w:tc>
          <w:tcPr>
            <w:tcW w:w="370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39,990</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56,140</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702"/>
        </w:trPr>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3. Direct costs</w:t>
            </w:r>
          </w:p>
        </w:tc>
        <w:tc>
          <w:tcPr>
            <w:tcW w:w="3700" w:type="dxa"/>
            <w:vAlign w:val="bottom"/>
            <w:vMerge w:val="restart"/>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Period ended</w:t>
            </w:r>
          </w:p>
        </w:tc>
        <w:tc>
          <w:tcPr>
            <w:tcW w:w="18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Year ended</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900" w:type="dxa"/>
            <w:vAlign w:val="bottom"/>
          </w:tcPr>
          <w:p>
            <w:pPr>
              <w:spacing w:after="0"/>
              <w:rPr>
                <w:sz w:val="16"/>
                <w:szCs w:val="16"/>
                <w:color w:val="auto"/>
              </w:rPr>
            </w:pPr>
          </w:p>
        </w:tc>
        <w:tc>
          <w:tcPr>
            <w:tcW w:w="3700" w:type="dxa"/>
            <w:vAlign w:val="bottom"/>
            <w:vMerge w:val="continue"/>
          </w:tcPr>
          <w:p>
            <w:pPr>
              <w:spacing w:after="0"/>
              <w:rPr>
                <w:sz w:val="16"/>
                <w:szCs w:val="16"/>
                <w:color w:val="auto"/>
              </w:rPr>
            </w:pPr>
          </w:p>
        </w:tc>
        <w:tc>
          <w:tcPr>
            <w:tcW w:w="18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18"/>
                <w:szCs w:val="18"/>
                <w:color w:val="auto"/>
              </w:rPr>
            </w:pPr>
          </w:p>
        </w:tc>
        <w:tc>
          <w:tcPr>
            <w:tcW w:w="3700" w:type="dxa"/>
            <w:vAlign w:val="bottom"/>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31 October</w:t>
            </w:r>
          </w:p>
        </w:tc>
        <w:tc>
          <w:tcPr>
            <w:tcW w:w="1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 December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18"/>
                <w:szCs w:val="18"/>
                <w:color w:val="auto"/>
              </w:rPr>
            </w:pPr>
          </w:p>
        </w:tc>
        <w:tc>
          <w:tcPr>
            <w:tcW w:w="3700" w:type="dxa"/>
            <w:vAlign w:val="bottom"/>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900" w:type="dxa"/>
            <w:vAlign w:val="bottom"/>
          </w:tcPr>
          <w:p>
            <w:pPr>
              <w:spacing w:after="0"/>
              <w:rPr>
                <w:sz w:val="20"/>
                <w:szCs w:val="20"/>
                <w:color w:val="auto"/>
              </w:rPr>
            </w:pPr>
          </w:p>
        </w:tc>
        <w:tc>
          <w:tcPr>
            <w:tcW w:w="3700" w:type="dxa"/>
            <w:vAlign w:val="bottom"/>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$’000</w:t>
            </w:r>
          </w:p>
        </w:tc>
        <w:tc>
          <w:tcPr>
            <w:tcW w:w="1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Payroll and related costs (note 8)</w:t>
            </w:r>
          </w:p>
        </w:tc>
        <w:tc>
          <w:tcPr>
            <w:tcW w:w="370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19,612</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Other project related expenses</w:t>
            </w:r>
          </w:p>
        </w:tc>
        <w:tc>
          <w:tcPr>
            <w:tcW w:w="370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951</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1,293</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18"/>
                <w:szCs w:val="18"/>
                <w:color w:val="auto"/>
              </w:rPr>
            </w:pPr>
          </w:p>
        </w:tc>
        <w:tc>
          <w:tcPr>
            <w:tcW w:w="370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00" w:type="dxa"/>
            <w:vAlign w:val="bottom"/>
            <w:tcBorders>
              <w:bottom w:val="single" w:sz="8" w:color="auto"/>
            </w:tcBorders>
          </w:tcPr>
          <w:p>
            <w:pPr>
              <w:spacing w:after="0"/>
              <w:rPr>
                <w:sz w:val="19"/>
                <w:szCs w:val="19"/>
                <w:color w:val="auto"/>
              </w:rPr>
            </w:pPr>
          </w:p>
        </w:tc>
        <w:tc>
          <w:tcPr>
            <w:tcW w:w="370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20,563</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26,641</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675"/>
        </w:trPr>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4. Other operating (income) / expenses, net</w:t>
            </w:r>
          </w:p>
        </w:tc>
        <w:tc>
          <w:tcPr>
            <w:tcW w:w="3700" w:type="dxa"/>
            <w:vAlign w:val="bottom"/>
            <w:vMerge w:val="restart"/>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Period ended</w:t>
            </w:r>
          </w:p>
        </w:tc>
        <w:tc>
          <w:tcPr>
            <w:tcW w:w="18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Year ended</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900" w:type="dxa"/>
            <w:vAlign w:val="bottom"/>
          </w:tcPr>
          <w:p>
            <w:pPr>
              <w:spacing w:after="0"/>
              <w:rPr>
                <w:sz w:val="16"/>
                <w:szCs w:val="16"/>
                <w:color w:val="auto"/>
              </w:rPr>
            </w:pPr>
          </w:p>
        </w:tc>
        <w:tc>
          <w:tcPr>
            <w:tcW w:w="3700" w:type="dxa"/>
            <w:vAlign w:val="bottom"/>
            <w:vMerge w:val="continue"/>
          </w:tcPr>
          <w:p>
            <w:pPr>
              <w:spacing w:after="0"/>
              <w:rPr>
                <w:sz w:val="16"/>
                <w:szCs w:val="16"/>
                <w:color w:val="auto"/>
              </w:rPr>
            </w:pPr>
          </w:p>
        </w:tc>
        <w:tc>
          <w:tcPr>
            <w:tcW w:w="18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18"/>
                <w:szCs w:val="18"/>
                <w:color w:val="auto"/>
              </w:rPr>
            </w:pPr>
          </w:p>
        </w:tc>
        <w:tc>
          <w:tcPr>
            <w:tcW w:w="3700" w:type="dxa"/>
            <w:vAlign w:val="bottom"/>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31 October</w:t>
            </w:r>
          </w:p>
        </w:tc>
        <w:tc>
          <w:tcPr>
            <w:tcW w:w="1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 December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18"/>
                <w:szCs w:val="18"/>
                <w:color w:val="auto"/>
              </w:rPr>
            </w:pPr>
          </w:p>
        </w:tc>
        <w:tc>
          <w:tcPr>
            <w:tcW w:w="3700" w:type="dxa"/>
            <w:vAlign w:val="bottom"/>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900" w:type="dxa"/>
            <w:vAlign w:val="bottom"/>
          </w:tcPr>
          <w:p>
            <w:pPr>
              <w:spacing w:after="0"/>
              <w:rPr>
                <w:sz w:val="20"/>
                <w:szCs w:val="20"/>
                <w:color w:val="auto"/>
              </w:rPr>
            </w:pPr>
          </w:p>
        </w:tc>
        <w:tc>
          <w:tcPr>
            <w:tcW w:w="3700" w:type="dxa"/>
            <w:vAlign w:val="bottom"/>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$’000</w:t>
            </w:r>
          </w:p>
        </w:tc>
        <w:tc>
          <w:tcPr>
            <w:tcW w:w="1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0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Payroll and related costs (note 8)</w:t>
            </w:r>
          </w:p>
        </w:tc>
        <w:tc>
          <w:tcPr>
            <w:tcW w:w="370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17,310</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19,831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Administrative expenses</w:t>
            </w:r>
          </w:p>
        </w:tc>
        <w:tc>
          <w:tcPr>
            <w:tcW w:w="3700" w:type="dxa"/>
            <w:vAlign w:val="bottom"/>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10,300</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expense</w:t>
            </w:r>
          </w:p>
        </w:tc>
        <w:tc>
          <w:tcPr>
            <w:tcW w:w="370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141</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Amortisation of intangible assets – computer software</w:t>
            </w:r>
          </w:p>
        </w:tc>
        <w:tc>
          <w:tcPr>
            <w:tcW w:w="3700" w:type="dxa"/>
            <w:vAlign w:val="bottom"/>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51</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Exchange gain</w:t>
            </w:r>
          </w:p>
        </w:tc>
        <w:tc>
          <w:tcPr>
            <w:tcW w:w="3700" w:type="dxa"/>
            <w:vAlign w:val="bottom"/>
            <w:tcBorders>
              <w:bottom w:val="single" w:sz="8" w:color="auto"/>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(45)</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00" w:type="dxa"/>
            <w:vAlign w:val="bottom"/>
            <w:tcBorders>
              <w:bottom w:val="single" w:sz="8" w:color="auto"/>
            </w:tcBorders>
            <w:shd w:val="clear" w:color="auto" w:fill="CCEEFF"/>
          </w:tcPr>
          <w:p>
            <w:pPr>
              <w:spacing w:after="0"/>
              <w:rPr>
                <w:sz w:val="19"/>
                <w:szCs w:val="19"/>
                <w:color w:val="auto"/>
              </w:rPr>
            </w:pPr>
          </w:p>
        </w:tc>
        <w:tc>
          <w:tcPr>
            <w:tcW w:w="3700" w:type="dxa"/>
            <w:vAlign w:val="bottom"/>
            <w:tcBorders>
              <w:bottom w:val="single" w:sz="8" w:color="auto"/>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27,757</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31,471</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51" w:right="239" w:bottom="1440" w:gutter="0" w:footer="0" w:header="0"/>
        </w:sectPr>
      </w:pP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51" w:right="23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29"/>
          <w:szCs w:val="29"/>
          <w:color w:val="auto"/>
        </w:rPr>
        <w:t>ICON Plc</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Notes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Forming part of the financial statements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5. Profit on disposal of subsidiary undertakings</w:t>
            </w:r>
          </w:p>
        </w:tc>
        <w:tc>
          <w:tcPr>
            <w:tcW w:w="36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5960" w:type="dxa"/>
            <w:vAlign w:val="bottom"/>
          </w:tcPr>
          <w:p>
            <w:pPr>
              <w:spacing w:after="0"/>
              <w:rPr>
                <w:sz w:val="24"/>
                <w:szCs w:val="24"/>
                <w:color w:val="auto"/>
              </w:rPr>
            </w:pPr>
          </w:p>
        </w:tc>
        <w:tc>
          <w:tcPr>
            <w:tcW w:w="3660" w:type="dxa"/>
            <w:vAlign w:val="bottom"/>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Period ended</w:t>
            </w:r>
          </w:p>
        </w:tc>
        <w:tc>
          <w:tcPr>
            <w:tcW w:w="1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Year ended</w:t>
            </w:r>
          </w:p>
        </w:tc>
        <w:tc>
          <w:tcPr>
            <w:tcW w:w="0" w:type="dxa"/>
            <w:vAlign w:val="bottom"/>
          </w:tcPr>
          <w:p>
            <w:pPr>
              <w:spacing w:after="0"/>
              <w:rPr>
                <w:sz w:val="1"/>
                <w:szCs w:val="1"/>
                <w:color w:val="auto"/>
              </w:rPr>
            </w:pPr>
          </w:p>
        </w:tc>
      </w:tr>
      <w:tr>
        <w:trPr>
          <w:trHeight w:val="216"/>
        </w:trPr>
        <w:tc>
          <w:tcPr>
            <w:tcW w:w="5960" w:type="dxa"/>
            <w:vAlign w:val="bottom"/>
          </w:tcPr>
          <w:p>
            <w:pPr>
              <w:spacing w:after="0"/>
              <w:rPr>
                <w:sz w:val="18"/>
                <w:szCs w:val="18"/>
                <w:color w:val="auto"/>
              </w:rPr>
            </w:pPr>
          </w:p>
        </w:tc>
        <w:tc>
          <w:tcPr>
            <w:tcW w:w="3660" w:type="dxa"/>
            <w:vAlign w:val="bottom"/>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31 October</w:t>
            </w:r>
          </w:p>
        </w:tc>
        <w:tc>
          <w:tcPr>
            <w:tcW w:w="1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 December</w:t>
            </w:r>
          </w:p>
        </w:tc>
        <w:tc>
          <w:tcPr>
            <w:tcW w:w="0" w:type="dxa"/>
            <w:vAlign w:val="bottom"/>
          </w:tcPr>
          <w:p>
            <w:pPr>
              <w:spacing w:after="0"/>
              <w:rPr>
                <w:sz w:val="1"/>
                <w:szCs w:val="1"/>
                <w:color w:val="auto"/>
              </w:rPr>
            </w:pPr>
          </w:p>
        </w:tc>
      </w:tr>
      <w:tr>
        <w:trPr>
          <w:trHeight w:val="216"/>
        </w:trPr>
        <w:tc>
          <w:tcPr>
            <w:tcW w:w="5960" w:type="dxa"/>
            <w:vAlign w:val="bottom"/>
          </w:tcPr>
          <w:p>
            <w:pPr>
              <w:spacing w:after="0"/>
              <w:rPr>
                <w:sz w:val="18"/>
                <w:szCs w:val="18"/>
                <w:color w:val="auto"/>
              </w:rPr>
            </w:pPr>
          </w:p>
        </w:tc>
        <w:tc>
          <w:tcPr>
            <w:tcW w:w="3660" w:type="dxa"/>
            <w:vAlign w:val="bottom"/>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2015</w:t>
            </w:r>
          </w:p>
        </w:tc>
        <w:tc>
          <w:tcPr>
            <w:tcW w:w="0" w:type="dxa"/>
            <w:vAlign w:val="bottom"/>
          </w:tcPr>
          <w:p>
            <w:pPr>
              <w:spacing w:after="0"/>
              <w:rPr>
                <w:sz w:val="1"/>
                <w:szCs w:val="1"/>
                <w:color w:val="auto"/>
              </w:rPr>
            </w:pPr>
          </w:p>
        </w:tc>
      </w:tr>
      <w:tr>
        <w:trPr>
          <w:trHeight w:val="238"/>
        </w:trPr>
        <w:tc>
          <w:tcPr>
            <w:tcW w:w="5960" w:type="dxa"/>
            <w:vAlign w:val="bottom"/>
          </w:tcPr>
          <w:p>
            <w:pPr>
              <w:spacing w:after="0"/>
              <w:rPr>
                <w:sz w:val="20"/>
                <w:szCs w:val="20"/>
                <w:color w:val="auto"/>
              </w:rPr>
            </w:pPr>
          </w:p>
        </w:tc>
        <w:tc>
          <w:tcPr>
            <w:tcW w:w="3660" w:type="dxa"/>
            <w:vAlign w:val="bottom"/>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$’000</w:t>
            </w:r>
          </w:p>
        </w:tc>
        <w:tc>
          <w:tcPr>
            <w:tcW w:w="1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648"/>
        </w:trPr>
        <w:tc>
          <w:tcPr>
            <w:tcW w:w="59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Profit on disposal of subsidiary undertakings (note 13)</w:t>
            </w:r>
          </w:p>
        </w:tc>
        <w:tc>
          <w:tcPr>
            <w:tcW w:w="366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960" w:type="dxa"/>
            <w:vAlign w:val="bottom"/>
            <w:tcBorders>
              <w:bottom w:val="single" w:sz="8" w:color="auto"/>
            </w:tcBorders>
            <w:shd w:val="clear" w:color="auto" w:fill="CCEEFF"/>
          </w:tcPr>
          <w:p>
            <w:pPr>
              <w:spacing w:after="0"/>
              <w:rPr>
                <w:sz w:val="19"/>
                <w:szCs w:val="19"/>
                <w:color w:val="auto"/>
              </w:rPr>
            </w:pPr>
          </w:p>
        </w:tc>
        <w:tc>
          <w:tcPr>
            <w:tcW w:w="3660" w:type="dxa"/>
            <w:vAlign w:val="bottom"/>
            <w:tcBorders>
              <w:bottom w:val="single" w:sz="8" w:color="auto"/>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left="240"/>
        <w:spacing w:after="0" w:line="266" w:lineRule="auto"/>
        <w:rPr>
          <w:sz w:val="20"/>
          <w:szCs w:val="20"/>
          <w:color w:val="auto"/>
        </w:rPr>
      </w:pPr>
      <w:r>
        <w:rPr>
          <w:rFonts w:ascii="Times New Roman" w:cs="Times New Roman" w:eastAsia="Times New Roman" w:hAnsi="Times New Roman"/>
          <w:sz w:val="18"/>
          <w:szCs w:val="18"/>
          <w:color w:val="auto"/>
        </w:rPr>
        <w:t>In July 2015 the Company sold a 13% shareholding in its subsidiary ICON Clinical Research Limited to ICON Investments Four, a fellow ICON Group company, for total proceeds of $350 million. This subsidiary had a $nil original cost and therefore the part disposal resulted in a profit on disposal of $350 million which has been recorded in the income statement during the year ended 31 December 2015.</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All of the above relates to items not at fair value through profit and loss.</w:t>
            </w:r>
          </w:p>
        </w:tc>
        <w:tc>
          <w:tcPr>
            <w:tcW w:w="30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6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6. Financing income</w:t>
            </w:r>
          </w:p>
        </w:tc>
        <w:tc>
          <w:tcPr>
            <w:tcW w:w="3020" w:type="dxa"/>
            <w:vAlign w:val="bottom"/>
            <w:vMerge w:val="restart"/>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Period ended</w:t>
            </w:r>
          </w:p>
        </w:tc>
        <w:tc>
          <w:tcPr>
            <w:tcW w:w="18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Year ended</w:t>
            </w:r>
          </w:p>
        </w:tc>
        <w:tc>
          <w:tcPr>
            <w:tcW w:w="0" w:type="dxa"/>
            <w:vAlign w:val="bottom"/>
          </w:tcPr>
          <w:p>
            <w:pPr>
              <w:spacing w:after="0"/>
              <w:rPr>
                <w:sz w:val="1"/>
                <w:szCs w:val="1"/>
                <w:color w:val="auto"/>
              </w:rPr>
            </w:pPr>
          </w:p>
        </w:tc>
      </w:tr>
      <w:tr>
        <w:trPr>
          <w:trHeight w:val="194"/>
        </w:trPr>
        <w:tc>
          <w:tcPr>
            <w:tcW w:w="6600" w:type="dxa"/>
            <w:vAlign w:val="bottom"/>
          </w:tcPr>
          <w:p>
            <w:pPr>
              <w:spacing w:after="0"/>
              <w:rPr>
                <w:sz w:val="16"/>
                <w:szCs w:val="16"/>
                <w:color w:val="auto"/>
              </w:rPr>
            </w:pPr>
          </w:p>
        </w:tc>
        <w:tc>
          <w:tcPr>
            <w:tcW w:w="3020" w:type="dxa"/>
            <w:vAlign w:val="bottom"/>
            <w:vMerge w:val="continue"/>
          </w:tcPr>
          <w:p>
            <w:pPr>
              <w:spacing w:after="0"/>
              <w:rPr>
                <w:sz w:val="16"/>
                <w:szCs w:val="16"/>
                <w:color w:val="auto"/>
              </w:rPr>
            </w:pPr>
          </w:p>
        </w:tc>
        <w:tc>
          <w:tcPr>
            <w:tcW w:w="18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600" w:type="dxa"/>
            <w:vAlign w:val="bottom"/>
          </w:tcPr>
          <w:p>
            <w:pPr>
              <w:spacing w:after="0"/>
              <w:rPr>
                <w:sz w:val="18"/>
                <w:szCs w:val="18"/>
                <w:color w:val="auto"/>
              </w:rPr>
            </w:pPr>
          </w:p>
        </w:tc>
        <w:tc>
          <w:tcPr>
            <w:tcW w:w="3020" w:type="dxa"/>
            <w:vAlign w:val="bottom"/>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31 October</w:t>
            </w:r>
          </w:p>
        </w:tc>
        <w:tc>
          <w:tcPr>
            <w:tcW w:w="1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 December</w:t>
            </w:r>
          </w:p>
        </w:tc>
        <w:tc>
          <w:tcPr>
            <w:tcW w:w="0" w:type="dxa"/>
            <w:vAlign w:val="bottom"/>
          </w:tcPr>
          <w:p>
            <w:pPr>
              <w:spacing w:after="0"/>
              <w:rPr>
                <w:sz w:val="1"/>
                <w:szCs w:val="1"/>
                <w:color w:val="auto"/>
              </w:rPr>
            </w:pPr>
          </w:p>
        </w:tc>
      </w:tr>
      <w:tr>
        <w:trPr>
          <w:trHeight w:val="216"/>
        </w:trPr>
        <w:tc>
          <w:tcPr>
            <w:tcW w:w="6600" w:type="dxa"/>
            <w:vAlign w:val="bottom"/>
          </w:tcPr>
          <w:p>
            <w:pPr>
              <w:spacing w:after="0"/>
              <w:rPr>
                <w:sz w:val="18"/>
                <w:szCs w:val="18"/>
                <w:color w:val="auto"/>
              </w:rPr>
            </w:pPr>
          </w:p>
        </w:tc>
        <w:tc>
          <w:tcPr>
            <w:tcW w:w="3020" w:type="dxa"/>
            <w:vAlign w:val="bottom"/>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600" w:type="dxa"/>
            <w:vAlign w:val="bottom"/>
          </w:tcPr>
          <w:p>
            <w:pPr>
              <w:spacing w:after="0"/>
              <w:rPr>
                <w:sz w:val="20"/>
                <w:szCs w:val="20"/>
                <w:color w:val="auto"/>
              </w:rPr>
            </w:pPr>
          </w:p>
        </w:tc>
        <w:tc>
          <w:tcPr>
            <w:tcW w:w="3020" w:type="dxa"/>
            <w:vAlign w:val="bottom"/>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$’000</w:t>
            </w:r>
          </w:p>
        </w:tc>
        <w:tc>
          <w:tcPr>
            <w:tcW w:w="1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16"/>
        </w:trPr>
        <w:tc>
          <w:tcPr>
            <w:tcW w:w="660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Dividend income (note 18)</w:t>
            </w:r>
          </w:p>
        </w:tc>
        <w:tc>
          <w:tcPr>
            <w:tcW w:w="302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249,333</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Interest income</w:t>
            </w:r>
          </w:p>
        </w:tc>
        <w:tc>
          <w:tcPr>
            <w:tcW w:w="302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22</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600" w:type="dxa"/>
            <w:vAlign w:val="bottom"/>
          </w:tcPr>
          <w:p>
            <w:pPr>
              <w:spacing w:after="0"/>
              <w:rPr>
                <w:sz w:val="21"/>
                <w:szCs w:val="21"/>
                <w:color w:val="auto"/>
              </w:rPr>
            </w:pPr>
          </w:p>
        </w:tc>
        <w:tc>
          <w:tcPr>
            <w:tcW w:w="302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6600" w:type="dxa"/>
            <w:vAlign w:val="bottom"/>
            <w:tcBorders>
              <w:bottom w:val="single" w:sz="8" w:color="auto"/>
            </w:tcBorders>
            <w:shd w:val="clear" w:color="auto" w:fill="CCEEFF"/>
          </w:tcPr>
          <w:p>
            <w:pPr>
              <w:spacing w:after="0"/>
              <w:rPr>
                <w:sz w:val="19"/>
                <w:szCs w:val="19"/>
                <w:color w:val="auto"/>
              </w:rPr>
            </w:pPr>
          </w:p>
        </w:tc>
        <w:tc>
          <w:tcPr>
            <w:tcW w:w="3020" w:type="dxa"/>
            <w:vAlign w:val="bottom"/>
            <w:tcBorders>
              <w:bottom w:val="single" w:sz="8" w:color="auto"/>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249,355</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10,548</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240" w:right="20"/>
        <w:spacing w:after="0" w:line="282" w:lineRule="auto"/>
        <w:rPr>
          <w:sz w:val="20"/>
          <w:szCs w:val="20"/>
          <w:color w:val="auto"/>
        </w:rPr>
      </w:pPr>
      <w:r>
        <w:rPr>
          <w:rFonts w:ascii="Times New Roman" w:cs="Times New Roman" w:eastAsia="Times New Roman" w:hAnsi="Times New Roman"/>
          <w:sz w:val="18"/>
          <w:szCs w:val="18"/>
          <w:color w:val="auto"/>
        </w:rPr>
        <w:t>During 2016, the Company received dividends of $249.3 million (2015: $10.5 million) from its subsidiary undertakings; ICON Clinical Research Limited ($154.7 million), ICON Holdings ($90.0 million and ICON Clinical Research PTY Limited ($4.6 million).</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7. Financing expense</w:t>
            </w:r>
          </w:p>
        </w:tc>
        <w:tc>
          <w:tcPr>
            <w:tcW w:w="41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7"/>
        </w:trPr>
        <w:tc>
          <w:tcPr>
            <w:tcW w:w="5520" w:type="dxa"/>
            <w:vAlign w:val="bottom"/>
          </w:tcPr>
          <w:p>
            <w:pPr>
              <w:spacing w:after="0"/>
              <w:rPr>
                <w:sz w:val="24"/>
                <w:szCs w:val="24"/>
                <w:color w:val="auto"/>
              </w:rPr>
            </w:pPr>
          </w:p>
        </w:tc>
        <w:tc>
          <w:tcPr>
            <w:tcW w:w="4100" w:type="dxa"/>
            <w:vAlign w:val="bottom"/>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Period ended</w:t>
            </w:r>
          </w:p>
        </w:tc>
        <w:tc>
          <w:tcPr>
            <w:tcW w:w="1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Year ended</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18"/>
                <w:szCs w:val="18"/>
                <w:color w:val="auto"/>
              </w:rPr>
            </w:pPr>
          </w:p>
        </w:tc>
        <w:tc>
          <w:tcPr>
            <w:tcW w:w="4100" w:type="dxa"/>
            <w:vAlign w:val="bottom"/>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31 October</w:t>
            </w:r>
          </w:p>
        </w:tc>
        <w:tc>
          <w:tcPr>
            <w:tcW w:w="1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 December</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18"/>
                <w:szCs w:val="18"/>
                <w:color w:val="auto"/>
              </w:rPr>
            </w:pPr>
          </w:p>
        </w:tc>
        <w:tc>
          <w:tcPr>
            <w:tcW w:w="4100" w:type="dxa"/>
            <w:vAlign w:val="bottom"/>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2015</w:t>
            </w:r>
          </w:p>
        </w:tc>
        <w:tc>
          <w:tcPr>
            <w:tcW w:w="0" w:type="dxa"/>
            <w:vAlign w:val="bottom"/>
          </w:tcPr>
          <w:p>
            <w:pPr>
              <w:spacing w:after="0"/>
              <w:rPr>
                <w:sz w:val="1"/>
                <w:szCs w:val="1"/>
                <w:color w:val="auto"/>
              </w:rPr>
            </w:pPr>
          </w:p>
        </w:tc>
      </w:tr>
      <w:tr>
        <w:trPr>
          <w:trHeight w:val="238"/>
        </w:trPr>
        <w:tc>
          <w:tcPr>
            <w:tcW w:w="5520" w:type="dxa"/>
            <w:vAlign w:val="bottom"/>
          </w:tcPr>
          <w:p>
            <w:pPr>
              <w:spacing w:after="0"/>
              <w:rPr>
                <w:sz w:val="20"/>
                <w:szCs w:val="20"/>
                <w:color w:val="auto"/>
              </w:rPr>
            </w:pPr>
          </w:p>
        </w:tc>
        <w:tc>
          <w:tcPr>
            <w:tcW w:w="4100" w:type="dxa"/>
            <w:vAlign w:val="bottom"/>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$000</w:t>
            </w:r>
          </w:p>
        </w:tc>
        <w:tc>
          <w:tcPr>
            <w:tcW w:w="1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520" w:type="dxa"/>
            <w:vAlign w:val="bottom"/>
            <w:tcBorders>
              <w:bottom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Interest on bank overdraft and credit facilities</w:t>
            </w:r>
          </w:p>
        </w:tc>
        <w:tc>
          <w:tcPr>
            <w:tcW w:w="4100" w:type="dxa"/>
            <w:vAlign w:val="bottom"/>
            <w:tcBorders>
              <w:bottom w:val="single" w:sz="8" w:color="auto"/>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5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All of the above relates to items not at fair value through profit and loss.</w:t>
            </w:r>
          </w:p>
        </w:tc>
        <w:tc>
          <w:tcPr>
            <w:tcW w:w="41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5"/>
        </w:trPr>
        <w:tc>
          <w:tcPr>
            <w:tcW w:w="5520" w:type="dxa"/>
            <w:vAlign w:val="bottom"/>
          </w:tcPr>
          <w:p>
            <w:pPr>
              <w:spacing w:after="0"/>
              <w:rPr>
                <w:sz w:val="24"/>
                <w:szCs w:val="24"/>
                <w:color w:val="auto"/>
              </w:rPr>
            </w:pPr>
          </w:p>
        </w:tc>
        <w:tc>
          <w:tcPr>
            <w:tcW w:w="4100" w:type="dxa"/>
            <w:vAlign w:val="bottom"/>
          </w:tcPr>
          <w:p>
            <w:pPr>
              <w:jc w:val="right"/>
              <w:ind w:right="3730"/>
              <w:spacing w:after="0"/>
              <w:rPr>
                <w:sz w:val="20"/>
                <w:szCs w:val="20"/>
                <w:color w:val="auto"/>
              </w:rPr>
            </w:pPr>
            <w:r>
              <w:rPr>
                <w:rFonts w:ascii="Times New Roman" w:cs="Times New Roman" w:eastAsia="Times New Roman" w:hAnsi="Times New Roman"/>
                <w:sz w:val="18"/>
                <w:szCs w:val="18"/>
                <w:color w:val="auto"/>
              </w:rPr>
              <w:t>15</w:t>
            </w:r>
          </w:p>
        </w:tc>
        <w:tc>
          <w:tcPr>
            <w:tcW w:w="1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5520" w:type="dxa"/>
            <w:vAlign w:val="bottom"/>
            <w:tcBorders>
              <w:bottom w:val="single" w:sz="8" w:color="auto"/>
            </w:tcBorders>
          </w:tcPr>
          <w:p>
            <w:pPr>
              <w:spacing w:after="0"/>
              <w:rPr>
                <w:sz w:val="5"/>
                <w:szCs w:val="5"/>
                <w:color w:val="auto"/>
              </w:rPr>
            </w:pPr>
          </w:p>
        </w:tc>
        <w:tc>
          <w:tcPr>
            <w:tcW w:w="4100" w:type="dxa"/>
            <w:vAlign w:val="bottom"/>
            <w:tcBorders>
              <w:bottom w:val="single" w:sz="8" w:color="auto"/>
            </w:tcBorders>
          </w:tcPr>
          <w:p>
            <w:pPr>
              <w:spacing w:after="0"/>
              <w:rPr>
                <w:sz w:val="5"/>
                <w:szCs w:val="5"/>
                <w:color w:val="auto"/>
              </w:rPr>
            </w:pPr>
          </w:p>
        </w:tc>
        <w:tc>
          <w:tcPr>
            <w:tcW w:w="180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08" w:right="2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29"/>
          <w:szCs w:val="29"/>
          <w:color w:val="auto"/>
        </w:rPr>
        <w:t>ICON Plc</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Notes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Forming part of the financial statements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Payroll and related benefits</w:t>
      </w:r>
    </w:p>
    <w:p>
      <w:pPr>
        <w:spacing w:after="0" w:line="25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The aggregate payroll costs of employees of the Company for the period ended 31 October 2016 was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860" w:type="dxa"/>
            <w:vAlign w:val="bottom"/>
          </w:tcPr>
          <w:p>
            <w:pPr>
              <w:spacing w:after="0"/>
              <w:rPr>
                <w:sz w:val="18"/>
                <w:szCs w:val="18"/>
                <w:color w:val="auto"/>
              </w:rPr>
            </w:pPr>
          </w:p>
        </w:tc>
        <w:tc>
          <w:tcPr>
            <w:tcW w:w="3740" w:type="dxa"/>
            <w:vAlign w:val="bottom"/>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Period ended</w:t>
            </w:r>
          </w:p>
        </w:tc>
        <w:tc>
          <w:tcPr>
            <w:tcW w:w="1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Year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spacing w:after="0"/>
              <w:rPr>
                <w:sz w:val="18"/>
                <w:szCs w:val="18"/>
                <w:color w:val="auto"/>
              </w:rPr>
            </w:pPr>
          </w:p>
        </w:tc>
        <w:tc>
          <w:tcPr>
            <w:tcW w:w="3740" w:type="dxa"/>
            <w:vAlign w:val="bottom"/>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31 October</w:t>
            </w:r>
          </w:p>
        </w:tc>
        <w:tc>
          <w:tcPr>
            <w:tcW w:w="1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 December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spacing w:after="0"/>
              <w:rPr>
                <w:sz w:val="18"/>
                <w:szCs w:val="18"/>
                <w:color w:val="auto"/>
              </w:rPr>
            </w:pPr>
          </w:p>
        </w:tc>
        <w:tc>
          <w:tcPr>
            <w:tcW w:w="3740" w:type="dxa"/>
            <w:vAlign w:val="bottom"/>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860" w:type="dxa"/>
            <w:vAlign w:val="bottom"/>
          </w:tcPr>
          <w:p>
            <w:pPr>
              <w:spacing w:after="0"/>
              <w:rPr>
                <w:sz w:val="20"/>
                <w:szCs w:val="20"/>
                <w:color w:val="auto"/>
              </w:rPr>
            </w:pPr>
          </w:p>
        </w:tc>
        <w:tc>
          <w:tcPr>
            <w:tcW w:w="3740" w:type="dxa"/>
            <w:vAlign w:val="bottom"/>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$000</w:t>
            </w:r>
          </w:p>
        </w:tc>
        <w:tc>
          <w:tcPr>
            <w:tcW w:w="1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6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Wages and salaries</w:t>
            </w:r>
          </w:p>
        </w:tc>
        <w:tc>
          <w:tcPr>
            <w:tcW w:w="374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22,245</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34,201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Payroll taxes</w:t>
            </w:r>
          </w:p>
        </w:tc>
        <w:tc>
          <w:tcPr>
            <w:tcW w:w="3740" w:type="dxa"/>
            <w:vAlign w:val="bottom"/>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3,563</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Pension costs for defined contribution pension schemes</w:t>
            </w:r>
          </w:p>
        </w:tc>
        <w:tc>
          <w:tcPr>
            <w:tcW w:w="374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772</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5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Share-based payment</w:t>
            </w:r>
          </w:p>
        </w:tc>
        <w:tc>
          <w:tcPr>
            <w:tcW w:w="3740" w:type="dxa"/>
            <w:vAlign w:val="bottom"/>
            <w:tcBorders>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10,342</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5,717</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60" w:type="dxa"/>
            <w:vAlign w:val="bottom"/>
            <w:shd w:val="clear" w:color="auto" w:fill="CCEEFF"/>
          </w:tcPr>
          <w:p>
            <w:pPr>
              <w:spacing w:after="0"/>
              <w:rPr>
                <w:sz w:val="18"/>
                <w:szCs w:val="18"/>
                <w:color w:val="auto"/>
              </w:rPr>
            </w:pPr>
          </w:p>
        </w:tc>
        <w:tc>
          <w:tcPr>
            <w:tcW w:w="37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vMerge w:val="continue"/>
          </w:tcPr>
          <w:p>
            <w:pPr>
              <w:spacing w:after="0"/>
              <w:rPr>
                <w:sz w:val="19"/>
                <w:szCs w:val="19"/>
                <w:color w:val="auto"/>
              </w:rPr>
            </w:pPr>
          </w:p>
        </w:tc>
        <w:tc>
          <w:tcPr>
            <w:tcW w:w="5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Total</w:t>
            </w:r>
          </w:p>
        </w:tc>
        <w:tc>
          <w:tcPr>
            <w:tcW w:w="3740" w:type="dxa"/>
            <w:vAlign w:val="bottom"/>
            <w:tcBorders>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36,922</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45,179</w:t>
            </w:r>
          </w:p>
        </w:tc>
        <w:tc>
          <w:tcPr>
            <w:tcW w:w="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60" w:type="dxa"/>
            <w:vAlign w:val="bottom"/>
            <w:shd w:val="clear" w:color="auto" w:fill="CCEEFF"/>
          </w:tcPr>
          <w:p>
            <w:pPr>
              <w:spacing w:after="0"/>
              <w:rPr>
                <w:sz w:val="18"/>
                <w:szCs w:val="18"/>
                <w:color w:val="auto"/>
              </w:rPr>
            </w:pPr>
          </w:p>
        </w:tc>
        <w:tc>
          <w:tcPr>
            <w:tcW w:w="37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vMerge w:val="continue"/>
          </w:tcPr>
          <w:p>
            <w:pPr>
              <w:spacing w:after="0"/>
              <w:rPr>
                <w:sz w:val="19"/>
                <w:szCs w:val="19"/>
                <w:color w:val="auto"/>
              </w:rPr>
            </w:pPr>
          </w:p>
        </w:tc>
        <w:tc>
          <w:tcPr>
            <w:tcW w:w="5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Restructuring</w:t>
            </w:r>
          </w:p>
        </w:tc>
        <w:tc>
          <w:tcPr>
            <w:tcW w:w="3740" w:type="dxa"/>
            <w:vAlign w:val="bottom"/>
            <w:tcBorders>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569</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60" w:type="dxa"/>
            <w:vAlign w:val="bottom"/>
            <w:shd w:val="clear" w:color="auto" w:fill="CCEEFF"/>
          </w:tcPr>
          <w:p>
            <w:pPr>
              <w:spacing w:after="0"/>
              <w:rPr>
                <w:sz w:val="18"/>
                <w:szCs w:val="18"/>
                <w:color w:val="auto"/>
              </w:rPr>
            </w:pPr>
          </w:p>
        </w:tc>
        <w:tc>
          <w:tcPr>
            <w:tcW w:w="37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vMerge w:val="continue"/>
          </w:tcPr>
          <w:p>
            <w:pPr>
              <w:spacing w:after="0"/>
              <w:rPr>
                <w:sz w:val="19"/>
                <w:szCs w:val="19"/>
                <w:color w:val="auto"/>
              </w:rPr>
            </w:pPr>
          </w:p>
        </w:tc>
        <w:tc>
          <w:tcPr>
            <w:tcW w:w="5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740" w:type="dxa"/>
            <w:vAlign w:val="bottom"/>
            <w:tcBorders>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37,491</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45,179</w:t>
            </w:r>
          </w:p>
        </w:tc>
        <w:tc>
          <w:tcPr>
            <w:tcW w:w="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left="220"/>
        <w:spacing w:after="0" w:line="258" w:lineRule="auto"/>
        <w:rPr>
          <w:sz w:val="20"/>
          <w:szCs w:val="20"/>
          <w:color w:val="auto"/>
        </w:rPr>
      </w:pPr>
      <w:r>
        <w:rPr>
          <w:rFonts w:ascii="Times New Roman" w:cs="Times New Roman" w:eastAsia="Times New Roman" w:hAnsi="Times New Roman"/>
          <w:sz w:val="18"/>
          <w:szCs w:val="18"/>
          <w:color w:val="auto"/>
        </w:rPr>
        <w:t>Certain employees of the Company are eligible to participate in a defined contribution plan (the "plan"). Participants in the Plan may elect to defer a portion of their pre-tax earnings into a pension plan, which is run by an independent party. The Company matches each participant's contributions up to 6% of the participant's annual compensation. The Company also makes contributions for Directors and Executive officers at rates ranging from 10% to 15% of the individual’s basic salary. Contributions to this plan are recorded as a remuneration expense in the Company Income Statement. Contributions for the period ended 31 October 2016 and the year ended 31 December 2015 were $772,000 and $929,000 respectively.</w:t>
      </w:r>
    </w:p>
    <w:p>
      <w:pPr>
        <w:spacing w:after="0" w:line="21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The average number of employees, including executive Directors, employed by the Company for the period ending 31 October 2016 was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6160" w:type="dxa"/>
            <w:vAlign w:val="bottom"/>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Period ended</w:t>
            </w:r>
          </w:p>
        </w:tc>
        <w:tc>
          <w:tcPr>
            <w:tcW w:w="1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Year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6160" w:type="dxa"/>
            <w:vAlign w:val="bottom"/>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31 October</w:t>
            </w:r>
          </w:p>
        </w:tc>
        <w:tc>
          <w:tcPr>
            <w:tcW w:w="1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 December</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6160" w:type="dxa"/>
            <w:vAlign w:val="bottom"/>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40" w:type="dxa"/>
            <w:vAlign w:val="bottom"/>
          </w:tcPr>
          <w:p>
            <w:pPr>
              <w:spacing w:after="0"/>
              <w:rPr>
                <w:sz w:val="18"/>
                <w:szCs w:val="18"/>
                <w:color w:val="auto"/>
              </w:rPr>
            </w:pPr>
          </w:p>
        </w:tc>
        <w:tc>
          <w:tcPr>
            <w:tcW w:w="61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Administration</w:t>
            </w:r>
          </w:p>
        </w:tc>
        <w:tc>
          <w:tcPr>
            <w:tcW w:w="616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16</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3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Clinical Research</w:t>
            </w:r>
          </w:p>
        </w:tc>
        <w:tc>
          <w:tcPr>
            <w:tcW w:w="616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427</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40" w:type="dxa"/>
            <w:vAlign w:val="bottom"/>
            <w:shd w:val="clear" w:color="auto" w:fill="CCEEFF"/>
          </w:tcPr>
          <w:p>
            <w:pPr>
              <w:spacing w:after="0"/>
              <w:rPr>
                <w:sz w:val="18"/>
                <w:szCs w:val="18"/>
                <w:color w:val="auto"/>
              </w:rPr>
            </w:pPr>
          </w:p>
        </w:tc>
        <w:tc>
          <w:tcPr>
            <w:tcW w:w="616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3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16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443</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78"/>
        </w:trPr>
        <w:tc>
          <w:tcPr>
            <w:tcW w:w="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6160" w:type="dxa"/>
            <w:vAlign w:val="bottom"/>
          </w:tcPr>
          <w:p>
            <w:pPr>
              <w:jc w:val="right"/>
              <w:ind w:right="3730"/>
              <w:spacing w:after="0"/>
              <w:rPr>
                <w:sz w:val="20"/>
                <w:szCs w:val="20"/>
                <w:color w:val="auto"/>
              </w:rPr>
            </w:pPr>
            <w:r>
              <w:rPr>
                <w:rFonts w:ascii="Times New Roman" w:cs="Times New Roman" w:eastAsia="Times New Roman" w:hAnsi="Times New Roman"/>
                <w:sz w:val="18"/>
                <w:szCs w:val="18"/>
                <w:color w:val="auto"/>
              </w:rPr>
              <w:t>16</w:t>
            </w:r>
          </w:p>
        </w:tc>
        <w:tc>
          <w:tcPr>
            <w:tcW w:w="1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440" w:type="dxa"/>
            <w:vAlign w:val="bottom"/>
            <w:tcBorders>
              <w:bottom w:val="single" w:sz="8" w:color="auto"/>
            </w:tcBorders>
          </w:tcPr>
          <w:p>
            <w:pPr>
              <w:spacing w:after="0"/>
              <w:rPr>
                <w:sz w:val="5"/>
                <w:szCs w:val="5"/>
                <w:color w:val="auto"/>
              </w:rPr>
            </w:pPr>
          </w:p>
        </w:tc>
        <w:tc>
          <w:tcPr>
            <w:tcW w:w="6160" w:type="dxa"/>
            <w:vAlign w:val="bottom"/>
            <w:tcBorders>
              <w:bottom w:val="single" w:sz="8" w:color="auto"/>
            </w:tcBorders>
          </w:tcPr>
          <w:p>
            <w:pPr>
              <w:spacing w:after="0"/>
              <w:rPr>
                <w:sz w:val="5"/>
                <w:szCs w:val="5"/>
                <w:color w:val="auto"/>
              </w:rPr>
            </w:pPr>
          </w:p>
        </w:tc>
        <w:tc>
          <w:tcPr>
            <w:tcW w:w="180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08" w:right="2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29"/>
          <w:szCs w:val="29"/>
          <w:color w:val="auto"/>
        </w:rPr>
        <w:t>ICON Plc</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Notes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Forming part of the financial statements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Income tax expense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the current and deferred tax expense for the period ended 31 October 2016 and year ended 31 December 2015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960" w:type="dxa"/>
            <w:vAlign w:val="bottom"/>
          </w:tcPr>
          <w:p>
            <w:pPr>
              <w:spacing w:after="0"/>
              <w:rPr>
                <w:sz w:val="18"/>
                <w:szCs w:val="18"/>
                <w:color w:val="auto"/>
              </w:rPr>
            </w:pPr>
          </w:p>
        </w:tc>
        <w:tc>
          <w:tcPr>
            <w:tcW w:w="378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Period ended</w:t>
            </w:r>
          </w:p>
        </w:tc>
        <w:tc>
          <w:tcPr>
            <w:tcW w:w="1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Year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18"/>
                <w:szCs w:val="18"/>
                <w:color w:val="auto"/>
              </w:rPr>
            </w:pPr>
          </w:p>
        </w:tc>
        <w:tc>
          <w:tcPr>
            <w:tcW w:w="378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31 October</w:t>
            </w:r>
          </w:p>
        </w:tc>
        <w:tc>
          <w:tcPr>
            <w:tcW w:w="1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 December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18"/>
                <w:szCs w:val="18"/>
                <w:color w:val="auto"/>
              </w:rPr>
            </w:pPr>
          </w:p>
        </w:tc>
        <w:tc>
          <w:tcPr>
            <w:tcW w:w="378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9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i w:val="1"/>
                <w:iCs w:val="1"/>
                <w:color w:val="auto"/>
              </w:rPr>
              <w:t>Current tax expense</w:t>
            </w:r>
          </w:p>
        </w:tc>
        <w:tc>
          <w:tcPr>
            <w:tcW w:w="378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$’000</w:t>
            </w:r>
          </w:p>
        </w:tc>
        <w:tc>
          <w:tcPr>
            <w:tcW w:w="1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16"/>
        </w:trPr>
        <w:tc>
          <w:tcPr>
            <w:tcW w:w="5980" w:type="dxa"/>
            <w:vAlign w:val="bottom"/>
            <w:gridSpan w:val="2"/>
            <w:vMerge w:val="continue"/>
          </w:tcPr>
          <w:p>
            <w:pPr>
              <w:spacing w:after="0"/>
              <w:rPr>
                <w:sz w:val="18"/>
                <w:szCs w:val="18"/>
                <w:color w:val="auto"/>
              </w:rPr>
            </w:pPr>
          </w:p>
        </w:tc>
        <w:tc>
          <w:tcPr>
            <w:tcW w:w="37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year</w:t>
            </w:r>
          </w:p>
        </w:tc>
        <w:tc>
          <w:tcPr>
            <w:tcW w:w="378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696</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Under provided in prior years</w:t>
            </w:r>
          </w:p>
        </w:tc>
        <w:tc>
          <w:tcPr>
            <w:tcW w:w="37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(408)</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18"/>
                <w:szCs w:val="18"/>
                <w:color w:val="auto"/>
              </w:rPr>
            </w:pPr>
          </w:p>
        </w:tc>
        <w:tc>
          <w:tcPr>
            <w:tcW w:w="37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18"/>
                <w:szCs w:val="18"/>
                <w:color w:val="auto"/>
              </w:rPr>
            </w:pPr>
          </w:p>
        </w:tc>
        <w:tc>
          <w:tcPr>
            <w:tcW w:w="378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288</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Deferred tax charge/(credit)</w:t>
            </w:r>
          </w:p>
        </w:tc>
        <w:tc>
          <w:tcPr>
            <w:tcW w:w="37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Origination and reversal of temporary differences</w:t>
            </w:r>
          </w:p>
        </w:tc>
        <w:tc>
          <w:tcPr>
            <w:tcW w:w="378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26</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Over provided in prior years</w:t>
            </w:r>
          </w:p>
        </w:tc>
        <w:tc>
          <w:tcPr>
            <w:tcW w:w="3780" w:type="dxa"/>
            <w:vAlign w:val="bottom"/>
            <w:tcBorders>
              <w:bottom w:val="single" w:sz="8" w:color="auto"/>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(89)</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18"/>
                <w:szCs w:val="18"/>
                <w:color w:val="auto"/>
              </w:rPr>
            </w:pPr>
          </w:p>
        </w:tc>
        <w:tc>
          <w:tcPr>
            <w:tcW w:w="378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(63)</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60" w:type="dxa"/>
            <w:vAlign w:val="bottom"/>
            <w:shd w:val="clear" w:color="auto" w:fill="CCEEFF"/>
          </w:tcPr>
          <w:p>
            <w:pPr>
              <w:spacing w:after="0"/>
              <w:rPr>
                <w:sz w:val="18"/>
                <w:szCs w:val="18"/>
                <w:color w:val="auto"/>
              </w:rPr>
            </w:pPr>
          </w:p>
        </w:tc>
        <w:tc>
          <w:tcPr>
            <w:tcW w:w="37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vMerge w:val="continue"/>
          </w:tcPr>
          <w:p>
            <w:pPr>
              <w:spacing w:after="0"/>
              <w:rPr>
                <w:sz w:val="19"/>
                <w:szCs w:val="19"/>
                <w:color w:val="auto"/>
              </w:rPr>
            </w:pPr>
          </w:p>
        </w:tc>
        <w:tc>
          <w:tcPr>
            <w:tcW w:w="5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Total income tax expense in the income statement</w:t>
            </w:r>
          </w:p>
        </w:tc>
        <w:tc>
          <w:tcPr>
            <w:tcW w:w="37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225</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the expected tax expense, computed by applying the standard Irish tax rate to income before tax to the actual tax expense,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500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Period ended</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Year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500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31 October</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 December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500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2015</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500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$’000</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8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Profit before tax</w:t>
            </w:r>
          </w:p>
        </w:tc>
        <w:tc>
          <w:tcPr>
            <w:tcW w:w="5000" w:type="dxa"/>
            <w:vAlign w:val="bottom"/>
            <w:tcBorders>
              <w:bottom w:val="single" w:sz="8" w:color="auto"/>
            </w:tcBorders>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240,456</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357,793</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Taxes at Irish standard tax rate of 12.5% </w:t>
            </w:r>
            <w:r>
              <w:rPr>
                <w:rFonts w:ascii="Times New Roman" w:cs="Times New Roman" w:eastAsia="Times New Roman" w:hAnsi="Times New Roman"/>
                <w:sz w:val="18"/>
                <w:szCs w:val="18"/>
                <w:i w:val="1"/>
                <w:iCs w:val="1"/>
                <w:color w:val="auto"/>
              </w:rPr>
              <w:t>(2015: 12.5%)</w:t>
            </w:r>
          </w:p>
        </w:tc>
        <w:tc>
          <w:tcPr>
            <w:tcW w:w="500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30,057</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44,724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Effects of:</w:t>
            </w:r>
          </w:p>
        </w:tc>
        <w:tc>
          <w:tcPr>
            <w:tcW w:w="50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Non-taxable income and non-tax deductible expenses</w:t>
            </w:r>
          </w:p>
        </w:tc>
        <w:tc>
          <w:tcPr>
            <w:tcW w:w="500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(29,443)</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Reversal of prior year under provision in respect of</w:t>
            </w:r>
          </w:p>
        </w:tc>
        <w:tc>
          <w:tcPr>
            <w:tcW w:w="50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current foreign taxes</w:t>
            </w:r>
          </w:p>
        </w:tc>
        <w:tc>
          <w:tcPr>
            <w:tcW w:w="500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(548)</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and other income taxed at higher rates</w:t>
            </w:r>
          </w:p>
        </w:tc>
        <w:tc>
          <w:tcPr>
            <w:tcW w:w="500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195</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500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(36)</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0" w:type="dxa"/>
            <w:vAlign w:val="bottom"/>
            <w:shd w:val="clear" w:color="auto" w:fill="CCEEFF"/>
          </w:tcPr>
          <w:p>
            <w:pPr>
              <w:spacing w:after="0"/>
              <w:rPr>
                <w:sz w:val="18"/>
                <w:szCs w:val="18"/>
                <w:color w:val="auto"/>
              </w:rPr>
            </w:pPr>
          </w:p>
        </w:tc>
        <w:tc>
          <w:tcPr>
            <w:tcW w:w="50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Tax expense on profit for the year</w:t>
            </w:r>
          </w:p>
        </w:tc>
        <w:tc>
          <w:tcPr>
            <w:tcW w:w="500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225</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608"/>
        </w:trPr>
        <w:tc>
          <w:tcPr>
            <w:tcW w:w="2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5000" w:type="dxa"/>
            <w:vAlign w:val="bottom"/>
          </w:tcPr>
          <w:p>
            <w:pPr>
              <w:jc w:val="right"/>
              <w:ind w:right="3930"/>
              <w:spacing w:after="0"/>
              <w:rPr>
                <w:sz w:val="20"/>
                <w:szCs w:val="20"/>
                <w:color w:val="auto"/>
              </w:rPr>
            </w:pPr>
            <w:r>
              <w:rPr>
                <w:rFonts w:ascii="Times New Roman" w:cs="Times New Roman" w:eastAsia="Times New Roman" w:hAnsi="Times New Roman"/>
                <w:sz w:val="18"/>
                <w:szCs w:val="18"/>
                <w:color w:val="auto"/>
              </w:rPr>
              <w:t>17</w:t>
            </w: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800" w:type="dxa"/>
            <w:vAlign w:val="bottom"/>
            <w:tcBorders>
              <w:bottom w:val="single" w:sz="8" w:color="auto"/>
            </w:tcBorders>
          </w:tcPr>
          <w:p>
            <w:pPr>
              <w:spacing w:after="0"/>
              <w:rPr>
                <w:sz w:val="5"/>
                <w:szCs w:val="5"/>
                <w:color w:val="auto"/>
              </w:rPr>
            </w:pPr>
          </w:p>
        </w:tc>
        <w:tc>
          <w:tcPr>
            <w:tcW w:w="5000" w:type="dxa"/>
            <w:vAlign w:val="bottom"/>
            <w:tcBorders>
              <w:bottom w:val="single" w:sz="8" w:color="auto"/>
            </w:tcBorders>
          </w:tcPr>
          <w:p>
            <w:pPr>
              <w:spacing w:after="0"/>
              <w:rPr>
                <w:sz w:val="5"/>
                <w:szCs w:val="5"/>
                <w:color w:val="auto"/>
              </w:rPr>
            </w:pPr>
          </w:p>
        </w:tc>
        <w:tc>
          <w:tcPr>
            <w:tcW w:w="160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08" w:right="2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29"/>
          <w:szCs w:val="29"/>
          <w:color w:val="auto"/>
        </w:rPr>
        <w:t>ICON Plc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Notes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Forming part of the financial statements</w:t>
      </w:r>
    </w:p>
    <w:p>
      <w:pPr>
        <w:spacing w:after="0" w:line="201" w:lineRule="exact"/>
        <w:rPr>
          <w:sz w:val="20"/>
          <w:szCs w:val="20"/>
          <w:color w:val="auto"/>
        </w:rPr>
      </w:pPr>
    </w:p>
    <w:p>
      <w:pPr>
        <w:ind w:left="180" w:hanging="172"/>
        <w:spacing w:after="0"/>
        <w:tabs>
          <w:tab w:leader="none" w:pos="18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Income tax expense </w:t>
      </w:r>
      <w:r>
        <w:rPr>
          <w:rFonts w:ascii="Times New Roman" w:cs="Times New Roman" w:eastAsia="Times New Roman" w:hAnsi="Times New Roman"/>
          <w:sz w:val="18"/>
          <w:szCs w:val="18"/>
          <w:i w:val="1"/>
          <w:iCs w:val="1"/>
          <w:color w:val="auto"/>
        </w:rPr>
        <w:t>(continued)</w:t>
      </w:r>
    </w:p>
    <w:p>
      <w:pPr>
        <w:spacing w:after="0" w:line="229" w:lineRule="exact"/>
        <w:rPr>
          <w:rFonts w:ascii="Times New Roman" w:cs="Times New Roman" w:eastAsia="Times New Roman" w:hAnsi="Times New Roman"/>
          <w:sz w:val="18"/>
          <w:szCs w:val="18"/>
          <w:b w:val="1"/>
          <w:bCs w:val="1"/>
          <w:color w:val="auto"/>
        </w:rPr>
      </w:pPr>
    </w:p>
    <w:p>
      <w:pPr>
        <w:ind w:left="1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net deferred tax asset at 31 October 2016 and 31 December 2015 was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640" w:type="dxa"/>
            <w:vAlign w:val="bottom"/>
          </w:tcPr>
          <w:p>
            <w:pPr>
              <w:spacing w:after="0"/>
              <w:rPr>
                <w:sz w:val="18"/>
                <w:szCs w:val="18"/>
                <w:color w:val="auto"/>
              </w:rPr>
            </w:pPr>
          </w:p>
        </w:tc>
        <w:tc>
          <w:tcPr>
            <w:tcW w:w="4040" w:type="dxa"/>
            <w:vAlign w:val="bottom"/>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31 October</w:t>
            </w:r>
          </w:p>
        </w:tc>
        <w:tc>
          <w:tcPr>
            <w:tcW w:w="1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 December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18"/>
                <w:szCs w:val="18"/>
                <w:color w:val="auto"/>
              </w:rPr>
            </w:pPr>
          </w:p>
        </w:tc>
        <w:tc>
          <w:tcPr>
            <w:tcW w:w="4040" w:type="dxa"/>
            <w:vAlign w:val="bottom"/>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2015</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6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taxation assets:</w:t>
            </w:r>
          </w:p>
        </w:tc>
        <w:tc>
          <w:tcPr>
            <w:tcW w:w="4040" w:type="dxa"/>
            <w:vAlign w:val="bottom"/>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$’000</w:t>
            </w:r>
          </w:p>
        </w:tc>
        <w:tc>
          <w:tcPr>
            <w:tcW w:w="1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vMerge w:val="continue"/>
          </w:tcPr>
          <w:p>
            <w:pPr>
              <w:spacing w:after="0"/>
              <w:rPr>
                <w:sz w:val="18"/>
                <w:szCs w:val="18"/>
                <w:color w:val="auto"/>
              </w:rPr>
            </w:pPr>
          </w:p>
        </w:tc>
        <w:tc>
          <w:tcPr>
            <w:tcW w:w="40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expenses and payments on account</w:t>
            </w:r>
          </w:p>
        </w:tc>
        <w:tc>
          <w:tcPr>
            <w:tcW w:w="404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427</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4040" w:type="dxa"/>
            <w:vAlign w:val="bottom"/>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115</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Loans to subsidiaries</w:t>
            </w:r>
          </w:p>
        </w:tc>
        <w:tc>
          <w:tcPr>
            <w:tcW w:w="4040" w:type="dxa"/>
            <w:vAlign w:val="bottom"/>
            <w:tcBorders>
              <w:bottom w:val="single" w:sz="8" w:color="auto"/>
            </w:tcBorders>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50</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deferred taxation assets</w:t>
            </w:r>
          </w:p>
        </w:tc>
        <w:tc>
          <w:tcPr>
            <w:tcW w:w="4040" w:type="dxa"/>
            <w:vAlign w:val="bottom"/>
            <w:tcBorders>
              <w:bottom w:val="single" w:sz="8" w:color="auto"/>
            </w:tcBorders>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592</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taxation liabilities:</w:t>
            </w:r>
          </w:p>
        </w:tc>
        <w:tc>
          <w:tcPr>
            <w:tcW w:w="404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4040" w:type="dxa"/>
            <w:vAlign w:val="bottom"/>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(10)</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expenses and payments on account</w:t>
            </w:r>
          </w:p>
        </w:tc>
        <w:tc>
          <w:tcPr>
            <w:tcW w:w="4040" w:type="dxa"/>
            <w:vAlign w:val="bottom"/>
            <w:tcBorders>
              <w:bottom w:val="single" w:sz="8" w:color="auto"/>
            </w:tcBorders>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deferred taxation liabilities</w:t>
            </w:r>
          </w:p>
        </w:tc>
        <w:tc>
          <w:tcPr>
            <w:tcW w:w="4040" w:type="dxa"/>
            <w:vAlign w:val="bottom"/>
            <w:tcBorders>
              <w:bottom w:val="single" w:sz="8" w:color="auto"/>
            </w:tcBorders>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(10)</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4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6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deferred taxation asset</w:t>
            </w:r>
          </w:p>
        </w:tc>
        <w:tc>
          <w:tcPr>
            <w:tcW w:w="4040" w:type="dxa"/>
            <w:vAlign w:val="bottom"/>
            <w:tcBorders>
              <w:bottom w:val="single" w:sz="8" w:color="auto"/>
            </w:tcBorders>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582</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movement in temporary differences during the period ended 31 October 2016 and year ended 31 December 2015 was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20" w:type="dxa"/>
            <w:vAlign w:val="bottom"/>
          </w:tcPr>
          <w:p>
            <w:pPr>
              <w:spacing w:after="0"/>
              <w:rPr>
                <w:sz w:val="18"/>
                <w:szCs w:val="18"/>
                <w:color w:val="auto"/>
              </w:rPr>
            </w:pPr>
          </w:p>
        </w:tc>
        <w:tc>
          <w:tcPr>
            <w:tcW w:w="324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232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Recognised in</w:t>
            </w: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0" w:type="dxa"/>
            <w:vAlign w:val="bottom"/>
          </w:tcPr>
          <w:p>
            <w:pPr>
              <w:spacing w:after="0"/>
              <w:rPr>
                <w:sz w:val="1"/>
                <w:szCs w:val="1"/>
                <w:color w:val="auto"/>
              </w:rPr>
            </w:pPr>
          </w:p>
        </w:tc>
      </w:tr>
      <w:tr>
        <w:trPr>
          <w:trHeight w:val="216"/>
        </w:trPr>
        <w:tc>
          <w:tcPr>
            <w:tcW w:w="4420" w:type="dxa"/>
            <w:vAlign w:val="bottom"/>
          </w:tcPr>
          <w:p>
            <w:pPr>
              <w:spacing w:after="0"/>
              <w:rPr>
                <w:sz w:val="18"/>
                <w:szCs w:val="18"/>
                <w:color w:val="auto"/>
              </w:rPr>
            </w:pPr>
          </w:p>
        </w:tc>
        <w:tc>
          <w:tcPr>
            <w:tcW w:w="324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1 January</w:t>
            </w:r>
          </w:p>
        </w:tc>
        <w:tc>
          <w:tcPr>
            <w:tcW w:w="232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31 October</w:t>
            </w:r>
          </w:p>
        </w:tc>
        <w:tc>
          <w:tcPr>
            <w:tcW w:w="0" w:type="dxa"/>
            <w:vAlign w:val="bottom"/>
          </w:tcPr>
          <w:p>
            <w:pPr>
              <w:spacing w:after="0"/>
              <w:rPr>
                <w:sz w:val="1"/>
                <w:szCs w:val="1"/>
                <w:color w:val="auto"/>
              </w:rPr>
            </w:pPr>
          </w:p>
        </w:tc>
      </w:tr>
      <w:tr>
        <w:trPr>
          <w:trHeight w:val="216"/>
        </w:trPr>
        <w:tc>
          <w:tcPr>
            <w:tcW w:w="4420" w:type="dxa"/>
            <w:vAlign w:val="bottom"/>
          </w:tcPr>
          <w:p>
            <w:pPr>
              <w:spacing w:after="0"/>
              <w:rPr>
                <w:sz w:val="18"/>
                <w:szCs w:val="18"/>
                <w:color w:val="auto"/>
              </w:rPr>
            </w:pPr>
          </w:p>
        </w:tc>
        <w:tc>
          <w:tcPr>
            <w:tcW w:w="324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2016</w:t>
            </w:r>
          </w:p>
        </w:tc>
        <w:tc>
          <w:tcPr>
            <w:tcW w:w="232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2016</w:t>
            </w:r>
          </w:p>
        </w:tc>
        <w:tc>
          <w:tcPr>
            <w:tcW w:w="0" w:type="dxa"/>
            <w:vAlign w:val="bottom"/>
          </w:tcPr>
          <w:p>
            <w:pPr>
              <w:spacing w:after="0"/>
              <w:rPr>
                <w:sz w:val="1"/>
                <w:szCs w:val="1"/>
                <w:color w:val="auto"/>
              </w:rPr>
            </w:pPr>
          </w:p>
        </w:tc>
      </w:tr>
      <w:tr>
        <w:trPr>
          <w:trHeight w:val="238"/>
        </w:trPr>
        <w:tc>
          <w:tcPr>
            <w:tcW w:w="442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Deferred taxation assets</w:t>
            </w:r>
          </w:p>
        </w:tc>
        <w:tc>
          <w:tcPr>
            <w:tcW w:w="324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$’000</w:t>
            </w:r>
          </w:p>
        </w:tc>
        <w:tc>
          <w:tcPr>
            <w:tcW w:w="232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$’000</w:t>
            </w: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$’000</w:t>
            </w:r>
          </w:p>
        </w:tc>
        <w:tc>
          <w:tcPr>
            <w:tcW w:w="0" w:type="dxa"/>
            <w:vAlign w:val="bottom"/>
          </w:tcPr>
          <w:p>
            <w:pPr>
              <w:spacing w:after="0"/>
              <w:rPr>
                <w:sz w:val="1"/>
                <w:szCs w:val="1"/>
                <w:color w:val="auto"/>
              </w:rPr>
            </w:pPr>
          </w:p>
        </w:tc>
      </w:tr>
      <w:tr>
        <w:trPr>
          <w:trHeight w:val="216"/>
        </w:trPr>
        <w:tc>
          <w:tcPr>
            <w:tcW w:w="4420" w:type="dxa"/>
            <w:vAlign w:val="bottom"/>
            <w:vMerge w:val="continue"/>
          </w:tcPr>
          <w:p>
            <w:pPr>
              <w:spacing w:after="0"/>
              <w:rPr>
                <w:sz w:val="18"/>
                <w:szCs w:val="18"/>
                <w:color w:val="auto"/>
              </w:rPr>
            </w:pPr>
          </w:p>
        </w:tc>
        <w:tc>
          <w:tcPr>
            <w:tcW w:w="324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Accrued expenses and payments on account</w:t>
            </w:r>
          </w:p>
        </w:tc>
        <w:tc>
          <w:tcPr>
            <w:tcW w:w="324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392</w:t>
            </w:r>
          </w:p>
        </w:tc>
        <w:tc>
          <w:tcPr>
            <w:tcW w:w="232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35</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324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91</w:t>
            </w:r>
          </w:p>
        </w:tc>
        <w:tc>
          <w:tcPr>
            <w:tcW w:w="232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24</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2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Loans to subsidiaries</w:t>
            </w:r>
          </w:p>
        </w:tc>
        <w:tc>
          <w:tcPr>
            <w:tcW w:w="3240" w:type="dxa"/>
            <w:vAlign w:val="bottom"/>
            <w:tcBorders>
              <w:bottom w:val="single" w:sz="8" w:color="auto"/>
            </w:tcBorders>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51</w:t>
            </w:r>
          </w:p>
        </w:tc>
        <w:tc>
          <w:tcPr>
            <w:tcW w:w="2320" w:type="dxa"/>
            <w:vAlign w:val="bottom"/>
            <w:tcBorders>
              <w:bottom w:val="single" w:sz="8" w:color="auto"/>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(1)</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2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 deferred taxation assets</w:t>
            </w:r>
          </w:p>
        </w:tc>
        <w:tc>
          <w:tcPr>
            <w:tcW w:w="3240" w:type="dxa"/>
            <w:vAlign w:val="bottom"/>
            <w:tcBorders>
              <w:bottom w:val="single" w:sz="8" w:color="auto"/>
            </w:tcBorders>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534</w:t>
            </w:r>
          </w:p>
        </w:tc>
        <w:tc>
          <w:tcPr>
            <w:tcW w:w="2320" w:type="dxa"/>
            <w:vAlign w:val="bottom"/>
            <w:tcBorders>
              <w:bottom w:val="single" w:sz="8" w:color="auto"/>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58</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Deferred taxation liabilities</w:t>
            </w:r>
          </w:p>
        </w:tc>
        <w:tc>
          <w:tcPr>
            <w:tcW w:w="324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324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(15)</w:t>
            </w:r>
          </w:p>
        </w:tc>
        <w:tc>
          <w:tcPr>
            <w:tcW w:w="232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5</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2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Accrued expenses and payments on account</w:t>
            </w:r>
          </w:p>
        </w:tc>
        <w:tc>
          <w:tcPr>
            <w:tcW w:w="3240" w:type="dxa"/>
            <w:vAlign w:val="bottom"/>
            <w:tcBorders>
              <w:bottom w:val="single" w:sz="8" w:color="auto"/>
            </w:tcBorders>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2320" w:type="dxa"/>
            <w:vAlign w:val="bottom"/>
            <w:tcBorders>
              <w:bottom w:val="single" w:sz="8" w:color="auto"/>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2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 deferred taxation liabilities</w:t>
            </w:r>
          </w:p>
        </w:tc>
        <w:tc>
          <w:tcPr>
            <w:tcW w:w="3240" w:type="dxa"/>
            <w:vAlign w:val="bottom"/>
            <w:tcBorders>
              <w:bottom w:val="single" w:sz="8" w:color="auto"/>
            </w:tcBorders>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(15)</w:t>
            </w:r>
          </w:p>
        </w:tc>
        <w:tc>
          <w:tcPr>
            <w:tcW w:w="2320" w:type="dxa"/>
            <w:vAlign w:val="bottom"/>
            <w:tcBorders>
              <w:bottom w:val="single" w:sz="8" w:color="auto"/>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5</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2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deferred taxation asset</w:t>
            </w:r>
          </w:p>
        </w:tc>
        <w:tc>
          <w:tcPr>
            <w:tcW w:w="3240" w:type="dxa"/>
            <w:vAlign w:val="bottom"/>
            <w:tcBorders>
              <w:bottom w:val="single" w:sz="8" w:color="auto"/>
            </w:tcBorders>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519</w:t>
            </w:r>
          </w:p>
        </w:tc>
        <w:tc>
          <w:tcPr>
            <w:tcW w:w="2320" w:type="dxa"/>
            <w:vAlign w:val="bottom"/>
            <w:tcBorders>
              <w:bottom w:val="single" w:sz="8" w:color="auto"/>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63</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608"/>
        </w:trPr>
        <w:tc>
          <w:tcPr>
            <w:tcW w:w="4420" w:type="dxa"/>
            <w:vAlign w:val="bottom"/>
          </w:tcPr>
          <w:p>
            <w:pPr>
              <w:spacing w:after="0"/>
              <w:rPr>
                <w:sz w:val="24"/>
                <w:szCs w:val="24"/>
                <w:color w:val="auto"/>
              </w:rPr>
            </w:pPr>
          </w:p>
        </w:tc>
        <w:tc>
          <w:tcPr>
            <w:tcW w:w="3240" w:type="dxa"/>
            <w:vAlign w:val="bottom"/>
          </w:tcPr>
          <w:p>
            <w:pPr>
              <w:jc w:val="right"/>
              <w:ind w:right="1770"/>
              <w:spacing w:after="0"/>
              <w:rPr>
                <w:sz w:val="20"/>
                <w:szCs w:val="20"/>
                <w:color w:val="auto"/>
              </w:rPr>
            </w:pPr>
            <w:r>
              <w:rPr>
                <w:rFonts w:ascii="Times New Roman" w:cs="Times New Roman" w:eastAsia="Times New Roman" w:hAnsi="Times New Roman"/>
                <w:sz w:val="18"/>
                <w:szCs w:val="18"/>
                <w:color w:val="auto"/>
              </w:rPr>
              <w:t>18</w:t>
            </w:r>
          </w:p>
        </w:tc>
        <w:tc>
          <w:tcPr>
            <w:tcW w:w="23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4420" w:type="dxa"/>
            <w:vAlign w:val="bottom"/>
            <w:tcBorders>
              <w:bottom w:val="single" w:sz="8" w:color="auto"/>
            </w:tcBorders>
          </w:tcPr>
          <w:p>
            <w:pPr>
              <w:spacing w:after="0"/>
              <w:rPr>
                <w:sz w:val="5"/>
                <w:szCs w:val="5"/>
                <w:color w:val="auto"/>
              </w:rPr>
            </w:pPr>
          </w:p>
        </w:tc>
        <w:tc>
          <w:tcPr>
            <w:tcW w:w="3240" w:type="dxa"/>
            <w:vAlign w:val="bottom"/>
            <w:tcBorders>
              <w:bottom w:val="single" w:sz="8" w:color="auto"/>
            </w:tcBorders>
          </w:tcPr>
          <w:p>
            <w:pPr>
              <w:spacing w:after="0"/>
              <w:rPr>
                <w:sz w:val="5"/>
                <w:szCs w:val="5"/>
                <w:color w:val="auto"/>
              </w:rPr>
            </w:pPr>
          </w:p>
        </w:tc>
        <w:tc>
          <w:tcPr>
            <w:tcW w:w="2320" w:type="dxa"/>
            <w:vAlign w:val="bottom"/>
            <w:tcBorders>
              <w:bottom w:val="single" w:sz="8" w:color="auto"/>
            </w:tcBorders>
          </w:tcPr>
          <w:p>
            <w:pPr>
              <w:spacing w:after="0"/>
              <w:rPr>
                <w:sz w:val="5"/>
                <w:szCs w:val="5"/>
                <w:color w:val="auto"/>
              </w:rPr>
            </w:pPr>
          </w:p>
        </w:tc>
        <w:tc>
          <w:tcPr>
            <w:tcW w:w="144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08" w:right="2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29"/>
          <w:szCs w:val="29"/>
          <w:color w:val="auto"/>
        </w:rPr>
        <w:t>ICON Plc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Notes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Forming part of the financial statements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9. Income tax expense </w:t>
            </w:r>
            <w:r>
              <w:rPr>
                <w:rFonts w:ascii="Times New Roman" w:cs="Times New Roman" w:eastAsia="Times New Roman" w:hAnsi="Times New Roman"/>
                <w:sz w:val="18"/>
                <w:szCs w:val="18"/>
                <w:i w:val="1"/>
                <w:iCs w:val="1"/>
                <w:color w:val="auto"/>
              </w:rPr>
              <w:t>(continued)</w:t>
            </w:r>
          </w:p>
        </w:tc>
        <w:tc>
          <w:tcPr>
            <w:tcW w:w="300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4760" w:type="dxa"/>
            <w:vAlign w:val="bottom"/>
          </w:tcPr>
          <w:p>
            <w:pPr>
              <w:spacing w:after="0"/>
              <w:rPr>
                <w:sz w:val="24"/>
                <w:szCs w:val="24"/>
                <w:color w:val="auto"/>
              </w:rPr>
            </w:pPr>
          </w:p>
        </w:tc>
        <w:tc>
          <w:tcPr>
            <w:tcW w:w="300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2300" w:type="dxa"/>
            <w:vAlign w:val="bottom"/>
          </w:tcPr>
          <w:p>
            <w:pPr>
              <w:spacing w:after="0"/>
              <w:rPr>
                <w:sz w:val="24"/>
                <w:szCs w:val="24"/>
                <w:color w:val="auto"/>
              </w:rPr>
            </w:pP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Balance 31</w:t>
            </w:r>
          </w:p>
        </w:tc>
        <w:tc>
          <w:tcPr>
            <w:tcW w:w="0" w:type="dxa"/>
            <w:vAlign w:val="bottom"/>
          </w:tcPr>
          <w:p>
            <w:pPr>
              <w:spacing w:after="0"/>
              <w:rPr>
                <w:sz w:val="1"/>
                <w:szCs w:val="1"/>
                <w:color w:val="auto"/>
              </w:rPr>
            </w:pPr>
          </w:p>
        </w:tc>
      </w:tr>
      <w:tr>
        <w:trPr>
          <w:trHeight w:val="216"/>
        </w:trPr>
        <w:tc>
          <w:tcPr>
            <w:tcW w:w="4760" w:type="dxa"/>
            <w:vAlign w:val="bottom"/>
          </w:tcPr>
          <w:p>
            <w:pPr>
              <w:spacing w:after="0"/>
              <w:rPr>
                <w:sz w:val="18"/>
                <w:szCs w:val="18"/>
                <w:color w:val="auto"/>
              </w:rPr>
            </w:pPr>
          </w:p>
        </w:tc>
        <w:tc>
          <w:tcPr>
            <w:tcW w:w="300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1 January</w:t>
            </w:r>
          </w:p>
        </w:tc>
        <w:tc>
          <w:tcPr>
            <w:tcW w:w="230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Recognised in</w:t>
            </w: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December</w:t>
            </w:r>
          </w:p>
        </w:tc>
        <w:tc>
          <w:tcPr>
            <w:tcW w:w="0" w:type="dxa"/>
            <w:vAlign w:val="bottom"/>
          </w:tcPr>
          <w:p>
            <w:pPr>
              <w:spacing w:after="0"/>
              <w:rPr>
                <w:sz w:val="1"/>
                <w:szCs w:val="1"/>
                <w:color w:val="auto"/>
              </w:rPr>
            </w:pPr>
          </w:p>
        </w:tc>
      </w:tr>
      <w:tr>
        <w:trPr>
          <w:trHeight w:val="216"/>
        </w:trPr>
        <w:tc>
          <w:tcPr>
            <w:tcW w:w="4760" w:type="dxa"/>
            <w:vAlign w:val="bottom"/>
          </w:tcPr>
          <w:p>
            <w:pPr>
              <w:spacing w:after="0"/>
              <w:rPr>
                <w:sz w:val="18"/>
                <w:szCs w:val="18"/>
                <w:color w:val="auto"/>
              </w:rPr>
            </w:pPr>
          </w:p>
        </w:tc>
        <w:tc>
          <w:tcPr>
            <w:tcW w:w="300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2015</w:t>
            </w:r>
          </w:p>
        </w:tc>
        <w:tc>
          <w:tcPr>
            <w:tcW w:w="230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2015</w:t>
            </w:r>
          </w:p>
        </w:tc>
        <w:tc>
          <w:tcPr>
            <w:tcW w:w="0" w:type="dxa"/>
            <w:vAlign w:val="bottom"/>
          </w:tcPr>
          <w:p>
            <w:pPr>
              <w:spacing w:after="0"/>
              <w:rPr>
                <w:sz w:val="1"/>
                <w:szCs w:val="1"/>
                <w:color w:val="auto"/>
              </w:rPr>
            </w:pPr>
          </w:p>
        </w:tc>
      </w:tr>
      <w:tr>
        <w:trPr>
          <w:trHeight w:val="238"/>
        </w:trPr>
        <w:tc>
          <w:tcPr>
            <w:tcW w:w="476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Deferred taxation assets</w:t>
            </w:r>
          </w:p>
        </w:tc>
        <w:tc>
          <w:tcPr>
            <w:tcW w:w="300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$’000</w:t>
            </w:r>
          </w:p>
        </w:tc>
        <w:tc>
          <w:tcPr>
            <w:tcW w:w="230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$’000</w:t>
            </w: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$’000</w:t>
            </w:r>
          </w:p>
        </w:tc>
        <w:tc>
          <w:tcPr>
            <w:tcW w:w="0" w:type="dxa"/>
            <w:vAlign w:val="bottom"/>
          </w:tcPr>
          <w:p>
            <w:pPr>
              <w:spacing w:after="0"/>
              <w:rPr>
                <w:sz w:val="1"/>
                <w:szCs w:val="1"/>
                <w:color w:val="auto"/>
              </w:rPr>
            </w:pPr>
          </w:p>
        </w:tc>
      </w:tr>
      <w:tr>
        <w:trPr>
          <w:trHeight w:val="216"/>
        </w:trPr>
        <w:tc>
          <w:tcPr>
            <w:tcW w:w="4760" w:type="dxa"/>
            <w:vAlign w:val="bottom"/>
            <w:vMerge w:val="continue"/>
          </w:tcPr>
          <w:p>
            <w:pPr>
              <w:spacing w:after="0"/>
              <w:rPr>
                <w:sz w:val="18"/>
                <w:szCs w:val="18"/>
                <w:color w:val="auto"/>
              </w:rPr>
            </w:pPr>
          </w:p>
        </w:tc>
        <w:tc>
          <w:tcPr>
            <w:tcW w:w="30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Accrued expenses and payments on account</w:t>
            </w:r>
          </w:p>
        </w:tc>
        <w:tc>
          <w:tcPr>
            <w:tcW w:w="300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274</w:t>
            </w:r>
          </w:p>
        </w:tc>
        <w:tc>
          <w:tcPr>
            <w:tcW w:w="230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118</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300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106</w:t>
            </w:r>
          </w:p>
        </w:tc>
        <w:tc>
          <w:tcPr>
            <w:tcW w:w="230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(15)</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76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Loans to subsidiaries</w:t>
            </w:r>
          </w:p>
        </w:tc>
        <w:tc>
          <w:tcPr>
            <w:tcW w:w="3000" w:type="dxa"/>
            <w:vAlign w:val="bottom"/>
            <w:tcBorders>
              <w:bottom w:val="single" w:sz="8" w:color="auto"/>
            </w:tcBorders>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52</w:t>
            </w:r>
          </w:p>
        </w:tc>
        <w:tc>
          <w:tcPr>
            <w:tcW w:w="2300" w:type="dxa"/>
            <w:vAlign w:val="bottom"/>
            <w:tcBorders>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(1)</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6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76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 deferred taxation assets</w:t>
            </w:r>
          </w:p>
        </w:tc>
        <w:tc>
          <w:tcPr>
            <w:tcW w:w="3000" w:type="dxa"/>
            <w:vAlign w:val="bottom"/>
            <w:tcBorders>
              <w:bottom w:val="single" w:sz="8" w:color="auto"/>
            </w:tcBorders>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432</w:t>
            </w:r>
          </w:p>
        </w:tc>
        <w:tc>
          <w:tcPr>
            <w:tcW w:w="2300" w:type="dxa"/>
            <w:vAlign w:val="bottom"/>
            <w:tcBorders>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102</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6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Deferred taxation liabilities</w:t>
            </w:r>
          </w:p>
        </w:tc>
        <w:tc>
          <w:tcPr>
            <w:tcW w:w="300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300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(21)</w:t>
            </w:r>
          </w:p>
        </w:tc>
        <w:tc>
          <w:tcPr>
            <w:tcW w:w="230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6</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76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Accrued expenses and payments on account</w:t>
            </w:r>
          </w:p>
        </w:tc>
        <w:tc>
          <w:tcPr>
            <w:tcW w:w="3000" w:type="dxa"/>
            <w:vAlign w:val="bottom"/>
            <w:tcBorders>
              <w:bottom w:val="single" w:sz="8" w:color="auto"/>
            </w:tcBorders>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(1)</w:t>
            </w:r>
          </w:p>
        </w:tc>
        <w:tc>
          <w:tcPr>
            <w:tcW w:w="2300" w:type="dxa"/>
            <w:vAlign w:val="bottom"/>
            <w:tcBorders>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1</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6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76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 deferred taxation liabilities</w:t>
            </w:r>
          </w:p>
        </w:tc>
        <w:tc>
          <w:tcPr>
            <w:tcW w:w="3000" w:type="dxa"/>
            <w:vAlign w:val="bottom"/>
            <w:tcBorders>
              <w:bottom w:val="single" w:sz="8" w:color="auto"/>
            </w:tcBorders>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(22)</w:t>
            </w:r>
          </w:p>
        </w:tc>
        <w:tc>
          <w:tcPr>
            <w:tcW w:w="2300" w:type="dxa"/>
            <w:vAlign w:val="bottom"/>
            <w:tcBorders>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7</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6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76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deferred taxation asset</w:t>
            </w:r>
          </w:p>
        </w:tc>
        <w:tc>
          <w:tcPr>
            <w:tcW w:w="3000" w:type="dxa"/>
            <w:vAlign w:val="bottom"/>
            <w:tcBorders>
              <w:bottom w:val="single" w:sz="8" w:color="auto"/>
            </w:tcBorders>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410</w:t>
            </w:r>
          </w:p>
        </w:tc>
        <w:tc>
          <w:tcPr>
            <w:tcW w:w="2300" w:type="dxa"/>
            <w:vAlign w:val="bottom"/>
            <w:tcBorders>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109</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300" w:right="700"/>
        <w:spacing w:after="0" w:line="282" w:lineRule="auto"/>
        <w:rPr>
          <w:sz w:val="20"/>
          <w:szCs w:val="20"/>
          <w:color w:val="auto"/>
        </w:rPr>
      </w:pPr>
      <w:r>
        <w:rPr>
          <w:rFonts w:ascii="Times New Roman" w:cs="Times New Roman" w:eastAsia="Times New Roman" w:hAnsi="Times New Roman"/>
          <w:sz w:val="18"/>
          <w:szCs w:val="18"/>
          <w:color w:val="auto"/>
        </w:rPr>
        <w:t>At 31 October 2016 and 31 December 2015 the Company had no operating loss carry forwards for income tax purposes. At 31 October 2016 the Company had an unrecognized deferred tax asset in respect of unutilized foreign tax credits carried forward of $2.0 million (2015: $2.0 million).</w:t>
      </w:r>
    </w:p>
    <w:p>
      <w:pPr>
        <w:spacing w:after="0" w:line="158" w:lineRule="exact"/>
        <w:rPr>
          <w:sz w:val="20"/>
          <w:szCs w:val="20"/>
          <w:color w:val="auto"/>
        </w:rPr>
      </w:pPr>
    </w:p>
    <w:p>
      <w:pPr>
        <w:ind w:left="280" w:hanging="272"/>
        <w:spacing w:after="0"/>
        <w:tabs>
          <w:tab w:leader="none" w:pos="28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Share-based payments</w:t>
      </w:r>
    </w:p>
    <w:p>
      <w:pPr>
        <w:spacing w:after="0" w:line="256" w:lineRule="exact"/>
        <w:rPr>
          <w:rFonts w:ascii="Times New Roman" w:cs="Times New Roman" w:eastAsia="Times New Roman" w:hAnsi="Times New Roman"/>
          <w:sz w:val="18"/>
          <w:szCs w:val="18"/>
          <w:b w:val="1"/>
          <w:bCs w:val="1"/>
          <w:color w:val="auto"/>
        </w:rPr>
      </w:pPr>
    </w:p>
    <w:p>
      <w:pPr>
        <w:ind w:left="260" w:right="1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operates a number of share-based payment plans in which employees of the Group participate, including a number of share options plans and a restricted share unit plan, further details of which are set out in note 10 of the Group’s Annual Report for the year ended 31 December 2015, which is available publically and can be obtained at http://investor.iconplc.com/annuals.cfm.</w:t>
      </w:r>
    </w:p>
    <w:p>
      <w:pPr>
        <w:spacing w:after="0" w:line="203" w:lineRule="exact"/>
        <w:rPr>
          <w:rFonts w:ascii="Times New Roman" w:cs="Times New Roman" w:eastAsia="Times New Roman" w:hAnsi="Times New Roman"/>
          <w:sz w:val="18"/>
          <w:szCs w:val="18"/>
          <w:b w:val="1"/>
          <w:bCs w:val="1"/>
          <w:color w:val="auto"/>
        </w:rPr>
      </w:pPr>
    </w:p>
    <w:p>
      <w:pPr>
        <w:ind w:left="2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Share options outstanding and exercisable at 31 October 2016 were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2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Weighted Average</w:t>
            </w: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506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2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Exercise Price</w:t>
            </w:r>
          </w:p>
        </w:tc>
      </w:tr>
      <w:tr>
        <w:trPr>
          <w:trHeight w:val="238"/>
        </w:trPr>
        <w:tc>
          <w:tcPr>
            <w:tcW w:w="2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506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20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4360" w:type="dxa"/>
            <w:vAlign w:val="bottom"/>
            <w:gridSpan w:val="2"/>
          </w:tcPr>
          <w:p>
            <w:pPr>
              <w:spacing w:after="0"/>
              <w:rPr>
                <w:sz w:val="19"/>
                <w:szCs w:val="19"/>
                <w:color w:val="auto"/>
              </w:rPr>
            </w:pPr>
          </w:p>
        </w:tc>
        <w:tc>
          <w:tcPr>
            <w:tcW w:w="5060" w:type="dxa"/>
            <w:vAlign w:val="bottom"/>
          </w:tcPr>
          <w:p>
            <w:pPr>
              <w:spacing w:after="0"/>
              <w:rPr>
                <w:sz w:val="19"/>
                <w:szCs w:val="19"/>
                <w:color w:val="auto"/>
              </w:rPr>
            </w:pPr>
          </w:p>
        </w:tc>
        <w:tc>
          <w:tcPr>
            <w:tcW w:w="2020" w:type="dxa"/>
            <w:vAlign w:val="bottom"/>
            <w:gridSpan w:val="2"/>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3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31 December 2015</w:t>
            </w:r>
          </w:p>
        </w:tc>
        <w:tc>
          <w:tcPr>
            <w:tcW w:w="5060" w:type="dxa"/>
            <w:vAlign w:val="bottom"/>
            <w:tcBorders>
              <w:top w:val="single" w:sz="8" w:color="auto"/>
              <w:bottom w:val="single" w:sz="8" w:color="auto"/>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1,626,582</w:t>
            </w:r>
          </w:p>
        </w:tc>
        <w:tc>
          <w:tcPr>
            <w:tcW w:w="2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$34.87</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506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256,191</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$69.61</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506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(308,203)</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$26.73</w:t>
            </w:r>
          </w:p>
        </w:tc>
        <w:tc>
          <w:tcPr>
            <w:tcW w:w="20" w:type="dxa"/>
            <w:vAlign w:val="bottom"/>
          </w:tcPr>
          <w:p>
            <w:pPr>
              <w:spacing w:after="0"/>
              <w:rPr>
                <w:sz w:val="18"/>
                <w:szCs w:val="18"/>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4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Cancelled</w:t>
            </w:r>
          </w:p>
        </w:tc>
        <w:tc>
          <w:tcPr>
            <w:tcW w:w="50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(20,715)</w:t>
            </w: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$30.59</w:t>
            </w:r>
          </w:p>
        </w:tc>
        <w:tc>
          <w:tcPr>
            <w:tcW w:w="20" w:type="dxa"/>
            <w:vAlign w:val="bottom"/>
            <w:tcBorders>
              <w:bottom w:val="single" w:sz="8" w:color="auto"/>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3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31 October 2016</w:t>
            </w:r>
          </w:p>
        </w:tc>
        <w:tc>
          <w:tcPr>
            <w:tcW w:w="5060" w:type="dxa"/>
            <w:vAlign w:val="bottom"/>
            <w:tcBorders>
              <w:bottom w:val="single" w:sz="8" w:color="auto"/>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1,553,855</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$42.27</w:t>
            </w:r>
          </w:p>
        </w:tc>
        <w:tc>
          <w:tcPr>
            <w:tcW w:w="20" w:type="dxa"/>
            <w:vAlign w:val="bottom"/>
          </w:tcPr>
          <w:p>
            <w:pPr>
              <w:spacing w:after="0"/>
              <w:rPr>
                <w:sz w:val="19"/>
                <w:szCs w:val="19"/>
                <w:color w:val="auto"/>
              </w:rPr>
            </w:pPr>
          </w:p>
        </w:tc>
      </w:tr>
      <w:tr>
        <w:trPr>
          <w:trHeight w:val="439"/>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Vested and exercisable at 31 October 2016</w:t>
            </w:r>
          </w:p>
        </w:tc>
        <w:tc>
          <w:tcPr>
            <w:tcW w:w="506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730,291</w:t>
            </w:r>
          </w:p>
        </w:tc>
        <w:tc>
          <w:tcPr>
            <w:tcW w:w="2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$29.01</w:t>
            </w:r>
          </w:p>
        </w:tc>
      </w:tr>
      <w:tr>
        <w:trPr>
          <w:trHeight w:val="635"/>
        </w:trPr>
        <w:tc>
          <w:tcPr>
            <w:tcW w:w="20" w:type="dxa"/>
            <w:vAlign w:val="bottom"/>
          </w:tcPr>
          <w:p>
            <w:pPr>
              <w:spacing w:after="0"/>
              <w:rPr>
                <w:sz w:val="24"/>
                <w:szCs w:val="24"/>
                <w:color w:val="auto"/>
              </w:rPr>
            </w:pPr>
          </w:p>
        </w:tc>
        <w:tc>
          <w:tcPr>
            <w:tcW w:w="4340" w:type="dxa"/>
            <w:vAlign w:val="bottom"/>
            <w:tcBorders>
              <w:top w:val="single" w:sz="8" w:color="auto"/>
            </w:tcBorders>
          </w:tcPr>
          <w:p>
            <w:pPr>
              <w:spacing w:after="0"/>
              <w:rPr>
                <w:sz w:val="24"/>
                <w:szCs w:val="24"/>
                <w:color w:val="auto"/>
              </w:rPr>
            </w:pPr>
          </w:p>
        </w:tc>
        <w:tc>
          <w:tcPr>
            <w:tcW w:w="5060" w:type="dxa"/>
            <w:vAlign w:val="bottom"/>
            <w:tcBorders>
              <w:top w:val="single" w:sz="8" w:color="auto"/>
            </w:tcBorders>
          </w:tcPr>
          <w:p>
            <w:pPr>
              <w:jc w:val="right"/>
              <w:ind w:right="3530"/>
              <w:spacing w:after="0"/>
              <w:rPr>
                <w:sz w:val="20"/>
                <w:szCs w:val="20"/>
                <w:color w:val="auto"/>
              </w:rPr>
            </w:pPr>
            <w:r>
              <w:rPr>
                <w:rFonts w:ascii="Times New Roman" w:cs="Times New Roman" w:eastAsia="Times New Roman" w:hAnsi="Times New Roman"/>
                <w:sz w:val="18"/>
                <w:szCs w:val="18"/>
                <w:color w:val="auto"/>
              </w:rPr>
              <w:t>19</w:t>
            </w:r>
          </w:p>
        </w:tc>
        <w:tc>
          <w:tcPr>
            <w:tcW w:w="20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61"/>
        </w:trPr>
        <w:tc>
          <w:tcPr>
            <w:tcW w:w="20" w:type="dxa"/>
            <w:vAlign w:val="bottom"/>
          </w:tcPr>
          <w:p>
            <w:pPr>
              <w:spacing w:after="0"/>
              <w:rPr>
                <w:sz w:val="5"/>
                <w:szCs w:val="5"/>
                <w:color w:val="auto"/>
              </w:rPr>
            </w:pPr>
          </w:p>
        </w:tc>
        <w:tc>
          <w:tcPr>
            <w:tcW w:w="4340" w:type="dxa"/>
            <w:vAlign w:val="bottom"/>
            <w:tcBorders>
              <w:bottom w:val="single" w:sz="8" w:color="auto"/>
            </w:tcBorders>
          </w:tcPr>
          <w:p>
            <w:pPr>
              <w:spacing w:after="0"/>
              <w:rPr>
                <w:sz w:val="5"/>
                <w:szCs w:val="5"/>
                <w:color w:val="auto"/>
              </w:rPr>
            </w:pPr>
          </w:p>
        </w:tc>
        <w:tc>
          <w:tcPr>
            <w:tcW w:w="5060" w:type="dxa"/>
            <w:vAlign w:val="bottom"/>
            <w:tcBorders>
              <w:bottom w:val="single" w:sz="8" w:color="auto"/>
            </w:tcBorders>
          </w:tcPr>
          <w:p>
            <w:pPr>
              <w:spacing w:after="0"/>
              <w:rPr>
                <w:sz w:val="5"/>
                <w:szCs w:val="5"/>
                <w:color w:val="auto"/>
              </w:rPr>
            </w:pPr>
          </w:p>
        </w:tc>
        <w:tc>
          <w:tcPr>
            <w:tcW w:w="200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r>
    </w:tbl>
    <w:p>
      <w:pPr>
        <w:sectPr>
          <w:pgSz w:w="11900" w:h="16838" w:orient="portrait"/>
          <w:cols w:equalWidth="0" w:num="1">
            <w:col w:w="11420"/>
          </w:cols>
          <w:pgMar w:left="240" w:top="108" w:right="2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29"/>
          <w:szCs w:val="29"/>
          <w:color w:val="auto"/>
        </w:rPr>
        <w:t>ICON Plc</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Notes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Forming part of the financial statements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10. Share-based payments </w:t>
      </w:r>
      <w:r>
        <w:rPr>
          <w:rFonts w:ascii="Times New Roman" w:cs="Times New Roman" w:eastAsia="Times New Roman" w:hAnsi="Times New Roman"/>
          <w:sz w:val="18"/>
          <w:szCs w:val="18"/>
          <w:i w:val="1"/>
          <w:iCs w:val="1"/>
          <w:color w:val="auto"/>
        </w:rPr>
        <w:t>(continued)</w:t>
      </w:r>
    </w:p>
    <w:p>
      <w:pPr>
        <w:spacing w:after="0" w:line="2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Restricted Share Units (“RSU’s”) and Performance Share Units (“PSU’s”) outstanding at 31 October 2016 were as follows:</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260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PSU Outstanding</w:t>
            </w:r>
          </w:p>
        </w:tc>
        <w:tc>
          <w:tcPr>
            <w:tcW w:w="18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PSU</w:t>
            </w:r>
          </w:p>
        </w:tc>
        <w:tc>
          <w:tcPr>
            <w:tcW w:w="240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RSU Outstanding</w:t>
            </w: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RSU</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260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8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Weighted</w:t>
            </w:r>
          </w:p>
        </w:tc>
        <w:tc>
          <w:tcPr>
            <w:tcW w:w="240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Weighted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260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8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240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18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400" w:type="dxa"/>
            <w:vAlign w:val="bottom"/>
          </w:tcPr>
          <w:p>
            <w:pPr>
              <w:spacing w:after="0"/>
              <w:rPr>
                <w:sz w:val="20"/>
                <w:szCs w:val="20"/>
                <w:color w:val="auto"/>
              </w:rPr>
            </w:pP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0" w:type="dxa"/>
            <w:vAlign w:val="bottom"/>
          </w:tcPr>
          <w:p>
            <w:pPr>
              <w:spacing w:after="0"/>
              <w:rPr>
                <w:sz w:val="1"/>
                <w:szCs w:val="1"/>
                <w:color w:val="auto"/>
              </w:rPr>
            </w:pPr>
          </w:p>
        </w:tc>
      </w:tr>
      <w:tr>
        <w:trPr>
          <w:trHeight w:val="655"/>
        </w:trPr>
        <w:tc>
          <w:tcPr>
            <w:tcW w:w="3080" w:type="dxa"/>
            <w:vAlign w:val="bottom"/>
            <w:gridSpan w:val="2"/>
          </w:tcPr>
          <w:p>
            <w:pPr>
              <w:spacing w:after="0"/>
              <w:rPr>
                <w:sz w:val="24"/>
                <w:szCs w:val="24"/>
                <w:color w:val="auto"/>
              </w:rPr>
            </w:pPr>
          </w:p>
        </w:tc>
        <w:tc>
          <w:tcPr>
            <w:tcW w:w="26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31 December 2015</w:t>
            </w:r>
          </w:p>
        </w:tc>
        <w:tc>
          <w:tcPr>
            <w:tcW w:w="2600" w:type="dxa"/>
            <w:vAlign w:val="bottom"/>
            <w:tcBorders>
              <w:top w:val="single" w:sz="8" w:color="auto"/>
              <w:bottom w:val="single" w:sz="8" w:color="auto"/>
            </w:tcBorders>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901,773</w:t>
            </w:r>
          </w:p>
        </w:tc>
        <w:tc>
          <w:tcPr>
            <w:tcW w:w="186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$48.33</w:t>
            </w:r>
          </w:p>
        </w:tc>
        <w:tc>
          <w:tcPr>
            <w:tcW w:w="2400" w:type="dxa"/>
            <w:vAlign w:val="bottom"/>
            <w:tcBorders>
              <w:top w:val="single" w:sz="8" w:color="auto"/>
              <w:bottom w:val="single" w:sz="8" w:color="auto"/>
            </w:tcBorders>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1,067,613</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$48.30</w:t>
            </w:r>
          </w:p>
        </w:tc>
        <w:tc>
          <w:tcPr>
            <w:tcW w:w="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6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Granted</w:t>
            </w:r>
          </w:p>
        </w:tc>
        <w:tc>
          <w:tcPr>
            <w:tcW w:w="260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247,992</w:t>
            </w:r>
          </w:p>
        </w:tc>
        <w:tc>
          <w:tcPr>
            <w:tcW w:w="18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$71.58</w:t>
            </w:r>
          </w:p>
        </w:tc>
        <w:tc>
          <w:tcPr>
            <w:tcW w:w="240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373,630</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Shares vested</w:t>
            </w:r>
          </w:p>
        </w:tc>
        <w:tc>
          <w:tcPr>
            <w:tcW w:w="260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(311,492)</w:t>
            </w:r>
          </w:p>
        </w:tc>
        <w:tc>
          <w:tcPr>
            <w:tcW w:w="18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$33.09</w:t>
            </w:r>
          </w:p>
        </w:tc>
        <w:tc>
          <w:tcPr>
            <w:tcW w:w="240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(292,229)</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w:t>
            </w:r>
          </w:p>
        </w:tc>
        <w:tc>
          <w:tcPr>
            <w:tcW w:w="2600" w:type="dxa"/>
            <w:vAlign w:val="bottom"/>
            <w:tcBorders>
              <w:bottom w:val="single" w:sz="8" w:color="auto"/>
            </w:tcBorders>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(7,750)</w:t>
            </w:r>
          </w:p>
        </w:tc>
        <w:tc>
          <w:tcPr>
            <w:tcW w:w="186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$56.58</w:t>
            </w:r>
          </w:p>
        </w:tc>
        <w:tc>
          <w:tcPr>
            <w:tcW w:w="2400" w:type="dxa"/>
            <w:vAlign w:val="bottom"/>
            <w:tcBorders>
              <w:bottom w:val="single" w:sz="8" w:color="auto"/>
            </w:tcBorders>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(120,109)</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6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31 October 2016</w:t>
            </w:r>
          </w:p>
        </w:tc>
        <w:tc>
          <w:tcPr>
            <w:tcW w:w="260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830,523</w:t>
            </w:r>
          </w:p>
        </w:tc>
        <w:tc>
          <w:tcPr>
            <w:tcW w:w="18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$60.73</w:t>
            </w:r>
          </w:p>
        </w:tc>
        <w:tc>
          <w:tcPr>
            <w:tcW w:w="240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1,028,905</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$58.13</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060" w:type="dxa"/>
            <w:vAlign w:val="bottom"/>
            <w:tcBorders>
              <w:bottom w:val="single" w:sz="8" w:color="auto"/>
            </w:tcBorders>
            <w:shd w:val="clear" w:color="auto" w:fill="CCEEFF"/>
          </w:tcPr>
          <w:p>
            <w:pPr>
              <w:spacing w:after="0"/>
              <w:rPr>
                <w:sz w:val="17"/>
                <w:szCs w:val="17"/>
                <w:color w:val="auto"/>
              </w:rPr>
            </w:pPr>
          </w:p>
        </w:tc>
        <w:tc>
          <w:tcPr>
            <w:tcW w:w="2600" w:type="dxa"/>
            <w:vAlign w:val="bottom"/>
            <w:tcBorders>
              <w:bottom w:val="single" w:sz="8" w:color="auto"/>
            </w:tcBorders>
            <w:shd w:val="clear" w:color="auto" w:fill="CCEEFF"/>
          </w:tcPr>
          <w:p>
            <w:pPr>
              <w:spacing w:after="0"/>
              <w:rPr>
                <w:sz w:val="17"/>
                <w:szCs w:val="17"/>
                <w:color w:val="auto"/>
              </w:rPr>
            </w:pPr>
          </w:p>
        </w:tc>
        <w:tc>
          <w:tcPr>
            <w:tcW w:w="1860" w:type="dxa"/>
            <w:vAlign w:val="bottom"/>
            <w:tcBorders>
              <w:bottom w:val="single" w:sz="8" w:color="auto"/>
            </w:tcBorders>
            <w:shd w:val="clear" w:color="auto" w:fill="CCEEFF"/>
          </w:tcPr>
          <w:p>
            <w:pPr>
              <w:spacing w:after="0"/>
              <w:rPr>
                <w:sz w:val="17"/>
                <w:szCs w:val="17"/>
                <w:color w:val="auto"/>
              </w:rPr>
            </w:pPr>
          </w:p>
        </w:tc>
        <w:tc>
          <w:tcPr>
            <w:tcW w:w="240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6" w:lineRule="exact"/>
        <w:rPr>
          <w:sz w:val="20"/>
          <w:szCs w:val="20"/>
          <w:color w:val="auto"/>
        </w:rPr>
      </w:pPr>
    </w:p>
    <w:p>
      <w:pPr>
        <w:jc w:val="both"/>
        <w:ind w:left="220"/>
        <w:spacing w:after="0" w:line="261" w:lineRule="auto"/>
        <w:rPr>
          <w:sz w:val="20"/>
          <w:szCs w:val="20"/>
          <w:color w:val="auto"/>
        </w:rPr>
      </w:pPr>
      <w:r>
        <w:rPr>
          <w:rFonts w:ascii="Times New Roman" w:cs="Times New Roman" w:eastAsia="Times New Roman" w:hAnsi="Times New Roman"/>
          <w:sz w:val="18"/>
          <w:szCs w:val="18"/>
          <w:color w:val="auto"/>
        </w:rPr>
        <w:t xml:space="preserve">The Company accounts for share-based awards in accordance with IFRS 2 </w:t>
      </w:r>
      <w:r>
        <w:rPr>
          <w:rFonts w:ascii="Times New Roman" w:cs="Times New Roman" w:eastAsia="Times New Roman" w:hAnsi="Times New Roman"/>
          <w:sz w:val="18"/>
          <w:szCs w:val="18"/>
          <w:i w:val="1"/>
          <w:iCs w:val="1"/>
          <w:color w:val="auto"/>
        </w:rPr>
        <w:t>Share-based Payments</w:t>
      </w:r>
      <w:r>
        <w:rPr>
          <w:rFonts w:ascii="Times New Roman" w:cs="Times New Roman" w:eastAsia="Times New Roman" w:hAnsi="Times New Roman"/>
          <w:sz w:val="18"/>
          <w:szCs w:val="18"/>
          <w:color w:val="auto"/>
        </w:rPr>
        <w:t>. The grant date fair value of these awards is calculated using a binomial model and expensed to the income statement over the period the related service is received. Operating profit for the period ended 31 October 2016 is stated after charging $10.3 million in respect of share-based payments expense, representing the portion of the overall Group charge which relates to share-based awards granted to employees of the Company. The share-based payment expense is included in the accounts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80" w:type="dxa"/>
            <w:vAlign w:val="bottom"/>
          </w:tcPr>
          <w:p>
            <w:pPr>
              <w:spacing w:after="0"/>
              <w:rPr>
                <w:sz w:val="18"/>
                <w:szCs w:val="18"/>
                <w:color w:val="auto"/>
              </w:rPr>
            </w:pPr>
          </w:p>
        </w:tc>
        <w:tc>
          <w:tcPr>
            <w:tcW w:w="61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Period Ended</w:t>
            </w: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Year Ended</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18"/>
                <w:szCs w:val="18"/>
                <w:color w:val="auto"/>
              </w:rPr>
            </w:pPr>
          </w:p>
        </w:tc>
        <w:tc>
          <w:tcPr>
            <w:tcW w:w="61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31 October</w:t>
            </w: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 December</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18"/>
                <w:szCs w:val="18"/>
                <w:color w:val="auto"/>
              </w:rPr>
            </w:pPr>
          </w:p>
        </w:tc>
        <w:tc>
          <w:tcPr>
            <w:tcW w:w="61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2015</w:t>
            </w:r>
          </w:p>
        </w:tc>
        <w:tc>
          <w:tcPr>
            <w:tcW w:w="0" w:type="dxa"/>
            <w:vAlign w:val="bottom"/>
          </w:tcPr>
          <w:p>
            <w:pPr>
              <w:spacing w:after="0"/>
              <w:rPr>
                <w:sz w:val="1"/>
                <w:szCs w:val="1"/>
                <w:color w:val="auto"/>
              </w:rPr>
            </w:pPr>
          </w:p>
        </w:tc>
      </w:tr>
      <w:tr>
        <w:trPr>
          <w:trHeight w:val="238"/>
        </w:trPr>
        <w:tc>
          <w:tcPr>
            <w:tcW w:w="3880" w:type="dxa"/>
            <w:vAlign w:val="bottom"/>
          </w:tcPr>
          <w:p>
            <w:pPr>
              <w:spacing w:after="0"/>
              <w:rPr>
                <w:sz w:val="20"/>
                <w:szCs w:val="20"/>
                <w:color w:val="auto"/>
              </w:rPr>
            </w:pPr>
          </w:p>
        </w:tc>
        <w:tc>
          <w:tcPr>
            <w:tcW w:w="61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$’000</w:t>
            </w: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18"/>
                <w:szCs w:val="18"/>
                <w:color w:val="auto"/>
              </w:rPr>
            </w:pPr>
          </w:p>
        </w:tc>
        <w:tc>
          <w:tcPr>
            <w:tcW w:w="6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Other operating expenses</w:t>
            </w:r>
          </w:p>
        </w:tc>
        <w:tc>
          <w:tcPr>
            <w:tcW w:w="610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10,342</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88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Investment in subsidiaries</w:t>
            </w:r>
          </w:p>
        </w:tc>
        <w:tc>
          <w:tcPr>
            <w:tcW w:w="61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23,687</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27,470</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18"/>
                <w:szCs w:val="18"/>
                <w:color w:val="auto"/>
              </w:rPr>
            </w:pPr>
          </w:p>
        </w:tc>
        <w:tc>
          <w:tcPr>
            <w:tcW w:w="6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88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1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34,029</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33,187</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635"/>
        </w:trPr>
        <w:tc>
          <w:tcPr>
            <w:tcW w:w="3880" w:type="dxa"/>
            <w:vAlign w:val="bottom"/>
          </w:tcPr>
          <w:p>
            <w:pPr>
              <w:spacing w:after="0"/>
              <w:rPr>
                <w:sz w:val="24"/>
                <w:szCs w:val="24"/>
                <w:color w:val="auto"/>
              </w:rPr>
            </w:pPr>
          </w:p>
        </w:tc>
        <w:tc>
          <w:tcPr>
            <w:tcW w:w="6100" w:type="dxa"/>
            <w:vAlign w:val="bottom"/>
          </w:tcPr>
          <w:p>
            <w:pPr>
              <w:jc w:val="right"/>
              <w:ind w:right="4090"/>
              <w:spacing w:after="0"/>
              <w:rPr>
                <w:sz w:val="20"/>
                <w:szCs w:val="20"/>
                <w:color w:val="auto"/>
              </w:rPr>
            </w:pPr>
            <w:r>
              <w:rPr>
                <w:rFonts w:ascii="Times New Roman" w:cs="Times New Roman" w:eastAsia="Times New Roman" w:hAnsi="Times New Roman"/>
                <w:sz w:val="18"/>
                <w:szCs w:val="18"/>
                <w:color w:val="auto"/>
              </w:rPr>
              <w:t>20</w:t>
            </w: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3880" w:type="dxa"/>
            <w:vAlign w:val="bottom"/>
            <w:tcBorders>
              <w:bottom w:val="single" w:sz="8" w:color="auto"/>
            </w:tcBorders>
          </w:tcPr>
          <w:p>
            <w:pPr>
              <w:spacing w:after="0"/>
              <w:rPr>
                <w:sz w:val="5"/>
                <w:szCs w:val="5"/>
                <w:color w:val="auto"/>
              </w:rPr>
            </w:pPr>
          </w:p>
        </w:tc>
        <w:tc>
          <w:tcPr>
            <w:tcW w:w="6100" w:type="dxa"/>
            <w:vAlign w:val="bottom"/>
            <w:tcBorders>
              <w:bottom w:val="single" w:sz="8" w:color="auto"/>
            </w:tcBorders>
          </w:tcPr>
          <w:p>
            <w:pPr>
              <w:spacing w:after="0"/>
              <w:rPr>
                <w:sz w:val="5"/>
                <w:szCs w:val="5"/>
                <w:color w:val="auto"/>
              </w:rPr>
            </w:pPr>
          </w:p>
        </w:tc>
        <w:tc>
          <w:tcPr>
            <w:tcW w:w="144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08" w:right="2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29"/>
          <w:szCs w:val="29"/>
          <w:color w:val="auto"/>
        </w:rPr>
        <w:t>ICON Plc</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Notes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Forming part of the financial statements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11. Property, plant and equipment</w:t>
            </w:r>
          </w:p>
        </w:tc>
        <w:tc>
          <w:tcPr>
            <w:tcW w:w="28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940" w:type="dxa"/>
            <w:vAlign w:val="bottom"/>
            <w:vMerge w:val="restart"/>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Office</w:t>
            </w: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940" w:type="dxa"/>
            <w:vAlign w:val="bottom"/>
            <w:vMerge w:val="continue"/>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282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Leasehold</w:t>
            </w:r>
          </w:p>
        </w:tc>
        <w:tc>
          <w:tcPr>
            <w:tcW w:w="18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Computer</w:t>
            </w:r>
          </w:p>
        </w:tc>
        <w:tc>
          <w:tcPr>
            <w:tcW w:w="194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furniture &amp;</w:t>
            </w: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282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improvements</w:t>
            </w:r>
          </w:p>
        </w:tc>
        <w:tc>
          <w:tcPr>
            <w:tcW w:w="18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equipment</w:t>
            </w:r>
          </w:p>
        </w:tc>
        <w:tc>
          <w:tcPr>
            <w:tcW w:w="194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fixtures</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38"/>
        </w:trPr>
        <w:tc>
          <w:tcPr>
            <w:tcW w:w="38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Cost</w:t>
            </w:r>
          </w:p>
        </w:tc>
        <w:tc>
          <w:tcPr>
            <w:tcW w:w="282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$’000</w:t>
            </w:r>
          </w:p>
        </w:tc>
        <w:tc>
          <w:tcPr>
            <w:tcW w:w="18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$’000</w:t>
            </w:r>
          </w:p>
        </w:tc>
        <w:tc>
          <w:tcPr>
            <w:tcW w:w="194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$’000</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$’000</w:t>
            </w:r>
          </w:p>
        </w:tc>
        <w:tc>
          <w:tcPr>
            <w:tcW w:w="0" w:type="dxa"/>
            <w:vAlign w:val="bottom"/>
          </w:tcPr>
          <w:p>
            <w:pPr>
              <w:spacing w:after="0"/>
              <w:rPr>
                <w:sz w:val="1"/>
                <w:szCs w:val="1"/>
                <w:color w:val="auto"/>
              </w:rPr>
            </w:pPr>
          </w:p>
        </w:tc>
      </w:tr>
      <w:tr>
        <w:trPr>
          <w:trHeight w:val="216"/>
        </w:trPr>
        <w:tc>
          <w:tcPr>
            <w:tcW w:w="3860" w:type="dxa"/>
            <w:vAlign w:val="bottom"/>
            <w:gridSpan w:val="2"/>
            <w:vMerge w:val="continue"/>
          </w:tcPr>
          <w:p>
            <w:pPr>
              <w:spacing w:after="0"/>
              <w:rPr>
                <w:sz w:val="18"/>
                <w:szCs w:val="18"/>
                <w:color w:val="auto"/>
              </w:rPr>
            </w:pPr>
          </w:p>
        </w:tc>
        <w:tc>
          <w:tcPr>
            <w:tcW w:w="28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At 1 January 2016</w:t>
            </w:r>
          </w:p>
        </w:tc>
        <w:tc>
          <w:tcPr>
            <w:tcW w:w="282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767</w:t>
            </w:r>
          </w:p>
        </w:tc>
        <w:tc>
          <w:tcPr>
            <w:tcW w:w="186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1,724</w:t>
            </w:r>
          </w:p>
        </w:tc>
        <w:tc>
          <w:tcPr>
            <w:tcW w:w="194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1,240</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Additions</w:t>
            </w:r>
          </w:p>
        </w:tc>
        <w:tc>
          <w:tcPr>
            <w:tcW w:w="28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72</w:t>
            </w:r>
          </w:p>
        </w:tc>
        <w:tc>
          <w:tcPr>
            <w:tcW w:w="194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3</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movement</w:t>
            </w:r>
          </w:p>
        </w:tc>
        <w:tc>
          <w:tcPr>
            <w:tcW w:w="282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(4)</w:t>
            </w:r>
          </w:p>
        </w:tc>
        <w:tc>
          <w:tcPr>
            <w:tcW w:w="1860" w:type="dxa"/>
            <w:vAlign w:val="bottom"/>
            <w:tcBorders>
              <w:bottom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(105)</w:t>
            </w:r>
          </w:p>
        </w:tc>
        <w:tc>
          <w:tcPr>
            <w:tcW w:w="194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(29)</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4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38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At 31 October 2016</w:t>
            </w:r>
          </w:p>
        </w:tc>
        <w:tc>
          <w:tcPr>
            <w:tcW w:w="282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763</w:t>
            </w:r>
          </w:p>
        </w:tc>
        <w:tc>
          <w:tcPr>
            <w:tcW w:w="1860" w:type="dxa"/>
            <w:vAlign w:val="bottom"/>
            <w:tcBorders>
              <w:bottom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1,691</w:t>
            </w:r>
          </w:p>
        </w:tc>
        <w:tc>
          <w:tcPr>
            <w:tcW w:w="194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1,214</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3,668</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4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Depreciation</w:t>
            </w:r>
          </w:p>
        </w:tc>
        <w:tc>
          <w:tcPr>
            <w:tcW w:w="282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At 1 January 2016</w:t>
            </w:r>
          </w:p>
        </w:tc>
        <w:tc>
          <w:tcPr>
            <w:tcW w:w="28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707</w:t>
            </w:r>
          </w:p>
        </w:tc>
        <w:tc>
          <w:tcPr>
            <w:tcW w:w="186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1,555</w:t>
            </w:r>
          </w:p>
        </w:tc>
        <w:tc>
          <w:tcPr>
            <w:tcW w:w="194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1,080</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Charge for the year</w:t>
            </w:r>
          </w:p>
        </w:tc>
        <w:tc>
          <w:tcPr>
            <w:tcW w:w="282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20</w:t>
            </w:r>
          </w:p>
        </w:tc>
        <w:tc>
          <w:tcPr>
            <w:tcW w:w="186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77</w:t>
            </w:r>
          </w:p>
        </w:tc>
        <w:tc>
          <w:tcPr>
            <w:tcW w:w="194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44</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3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Foreign currency movement</w:t>
            </w:r>
          </w:p>
        </w:tc>
        <w:tc>
          <w:tcPr>
            <w:tcW w:w="28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(5)</w:t>
            </w:r>
          </w:p>
        </w:tc>
        <w:tc>
          <w:tcPr>
            <w:tcW w:w="18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(96)</w:t>
            </w:r>
          </w:p>
        </w:tc>
        <w:tc>
          <w:tcPr>
            <w:tcW w:w="19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vMerge w:val="continue"/>
          </w:tcPr>
          <w:p>
            <w:pPr>
              <w:spacing w:after="0"/>
              <w:rPr>
                <w:sz w:val="19"/>
                <w:szCs w:val="19"/>
                <w:color w:val="auto"/>
              </w:rPr>
            </w:pPr>
          </w:p>
        </w:tc>
        <w:tc>
          <w:tcPr>
            <w:tcW w:w="3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At 31 October 2016</w:t>
            </w:r>
          </w:p>
        </w:tc>
        <w:tc>
          <w:tcPr>
            <w:tcW w:w="28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722</w:t>
            </w:r>
          </w:p>
        </w:tc>
        <w:tc>
          <w:tcPr>
            <w:tcW w:w="18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1,536</w:t>
            </w:r>
          </w:p>
        </w:tc>
        <w:tc>
          <w:tcPr>
            <w:tcW w:w="19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1,104</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3,362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book value</w:t>
            </w:r>
          </w:p>
        </w:tc>
        <w:tc>
          <w:tcPr>
            <w:tcW w:w="28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At 31 October 2016</w:t>
            </w:r>
          </w:p>
        </w:tc>
        <w:tc>
          <w:tcPr>
            <w:tcW w:w="282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41</w:t>
            </w:r>
          </w:p>
        </w:tc>
        <w:tc>
          <w:tcPr>
            <w:tcW w:w="186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155</w:t>
            </w:r>
          </w:p>
        </w:tc>
        <w:tc>
          <w:tcPr>
            <w:tcW w:w="194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110</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840" w:type="dxa"/>
            <w:vAlign w:val="bottom"/>
            <w:tcBorders>
              <w:bottom w:val="single" w:sz="8" w:color="auto"/>
            </w:tcBorders>
            <w:shd w:val="clear" w:color="auto" w:fill="CCEEFF"/>
          </w:tcPr>
          <w:p>
            <w:pPr>
              <w:spacing w:after="0"/>
              <w:rPr>
                <w:sz w:val="17"/>
                <w:szCs w:val="17"/>
                <w:color w:val="auto"/>
              </w:rPr>
            </w:pPr>
          </w:p>
        </w:tc>
        <w:tc>
          <w:tcPr>
            <w:tcW w:w="2820" w:type="dxa"/>
            <w:vAlign w:val="bottom"/>
            <w:tcBorders>
              <w:bottom w:val="single" w:sz="8" w:color="auto"/>
            </w:tcBorders>
            <w:shd w:val="clear" w:color="auto" w:fill="CCEEFF"/>
          </w:tcPr>
          <w:p>
            <w:pPr>
              <w:spacing w:after="0"/>
              <w:rPr>
                <w:sz w:val="17"/>
                <w:szCs w:val="17"/>
                <w:color w:val="auto"/>
              </w:rPr>
            </w:pPr>
          </w:p>
        </w:tc>
        <w:tc>
          <w:tcPr>
            <w:tcW w:w="1860" w:type="dxa"/>
            <w:vAlign w:val="bottom"/>
            <w:tcBorders>
              <w:bottom w:val="single" w:sz="8" w:color="auto"/>
            </w:tcBorders>
            <w:shd w:val="clear" w:color="auto" w:fill="CCEEFF"/>
          </w:tcPr>
          <w:p>
            <w:pPr>
              <w:spacing w:after="0"/>
              <w:rPr>
                <w:sz w:val="17"/>
                <w:szCs w:val="17"/>
                <w:color w:val="auto"/>
              </w:rPr>
            </w:pPr>
          </w:p>
        </w:tc>
        <w:tc>
          <w:tcPr>
            <w:tcW w:w="194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4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38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At 31 December 2015</w:t>
            </w:r>
          </w:p>
        </w:tc>
        <w:tc>
          <w:tcPr>
            <w:tcW w:w="282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60</w:t>
            </w:r>
          </w:p>
        </w:tc>
        <w:tc>
          <w:tcPr>
            <w:tcW w:w="1860" w:type="dxa"/>
            <w:vAlign w:val="bottom"/>
            <w:tcBorders>
              <w:bottom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169</w:t>
            </w:r>
          </w:p>
        </w:tc>
        <w:tc>
          <w:tcPr>
            <w:tcW w:w="194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160</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5"/>
        </w:trPr>
        <w:tc>
          <w:tcPr>
            <w:tcW w:w="2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282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rPr>
              <w:t>21</w:t>
            </w:r>
          </w:p>
        </w:tc>
        <w:tc>
          <w:tcPr>
            <w:tcW w:w="18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840" w:type="dxa"/>
            <w:vAlign w:val="bottom"/>
            <w:tcBorders>
              <w:bottom w:val="single" w:sz="8" w:color="auto"/>
            </w:tcBorders>
          </w:tcPr>
          <w:p>
            <w:pPr>
              <w:spacing w:after="0"/>
              <w:rPr>
                <w:sz w:val="5"/>
                <w:szCs w:val="5"/>
                <w:color w:val="auto"/>
              </w:rPr>
            </w:pPr>
          </w:p>
        </w:tc>
        <w:tc>
          <w:tcPr>
            <w:tcW w:w="2820" w:type="dxa"/>
            <w:vAlign w:val="bottom"/>
            <w:tcBorders>
              <w:bottom w:val="single" w:sz="8" w:color="auto"/>
            </w:tcBorders>
          </w:tcPr>
          <w:p>
            <w:pPr>
              <w:spacing w:after="0"/>
              <w:rPr>
                <w:sz w:val="5"/>
                <w:szCs w:val="5"/>
                <w:color w:val="auto"/>
              </w:rPr>
            </w:pPr>
          </w:p>
        </w:tc>
        <w:tc>
          <w:tcPr>
            <w:tcW w:w="1860" w:type="dxa"/>
            <w:vAlign w:val="bottom"/>
            <w:tcBorders>
              <w:bottom w:val="single" w:sz="8" w:color="auto"/>
            </w:tcBorders>
          </w:tcPr>
          <w:p>
            <w:pPr>
              <w:spacing w:after="0"/>
              <w:rPr>
                <w:sz w:val="5"/>
                <w:szCs w:val="5"/>
                <w:color w:val="auto"/>
              </w:rPr>
            </w:pPr>
          </w:p>
        </w:tc>
        <w:tc>
          <w:tcPr>
            <w:tcW w:w="194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08" w:right="2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29"/>
          <w:szCs w:val="29"/>
          <w:color w:val="auto"/>
        </w:rPr>
        <w:t>ICON Plc</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Notes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Forming part of the financial statements</w:t>
      </w: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11. Property, plant and equipment </w:t>
            </w:r>
            <w:r>
              <w:rPr>
                <w:rFonts w:ascii="Times New Roman" w:cs="Times New Roman" w:eastAsia="Times New Roman" w:hAnsi="Times New Roman"/>
                <w:sz w:val="18"/>
                <w:szCs w:val="18"/>
                <w:i w:val="1"/>
                <w:iCs w:val="1"/>
                <w:color w:val="auto"/>
              </w:rPr>
              <w:t>(continued)</w:t>
            </w:r>
          </w:p>
        </w:tc>
        <w:tc>
          <w:tcPr>
            <w:tcW w:w="238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0"/>
        </w:trPr>
        <w:tc>
          <w:tcPr>
            <w:tcW w:w="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94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Office</w:t>
            </w: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238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Leasehold</w:t>
            </w:r>
          </w:p>
        </w:tc>
        <w:tc>
          <w:tcPr>
            <w:tcW w:w="18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Computer</w:t>
            </w:r>
          </w:p>
        </w:tc>
        <w:tc>
          <w:tcPr>
            <w:tcW w:w="194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furniture &amp;</w:t>
            </w: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238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improvements</w:t>
            </w:r>
          </w:p>
        </w:tc>
        <w:tc>
          <w:tcPr>
            <w:tcW w:w="18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equipment</w:t>
            </w:r>
          </w:p>
        </w:tc>
        <w:tc>
          <w:tcPr>
            <w:tcW w:w="194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fixtures</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38"/>
        </w:trPr>
        <w:tc>
          <w:tcPr>
            <w:tcW w:w="43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Cost</w:t>
            </w:r>
          </w:p>
        </w:tc>
        <w:tc>
          <w:tcPr>
            <w:tcW w:w="238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$’000</w:t>
            </w:r>
          </w:p>
        </w:tc>
        <w:tc>
          <w:tcPr>
            <w:tcW w:w="18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$’000</w:t>
            </w:r>
          </w:p>
        </w:tc>
        <w:tc>
          <w:tcPr>
            <w:tcW w:w="194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$’000</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$’000</w:t>
            </w:r>
          </w:p>
        </w:tc>
        <w:tc>
          <w:tcPr>
            <w:tcW w:w="0" w:type="dxa"/>
            <w:vAlign w:val="bottom"/>
          </w:tcPr>
          <w:p>
            <w:pPr>
              <w:spacing w:after="0"/>
              <w:rPr>
                <w:sz w:val="1"/>
                <w:szCs w:val="1"/>
                <w:color w:val="auto"/>
              </w:rPr>
            </w:pPr>
          </w:p>
        </w:tc>
      </w:tr>
      <w:tr>
        <w:trPr>
          <w:trHeight w:val="216"/>
        </w:trPr>
        <w:tc>
          <w:tcPr>
            <w:tcW w:w="4300" w:type="dxa"/>
            <w:vAlign w:val="bottom"/>
            <w:gridSpan w:val="2"/>
            <w:vMerge w:val="continue"/>
          </w:tcPr>
          <w:p>
            <w:pPr>
              <w:spacing w:after="0"/>
              <w:rPr>
                <w:sz w:val="18"/>
                <w:szCs w:val="18"/>
                <w:color w:val="auto"/>
              </w:rPr>
            </w:pPr>
          </w:p>
        </w:tc>
        <w:tc>
          <w:tcPr>
            <w:tcW w:w="23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At 1 January 2015</w:t>
            </w:r>
          </w:p>
        </w:tc>
        <w:tc>
          <w:tcPr>
            <w:tcW w:w="238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852</w:t>
            </w:r>
          </w:p>
        </w:tc>
        <w:tc>
          <w:tcPr>
            <w:tcW w:w="186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1,834</w:t>
            </w:r>
          </w:p>
        </w:tc>
        <w:tc>
          <w:tcPr>
            <w:tcW w:w="194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1,370</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Additions</w:t>
            </w:r>
          </w:p>
        </w:tc>
        <w:tc>
          <w:tcPr>
            <w:tcW w:w="238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77</w:t>
            </w:r>
          </w:p>
        </w:tc>
        <w:tc>
          <w:tcPr>
            <w:tcW w:w="194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8</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movement</w:t>
            </w:r>
          </w:p>
        </w:tc>
        <w:tc>
          <w:tcPr>
            <w:tcW w:w="238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(85)</w:t>
            </w:r>
          </w:p>
        </w:tc>
        <w:tc>
          <w:tcPr>
            <w:tcW w:w="1860" w:type="dxa"/>
            <w:vAlign w:val="bottom"/>
            <w:tcBorders>
              <w:bottom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(187)</w:t>
            </w:r>
          </w:p>
        </w:tc>
        <w:tc>
          <w:tcPr>
            <w:tcW w:w="194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(138)</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2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At 31 December 2015</w:t>
            </w:r>
          </w:p>
        </w:tc>
        <w:tc>
          <w:tcPr>
            <w:tcW w:w="238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767</w:t>
            </w:r>
          </w:p>
        </w:tc>
        <w:tc>
          <w:tcPr>
            <w:tcW w:w="1860" w:type="dxa"/>
            <w:vAlign w:val="bottom"/>
            <w:tcBorders>
              <w:bottom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1,724</w:t>
            </w:r>
          </w:p>
        </w:tc>
        <w:tc>
          <w:tcPr>
            <w:tcW w:w="194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1,240</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3,731</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Depreciation</w:t>
            </w:r>
          </w:p>
        </w:tc>
        <w:tc>
          <w:tcPr>
            <w:tcW w:w="238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At 1 January 2015</w:t>
            </w:r>
          </w:p>
        </w:tc>
        <w:tc>
          <w:tcPr>
            <w:tcW w:w="238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756</w:t>
            </w:r>
          </w:p>
        </w:tc>
        <w:tc>
          <w:tcPr>
            <w:tcW w:w="186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1,602</w:t>
            </w:r>
          </w:p>
        </w:tc>
        <w:tc>
          <w:tcPr>
            <w:tcW w:w="194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1,084</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Charge for the year</w:t>
            </w:r>
          </w:p>
        </w:tc>
        <w:tc>
          <w:tcPr>
            <w:tcW w:w="238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26</w:t>
            </w:r>
          </w:p>
        </w:tc>
        <w:tc>
          <w:tcPr>
            <w:tcW w:w="186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118</w:t>
            </w:r>
          </w:p>
        </w:tc>
        <w:tc>
          <w:tcPr>
            <w:tcW w:w="194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109</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4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Foreign currency movement</w:t>
            </w:r>
          </w:p>
        </w:tc>
        <w:tc>
          <w:tcPr>
            <w:tcW w:w="23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(75)</w:t>
            </w:r>
          </w:p>
        </w:tc>
        <w:tc>
          <w:tcPr>
            <w:tcW w:w="18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(165)</w:t>
            </w:r>
          </w:p>
        </w:tc>
        <w:tc>
          <w:tcPr>
            <w:tcW w:w="19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(113)</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8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vMerge w:val="continue"/>
          </w:tcPr>
          <w:p>
            <w:pPr>
              <w:spacing w:after="0"/>
              <w:rPr>
                <w:sz w:val="19"/>
                <w:szCs w:val="19"/>
                <w:color w:val="auto"/>
              </w:rPr>
            </w:pPr>
          </w:p>
        </w:tc>
        <w:tc>
          <w:tcPr>
            <w:tcW w:w="4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At 31 December 2015</w:t>
            </w:r>
          </w:p>
        </w:tc>
        <w:tc>
          <w:tcPr>
            <w:tcW w:w="23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707</w:t>
            </w:r>
          </w:p>
        </w:tc>
        <w:tc>
          <w:tcPr>
            <w:tcW w:w="18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1,555</w:t>
            </w:r>
          </w:p>
        </w:tc>
        <w:tc>
          <w:tcPr>
            <w:tcW w:w="19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1,080</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3,342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8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book value</w:t>
            </w:r>
          </w:p>
        </w:tc>
        <w:tc>
          <w:tcPr>
            <w:tcW w:w="23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At 31 December 2015</w:t>
            </w:r>
          </w:p>
        </w:tc>
        <w:tc>
          <w:tcPr>
            <w:tcW w:w="238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60</w:t>
            </w:r>
          </w:p>
        </w:tc>
        <w:tc>
          <w:tcPr>
            <w:tcW w:w="1860" w:type="dxa"/>
            <w:vAlign w:val="bottom"/>
            <w:tcBorders>
              <w:bottom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169</w:t>
            </w:r>
          </w:p>
        </w:tc>
        <w:tc>
          <w:tcPr>
            <w:tcW w:w="194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160</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2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At 31 December 2014</w:t>
            </w:r>
          </w:p>
        </w:tc>
        <w:tc>
          <w:tcPr>
            <w:tcW w:w="238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96</w:t>
            </w:r>
          </w:p>
        </w:tc>
        <w:tc>
          <w:tcPr>
            <w:tcW w:w="1860" w:type="dxa"/>
            <w:vAlign w:val="bottom"/>
            <w:tcBorders>
              <w:bottom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232</w:t>
            </w:r>
          </w:p>
        </w:tc>
        <w:tc>
          <w:tcPr>
            <w:tcW w:w="194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286</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08"/>
        </w:trPr>
        <w:tc>
          <w:tcPr>
            <w:tcW w:w="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238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rPr>
              <w:t>22</w:t>
            </w:r>
          </w:p>
        </w:tc>
        <w:tc>
          <w:tcPr>
            <w:tcW w:w="18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280" w:type="dxa"/>
            <w:vAlign w:val="bottom"/>
            <w:tcBorders>
              <w:bottom w:val="single" w:sz="8" w:color="auto"/>
            </w:tcBorders>
          </w:tcPr>
          <w:p>
            <w:pPr>
              <w:spacing w:after="0"/>
              <w:rPr>
                <w:sz w:val="5"/>
                <w:szCs w:val="5"/>
                <w:color w:val="auto"/>
              </w:rPr>
            </w:pPr>
          </w:p>
        </w:tc>
        <w:tc>
          <w:tcPr>
            <w:tcW w:w="2380" w:type="dxa"/>
            <w:vAlign w:val="bottom"/>
            <w:tcBorders>
              <w:bottom w:val="single" w:sz="8" w:color="auto"/>
            </w:tcBorders>
          </w:tcPr>
          <w:p>
            <w:pPr>
              <w:spacing w:after="0"/>
              <w:rPr>
                <w:sz w:val="5"/>
                <w:szCs w:val="5"/>
                <w:color w:val="auto"/>
              </w:rPr>
            </w:pPr>
          </w:p>
        </w:tc>
        <w:tc>
          <w:tcPr>
            <w:tcW w:w="1860" w:type="dxa"/>
            <w:vAlign w:val="bottom"/>
            <w:tcBorders>
              <w:bottom w:val="single" w:sz="8" w:color="auto"/>
            </w:tcBorders>
          </w:tcPr>
          <w:p>
            <w:pPr>
              <w:spacing w:after="0"/>
              <w:rPr>
                <w:sz w:val="5"/>
                <w:szCs w:val="5"/>
                <w:color w:val="auto"/>
              </w:rPr>
            </w:pPr>
          </w:p>
        </w:tc>
        <w:tc>
          <w:tcPr>
            <w:tcW w:w="194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08" w:right="2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29"/>
          <w:szCs w:val="29"/>
          <w:color w:val="auto"/>
        </w:rPr>
        <w:t>ICON Plc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Notes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Forming part of the financial statements</w:t>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12. Intangible assets</w:t>
            </w:r>
          </w:p>
        </w:tc>
        <w:tc>
          <w:tcPr>
            <w:tcW w:w="7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7"/>
        </w:trPr>
        <w:tc>
          <w:tcPr>
            <w:tcW w:w="2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7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Computer Software</w:t>
            </w:r>
          </w:p>
        </w:tc>
        <w:tc>
          <w:tcPr>
            <w:tcW w:w="0" w:type="dxa"/>
            <w:vAlign w:val="bottom"/>
          </w:tcPr>
          <w:p>
            <w:pPr>
              <w:spacing w:after="0"/>
              <w:rPr>
                <w:sz w:val="1"/>
                <w:szCs w:val="1"/>
                <w:color w:val="auto"/>
              </w:rPr>
            </w:pPr>
          </w:p>
        </w:tc>
      </w:tr>
      <w:tr>
        <w:trPr>
          <w:trHeight w:val="238"/>
        </w:trPr>
        <w:tc>
          <w:tcPr>
            <w:tcW w:w="38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Cost:</w:t>
            </w:r>
          </w:p>
        </w:tc>
        <w:tc>
          <w:tcPr>
            <w:tcW w:w="7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$’000</w:t>
            </w:r>
          </w:p>
        </w:tc>
        <w:tc>
          <w:tcPr>
            <w:tcW w:w="0" w:type="dxa"/>
            <w:vAlign w:val="bottom"/>
          </w:tcPr>
          <w:p>
            <w:pPr>
              <w:spacing w:after="0"/>
              <w:rPr>
                <w:sz w:val="1"/>
                <w:szCs w:val="1"/>
                <w:color w:val="auto"/>
              </w:rPr>
            </w:pPr>
          </w:p>
        </w:tc>
      </w:tr>
      <w:tr>
        <w:trPr>
          <w:trHeight w:val="216"/>
        </w:trPr>
        <w:tc>
          <w:tcPr>
            <w:tcW w:w="3860" w:type="dxa"/>
            <w:vAlign w:val="bottom"/>
            <w:gridSpan w:val="2"/>
            <w:vMerge w:val="continue"/>
          </w:tcPr>
          <w:p>
            <w:pPr>
              <w:spacing w:after="0"/>
              <w:rPr>
                <w:sz w:val="18"/>
                <w:szCs w:val="18"/>
                <w:color w:val="auto"/>
              </w:rPr>
            </w:pPr>
          </w:p>
        </w:tc>
        <w:tc>
          <w:tcPr>
            <w:tcW w:w="7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At 1 January 2016</w:t>
            </w:r>
          </w:p>
        </w:tc>
        <w:tc>
          <w:tcPr>
            <w:tcW w:w="7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Additions</w:t>
            </w:r>
          </w:p>
        </w:tc>
        <w:tc>
          <w:tcPr>
            <w:tcW w:w="7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exchange movement</w:t>
            </w:r>
          </w:p>
        </w:tc>
        <w:tc>
          <w:tcPr>
            <w:tcW w:w="7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40" w:type="dxa"/>
            <w:vAlign w:val="bottom"/>
          </w:tcPr>
          <w:p>
            <w:pPr>
              <w:spacing w:after="0"/>
              <w:rPr>
                <w:sz w:val="18"/>
                <w:szCs w:val="18"/>
                <w:color w:val="auto"/>
              </w:rPr>
            </w:pPr>
          </w:p>
        </w:tc>
        <w:tc>
          <w:tcPr>
            <w:tcW w:w="75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38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At 31 October 2016</w:t>
            </w:r>
          </w:p>
        </w:tc>
        <w:tc>
          <w:tcPr>
            <w:tcW w:w="7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1,091</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40" w:type="dxa"/>
            <w:vAlign w:val="bottom"/>
          </w:tcPr>
          <w:p>
            <w:pPr>
              <w:spacing w:after="0"/>
              <w:rPr>
                <w:sz w:val="18"/>
                <w:szCs w:val="18"/>
                <w:color w:val="auto"/>
              </w:rPr>
            </w:pPr>
          </w:p>
        </w:tc>
        <w:tc>
          <w:tcPr>
            <w:tcW w:w="7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Accumulated amortisation:</w:t>
            </w:r>
          </w:p>
        </w:tc>
        <w:tc>
          <w:tcPr>
            <w:tcW w:w="75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At 1 January 2016</w:t>
            </w:r>
          </w:p>
        </w:tc>
        <w:tc>
          <w:tcPr>
            <w:tcW w:w="7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Charge during the year</w:t>
            </w:r>
          </w:p>
        </w:tc>
        <w:tc>
          <w:tcPr>
            <w:tcW w:w="7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3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Foreign exchange movement</w:t>
            </w:r>
          </w:p>
        </w:tc>
        <w:tc>
          <w:tcPr>
            <w:tcW w:w="7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75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vMerge w:val="continue"/>
          </w:tcPr>
          <w:p>
            <w:pPr>
              <w:spacing w:after="0"/>
              <w:rPr>
                <w:sz w:val="19"/>
                <w:szCs w:val="19"/>
                <w:color w:val="auto"/>
              </w:rPr>
            </w:pPr>
          </w:p>
        </w:tc>
        <w:tc>
          <w:tcPr>
            <w:tcW w:w="3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At 31 October 2016</w:t>
            </w:r>
          </w:p>
        </w:tc>
        <w:tc>
          <w:tcPr>
            <w:tcW w:w="7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75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book value:</w:t>
            </w:r>
          </w:p>
        </w:tc>
        <w:tc>
          <w:tcPr>
            <w:tcW w:w="7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At 31 October 2016</w:t>
            </w:r>
          </w:p>
        </w:tc>
        <w:tc>
          <w:tcPr>
            <w:tcW w:w="7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40" w:type="dxa"/>
            <w:vAlign w:val="bottom"/>
          </w:tcPr>
          <w:p>
            <w:pPr>
              <w:spacing w:after="0"/>
              <w:rPr>
                <w:sz w:val="18"/>
                <w:szCs w:val="18"/>
                <w:color w:val="auto"/>
              </w:rPr>
            </w:pPr>
          </w:p>
        </w:tc>
        <w:tc>
          <w:tcPr>
            <w:tcW w:w="7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38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At 31 December 2015</w:t>
            </w:r>
          </w:p>
        </w:tc>
        <w:tc>
          <w:tcPr>
            <w:tcW w:w="7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7"/>
        </w:trPr>
        <w:tc>
          <w:tcPr>
            <w:tcW w:w="2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7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Computer Software</w:t>
            </w:r>
          </w:p>
        </w:tc>
        <w:tc>
          <w:tcPr>
            <w:tcW w:w="0" w:type="dxa"/>
            <w:vAlign w:val="bottom"/>
          </w:tcPr>
          <w:p>
            <w:pPr>
              <w:spacing w:after="0"/>
              <w:rPr>
                <w:sz w:val="1"/>
                <w:szCs w:val="1"/>
                <w:color w:val="auto"/>
              </w:rPr>
            </w:pPr>
          </w:p>
        </w:tc>
      </w:tr>
      <w:tr>
        <w:trPr>
          <w:trHeight w:val="238"/>
        </w:trPr>
        <w:tc>
          <w:tcPr>
            <w:tcW w:w="38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Cost:</w:t>
            </w:r>
          </w:p>
        </w:tc>
        <w:tc>
          <w:tcPr>
            <w:tcW w:w="7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$’000</w:t>
            </w:r>
          </w:p>
        </w:tc>
        <w:tc>
          <w:tcPr>
            <w:tcW w:w="0" w:type="dxa"/>
            <w:vAlign w:val="bottom"/>
          </w:tcPr>
          <w:p>
            <w:pPr>
              <w:spacing w:after="0"/>
              <w:rPr>
                <w:sz w:val="1"/>
                <w:szCs w:val="1"/>
                <w:color w:val="auto"/>
              </w:rPr>
            </w:pPr>
          </w:p>
        </w:tc>
      </w:tr>
      <w:tr>
        <w:trPr>
          <w:trHeight w:val="216"/>
        </w:trPr>
        <w:tc>
          <w:tcPr>
            <w:tcW w:w="3860" w:type="dxa"/>
            <w:vAlign w:val="bottom"/>
            <w:gridSpan w:val="2"/>
            <w:vMerge w:val="continue"/>
          </w:tcPr>
          <w:p>
            <w:pPr>
              <w:spacing w:after="0"/>
              <w:rPr>
                <w:sz w:val="18"/>
                <w:szCs w:val="18"/>
                <w:color w:val="auto"/>
              </w:rPr>
            </w:pPr>
          </w:p>
        </w:tc>
        <w:tc>
          <w:tcPr>
            <w:tcW w:w="7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At 1 January 2015</w:t>
            </w:r>
          </w:p>
        </w:tc>
        <w:tc>
          <w:tcPr>
            <w:tcW w:w="7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Additions</w:t>
            </w:r>
          </w:p>
        </w:tc>
        <w:tc>
          <w:tcPr>
            <w:tcW w:w="7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exchange movement</w:t>
            </w:r>
          </w:p>
        </w:tc>
        <w:tc>
          <w:tcPr>
            <w:tcW w:w="7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40" w:type="dxa"/>
            <w:vAlign w:val="bottom"/>
          </w:tcPr>
          <w:p>
            <w:pPr>
              <w:spacing w:after="0"/>
              <w:rPr>
                <w:sz w:val="18"/>
                <w:szCs w:val="18"/>
                <w:color w:val="auto"/>
              </w:rPr>
            </w:pPr>
          </w:p>
        </w:tc>
        <w:tc>
          <w:tcPr>
            <w:tcW w:w="7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38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At 31 December 2015</w:t>
            </w:r>
          </w:p>
        </w:tc>
        <w:tc>
          <w:tcPr>
            <w:tcW w:w="7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1,081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40" w:type="dxa"/>
            <w:vAlign w:val="bottom"/>
          </w:tcPr>
          <w:p>
            <w:pPr>
              <w:spacing w:after="0"/>
              <w:rPr>
                <w:sz w:val="18"/>
                <w:szCs w:val="18"/>
                <w:color w:val="auto"/>
              </w:rPr>
            </w:pPr>
          </w:p>
        </w:tc>
        <w:tc>
          <w:tcPr>
            <w:tcW w:w="7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Accumulated amortisation:</w:t>
            </w:r>
          </w:p>
        </w:tc>
        <w:tc>
          <w:tcPr>
            <w:tcW w:w="75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At 1 January 2015</w:t>
            </w:r>
          </w:p>
        </w:tc>
        <w:tc>
          <w:tcPr>
            <w:tcW w:w="7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Charge during the year</w:t>
            </w:r>
          </w:p>
        </w:tc>
        <w:tc>
          <w:tcPr>
            <w:tcW w:w="7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3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Foreign exchange movement</w:t>
            </w:r>
          </w:p>
        </w:tc>
        <w:tc>
          <w:tcPr>
            <w:tcW w:w="7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75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vMerge w:val="continue"/>
          </w:tcPr>
          <w:p>
            <w:pPr>
              <w:spacing w:after="0"/>
              <w:rPr>
                <w:sz w:val="19"/>
                <w:szCs w:val="19"/>
                <w:color w:val="auto"/>
              </w:rPr>
            </w:pPr>
          </w:p>
        </w:tc>
        <w:tc>
          <w:tcPr>
            <w:tcW w:w="3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At 31 December 2015</w:t>
            </w:r>
          </w:p>
        </w:tc>
        <w:tc>
          <w:tcPr>
            <w:tcW w:w="7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967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75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book value:</w:t>
            </w:r>
          </w:p>
        </w:tc>
        <w:tc>
          <w:tcPr>
            <w:tcW w:w="7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At 31 December 2015</w:t>
            </w:r>
          </w:p>
        </w:tc>
        <w:tc>
          <w:tcPr>
            <w:tcW w:w="7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40" w:type="dxa"/>
            <w:vAlign w:val="bottom"/>
          </w:tcPr>
          <w:p>
            <w:pPr>
              <w:spacing w:after="0"/>
              <w:rPr>
                <w:sz w:val="18"/>
                <w:szCs w:val="18"/>
                <w:color w:val="auto"/>
              </w:rPr>
            </w:pPr>
          </w:p>
        </w:tc>
        <w:tc>
          <w:tcPr>
            <w:tcW w:w="7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38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At 31 December 2014</w:t>
            </w:r>
          </w:p>
        </w:tc>
        <w:tc>
          <w:tcPr>
            <w:tcW w:w="7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08"/>
        </w:trPr>
        <w:tc>
          <w:tcPr>
            <w:tcW w:w="2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7560" w:type="dxa"/>
            <w:vAlign w:val="bottom"/>
          </w:tcPr>
          <w:p>
            <w:pPr>
              <w:jc w:val="right"/>
              <w:ind w:right="5530"/>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840" w:type="dxa"/>
            <w:vAlign w:val="bottom"/>
            <w:tcBorders>
              <w:bottom w:val="single" w:sz="8" w:color="auto"/>
            </w:tcBorders>
          </w:tcPr>
          <w:p>
            <w:pPr>
              <w:spacing w:after="0"/>
              <w:rPr>
                <w:sz w:val="5"/>
                <w:szCs w:val="5"/>
                <w:color w:val="auto"/>
              </w:rPr>
            </w:pPr>
          </w:p>
        </w:tc>
        <w:tc>
          <w:tcPr>
            <w:tcW w:w="756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08" w:right="2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color w:val="auto"/>
        </w:rPr>
        <w:t>ICON Plc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Forming part of the financial statements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13. Investment in subsidiaries</w:t>
            </w:r>
          </w:p>
        </w:tc>
        <w:tc>
          <w:tcPr>
            <w:tcW w:w="29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2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3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Investment in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3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Subsidiary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3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Undertakings</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44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3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$’000</w:t>
            </w:r>
          </w:p>
        </w:tc>
        <w:tc>
          <w:tcPr>
            <w:tcW w:w="0" w:type="dxa"/>
            <w:vAlign w:val="bottom"/>
          </w:tcPr>
          <w:p>
            <w:pPr>
              <w:spacing w:after="0"/>
              <w:rPr>
                <w:sz w:val="1"/>
                <w:szCs w:val="1"/>
                <w:color w:val="auto"/>
              </w:rPr>
            </w:pPr>
          </w:p>
        </w:tc>
      </w:tr>
      <w:tr>
        <w:trPr>
          <w:trHeight w:val="432"/>
        </w:trPr>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Cost:</w:t>
            </w:r>
          </w:p>
        </w:tc>
        <w:tc>
          <w:tcPr>
            <w:tcW w:w="29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At 1 January 2016</w:t>
            </w:r>
          </w:p>
        </w:tc>
        <w:tc>
          <w:tcPr>
            <w:tcW w:w="29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355,853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Share-based payment</w:t>
            </w:r>
          </w:p>
        </w:tc>
        <w:tc>
          <w:tcPr>
            <w:tcW w:w="29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23,687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subscription payment from subsidiary companies</w:t>
            </w:r>
          </w:p>
        </w:tc>
        <w:tc>
          <w:tcPr>
            <w:tcW w:w="296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(46,167)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40" w:type="dxa"/>
            <w:vAlign w:val="bottom"/>
            <w:tcBorders>
              <w:top w:val="single" w:sz="8" w:color="auto"/>
            </w:tcBorders>
          </w:tcPr>
          <w:p>
            <w:pPr>
              <w:spacing w:after="0"/>
              <w:rPr>
                <w:sz w:val="18"/>
                <w:szCs w:val="18"/>
                <w:color w:val="auto"/>
              </w:rPr>
            </w:pPr>
          </w:p>
        </w:tc>
        <w:tc>
          <w:tcPr>
            <w:tcW w:w="296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At 31 October 2016</w:t>
            </w:r>
          </w:p>
        </w:tc>
        <w:tc>
          <w:tcPr>
            <w:tcW w:w="296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333,373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80"/>
        </w:trPr>
        <w:tc>
          <w:tcPr>
            <w:tcW w:w="20" w:type="dxa"/>
            <w:vAlign w:val="bottom"/>
          </w:tcPr>
          <w:p>
            <w:pPr>
              <w:spacing w:after="0"/>
              <w:rPr>
                <w:sz w:val="24"/>
                <w:szCs w:val="24"/>
                <w:color w:val="auto"/>
              </w:rPr>
            </w:pPr>
          </w:p>
        </w:tc>
        <w:tc>
          <w:tcPr>
            <w:tcW w:w="5440" w:type="dxa"/>
            <w:vAlign w:val="bottom"/>
            <w:tcBorders>
              <w:top w:val="single" w:sz="8" w:color="auto"/>
            </w:tcBorders>
          </w:tcPr>
          <w:p>
            <w:pPr>
              <w:spacing w:after="0"/>
              <w:rPr>
                <w:sz w:val="24"/>
                <w:szCs w:val="24"/>
                <w:color w:val="auto"/>
              </w:rPr>
            </w:pPr>
          </w:p>
        </w:tc>
        <w:tc>
          <w:tcPr>
            <w:tcW w:w="2960" w:type="dxa"/>
            <w:vAlign w:val="bottom"/>
            <w:tcBorders>
              <w:top w:val="single" w:sz="8" w:color="auto"/>
            </w:tcBorders>
          </w:tcPr>
          <w:p>
            <w:pPr>
              <w:spacing w:after="0"/>
              <w:rPr>
                <w:sz w:val="24"/>
                <w:szCs w:val="24"/>
                <w:color w:val="auto"/>
              </w:rPr>
            </w:pPr>
          </w:p>
        </w:tc>
        <w:tc>
          <w:tcPr>
            <w:tcW w:w="168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Long Term</w:t>
            </w:r>
          </w:p>
        </w:tc>
        <w:tc>
          <w:tcPr>
            <w:tcW w:w="1260" w:type="dxa"/>
            <w:vAlign w:val="bottom"/>
            <w:tcBorders>
              <w:top w:val="single" w:sz="8" w:color="auto"/>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29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Investment in</w:t>
            </w:r>
          </w:p>
        </w:tc>
        <w:tc>
          <w:tcPr>
            <w:tcW w:w="16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Advances to</w:t>
            </w:r>
          </w:p>
        </w:tc>
        <w:tc>
          <w:tcPr>
            <w:tcW w:w="1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29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Subsidiary</w:t>
            </w:r>
          </w:p>
        </w:tc>
        <w:tc>
          <w:tcPr>
            <w:tcW w:w="16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Subsidiary</w:t>
            </w:r>
          </w:p>
        </w:tc>
        <w:tc>
          <w:tcPr>
            <w:tcW w:w="1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29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Undertakings</w:t>
            </w:r>
          </w:p>
        </w:tc>
        <w:tc>
          <w:tcPr>
            <w:tcW w:w="16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Undertakings</w:t>
            </w:r>
          </w:p>
        </w:tc>
        <w:tc>
          <w:tcPr>
            <w:tcW w:w="13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440" w:type="dxa"/>
            <w:vAlign w:val="bottom"/>
          </w:tcPr>
          <w:p>
            <w:pPr>
              <w:spacing w:after="0"/>
              <w:rPr>
                <w:sz w:val="20"/>
                <w:szCs w:val="20"/>
                <w:color w:val="auto"/>
              </w:rPr>
            </w:pPr>
          </w:p>
        </w:tc>
        <w:tc>
          <w:tcPr>
            <w:tcW w:w="29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$’000</w:t>
            </w:r>
          </w:p>
        </w:tc>
        <w:tc>
          <w:tcPr>
            <w:tcW w:w="16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$’000</w:t>
            </w:r>
          </w:p>
        </w:tc>
        <w:tc>
          <w:tcPr>
            <w:tcW w:w="13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$’000</w:t>
            </w:r>
          </w:p>
        </w:tc>
        <w:tc>
          <w:tcPr>
            <w:tcW w:w="0" w:type="dxa"/>
            <w:vAlign w:val="bottom"/>
          </w:tcPr>
          <w:p>
            <w:pPr>
              <w:spacing w:after="0"/>
              <w:rPr>
                <w:sz w:val="1"/>
                <w:szCs w:val="1"/>
                <w:color w:val="auto"/>
              </w:rPr>
            </w:pPr>
          </w:p>
        </w:tc>
      </w:tr>
      <w:tr>
        <w:trPr>
          <w:trHeight w:val="432"/>
        </w:trPr>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Cost:</w:t>
            </w:r>
          </w:p>
        </w:tc>
        <w:tc>
          <w:tcPr>
            <w:tcW w:w="29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At 1 January 2015</w:t>
            </w:r>
          </w:p>
        </w:tc>
        <w:tc>
          <w:tcPr>
            <w:tcW w:w="29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436,030</w:t>
            </w:r>
          </w:p>
        </w:tc>
        <w:tc>
          <w:tcPr>
            <w:tcW w:w="16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32,094</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468,124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Disposals (1) / repayments (2)</w:t>
            </w:r>
          </w:p>
        </w:tc>
        <w:tc>
          <w:tcPr>
            <w:tcW w:w="29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(29,046)</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(29,046)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payment</w:t>
            </w:r>
          </w:p>
        </w:tc>
        <w:tc>
          <w:tcPr>
            <w:tcW w:w="29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27,470</w:t>
            </w:r>
          </w:p>
        </w:tc>
        <w:tc>
          <w:tcPr>
            <w:tcW w:w="16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Share subscription payment from subsidiary companies</w:t>
            </w:r>
          </w:p>
        </w:tc>
        <w:tc>
          <w:tcPr>
            <w:tcW w:w="29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(68,354)</w:t>
            </w:r>
          </w:p>
        </w:tc>
        <w:tc>
          <w:tcPr>
            <w:tcW w:w="16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(68,354)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exchange movement</w:t>
            </w:r>
          </w:p>
        </w:tc>
        <w:tc>
          <w:tcPr>
            <w:tcW w:w="296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(39,293)</w:t>
            </w:r>
          </w:p>
        </w:tc>
        <w:tc>
          <w:tcPr>
            <w:tcW w:w="16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(3,048)</w:t>
            </w:r>
          </w:p>
        </w:tc>
        <w:tc>
          <w:tcPr>
            <w:tcW w:w="13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(42,341)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4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320" w:type="dxa"/>
            <w:vAlign w:val="bottom"/>
            <w:gridSpan w:val="2"/>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4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At 31 December 2015</w:t>
            </w:r>
          </w:p>
        </w:tc>
        <w:tc>
          <w:tcPr>
            <w:tcW w:w="296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355,853</w:t>
            </w:r>
          </w:p>
        </w:tc>
        <w:tc>
          <w:tcPr>
            <w:tcW w:w="16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355,853</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left="660" w:hanging="328"/>
        <w:spacing w:after="0" w:line="266"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July 2015 the Company sold a 13% shareholding in its subsidiary ICON Clinical Research Limited to ICON Investments Four, a fellow ICON Group company, for total proceeds of $350 million. This subsidiary had a $nil original cost and therefore the part disposal resulted in a profit on disposal of $350 million which was recorded in the income statement during the year ended 31 December 2015.</w:t>
      </w:r>
    </w:p>
    <w:p>
      <w:pPr>
        <w:spacing w:after="0" w:line="2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2015, the Company received repayment of $29 million for the long term advance to ICON Holdings Clinical Research International Limited.</w:t>
      </w:r>
    </w:p>
    <w:p>
      <w:pPr>
        <w:spacing w:after="0" w:line="252" w:lineRule="exact"/>
        <w:rPr>
          <w:rFonts w:ascii="Times New Roman" w:cs="Times New Roman" w:eastAsia="Times New Roman" w:hAnsi="Times New Roman"/>
          <w:sz w:val="18"/>
          <w:szCs w:val="18"/>
          <w:color w:val="auto"/>
        </w:rPr>
      </w:pPr>
    </w:p>
    <w:p>
      <w:pPr>
        <w:ind w:left="640" w:right="320" w:hanging="311"/>
        <w:spacing w:after="0" w:line="261" w:lineRule="auto"/>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functional currency of the Company changed from Euro (€) to US dollars ($) from 1 August 2015. The determination of the USD as the functional currency of the Company reflects consideration of the primary and secondary indicators as set out in IAS 21. The change in functional currency is accounted for prospectively from the date of change. All items were translated using the exchange rate at the date of change and the resulting translated amounts for non-monetary items were recorded at their historical cost from 1 August 2015.</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29"/>
          <w:szCs w:val="29"/>
          <w:color w:val="auto"/>
        </w:rPr>
        <w:t>ICON Plc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Notes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Forming part of the financial statements</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14</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22"/>
          <w:szCs w:val="22"/>
          <w:b w:val="1"/>
          <w:bCs w:val="1"/>
          <w:color w:val="auto"/>
        </w:rPr>
        <w:t xml:space="preserve"> Other current assets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520" w:type="dxa"/>
            <w:vAlign w:val="bottom"/>
          </w:tcPr>
          <w:p>
            <w:pPr>
              <w:spacing w:after="0"/>
              <w:rPr>
                <w:sz w:val="18"/>
                <w:szCs w:val="18"/>
                <w:color w:val="auto"/>
              </w:rPr>
            </w:pPr>
          </w:p>
        </w:tc>
        <w:tc>
          <w:tcPr>
            <w:tcW w:w="38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31 October</w:t>
            </w:r>
          </w:p>
        </w:tc>
        <w:tc>
          <w:tcPr>
            <w:tcW w:w="2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 December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18"/>
                <w:szCs w:val="18"/>
                <w:color w:val="auto"/>
              </w:rPr>
            </w:pPr>
          </w:p>
        </w:tc>
        <w:tc>
          <w:tcPr>
            <w:tcW w:w="38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2016</w:t>
            </w:r>
          </w:p>
        </w:tc>
        <w:tc>
          <w:tcPr>
            <w:tcW w:w="2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2015</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520" w:type="dxa"/>
            <w:vAlign w:val="bottom"/>
          </w:tcPr>
          <w:p>
            <w:pPr>
              <w:spacing w:after="0"/>
              <w:rPr>
                <w:sz w:val="20"/>
                <w:szCs w:val="20"/>
                <w:color w:val="auto"/>
              </w:rPr>
            </w:pPr>
          </w:p>
        </w:tc>
        <w:tc>
          <w:tcPr>
            <w:tcW w:w="38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$’000</w:t>
            </w:r>
          </w:p>
        </w:tc>
        <w:tc>
          <w:tcPr>
            <w:tcW w:w="2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Prepayments</w:t>
            </w:r>
          </w:p>
        </w:tc>
        <w:tc>
          <w:tcPr>
            <w:tcW w:w="38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638</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VAT</w:t>
            </w:r>
          </w:p>
        </w:tc>
        <w:tc>
          <w:tcPr>
            <w:tcW w:w="38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2,791</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receivables</w:t>
            </w:r>
          </w:p>
        </w:tc>
        <w:tc>
          <w:tcPr>
            <w:tcW w:w="38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160</w:t>
            </w:r>
          </w:p>
        </w:tc>
        <w:tc>
          <w:tcPr>
            <w:tcW w:w="2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5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8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3,589</w:t>
            </w:r>
          </w:p>
        </w:tc>
        <w:tc>
          <w:tcPr>
            <w:tcW w:w="2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3,056</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702"/>
        </w:trPr>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15. Accrued and other liabilities</w:t>
            </w:r>
          </w:p>
        </w:tc>
        <w:tc>
          <w:tcPr>
            <w:tcW w:w="38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7"/>
        </w:trPr>
        <w:tc>
          <w:tcPr>
            <w:tcW w:w="2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38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31 October</w:t>
            </w:r>
          </w:p>
        </w:tc>
        <w:tc>
          <w:tcPr>
            <w:tcW w:w="2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 December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18"/>
                <w:szCs w:val="18"/>
                <w:color w:val="auto"/>
              </w:rPr>
            </w:pPr>
          </w:p>
        </w:tc>
        <w:tc>
          <w:tcPr>
            <w:tcW w:w="38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2016</w:t>
            </w:r>
          </w:p>
        </w:tc>
        <w:tc>
          <w:tcPr>
            <w:tcW w:w="2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2015</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520" w:type="dxa"/>
            <w:vAlign w:val="bottom"/>
          </w:tcPr>
          <w:p>
            <w:pPr>
              <w:spacing w:after="0"/>
              <w:rPr>
                <w:sz w:val="20"/>
                <w:szCs w:val="20"/>
                <w:color w:val="auto"/>
              </w:rPr>
            </w:pPr>
          </w:p>
        </w:tc>
        <w:tc>
          <w:tcPr>
            <w:tcW w:w="38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$’000</w:t>
            </w:r>
          </w:p>
        </w:tc>
        <w:tc>
          <w:tcPr>
            <w:tcW w:w="2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5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Accruals and other liabilities</w:t>
            </w:r>
          </w:p>
        </w:tc>
        <w:tc>
          <w:tcPr>
            <w:tcW w:w="38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8,706</w:t>
            </w:r>
          </w:p>
        </w:tc>
        <w:tc>
          <w:tcPr>
            <w:tcW w:w="2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13,643</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702"/>
        </w:trPr>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16. Share capital</w:t>
            </w:r>
          </w:p>
        </w:tc>
        <w:tc>
          <w:tcPr>
            <w:tcW w:w="38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5"/>
        </w:trPr>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Authorised share capital:</w:t>
            </w:r>
          </w:p>
        </w:tc>
        <w:tc>
          <w:tcPr>
            <w:tcW w:w="3800" w:type="dxa"/>
            <w:vAlign w:val="bottom"/>
          </w:tcPr>
          <w:p>
            <w:pPr>
              <w:spacing w:after="0"/>
              <w:rPr>
                <w:sz w:val="24"/>
                <w:szCs w:val="24"/>
                <w:color w:val="auto"/>
              </w:rPr>
            </w:pPr>
          </w:p>
        </w:tc>
        <w:tc>
          <w:tcPr>
            <w:tcW w:w="2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No. of Ordinary Shares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5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Ordinary shares of par value €0.06</w:t>
            </w:r>
          </w:p>
        </w:tc>
        <w:tc>
          <w:tcPr>
            <w:tcW w:w="3800" w:type="dxa"/>
            <w:vAlign w:val="bottom"/>
            <w:tcBorders>
              <w:bottom w:val="single" w:sz="8" w:color="auto"/>
            </w:tcBorders>
            <w:shd w:val="clear" w:color="auto" w:fill="CCEEFF"/>
          </w:tcPr>
          <w:p>
            <w:pPr>
              <w:spacing w:after="0"/>
              <w:rPr>
                <w:sz w:val="19"/>
                <w:szCs w:val="19"/>
                <w:color w:val="auto"/>
              </w:rPr>
            </w:pPr>
          </w:p>
        </w:tc>
        <w:tc>
          <w:tcPr>
            <w:tcW w:w="2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100,000,000</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653"/>
        </w:trPr>
        <w:tc>
          <w:tcPr>
            <w:tcW w:w="2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38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31 October</w:t>
            </w:r>
          </w:p>
        </w:tc>
        <w:tc>
          <w:tcPr>
            <w:tcW w:w="2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 December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18"/>
                <w:szCs w:val="18"/>
                <w:color w:val="auto"/>
              </w:rPr>
            </w:pPr>
          </w:p>
        </w:tc>
        <w:tc>
          <w:tcPr>
            <w:tcW w:w="38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2016</w:t>
            </w:r>
          </w:p>
        </w:tc>
        <w:tc>
          <w:tcPr>
            <w:tcW w:w="2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2015</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520" w:type="dxa"/>
            <w:vAlign w:val="bottom"/>
          </w:tcPr>
          <w:p>
            <w:pPr>
              <w:spacing w:after="0"/>
              <w:rPr>
                <w:sz w:val="20"/>
                <w:szCs w:val="20"/>
                <w:color w:val="auto"/>
              </w:rPr>
            </w:pPr>
          </w:p>
        </w:tc>
        <w:tc>
          <w:tcPr>
            <w:tcW w:w="38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$’000</w:t>
            </w:r>
          </w:p>
        </w:tc>
        <w:tc>
          <w:tcPr>
            <w:tcW w:w="2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Allotted, called up and fully paid</w:t>
            </w:r>
          </w:p>
        </w:tc>
        <w:tc>
          <w:tcPr>
            <w:tcW w:w="38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55,393,865 (31 December 2015: 54,958,912) ordinary shares of €0.06 each</w:t>
            </w:r>
          </w:p>
        </w:tc>
        <w:tc>
          <w:tcPr>
            <w:tcW w:w="38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4,668</w:t>
            </w:r>
          </w:p>
        </w:tc>
        <w:tc>
          <w:tcPr>
            <w:tcW w:w="2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26"/>
        </w:trPr>
        <w:tc>
          <w:tcPr>
            <w:tcW w:w="2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38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31 October</w:t>
            </w:r>
          </w:p>
        </w:tc>
        <w:tc>
          <w:tcPr>
            <w:tcW w:w="2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 December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18"/>
                <w:szCs w:val="18"/>
                <w:color w:val="auto"/>
              </w:rPr>
            </w:pPr>
          </w:p>
        </w:tc>
        <w:tc>
          <w:tcPr>
            <w:tcW w:w="38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2016</w:t>
            </w:r>
          </w:p>
        </w:tc>
        <w:tc>
          <w:tcPr>
            <w:tcW w:w="2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2015</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520" w:type="dxa"/>
            <w:vAlign w:val="bottom"/>
          </w:tcPr>
          <w:p>
            <w:pPr>
              <w:spacing w:after="0"/>
              <w:rPr>
                <w:sz w:val="20"/>
                <w:szCs w:val="20"/>
                <w:color w:val="auto"/>
              </w:rPr>
            </w:pPr>
          </w:p>
        </w:tc>
        <w:tc>
          <w:tcPr>
            <w:tcW w:w="38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$’000</w:t>
            </w:r>
          </w:p>
        </w:tc>
        <w:tc>
          <w:tcPr>
            <w:tcW w:w="2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Issued, fully paid share capital</w:t>
            </w:r>
          </w:p>
        </w:tc>
        <w:tc>
          <w:tcPr>
            <w:tcW w:w="38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At beginning of year</w:t>
            </w:r>
          </w:p>
        </w:tc>
        <w:tc>
          <w:tcPr>
            <w:tcW w:w="38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4,679</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 share options exercised</w:t>
            </w:r>
          </w:p>
        </w:tc>
        <w:tc>
          <w:tcPr>
            <w:tcW w:w="38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21</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Repurchase of ordinary shares</w:t>
            </w:r>
          </w:p>
        </w:tc>
        <w:tc>
          <w:tcPr>
            <w:tcW w:w="38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(32)</w:t>
            </w:r>
          </w:p>
        </w:tc>
        <w:tc>
          <w:tcPr>
            <w:tcW w:w="2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5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At end of year</w:t>
            </w:r>
          </w:p>
        </w:tc>
        <w:tc>
          <w:tcPr>
            <w:tcW w:w="38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4,668</w:t>
            </w:r>
          </w:p>
        </w:tc>
        <w:tc>
          <w:tcPr>
            <w:tcW w:w="2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4,679</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608"/>
        </w:trPr>
        <w:tc>
          <w:tcPr>
            <w:tcW w:w="2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3800" w:type="dxa"/>
            <w:vAlign w:val="bottom"/>
          </w:tcPr>
          <w:p>
            <w:pPr>
              <w:jc w:val="right"/>
              <w:ind w:right="3450"/>
              <w:spacing w:after="0"/>
              <w:rPr>
                <w:sz w:val="20"/>
                <w:szCs w:val="20"/>
                <w:color w:val="auto"/>
              </w:rPr>
            </w:pPr>
            <w:r>
              <w:rPr>
                <w:rFonts w:ascii="Times New Roman" w:cs="Times New Roman" w:eastAsia="Times New Roman" w:hAnsi="Times New Roman"/>
                <w:sz w:val="18"/>
                <w:szCs w:val="18"/>
                <w:color w:val="auto"/>
              </w:rPr>
              <w:t>25</w:t>
            </w:r>
          </w:p>
        </w:tc>
        <w:tc>
          <w:tcPr>
            <w:tcW w:w="2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520" w:type="dxa"/>
            <w:vAlign w:val="bottom"/>
            <w:tcBorders>
              <w:bottom w:val="single" w:sz="8" w:color="auto"/>
            </w:tcBorders>
          </w:tcPr>
          <w:p>
            <w:pPr>
              <w:spacing w:after="0"/>
              <w:rPr>
                <w:sz w:val="5"/>
                <w:szCs w:val="5"/>
                <w:color w:val="auto"/>
              </w:rPr>
            </w:pPr>
          </w:p>
        </w:tc>
        <w:tc>
          <w:tcPr>
            <w:tcW w:w="3800" w:type="dxa"/>
            <w:vAlign w:val="bottom"/>
            <w:tcBorders>
              <w:bottom w:val="single" w:sz="8" w:color="auto"/>
            </w:tcBorders>
          </w:tcPr>
          <w:p>
            <w:pPr>
              <w:spacing w:after="0"/>
              <w:rPr>
                <w:sz w:val="5"/>
                <w:szCs w:val="5"/>
                <w:color w:val="auto"/>
              </w:rPr>
            </w:pPr>
          </w:p>
        </w:tc>
        <w:tc>
          <w:tcPr>
            <w:tcW w:w="208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51" w:right="2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29"/>
          <w:szCs w:val="29"/>
          <w:b w:val="1"/>
          <w:bCs w:val="1"/>
          <w:color w:val="auto"/>
        </w:rPr>
        <w:t>ICON Plc</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Forming part of the financial statements</w:t>
      </w:r>
    </w:p>
    <w:p>
      <w:pPr>
        <w:spacing w:after="0" w:line="200" w:lineRule="exact"/>
        <w:rPr>
          <w:sz w:val="20"/>
          <w:szCs w:val="20"/>
          <w:color w:val="auto"/>
        </w:rPr>
      </w:pPr>
    </w:p>
    <w:p>
      <w:pPr>
        <w:spacing w:after="0" w:line="217" w:lineRule="exact"/>
        <w:rPr>
          <w:sz w:val="20"/>
          <w:szCs w:val="20"/>
          <w:color w:val="auto"/>
        </w:rPr>
      </w:pPr>
    </w:p>
    <w:p>
      <w:pPr>
        <w:jc w:val="both"/>
        <w:ind w:left="340" w:right="9200" w:hanging="332"/>
        <w:spacing w:after="0" w:line="566" w:lineRule="auto"/>
        <w:tabs>
          <w:tab w:leader="none" w:pos="340" w:val="left"/>
        </w:tabs>
        <w:numPr>
          <w:ilvl w:val="0"/>
          <w:numId w:val="1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Share capital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continued)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i w:val="1"/>
          <w:iCs w:val="1"/>
          <w:color w:val="auto"/>
        </w:rPr>
        <w:t>Rights of Ordinary Shares</w:t>
      </w:r>
    </w:p>
    <w:p>
      <w:pPr>
        <w:jc w:val="both"/>
        <w:ind w:left="340"/>
        <w:spacing w:after="0" w:line="258"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Holders of ordinary shares will be entitled to receive such dividends as may be recommended by the Board of Directors of the Company and approved by the Shareholders and/or such interim dividends as the board of Directors of the Company may decide. On liquidation or a winding up of the Company, the par value of the ordinary shares will be repaid out of the assets available for distribution among the holders of the ordinary shares of the Company. Holders of ordinary shares have no conversion or redemption rights. On a show of hands, every holder of an ordinary share present in person or proxy at a general meeting of shareholders shall have one vote, for each ordinary share held with no individual having more than one vote.</w:t>
      </w:r>
    </w:p>
    <w:p>
      <w:pPr>
        <w:spacing w:after="0" w:line="208" w:lineRule="exact"/>
        <w:rPr>
          <w:rFonts w:ascii="Times New Roman" w:cs="Times New Roman" w:eastAsia="Times New Roman" w:hAnsi="Times New Roman"/>
          <w:sz w:val="17"/>
          <w:szCs w:val="17"/>
          <w:b w:val="1"/>
          <w:bCs w:val="1"/>
          <w:color w:val="auto"/>
        </w:rPr>
      </w:pPr>
    </w:p>
    <w:p>
      <w:pPr>
        <w:ind w:left="34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i w:val="1"/>
          <w:iCs w:val="1"/>
          <w:color w:val="auto"/>
        </w:rPr>
        <w:t>Share issues</w:t>
      </w:r>
    </w:p>
    <w:p>
      <w:pPr>
        <w:spacing w:after="0" w:line="254" w:lineRule="exact"/>
        <w:rPr>
          <w:rFonts w:ascii="Times New Roman" w:cs="Times New Roman" w:eastAsia="Times New Roman" w:hAnsi="Times New Roman"/>
          <w:sz w:val="17"/>
          <w:szCs w:val="17"/>
          <w:b w:val="1"/>
          <w:bCs w:val="1"/>
          <w:color w:val="auto"/>
        </w:rPr>
      </w:pPr>
    </w:p>
    <w:p>
      <w:pPr>
        <w:ind w:left="340"/>
        <w:spacing w:after="0" w:line="282"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During the period ended 31 October 2016, 308,203 options were exercised by employees for total proceeds of $8.2 million. During the period ended 31 October 2016, 600,088 ordinary shares were issued in respect of certain RSU’s previously awarded by the Company for total proceeds of $40,486.</w:t>
      </w:r>
    </w:p>
    <w:p>
      <w:pPr>
        <w:spacing w:after="0" w:line="188" w:lineRule="exact"/>
        <w:rPr>
          <w:rFonts w:ascii="Times New Roman" w:cs="Times New Roman" w:eastAsia="Times New Roman" w:hAnsi="Times New Roman"/>
          <w:sz w:val="17"/>
          <w:szCs w:val="17"/>
          <w:b w:val="1"/>
          <w:bCs w:val="1"/>
          <w:color w:val="auto"/>
        </w:rPr>
      </w:pPr>
    </w:p>
    <w:p>
      <w:pPr>
        <w:ind w:left="340"/>
        <w:spacing w:after="0" w:line="282"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During the year ended 31 December 2015, 773,753 options were exercised by employees for total proceeds of $21.0 million. During the year ended 31 December 2015, 268,870 ordinary shares were issued in respect of certain RSU’s previously awarded by the Company for a total proceeds of $18,033.</w:t>
      </w:r>
    </w:p>
    <w:p>
      <w:pPr>
        <w:spacing w:after="0" w:line="186" w:lineRule="exact"/>
        <w:rPr>
          <w:rFonts w:ascii="Times New Roman" w:cs="Times New Roman" w:eastAsia="Times New Roman" w:hAnsi="Times New Roman"/>
          <w:sz w:val="17"/>
          <w:szCs w:val="17"/>
          <w:b w:val="1"/>
          <w:bCs w:val="1"/>
          <w:color w:val="auto"/>
        </w:rPr>
      </w:pPr>
    </w:p>
    <w:p>
      <w:pPr>
        <w:ind w:left="34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i w:val="1"/>
          <w:iCs w:val="1"/>
          <w:color w:val="auto"/>
        </w:rPr>
        <w:t>Share repurchase programme</w:t>
      </w:r>
    </w:p>
    <w:p>
      <w:pPr>
        <w:spacing w:after="0" w:line="254" w:lineRule="exact"/>
        <w:rPr>
          <w:rFonts w:ascii="Times New Roman" w:cs="Times New Roman" w:eastAsia="Times New Roman" w:hAnsi="Times New Roman"/>
          <w:sz w:val="17"/>
          <w:szCs w:val="17"/>
          <w:b w:val="1"/>
          <w:bCs w:val="1"/>
          <w:color w:val="auto"/>
        </w:rPr>
      </w:pPr>
    </w:p>
    <w:p>
      <w:pPr>
        <w:jc w:val="both"/>
        <w:ind w:left="340"/>
        <w:spacing w:after="0" w:line="256"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On 3 October, 2016 the Company commenced a buyback programme under which the Company could acquire up to 10% of its outstanding ordinary shares (by way of redemption), in accordance with Irish law, the United States securities laws and the Company’s constitutional documents through open market share acquisitions. At 31 October 2016 a total of 473,338 ordinary shares were redeemed by the Company under this buyback programme for a total consideration of $36.7 million. All ordinary shares that were redeemed under the buyback programme were cancelled in accordance with the Constitution of the Company and the nominal value of these shares transferred to a capital redemption reserve fund as required under Irish Company Law.</w:t>
      </w:r>
    </w:p>
    <w:p>
      <w:pPr>
        <w:spacing w:after="0" w:line="214" w:lineRule="exact"/>
        <w:rPr>
          <w:rFonts w:ascii="Times New Roman" w:cs="Times New Roman" w:eastAsia="Times New Roman" w:hAnsi="Times New Roman"/>
          <w:sz w:val="17"/>
          <w:szCs w:val="17"/>
          <w:b w:val="1"/>
          <w:bCs w:val="1"/>
          <w:color w:val="auto"/>
        </w:rPr>
      </w:pPr>
    </w:p>
    <w:p>
      <w:pPr>
        <w:jc w:val="both"/>
        <w:ind w:left="340"/>
        <w:spacing w:after="0" w:line="258"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On 1 May, 2015 the Company commenced a buyback programme of up to $60 million under which the Company could acquire its outstanding ordinary shares (by way of redemption), in accordance with Irish law, the United States securities laws and the Company’s constitutional documents through open market share acquisitions. A total of 882,419 ordinary shares were redeemed by the Company under this buyback programme for a total consideration of $57.9 million. All ordinary shares that were redeemed under the buyback programme were cancelled in accordance with the Constitution of the Company and the nominal value of these shares transferred to a capital redemption reserve fund as required under Irish Company Law.</w:t>
      </w:r>
    </w:p>
    <w:p>
      <w:pPr>
        <w:spacing w:after="0" w:line="210" w:lineRule="exact"/>
        <w:rPr>
          <w:rFonts w:ascii="Times New Roman" w:cs="Times New Roman" w:eastAsia="Times New Roman" w:hAnsi="Times New Roman"/>
          <w:sz w:val="17"/>
          <w:szCs w:val="17"/>
          <w:b w:val="1"/>
          <w:bCs w:val="1"/>
          <w:color w:val="auto"/>
        </w:rPr>
      </w:pPr>
    </w:p>
    <w:p>
      <w:pPr>
        <w:jc w:val="both"/>
        <w:ind w:left="340"/>
        <w:spacing w:after="0" w:line="255"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On 31 July, 2015 the Company commenced a further buyback programme of up to $400 million under which the Company could acquire its outstanding ordinary shares (by way of redemption), in accordance with Irish law, the United States securities laws and the Company’s constitutional documents through open market share acquisitions. A total of 5,316,062 ordinary shares were redeemed by the Company under this buyback programme for a total consideration of $400 million. All ordinary shares that were redeemed under the buyback programme were cancelled in accordance with the Constitution of the Company and the nominal value of these shares transferred to a capital redemption reserve fund as required under Irish Company Law. The share buyback programme was completed in December 2015, with a total of 6,198,481 ordinary shares redeemed during the year ended December 31, 2015 for total consideration of $457.9 million.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1" w:right="2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29"/>
          <w:szCs w:val="29"/>
          <w:color w:val="auto"/>
        </w:rPr>
        <w:t>ICON Plc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Notes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Forming part of the financial statements</w:t>
      </w:r>
    </w:p>
    <w:p>
      <w:pPr>
        <w:spacing w:after="0" w:line="22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17. Capital and reserves</w:t>
      </w:r>
    </w:p>
    <w:p>
      <w:pPr>
        <w:spacing w:after="0" w:line="2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Share-based payment reserve</w:t>
      </w:r>
    </w:p>
    <w:p>
      <w:pPr>
        <w:spacing w:after="0" w:line="29" w:lineRule="exact"/>
        <w:rPr>
          <w:sz w:val="20"/>
          <w:szCs w:val="20"/>
          <w:color w:val="auto"/>
        </w:rPr>
      </w:pPr>
    </w:p>
    <w:p>
      <w:pPr>
        <w:jc w:val="both"/>
        <w:ind w:left="340"/>
        <w:spacing w:after="0" w:line="253" w:lineRule="auto"/>
        <w:rPr>
          <w:sz w:val="20"/>
          <w:szCs w:val="20"/>
          <w:color w:val="auto"/>
        </w:rPr>
      </w:pPr>
      <w:r>
        <w:rPr>
          <w:rFonts w:ascii="Times New Roman" w:cs="Times New Roman" w:eastAsia="Times New Roman" w:hAnsi="Times New Roman"/>
          <w:sz w:val="18"/>
          <w:szCs w:val="18"/>
          <w:color w:val="auto"/>
        </w:rPr>
        <w:t>The Share-based payment reserve is used to account for share-based payments. The grant date fair value of share-based awards is calculated using a binomial model and recorded in the Company financial statements over the period the related service is received, as an expense in the income statement in respect of awards to Company employees and as a financial asset in respect of awards to other Group employees, with a corresponding increase in the share-based payments reserve in both cases. On exercise or forfeiture of the award, an amount equal to the grant date fair value is transferred from the share-based payments reserve to retained earnings.</w:t>
      </w:r>
    </w:p>
    <w:p>
      <w:pPr>
        <w:spacing w:after="0" w:line="21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Capital redemption reserve</w:t>
      </w:r>
    </w:p>
    <w:p>
      <w:pPr>
        <w:spacing w:after="0" w:line="29" w:lineRule="exact"/>
        <w:rPr>
          <w:sz w:val="20"/>
          <w:szCs w:val="20"/>
          <w:color w:val="auto"/>
        </w:rPr>
      </w:pPr>
    </w:p>
    <w:p>
      <w:pPr>
        <w:jc w:val="both"/>
        <w:ind w:left="340"/>
        <w:spacing w:after="0" w:line="255" w:lineRule="auto"/>
        <w:rPr>
          <w:sz w:val="20"/>
          <w:szCs w:val="20"/>
          <w:color w:val="auto"/>
        </w:rPr>
      </w:pPr>
      <w:r>
        <w:rPr>
          <w:rFonts w:ascii="Times New Roman" w:cs="Times New Roman" w:eastAsia="Times New Roman" w:hAnsi="Times New Roman"/>
          <w:sz w:val="18"/>
          <w:szCs w:val="18"/>
          <w:color w:val="auto"/>
        </w:rPr>
        <w:t>The Capital redemption reserve comprises the nominal value of shares repurchased and cancelled by the Group and transferred from share capital to the capital redemption reserve fund, as required under Irish Company Law. During the period ended 31 October 2016 473,338 (31 December 2015: 6,198,481) ordinary shares were repurchased and cancelled by the Group.</w:t>
      </w:r>
    </w:p>
    <w:p>
      <w:pPr>
        <w:spacing w:after="0" w:line="21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Other reserves</w:t>
      </w:r>
    </w:p>
    <w:p>
      <w:pPr>
        <w:spacing w:after="0" w:line="29" w:lineRule="exact"/>
        <w:rPr>
          <w:sz w:val="20"/>
          <w:szCs w:val="20"/>
          <w:color w:val="auto"/>
        </w:rPr>
      </w:pPr>
    </w:p>
    <w:p>
      <w:pPr>
        <w:jc w:val="both"/>
        <w:ind w:left="340"/>
        <w:spacing w:after="0" w:line="255" w:lineRule="auto"/>
        <w:rPr>
          <w:sz w:val="20"/>
          <w:szCs w:val="20"/>
          <w:color w:val="auto"/>
        </w:rPr>
      </w:pPr>
      <w:r>
        <w:rPr>
          <w:rFonts w:ascii="Times New Roman" w:cs="Times New Roman" w:eastAsia="Times New Roman" w:hAnsi="Times New Roman"/>
          <w:sz w:val="18"/>
          <w:szCs w:val="18"/>
          <w:color w:val="auto"/>
        </w:rPr>
        <w:t>In 2005 the Company recognised a share-based payment charge of $6.1 million, representing the fair value of 576,000 ordinary shares held by Dr. John Climax and Dr. Ronan Lambe, the founding Directors of the Company, and transferred to Mr. Peter Gray, the then Chief Executive Officer of the Company.</w:t>
      </w:r>
    </w:p>
    <w:p>
      <w:pPr>
        <w:spacing w:after="0" w:line="21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Currency reserve</w:t>
      </w:r>
    </w:p>
    <w:p>
      <w:pPr>
        <w:spacing w:after="0" w:line="29"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The Currency reserve comprises all foreign exchange differences arising from the translation of the financial statements of foreign currency denominated operations of the Group since 1 June 2004, the date of transition to IFRS.</w:t>
      </w:r>
    </w:p>
    <w:p>
      <w:pPr>
        <w:spacing w:after="0" w:line="20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Retained earnings</w:t>
      </w:r>
    </w:p>
    <w:p>
      <w:pPr>
        <w:spacing w:after="0" w:line="29" w:lineRule="exact"/>
        <w:rPr>
          <w:sz w:val="20"/>
          <w:szCs w:val="20"/>
          <w:color w:val="auto"/>
        </w:rPr>
      </w:pPr>
    </w:p>
    <w:p>
      <w:pPr>
        <w:ind w:left="340" w:right="260"/>
        <w:spacing w:after="0" w:line="261" w:lineRule="auto"/>
        <w:rPr>
          <w:sz w:val="20"/>
          <w:szCs w:val="20"/>
          <w:color w:val="auto"/>
        </w:rPr>
      </w:pPr>
      <w:r>
        <w:rPr>
          <w:rFonts w:ascii="Times New Roman" w:cs="Times New Roman" w:eastAsia="Times New Roman" w:hAnsi="Times New Roman"/>
          <w:sz w:val="18"/>
          <w:szCs w:val="18"/>
          <w:color w:val="auto"/>
        </w:rPr>
        <w:t>In addition to the profit for the financial period a credit of $3.1 million (2015: $8.0 million) has been recognised during the year in respect of the grant date fair value of exercised and expired share-based awards transferred from the Share-based payment reserve.</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During the period ended 31 October 2016, the Company redeemed a total of 473,338 ordinary shares for total consideration of $36.7 million (2015:</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6,198,481 ordinary shares were repurchased by the Group for a total consideration of $457.9 million),</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29"/>
          <w:szCs w:val="29"/>
          <w:color w:val="auto"/>
        </w:rPr>
        <w:t>ICON Plc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Notes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Forming part of the financial statements</w:t>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 w:type="dxa"/>
            <w:vAlign w:val="bottom"/>
          </w:tcPr>
          <w:p>
            <w:pPr>
              <w:spacing w:after="0"/>
              <w:rPr>
                <w:sz w:val="20"/>
                <w:szCs w:val="20"/>
                <w:color w:val="auto"/>
              </w:rPr>
            </w:pPr>
          </w:p>
        </w:tc>
        <w:tc>
          <w:tcPr>
            <w:tcW w:w="774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18. Related parties</w:t>
            </w:r>
          </w:p>
        </w:tc>
        <w:tc>
          <w:tcPr>
            <w:tcW w:w="20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40" w:type="dxa"/>
            <w:vAlign w:val="bottom"/>
          </w:tcPr>
          <w:p>
            <w:pPr>
              <w:spacing w:after="0"/>
              <w:rPr>
                <w:sz w:val="24"/>
                <w:szCs w:val="24"/>
                <w:color w:val="auto"/>
              </w:rPr>
            </w:pPr>
          </w:p>
        </w:tc>
        <w:tc>
          <w:tcPr>
            <w:tcW w:w="77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The Company entered into the following transactions with subsidiary companies during the period:</w:t>
            </w:r>
          </w:p>
        </w:tc>
        <w:tc>
          <w:tcPr>
            <w:tcW w:w="20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7"/>
        </w:trPr>
        <w:tc>
          <w:tcPr>
            <w:tcW w:w="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280" w:type="dxa"/>
            <w:vAlign w:val="bottom"/>
          </w:tcPr>
          <w:p>
            <w:pPr>
              <w:spacing w:after="0"/>
              <w:rPr>
                <w:sz w:val="24"/>
                <w:szCs w:val="24"/>
                <w:color w:val="auto"/>
              </w:rPr>
            </w:pPr>
          </w:p>
        </w:tc>
        <w:tc>
          <w:tcPr>
            <w:tcW w:w="200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Period ended</w:t>
            </w:r>
          </w:p>
        </w:tc>
        <w:tc>
          <w:tcPr>
            <w:tcW w:w="1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Year ended</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6280" w:type="dxa"/>
            <w:vAlign w:val="bottom"/>
          </w:tcPr>
          <w:p>
            <w:pPr>
              <w:spacing w:after="0"/>
              <w:rPr>
                <w:sz w:val="18"/>
                <w:szCs w:val="18"/>
                <w:color w:val="auto"/>
              </w:rPr>
            </w:pPr>
          </w:p>
        </w:tc>
        <w:tc>
          <w:tcPr>
            <w:tcW w:w="200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31 October</w:t>
            </w:r>
          </w:p>
        </w:tc>
        <w:tc>
          <w:tcPr>
            <w:tcW w:w="1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 December</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6280" w:type="dxa"/>
            <w:vAlign w:val="bottom"/>
          </w:tcPr>
          <w:p>
            <w:pPr>
              <w:spacing w:after="0"/>
              <w:rPr>
                <w:sz w:val="18"/>
                <w:szCs w:val="18"/>
                <w:color w:val="auto"/>
              </w:rPr>
            </w:pPr>
          </w:p>
        </w:tc>
        <w:tc>
          <w:tcPr>
            <w:tcW w:w="200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2015</w:t>
            </w:r>
          </w:p>
        </w:tc>
        <w:tc>
          <w:tcPr>
            <w:tcW w:w="0" w:type="dxa"/>
            <w:vAlign w:val="bottom"/>
          </w:tcPr>
          <w:p>
            <w:pPr>
              <w:spacing w:after="0"/>
              <w:rPr>
                <w:sz w:val="1"/>
                <w:szCs w:val="1"/>
                <w:color w:val="auto"/>
              </w:rPr>
            </w:pPr>
          </w:p>
        </w:tc>
      </w:tr>
      <w:tr>
        <w:trPr>
          <w:trHeight w:val="238"/>
        </w:trPr>
        <w:tc>
          <w:tcPr>
            <w:tcW w:w="778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Income Statement:</w:t>
            </w:r>
          </w:p>
        </w:tc>
        <w:tc>
          <w:tcPr>
            <w:tcW w:w="200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$’000</w:t>
            </w:r>
          </w:p>
        </w:tc>
        <w:tc>
          <w:tcPr>
            <w:tcW w:w="1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176"/>
        </w:trPr>
        <w:tc>
          <w:tcPr>
            <w:tcW w:w="7780" w:type="dxa"/>
            <w:vAlign w:val="bottom"/>
            <w:gridSpan w:val="3"/>
            <w:vMerge w:val="continue"/>
          </w:tcPr>
          <w:p>
            <w:pPr>
              <w:spacing w:after="0"/>
              <w:rPr>
                <w:sz w:val="15"/>
                <w:szCs w:val="15"/>
                <w:color w:val="auto"/>
              </w:rPr>
            </w:pPr>
          </w:p>
        </w:tc>
        <w:tc>
          <w:tcPr>
            <w:tcW w:w="20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460" w:type="dxa"/>
            <w:vAlign w:val="bottom"/>
            <w:tcBorders>
              <w:top w:val="single" w:sz="8" w:color="auto"/>
            </w:tcBorders>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778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Expenses recharged to subsidiary companies</w:t>
            </w:r>
          </w:p>
        </w:tc>
        <w:tc>
          <w:tcPr>
            <w:tcW w:w="200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15,235</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24,627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xml:space="preserve">Dividends received from subsidiary undertakings </w:t>
            </w:r>
            <w:r>
              <w:rPr>
                <w:rFonts w:ascii="Times New Roman" w:cs="Times New Roman" w:eastAsia="Times New Roman" w:hAnsi="Times New Roman"/>
                <w:sz w:val="18"/>
                <w:szCs w:val="18"/>
                <w:i w:val="1"/>
                <w:iCs w:val="1"/>
                <w:color w:val="auto"/>
              </w:rPr>
              <w:t>(a)</w:t>
            </w:r>
          </w:p>
        </w:tc>
        <w:tc>
          <w:tcPr>
            <w:tcW w:w="200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249,333</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780" w:type="dxa"/>
            <w:vAlign w:val="bottom"/>
            <w:tcBorders>
              <w:bottom w:val="single" w:sz="8" w:color="auto"/>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xml:space="preserve">Profit on disposal of interest in subsidiary </w:t>
            </w:r>
            <w:r>
              <w:rPr>
                <w:rFonts w:ascii="Times New Roman" w:cs="Times New Roman" w:eastAsia="Times New Roman" w:hAnsi="Times New Roman"/>
                <w:sz w:val="18"/>
                <w:szCs w:val="18"/>
                <w:i w:val="1"/>
                <w:iCs w:val="1"/>
                <w:color w:val="auto"/>
              </w:rPr>
              <w:t>(b)</w:t>
            </w:r>
          </w:p>
        </w:tc>
        <w:tc>
          <w:tcPr>
            <w:tcW w:w="2000" w:type="dxa"/>
            <w:vAlign w:val="bottom"/>
            <w:tcBorders>
              <w:bottom w:val="single" w:sz="8" w:color="auto"/>
            </w:tcBorders>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62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780" w:type="dxa"/>
            <w:vAlign w:val="bottom"/>
            <w:tcBorders>
              <w:bottom w:val="single" w:sz="8" w:color="auto"/>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00" w:type="dxa"/>
            <w:vAlign w:val="bottom"/>
            <w:tcBorders>
              <w:bottom w:val="single" w:sz="8" w:color="auto"/>
            </w:tcBorders>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264,568</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385,175</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778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Cash Flow Statement</w:t>
            </w:r>
          </w:p>
        </w:tc>
        <w:tc>
          <w:tcPr>
            <w:tcW w:w="20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7780" w:type="dxa"/>
            <w:vAlign w:val="bottom"/>
            <w:tcBorders>
              <w:bottom w:val="single" w:sz="8" w:color="auto"/>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(Increase)/decrease in amounts due from subsidiary undertakings</w:t>
            </w:r>
          </w:p>
        </w:tc>
        <w:tc>
          <w:tcPr>
            <w:tcW w:w="2000" w:type="dxa"/>
            <w:vAlign w:val="bottom"/>
            <w:tcBorders>
              <w:bottom w:val="single" w:sz="8" w:color="auto"/>
            </w:tcBorders>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(138,604)</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52,041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62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780" w:type="dxa"/>
            <w:vAlign w:val="bottom"/>
            <w:tcBorders>
              <w:bottom w:val="single" w:sz="8" w:color="auto"/>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00" w:type="dxa"/>
            <w:vAlign w:val="bottom"/>
            <w:tcBorders>
              <w:bottom w:val="single" w:sz="8" w:color="auto"/>
            </w:tcBorders>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(138,604)</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52,041</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820" w:right="160" w:hanging="512"/>
        <w:spacing w:after="0" w:line="282" w:lineRule="auto"/>
        <w:tabs>
          <w:tab w:leader="none" w:pos="820" w:val="left"/>
        </w:tabs>
        <w:numPr>
          <w:ilvl w:val="0"/>
          <w:numId w:val="1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During 2016, the Company received dividends of $249.3 million (2015: $10.5 million) from its subsidiary undertakings ICON Clinical Research Limited ($154.7 million), ICON Holdings Limited ($90.0 million) and ICON Clinical Research PTY Limited ($4.6 million).</w:t>
      </w:r>
    </w:p>
    <w:p>
      <w:pPr>
        <w:spacing w:after="0" w:line="188" w:lineRule="exact"/>
        <w:rPr>
          <w:rFonts w:ascii="Times New Roman" w:cs="Times New Roman" w:eastAsia="Times New Roman" w:hAnsi="Times New Roman"/>
          <w:sz w:val="18"/>
          <w:szCs w:val="18"/>
          <w:i w:val="1"/>
          <w:iCs w:val="1"/>
          <w:color w:val="auto"/>
        </w:rPr>
      </w:pPr>
    </w:p>
    <w:p>
      <w:pPr>
        <w:jc w:val="both"/>
        <w:ind w:left="820" w:hanging="488"/>
        <w:spacing w:after="0" w:line="266" w:lineRule="auto"/>
        <w:tabs>
          <w:tab w:leader="none" w:pos="820" w:val="left"/>
        </w:tabs>
        <w:numPr>
          <w:ilvl w:val="1"/>
          <w:numId w:val="1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In July 2015 the Company sold a (13%) shareholding in its subsidiary ICON Clinical Research Limited to ICON Investments 4 Limited, a fellow ICON Group Company, for total proceeds of USD $350 million. This sale resulted to a profit on disposal of USD $350 million which has been recorded to the income statement during the year ended 31 December 2015.</w:t>
      </w:r>
    </w:p>
    <w:p>
      <w:pPr>
        <w:spacing w:after="0" w:line="19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Directors’ emoluments</w:t>
      </w:r>
    </w:p>
    <w:p>
      <w:pPr>
        <w:spacing w:after="0" w:line="25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aggregate payroll costs of Directors of the Company for the period ended 31 October 2016 was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4360" w:type="dxa"/>
            <w:vAlign w:val="bottom"/>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Period ended</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Year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4360" w:type="dxa"/>
            <w:vAlign w:val="bottom"/>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31 October</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31December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4360" w:type="dxa"/>
            <w:vAlign w:val="bottom"/>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2015</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420" w:type="dxa"/>
            <w:vAlign w:val="bottom"/>
          </w:tcPr>
          <w:p>
            <w:pPr>
              <w:spacing w:after="0"/>
              <w:rPr>
                <w:sz w:val="20"/>
                <w:szCs w:val="20"/>
                <w:color w:val="auto"/>
              </w:rPr>
            </w:pPr>
          </w:p>
        </w:tc>
        <w:tc>
          <w:tcPr>
            <w:tcW w:w="4360" w:type="dxa"/>
            <w:vAlign w:val="bottom"/>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$000</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2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Fees</w:t>
            </w:r>
          </w:p>
        </w:tc>
        <w:tc>
          <w:tcPr>
            <w:tcW w:w="436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699</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Other emoluments and benefits in kind</w:t>
            </w:r>
          </w:p>
        </w:tc>
        <w:tc>
          <w:tcPr>
            <w:tcW w:w="4360" w:type="dxa"/>
            <w:vAlign w:val="bottom"/>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2,102</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Pension contributions</w:t>
            </w:r>
          </w:p>
        </w:tc>
        <w:tc>
          <w:tcPr>
            <w:tcW w:w="436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12</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5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Share-based payment</w:t>
            </w:r>
          </w:p>
        </w:tc>
        <w:tc>
          <w:tcPr>
            <w:tcW w:w="436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12,597</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12,710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20" w:type="dxa"/>
            <w:vAlign w:val="bottom"/>
            <w:shd w:val="clear" w:color="auto" w:fill="CCEEFF"/>
          </w:tcPr>
          <w:p>
            <w:pPr>
              <w:spacing w:after="0"/>
              <w:rPr>
                <w:sz w:val="18"/>
                <w:szCs w:val="18"/>
                <w:color w:val="auto"/>
              </w:rPr>
            </w:pPr>
          </w:p>
        </w:tc>
        <w:tc>
          <w:tcPr>
            <w:tcW w:w="43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vMerge w:val="continue"/>
          </w:tcPr>
          <w:p>
            <w:pPr>
              <w:spacing w:after="0"/>
              <w:rPr>
                <w:sz w:val="19"/>
                <w:szCs w:val="19"/>
                <w:color w:val="auto"/>
              </w:rPr>
            </w:pPr>
          </w:p>
        </w:tc>
        <w:tc>
          <w:tcPr>
            <w:tcW w:w="5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36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15,410</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20,516</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left="400"/>
        <w:spacing w:after="0" w:line="266" w:lineRule="auto"/>
        <w:rPr>
          <w:sz w:val="20"/>
          <w:szCs w:val="20"/>
          <w:color w:val="auto"/>
        </w:rPr>
      </w:pPr>
      <w:r>
        <w:rPr>
          <w:rFonts w:ascii="Times New Roman" w:cs="Times New Roman" w:eastAsia="Times New Roman" w:hAnsi="Times New Roman"/>
          <w:sz w:val="18"/>
          <w:szCs w:val="18"/>
          <w:color w:val="auto"/>
        </w:rPr>
        <w:t>Further information in relation to the remuneration of Directors and Executive Officers is set out in the Compensation and Organisation report in the Group’s Annual Report for the year ended 31 December 2015, which is available publically and can be obtained at http://investor.iconplc.com/annuals.cfm.</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29"/>
          <w:szCs w:val="29"/>
          <w:color w:val="auto"/>
        </w:rPr>
        <w:t>ICON Plc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Notes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Forming part of the financial statements</w:t>
      </w:r>
    </w:p>
    <w:p>
      <w:pPr>
        <w:spacing w:after="0" w:line="200" w:lineRule="exact"/>
        <w:rPr>
          <w:sz w:val="20"/>
          <w:szCs w:val="20"/>
          <w:color w:val="auto"/>
        </w:rPr>
      </w:pPr>
    </w:p>
    <w:p>
      <w:pPr>
        <w:spacing w:after="0" w:line="271" w:lineRule="exact"/>
        <w:rPr>
          <w:sz w:val="20"/>
          <w:szCs w:val="20"/>
          <w:color w:val="auto"/>
        </w:rPr>
      </w:pPr>
    </w:p>
    <w:p>
      <w:pPr>
        <w:ind w:left="340" w:right="8580" w:hanging="332"/>
        <w:spacing w:after="0" w:line="534" w:lineRule="auto"/>
        <w:tabs>
          <w:tab w:leader="none" w:pos="295"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Commitments and Contingencies </w:t>
      </w:r>
      <w:r>
        <w:rPr>
          <w:rFonts w:ascii="Times New Roman" w:cs="Times New Roman" w:eastAsia="Times New Roman" w:hAnsi="Times New Roman"/>
          <w:sz w:val="18"/>
          <w:szCs w:val="18"/>
          <w:i w:val="1"/>
          <w:iCs w:val="1"/>
          <w:color w:val="auto"/>
        </w:rPr>
        <w:t>Operating Leases</w:t>
      </w:r>
    </w:p>
    <w:p>
      <w:pPr>
        <w:spacing w:after="0" w:line="1"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The Company has several non-cancelable operating leases that expire over the next 4 years. These leases generally contain renewal options and require the Company to pay all executory costs such as maintenance and insurance. The Company recognised $1.8 million and $2.5 million in rental expense (including rates) for the periods ended 31 October 2016 and 31 December 2015 respectively. Future minimum rental commitments for operating leases with non-cancelable terms in excess of one year are as follows: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4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Minimum rental payments</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4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2016</w:t>
            </w:r>
          </w:p>
        </w:tc>
        <w:tc>
          <w:tcPr>
            <w:tcW w:w="4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2017</w:t>
            </w:r>
          </w:p>
        </w:tc>
        <w:tc>
          <w:tcPr>
            <w:tcW w:w="4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2018</w:t>
            </w:r>
          </w:p>
        </w:tc>
        <w:tc>
          <w:tcPr>
            <w:tcW w:w="4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2019</w:t>
            </w:r>
          </w:p>
        </w:tc>
        <w:tc>
          <w:tcPr>
            <w:tcW w:w="4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Thereafter</w:t>
            </w:r>
          </w:p>
        </w:tc>
        <w:tc>
          <w:tcPr>
            <w:tcW w:w="4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33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4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4" w:lineRule="exact"/>
        <w:rPr>
          <w:sz w:val="20"/>
          <w:szCs w:val="20"/>
          <w:color w:val="auto"/>
        </w:rPr>
      </w:pPr>
    </w:p>
    <w:p>
      <w:pPr>
        <w:ind w:left="340" w:hanging="332"/>
        <w:spacing w:after="0"/>
        <w:tabs>
          <w:tab w:leader="none" w:pos="34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Litigation</w:t>
      </w:r>
    </w:p>
    <w:p>
      <w:pPr>
        <w:spacing w:after="0" w:line="256" w:lineRule="exact"/>
        <w:rPr>
          <w:rFonts w:ascii="Times New Roman" w:cs="Times New Roman" w:eastAsia="Times New Roman" w:hAnsi="Times New Roman"/>
          <w:sz w:val="18"/>
          <w:szCs w:val="18"/>
          <w:b w:val="1"/>
          <w:bCs w:val="1"/>
          <w:color w:val="auto"/>
        </w:rPr>
      </w:pPr>
    </w:p>
    <w:p>
      <w:pPr>
        <w:ind w:left="340" w:right="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is not party to any litigation or other legal proceedings that the Company believes could reasonably be expected to have a material adverse effect on the Company’s business, results of operations and financial position.</w:t>
      </w:r>
    </w:p>
    <w:p>
      <w:pPr>
        <w:spacing w:after="0" w:line="157" w:lineRule="exact"/>
        <w:rPr>
          <w:rFonts w:ascii="Times New Roman" w:cs="Times New Roman" w:eastAsia="Times New Roman" w:hAnsi="Times New Roman"/>
          <w:sz w:val="18"/>
          <w:szCs w:val="18"/>
          <w:b w:val="1"/>
          <w:bCs w:val="1"/>
          <w:color w:val="auto"/>
        </w:rPr>
      </w:pPr>
    </w:p>
    <w:p>
      <w:pPr>
        <w:ind w:left="340" w:hanging="332"/>
        <w:spacing w:after="0"/>
        <w:tabs>
          <w:tab w:leader="none" w:pos="34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instruments</w:t>
      </w:r>
    </w:p>
    <w:p>
      <w:pPr>
        <w:spacing w:after="0" w:line="256" w:lineRule="exact"/>
        <w:rPr>
          <w:rFonts w:ascii="Times New Roman" w:cs="Times New Roman" w:eastAsia="Times New Roman" w:hAnsi="Times New Roman"/>
          <w:sz w:val="18"/>
          <w:szCs w:val="18"/>
          <w:b w:val="1"/>
          <w:bCs w:val="1"/>
          <w:color w:val="auto"/>
        </w:rPr>
      </w:pPr>
    </w:p>
    <w:p>
      <w:pPr>
        <w:jc w:val="both"/>
        <w:ind w:left="3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is exposed to various financial risks in the normal course of the business. The Company’s financial instruments typically comprise, cash, bank borrowings and accounts payable. The main purpose of these financial instruments is to provide finance for the Company’s operations. The main risks arising from the Company’s financial instruments are credit risk, liquidity risk, interest rate risk, and foreign exchange risk.</w:t>
      </w:r>
    </w:p>
    <w:p>
      <w:pPr>
        <w:spacing w:after="0" w:line="199"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Credit risk</w:t>
      </w:r>
    </w:p>
    <w:p>
      <w:pPr>
        <w:spacing w:after="0" w:line="31" w:lineRule="exact"/>
        <w:rPr>
          <w:rFonts w:ascii="Times New Roman" w:cs="Times New Roman" w:eastAsia="Times New Roman" w:hAnsi="Times New Roman"/>
          <w:sz w:val="18"/>
          <w:szCs w:val="18"/>
          <w:b w:val="1"/>
          <w:bCs w:val="1"/>
          <w:color w:val="auto"/>
        </w:rPr>
      </w:pPr>
    </w:p>
    <w:p>
      <w:pPr>
        <w:jc w:val="both"/>
        <w:ind w:left="34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Credit risk is the risk of financial loss to the Company if a customer or counterparty to a financial instrument fails to meet its contractual obligations. Credit risk in respect of the Company arises on balances due from group companies, and as the group is financially sound and the subsidiary entities that ICON Plc the Company trades with are in a position to make payments as and when they fall due, the Company has assessed the exposure to credit risk as low.</w:t>
      </w:r>
    </w:p>
    <w:p>
      <w:pPr>
        <w:spacing w:after="0" w:line="208"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Liquidity risk</w:t>
      </w:r>
    </w:p>
    <w:p>
      <w:pPr>
        <w:spacing w:after="0" w:line="31" w:lineRule="exact"/>
        <w:rPr>
          <w:rFonts w:ascii="Times New Roman" w:cs="Times New Roman" w:eastAsia="Times New Roman" w:hAnsi="Times New Roman"/>
          <w:sz w:val="18"/>
          <w:szCs w:val="18"/>
          <w:b w:val="1"/>
          <w:bCs w:val="1"/>
          <w:color w:val="auto"/>
        </w:rPr>
      </w:pPr>
    </w:p>
    <w:p>
      <w:pPr>
        <w:jc w:val="both"/>
        <w:ind w:left="34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Liquidity risk is the risk that the Company will not be able to meet its financial obligations as they fall due. The Company’s liquidity risk arises from the repayment of short term debt and other obligations as they fall due. The Company minimises liquidity risk by ensuring that sufficient cash balances and committed bank lines of credit are available to meet its obligations as they fall due.</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29"/>
          <w:szCs w:val="29"/>
          <w:color w:val="auto"/>
        </w:rPr>
        <w:t>ICON Plc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Notes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Forming part of the financial statements</w:t>
      </w:r>
    </w:p>
    <w:p>
      <w:pPr>
        <w:spacing w:after="0" w:line="228" w:lineRule="exact"/>
        <w:rPr>
          <w:sz w:val="20"/>
          <w:szCs w:val="20"/>
          <w:color w:val="auto"/>
        </w:rPr>
      </w:pPr>
    </w:p>
    <w:p>
      <w:pPr>
        <w:ind w:left="340" w:hanging="332"/>
        <w:spacing w:after="0"/>
        <w:tabs>
          <w:tab w:leader="none" w:pos="34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Financial instruments </w:t>
      </w:r>
      <w:r>
        <w:rPr>
          <w:rFonts w:ascii="Times New Roman" w:cs="Times New Roman" w:eastAsia="Times New Roman" w:hAnsi="Times New Roman"/>
          <w:sz w:val="18"/>
          <w:szCs w:val="18"/>
          <w:i w:val="1"/>
          <w:iCs w:val="1"/>
          <w:color w:val="auto"/>
        </w:rPr>
        <w:t>(continued)</w:t>
      </w:r>
    </w:p>
    <w:p>
      <w:pPr>
        <w:spacing w:after="0" w:line="256" w:lineRule="exact"/>
        <w:rPr>
          <w:rFonts w:ascii="Times New Roman" w:cs="Times New Roman" w:eastAsia="Times New Roman" w:hAnsi="Times New Roman"/>
          <w:sz w:val="18"/>
          <w:szCs w:val="18"/>
          <w:b w:val="1"/>
          <w:bCs w:val="1"/>
          <w:color w:val="auto"/>
        </w:rPr>
      </w:pPr>
    </w:p>
    <w:p>
      <w:pPr>
        <w:ind w:left="3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sets out details of the maturity of the Company’s financial liabilities into the relevant maturity groupings based on the remaining period from the financial year end date to the contractual maturity date:</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At 31 October 2016</w:t>
      </w:r>
    </w:p>
    <w:tbl>
      <w:tblPr>
        <w:tblLayout w:type="fixed"/>
        <w:tblInd w:w="240"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1860" w:type="dxa"/>
            <w:vAlign w:val="bottom"/>
          </w:tcPr>
          <w:p>
            <w:pPr>
              <w:jc w:val="right"/>
              <w:ind w:right="108"/>
              <w:spacing w:after="0" w:line="155"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300" w:type="dxa"/>
            <w:vAlign w:val="bottom"/>
          </w:tcPr>
          <w:p>
            <w:pPr>
              <w:jc w:val="right"/>
              <w:ind w:right="288"/>
              <w:spacing w:after="0" w:line="155"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040" w:type="dxa"/>
            <w:vAlign w:val="bottom"/>
          </w:tcPr>
          <w:p>
            <w:pPr>
              <w:jc w:val="right"/>
              <w:ind w:right="188"/>
              <w:spacing w:after="0" w:line="155" w:lineRule="exact"/>
              <w:rPr>
                <w:sz w:val="20"/>
                <w:szCs w:val="20"/>
                <w:color w:val="auto"/>
              </w:rPr>
            </w:pPr>
            <w:r>
              <w:rPr>
                <w:rFonts w:ascii="Times New Roman" w:cs="Times New Roman" w:eastAsia="Times New Roman" w:hAnsi="Times New Roman"/>
                <w:sz w:val="14"/>
                <w:szCs w:val="14"/>
                <w:b w:val="1"/>
                <w:bCs w:val="1"/>
                <w:color w:val="auto"/>
              </w:rPr>
              <w:t>6 mths</w:t>
            </w:r>
          </w:p>
        </w:tc>
        <w:tc>
          <w:tcPr>
            <w:tcW w:w="114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6-12 mths</w:t>
            </w:r>
          </w:p>
        </w:tc>
        <w:tc>
          <w:tcPr>
            <w:tcW w:w="112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1-2 years</w:t>
            </w:r>
          </w:p>
        </w:tc>
        <w:tc>
          <w:tcPr>
            <w:tcW w:w="118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2-5 years</w:t>
            </w:r>
          </w:p>
        </w:tc>
        <w:tc>
          <w:tcPr>
            <w:tcW w:w="780" w:type="dxa"/>
            <w:vAlign w:val="bottom"/>
            <w:gridSpan w:val="2"/>
          </w:tcPr>
          <w:p>
            <w:pPr>
              <w:jc w:val="right"/>
              <w:ind w:right="20"/>
              <w:spacing w:after="0" w:line="155" w:lineRule="exact"/>
              <w:rPr>
                <w:sz w:val="20"/>
                <w:szCs w:val="20"/>
                <w:color w:val="auto"/>
              </w:rPr>
            </w:pPr>
            <w:r>
              <w:rPr>
                <w:rFonts w:ascii="Times New Roman" w:cs="Times New Roman" w:eastAsia="Times New Roman" w:hAnsi="Times New Roman"/>
                <w:sz w:val="14"/>
                <w:szCs w:val="14"/>
                <w:b w:val="1"/>
                <w:bCs w:val="1"/>
                <w:color w:val="auto"/>
              </w:rPr>
              <w:t>More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860" w:type="dxa"/>
            <w:vAlign w:val="bottom"/>
          </w:tcPr>
          <w:p>
            <w:pPr>
              <w:jc w:val="right"/>
              <w:ind w:right="108"/>
              <w:spacing w:after="0" w:line="149" w:lineRule="exact"/>
              <w:rPr>
                <w:sz w:val="20"/>
                <w:szCs w:val="20"/>
                <w:color w:val="auto"/>
              </w:rPr>
            </w:pPr>
            <w:r>
              <w:rPr>
                <w:rFonts w:ascii="Times New Roman" w:cs="Times New Roman" w:eastAsia="Times New Roman" w:hAnsi="Times New Roman"/>
                <w:sz w:val="14"/>
                <w:szCs w:val="14"/>
                <w:b w:val="1"/>
                <w:bCs w:val="1"/>
                <w:color w:val="auto"/>
              </w:rPr>
              <w:t>Amount</w:t>
            </w:r>
          </w:p>
        </w:tc>
        <w:tc>
          <w:tcPr>
            <w:tcW w:w="1300" w:type="dxa"/>
            <w:vAlign w:val="bottom"/>
          </w:tcPr>
          <w:p>
            <w:pPr>
              <w:jc w:val="right"/>
              <w:ind w:right="288"/>
              <w:spacing w:after="0" w:line="149" w:lineRule="exact"/>
              <w:rPr>
                <w:sz w:val="20"/>
                <w:szCs w:val="20"/>
                <w:color w:val="auto"/>
              </w:rPr>
            </w:pPr>
            <w:r>
              <w:rPr>
                <w:rFonts w:ascii="Times New Roman" w:cs="Times New Roman" w:eastAsia="Times New Roman" w:hAnsi="Times New Roman"/>
                <w:sz w:val="14"/>
                <w:szCs w:val="14"/>
                <w:b w:val="1"/>
                <w:bCs w:val="1"/>
                <w:color w:val="auto"/>
              </w:rPr>
              <w:t>Cashflows</w:t>
            </w:r>
          </w:p>
        </w:tc>
        <w:tc>
          <w:tcPr>
            <w:tcW w:w="1040" w:type="dxa"/>
            <w:vAlign w:val="bottom"/>
          </w:tcPr>
          <w:p>
            <w:pPr>
              <w:jc w:val="right"/>
              <w:ind w:right="188"/>
              <w:spacing w:after="0" w:line="149" w:lineRule="exact"/>
              <w:rPr>
                <w:sz w:val="20"/>
                <w:szCs w:val="20"/>
                <w:color w:val="auto"/>
              </w:rPr>
            </w:pPr>
            <w:r>
              <w:rPr>
                <w:rFonts w:ascii="Times New Roman" w:cs="Times New Roman" w:eastAsia="Times New Roman" w:hAnsi="Times New Roman"/>
                <w:sz w:val="14"/>
                <w:szCs w:val="14"/>
                <w:b w:val="1"/>
                <w:bCs w:val="1"/>
                <w:color w:val="auto"/>
              </w:rPr>
              <w:t>or less</w:t>
            </w:r>
          </w:p>
        </w:tc>
        <w:tc>
          <w:tcPr>
            <w:tcW w:w="1140" w:type="dxa"/>
            <w:vAlign w:val="bottom"/>
            <w:vMerge w:val="continue"/>
          </w:tcPr>
          <w:p>
            <w:pPr>
              <w:spacing w:after="0"/>
              <w:rPr>
                <w:sz w:val="12"/>
                <w:szCs w:val="12"/>
                <w:color w:val="auto"/>
              </w:rPr>
            </w:pPr>
          </w:p>
        </w:tc>
        <w:tc>
          <w:tcPr>
            <w:tcW w:w="1120" w:type="dxa"/>
            <w:vAlign w:val="bottom"/>
            <w:vMerge w:val="continue"/>
          </w:tcPr>
          <w:p>
            <w:pPr>
              <w:spacing w:after="0"/>
              <w:rPr>
                <w:sz w:val="12"/>
                <w:szCs w:val="12"/>
                <w:color w:val="auto"/>
              </w:rPr>
            </w:pPr>
          </w:p>
        </w:tc>
        <w:tc>
          <w:tcPr>
            <w:tcW w:w="1180" w:type="dxa"/>
            <w:vAlign w:val="bottom"/>
            <w:vMerge w:val="continue"/>
          </w:tcPr>
          <w:p>
            <w:pPr>
              <w:spacing w:after="0"/>
              <w:rPr>
                <w:sz w:val="12"/>
                <w:szCs w:val="12"/>
                <w:color w:val="auto"/>
              </w:rPr>
            </w:pPr>
          </w:p>
        </w:tc>
        <w:tc>
          <w:tcPr>
            <w:tcW w:w="78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than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86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$’000</w:t>
            </w:r>
          </w:p>
        </w:tc>
        <w:tc>
          <w:tcPr>
            <w:tcW w:w="1300" w:type="dxa"/>
            <w:vAlign w:val="bottom"/>
            <w:vMerge w:val="restart"/>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$’000</w:t>
            </w:r>
          </w:p>
        </w:tc>
        <w:tc>
          <w:tcPr>
            <w:tcW w:w="104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$’000</w:t>
            </w:r>
          </w:p>
        </w:tc>
        <w:tc>
          <w:tcPr>
            <w:tcW w:w="114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$’000</w:t>
            </w:r>
          </w:p>
        </w:tc>
        <w:tc>
          <w:tcPr>
            <w:tcW w:w="112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$’000</w:t>
            </w:r>
          </w:p>
        </w:tc>
        <w:tc>
          <w:tcPr>
            <w:tcW w:w="118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$’000</w:t>
            </w:r>
          </w:p>
        </w:tc>
        <w:tc>
          <w:tcPr>
            <w:tcW w:w="78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5 years</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1860" w:type="dxa"/>
            <w:vAlign w:val="bottom"/>
            <w:vMerge w:val="continue"/>
          </w:tcPr>
          <w:p>
            <w:pPr>
              <w:spacing w:after="0"/>
              <w:rPr>
                <w:sz w:val="16"/>
                <w:szCs w:val="16"/>
                <w:color w:val="auto"/>
              </w:rPr>
            </w:pPr>
          </w:p>
        </w:tc>
        <w:tc>
          <w:tcPr>
            <w:tcW w:w="1300" w:type="dxa"/>
            <w:vAlign w:val="bottom"/>
            <w:vMerge w:val="continue"/>
          </w:tcPr>
          <w:p>
            <w:pPr>
              <w:spacing w:after="0"/>
              <w:rPr>
                <w:sz w:val="16"/>
                <w:szCs w:val="16"/>
                <w:color w:val="auto"/>
              </w:rPr>
            </w:pPr>
          </w:p>
        </w:tc>
        <w:tc>
          <w:tcPr>
            <w:tcW w:w="1040" w:type="dxa"/>
            <w:vAlign w:val="bottom"/>
            <w:vMerge w:val="continue"/>
          </w:tcPr>
          <w:p>
            <w:pPr>
              <w:spacing w:after="0"/>
              <w:rPr>
                <w:sz w:val="16"/>
                <w:szCs w:val="16"/>
                <w:color w:val="auto"/>
              </w:rPr>
            </w:pPr>
          </w:p>
        </w:tc>
        <w:tc>
          <w:tcPr>
            <w:tcW w:w="1140" w:type="dxa"/>
            <w:vAlign w:val="bottom"/>
            <w:vMerge w:val="continue"/>
          </w:tcPr>
          <w:p>
            <w:pPr>
              <w:spacing w:after="0"/>
              <w:rPr>
                <w:sz w:val="16"/>
                <w:szCs w:val="16"/>
                <w:color w:val="auto"/>
              </w:rPr>
            </w:pPr>
          </w:p>
        </w:tc>
        <w:tc>
          <w:tcPr>
            <w:tcW w:w="1120" w:type="dxa"/>
            <w:vAlign w:val="bottom"/>
            <w:vMerge w:val="continue"/>
          </w:tcPr>
          <w:p>
            <w:pPr>
              <w:spacing w:after="0"/>
              <w:rPr>
                <w:sz w:val="16"/>
                <w:szCs w:val="16"/>
                <w:color w:val="auto"/>
              </w:rPr>
            </w:pPr>
          </w:p>
        </w:tc>
        <w:tc>
          <w:tcPr>
            <w:tcW w:w="1180" w:type="dxa"/>
            <w:vAlign w:val="bottom"/>
            <w:vMerge w:val="continue"/>
          </w:tcPr>
          <w:p>
            <w:pPr>
              <w:spacing w:after="0"/>
              <w:rPr>
                <w:sz w:val="16"/>
                <w:szCs w:val="16"/>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$’000</w:t>
            </w:r>
          </w:p>
        </w:tc>
        <w:tc>
          <w:tcPr>
            <w:tcW w:w="0" w:type="dxa"/>
            <w:vAlign w:val="bottom"/>
          </w:tcPr>
          <w:p>
            <w:pPr>
              <w:spacing w:after="0"/>
              <w:rPr>
                <w:sz w:val="1"/>
                <w:szCs w:val="1"/>
                <w:color w:val="auto"/>
              </w:rPr>
            </w:pPr>
          </w:p>
        </w:tc>
      </w:tr>
      <w:tr>
        <w:trPr>
          <w:trHeight w:val="132"/>
        </w:trPr>
        <w:tc>
          <w:tcPr>
            <w:tcW w:w="20" w:type="dxa"/>
            <w:vAlign w:val="bottom"/>
            <w:vMerge w:val="restart"/>
          </w:tcPr>
          <w:p>
            <w:pPr>
              <w:spacing w:after="0"/>
              <w:rPr>
                <w:sz w:val="11"/>
                <w:szCs w:val="11"/>
                <w:color w:val="auto"/>
              </w:rPr>
            </w:pPr>
          </w:p>
        </w:tc>
        <w:tc>
          <w:tcPr>
            <w:tcW w:w="27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7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1860" w:type="dxa"/>
            <w:vAlign w:val="bottom"/>
            <w:shd w:val="clear" w:color="auto" w:fill="CCEEFF"/>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(7)</w:t>
            </w:r>
          </w:p>
        </w:tc>
        <w:tc>
          <w:tcPr>
            <w:tcW w:w="1300" w:type="dxa"/>
            <w:vAlign w:val="bottom"/>
            <w:shd w:val="clear" w:color="auto" w:fill="CCEEFF"/>
          </w:tcPr>
          <w:p>
            <w:pPr>
              <w:jc w:val="right"/>
              <w:ind w:right="288"/>
              <w:spacing w:after="0" w:line="149" w:lineRule="exact"/>
              <w:rPr>
                <w:sz w:val="20"/>
                <w:szCs w:val="20"/>
                <w:color w:val="auto"/>
              </w:rPr>
            </w:pPr>
            <w:r>
              <w:rPr>
                <w:rFonts w:ascii="Times New Roman" w:cs="Times New Roman" w:eastAsia="Times New Roman" w:hAnsi="Times New Roman"/>
                <w:sz w:val="14"/>
                <w:szCs w:val="14"/>
                <w:color w:val="auto"/>
              </w:rPr>
              <w:t>(7)</w:t>
            </w:r>
          </w:p>
        </w:tc>
        <w:tc>
          <w:tcPr>
            <w:tcW w:w="1040" w:type="dxa"/>
            <w:vAlign w:val="bottom"/>
            <w:shd w:val="clear" w:color="auto" w:fill="CCEEFF"/>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(7)</w:t>
            </w:r>
          </w:p>
        </w:tc>
        <w:tc>
          <w:tcPr>
            <w:tcW w:w="1140" w:type="dxa"/>
            <w:vAlign w:val="bottom"/>
            <w:shd w:val="clear" w:color="auto" w:fill="CCEEFF"/>
          </w:tcPr>
          <w:p>
            <w:pPr>
              <w:jc w:val="right"/>
              <w:ind w:right="2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ind w:right="2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ind w:right="2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760" w:type="dxa"/>
            <w:vAlign w:val="bottom"/>
            <w:tcBorders>
              <w:bottom w:val="single" w:sz="8" w:color="auto"/>
            </w:tcBorders>
          </w:tcPr>
          <w:p>
            <w:pPr>
              <w:spacing w:after="0" w:line="149" w:lineRule="exact"/>
              <w:rPr>
                <w:sz w:val="20"/>
                <w:szCs w:val="20"/>
                <w:color w:val="auto"/>
              </w:rPr>
            </w:pPr>
            <w:r>
              <w:rPr>
                <w:rFonts w:ascii="Times New Roman" w:cs="Times New Roman" w:eastAsia="Times New Roman" w:hAnsi="Times New Roman"/>
                <w:sz w:val="14"/>
                <w:szCs w:val="14"/>
                <w:color w:val="auto"/>
              </w:rPr>
              <w:t>Accruals and other liabilities</w:t>
            </w:r>
          </w:p>
        </w:tc>
        <w:tc>
          <w:tcPr>
            <w:tcW w:w="1860" w:type="dxa"/>
            <w:vAlign w:val="bottom"/>
            <w:tcBorders>
              <w:bottom w:val="single" w:sz="8" w:color="auto"/>
            </w:tcBorders>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(8,706)</w:t>
            </w:r>
          </w:p>
        </w:tc>
        <w:tc>
          <w:tcPr>
            <w:tcW w:w="1300" w:type="dxa"/>
            <w:vAlign w:val="bottom"/>
            <w:tcBorders>
              <w:bottom w:val="single" w:sz="8" w:color="auto"/>
            </w:tcBorders>
          </w:tcPr>
          <w:p>
            <w:pPr>
              <w:jc w:val="right"/>
              <w:ind w:right="288"/>
              <w:spacing w:after="0" w:line="149" w:lineRule="exact"/>
              <w:rPr>
                <w:sz w:val="20"/>
                <w:szCs w:val="20"/>
                <w:color w:val="auto"/>
              </w:rPr>
            </w:pPr>
            <w:r>
              <w:rPr>
                <w:rFonts w:ascii="Times New Roman" w:cs="Times New Roman" w:eastAsia="Times New Roman" w:hAnsi="Times New Roman"/>
                <w:sz w:val="14"/>
                <w:szCs w:val="14"/>
                <w:color w:val="auto"/>
              </w:rPr>
              <w:t>(8,706)</w:t>
            </w:r>
          </w:p>
        </w:tc>
        <w:tc>
          <w:tcPr>
            <w:tcW w:w="1040" w:type="dxa"/>
            <w:vAlign w:val="bottom"/>
            <w:tcBorders>
              <w:bottom w:val="single" w:sz="8" w:color="auto"/>
            </w:tcBorders>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(8,706)</w:t>
            </w:r>
          </w:p>
        </w:tc>
        <w:tc>
          <w:tcPr>
            <w:tcW w:w="1140" w:type="dxa"/>
            <w:vAlign w:val="bottom"/>
            <w:tcBorders>
              <w:bottom w:val="single" w:sz="8" w:color="auto"/>
            </w:tcBorders>
          </w:tcPr>
          <w:p>
            <w:pPr>
              <w:jc w:val="right"/>
              <w:ind w:right="2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tcPr>
          <w:p>
            <w:pPr>
              <w:jc w:val="right"/>
              <w:ind w:right="2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tcPr>
          <w:p>
            <w:pPr>
              <w:jc w:val="right"/>
              <w:ind w:right="2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shd w:val="clear" w:color="auto" w:fill="CCEEFF"/>
          </w:tcPr>
          <w:p>
            <w:pPr>
              <w:spacing w:after="0"/>
              <w:rPr>
                <w:sz w:val="12"/>
                <w:szCs w:val="12"/>
                <w:color w:val="auto"/>
              </w:rPr>
            </w:pPr>
          </w:p>
        </w:tc>
        <w:tc>
          <w:tcPr>
            <w:tcW w:w="186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760" w:type="dxa"/>
            <w:vAlign w:val="bottom"/>
            <w:tcBorders>
              <w:bottom w:val="single" w:sz="8" w:color="auto"/>
            </w:tcBorders>
          </w:tcPr>
          <w:p>
            <w:pPr>
              <w:spacing w:after="0"/>
              <w:rPr>
                <w:sz w:val="13"/>
                <w:szCs w:val="13"/>
                <w:color w:val="auto"/>
              </w:rPr>
            </w:pPr>
          </w:p>
        </w:tc>
        <w:tc>
          <w:tcPr>
            <w:tcW w:w="1860" w:type="dxa"/>
            <w:vAlign w:val="bottom"/>
            <w:tcBorders>
              <w:bottom w:val="single" w:sz="8" w:color="auto"/>
            </w:tcBorders>
          </w:tcPr>
          <w:p>
            <w:pPr>
              <w:jc w:val="right"/>
              <w:ind w:right="108"/>
              <w:spacing w:after="0" w:line="149" w:lineRule="exact"/>
              <w:rPr>
                <w:sz w:val="20"/>
                <w:szCs w:val="20"/>
                <w:color w:val="auto"/>
              </w:rPr>
            </w:pPr>
            <w:r>
              <w:rPr>
                <w:rFonts w:ascii="Times New Roman" w:cs="Times New Roman" w:eastAsia="Times New Roman" w:hAnsi="Times New Roman"/>
                <w:sz w:val="14"/>
                <w:szCs w:val="14"/>
                <w:b w:val="1"/>
                <w:bCs w:val="1"/>
                <w:color w:val="auto"/>
              </w:rPr>
              <w:t>(8,713)</w:t>
            </w:r>
          </w:p>
        </w:tc>
        <w:tc>
          <w:tcPr>
            <w:tcW w:w="1300" w:type="dxa"/>
            <w:vAlign w:val="bottom"/>
            <w:tcBorders>
              <w:bottom w:val="single" w:sz="8" w:color="auto"/>
            </w:tcBorders>
          </w:tcPr>
          <w:p>
            <w:pPr>
              <w:jc w:val="right"/>
              <w:ind w:right="288"/>
              <w:spacing w:after="0" w:line="149" w:lineRule="exact"/>
              <w:rPr>
                <w:sz w:val="20"/>
                <w:szCs w:val="20"/>
                <w:color w:val="auto"/>
              </w:rPr>
            </w:pPr>
            <w:r>
              <w:rPr>
                <w:rFonts w:ascii="Times New Roman" w:cs="Times New Roman" w:eastAsia="Times New Roman" w:hAnsi="Times New Roman"/>
                <w:sz w:val="14"/>
                <w:szCs w:val="14"/>
                <w:b w:val="1"/>
                <w:bCs w:val="1"/>
                <w:color w:val="auto"/>
              </w:rPr>
              <w:t>(8,713)</w:t>
            </w:r>
          </w:p>
        </w:tc>
        <w:tc>
          <w:tcPr>
            <w:tcW w:w="1040" w:type="dxa"/>
            <w:vAlign w:val="bottom"/>
            <w:tcBorders>
              <w:bottom w:val="single" w:sz="8" w:color="auto"/>
            </w:tcBorders>
          </w:tcPr>
          <w:p>
            <w:pPr>
              <w:jc w:val="right"/>
              <w:ind w:right="188"/>
              <w:spacing w:after="0" w:line="149" w:lineRule="exact"/>
              <w:rPr>
                <w:sz w:val="20"/>
                <w:szCs w:val="20"/>
                <w:color w:val="auto"/>
              </w:rPr>
            </w:pPr>
            <w:r>
              <w:rPr>
                <w:rFonts w:ascii="Times New Roman" w:cs="Times New Roman" w:eastAsia="Times New Roman" w:hAnsi="Times New Roman"/>
                <w:sz w:val="14"/>
                <w:szCs w:val="14"/>
                <w:b w:val="1"/>
                <w:bCs w:val="1"/>
                <w:color w:val="auto"/>
              </w:rPr>
              <w:t>(8,713)</w:t>
            </w:r>
          </w:p>
        </w:tc>
        <w:tc>
          <w:tcPr>
            <w:tcW w:w="1140" w:type="dxa"/>
            <w:vAlign w:val="bottom"/>
            <w:tcBorders>
              <w:bottom w:val="single" w:sz="8" w:color="auto"/>
            </w:tcBorders>
          </w:tcPr>
          <w:p>
            <w:pPr>
              <w:jc w:val="right"/>
              <w:ind w:right="208"/>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tcBorders>
              <w:bottom w:val="single" w:sz="8" w:color="auto"/>
            </w:tcBorders>
          </w:tcPr>
          <w:p>
            <w:pPr>
              <w:jc w:val="right"/>
              <w:ind w:right="208"/>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180" w:type="dxa"/>
            <w:vAlign w:val="bottom"/>
            <w:tcBorders>
              <w:bottom w:val="single" w:sz="8" w:color="auto"/>
            </w:tcBorders>
          </w:tcPr>
          <w:p>
            <w:pPr>
              <w:jc w:val="right"/>
              <w:ind w:right="268"/>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At 31 December 2015</w:t>
      </w:r>
    </w:p>
    <w:tbl>
      <w:tblPr>
        <w:tblLayout w:type="fixed"/>
        <w:tblInd w:w="240"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1880" w:type="dxa"/>
            <w:vAlign w:val="bottom"/>
          </w:tcPr>
          <w:p>
            <w:pPr>
              <w:jc w:val="right"/>
              <w:ind w:right="108"/>
              <w:spacing w:after="0" w:line="155"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260" w:type="dxa"/>
            <w:vAlign w:val="bottom"/>
          </w:tcPr>
          <w:p>
            <w:pPr>
              <w:jc w:val="right"/>
              <w:ind w:right="268"/>
              <w:spacing w:after="0" w:line="155"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080" w:type="dxa"/>
            <w:vAlign w:val="bottom"/>
          </w:tcPr>
          <w:p>
            <w:pPr>
              <w:jc w:val="right"/>
              <w:ind w:right="188"/>
              <w:spacing w:after="0" w:line="155" w:lineRule="exact"/>
              <w:rPr>
                <w:sz w:val="20"/>
                <w:szCs w:val="20"/>
                <w:color w:val="auto"/>
              </w:rPr>
            </w:pPr>
            <w:r>
              <w:rPr>
                <w:rFonts w:ascii="Times New Roman" w:cs="Times New Roman" w:eastAsia="Times New Roman" w:hAnsi="Times New Roman"/>
                <w:sz w:val="14"/>
                <w:szCs w:val="14"/>
                <w:b w:val="1"/>
                <w:bCs w:val="1"/>
                <w:color w:val="auto"/>
              </w:rPr>
              <w:t>6 mths</w:t>
            </w:r>
          </w:p>
        </w:tc>
        <w:tc>
          <w:tcPr>
            <w:tcW w:w="1140" w:type="dxa"/>
            <w:vAlign w:val="bottom"/>
          </w:tcPr>
          <w:p>
            <w:pPr>
              <w:jc w:val="right"/>
              <w:ind w:right="208"/>
              <w:spacing w:after="0" w:line="155" w:lineRule="exact"/>
              <w:rPr>
                <w:sz w:val="20"/>
                <w:szCs w:val="20"/>
                <w:color w:val="auto"/>
              </w:rPr>
            </w:pPr>
            <w:r>
              <w:rPr>
                <w:rFonts w:ascii="Times New Roman" w:cs="Times New Roman" w:eastAsia="Times New Roman" w:hAnsi="Times New Roman"/>
                <w:sz w:val="14"/>
                <w:szCs w:val="14"/>
                <w:b w:val="1"/>
                <w:bCs w:val="1"/>
                <w:color w:val="auto"/>
              </w:rPr>
              <w:t>6-12 mths</w:t>
            </w:r>
          </w:p>
        </w:tc>
        <w:tc>
          <w:tcPr>
            <w:tcW w:w="112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1-2 years</w:t>
            </w:r>
          </w:p>
        </w:tc>
        <w:tc>
          <w:tcPr>
            <w:tcW w:w="116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2-5 years</w:t>
            </w:r>
          </w:p>
        </w:tc>
        <w:tc>
          <w:tcPr>
            <w:tcW w:w="780" w:type="dxa"/>
            <w:vAlign w:val="bottom"/>
            <w:gridSpan w:val="2"/>
          </w:tcPr>
          <w:p>
            <w:pPr>
              <w:jc w:val="right"/>
              <w:ind w:right="20"/>
              <w:spacing w:after="0" w:line="155" w:lineRule="exact"/>
              <w:rPr>
                <w:sz w:val="20"/>
                <w:szCs w:val="20"/>
                <w:color w:val="auto"/>
              </w:rPr>
            </w:pPr>
            <w:r>
              <w:rPr>
                <w:rFonts w:ascii="Times New Roman" w:cs="Times New Roman" w:eastAsia="Times New Roman" w:hAnsi="Times New Roman"/>
                <w:sz w:val="14"/>
                <w:szCs w:val="14"/>
                <w:b w:val="1"/>
                <w:bCs w:val="1"/>
                <w:color w:val="auto"/>
              </w:rPr>
              <w:t>More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880" w:type="dxa"/>
            <w:vAlign w:val="bottom"/>
          </w:tcPr>
          <w:p>
            <w:pPr>
              <w:jc w:val="right"/>
              <w:ind w:right="108"/>
              <w:spacing w:after="0" w:line="149" w:lineRule="exact"/>
              <w:rPr>
                <w:sz w:val="20"/>
                <w:szCs w:val="20"/>
                <w:color w:val="auto"/>
              </w:rPr>
            </w:pPr>
            <w:r>
              <w:rPr>
                <w:rFonts w:ascii="Times New Roman" w:cs="Times New Roman" w:eastAsia="Times New Roman" w:hAnsi="Times New Roman"/>
                <w:sz w:val="14"/>
                <w:szCs w:val="14"/>
                <w:b w:val="1"/>
                <w:bCs w:val="1"/>
                <w:color w:val="auto"/>
              </w:rPr>
              <w:t>Amount</w:t>
            </w:r>
          </w:p>
        </w:tc>
        <w:tc>
          <w:tcPr>
            <w:tcW w:w="1260" w:type="dxa"/>
            <w:vAlign w:val="bottom"/>
          </w:tcPr>
          <w:p>
            <w:pPr>
              <w:jc w:val="right"/>
              <w:ind w:right="268"/>
              <w:spacing w:after="0" w:line="149" w:lineRule="exact"/>
              <w:rPr>
                <w:sz w:val="20"/>
                <w:szCs w:val="20"/>
                <w:color w:val="auto"/>
              </w:rPr>
            </w:pPr>
            <w:r>
              <w:rPr>
                <w:rFonts w:ascii="Times New Roman" w:cs="Times New Roman" w:eastAsia="Times New Roman" w:hAnsi="Times New Roman"/>
                <w:sz w:val="14"/>
                <w:szCs w:val="14"/>
                <w:b w:val="1"/>
                <w:bCs w:val="1"/>
                <w:color w:val="auto"/>
              </w:rPr>
              <w:t>Cashflows</w:t>
            </w:r>
          </w:p>
        </w:tc>
        <w:tc>
          <w:tcPr>
            <w:tcW w:w="1080" w:type="dxa"/>
            <w:vAlign w:val="bottom"/>
          </w:tcPr>
          <w:p>
            <w:pPr>
              <w:jc w:val="right"/>
              <w:ind w:right="188"/>
              <w:spacing w:after="0" w:line="149" w:lineRule="exact"/>
              <w:rPr>
                <w:sz w:val="20"/>
                <w:szCs w:val="20"/>
                <w:color w:val="auto"/>
              </w:rPr>
            </w:pPr>
            <w:r>
              <w:rPr>
                <w:rFonts w:ascii="Times New Roman" w:cs="Times New Roman" w:eastAsia="Times New Roman" w:hAnsi="Times New Roman"/>
                <w:sz w:val="14"/>
                <w:szCs w:val="14"/>
                <w:b w:val="1"/>
                <w:bCs w:val="1"/>
                <w:color w:val="auto"/>
              </w:rPr>
              <w:t>or less</w:t>
            </w:r>
          </w:p>
        </w:tc>
        <w:tc>
          <w:tcPr>
            <w:tcW w:w="114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1160" w:type="dxa"/>
            <w:vAlign w:val="bottom"/>
            <w:vMerge w:val="continue"/>
          </w:tcPr>
          <w:p>
            <w:pPr>
              <w:spacing w:after="0"/>
              <w:rPr>
                <w:sz w:val="12"/>
                <w:szCs w:val="12"/>
                <w:color w:val="auto"/>
              </w:rPr>
            </w:pPr>
          </w:p>
        </w:tc>
        <w:tc>
          <w:tcPr>
            <w:tcW w:w="78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than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88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$’000</w:t>
            </w:r>
          </w:p>
        </w:tc>
        <w:tc>
          <w:tcPr>
            <w:tcW w:w="126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$’000</w:t>
            </w:r>
          </w:p>
        </w:tc>
        <w:tc>
          <w:tcPr>
            <w:tcW w:w="108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$’000</w:t>
            </w:r>
          </w:p>
        </w:tc>
        <w:tc>
          <w:tcPr>
            <w:tcW w:w="114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$’000</w:t>
            </w:r>
          </w:p>
        </w:tc>
        <w:tc>
          <w:tcPr>
            <w:tcW w:w="112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$’000</w:t>
            </w:r>
          </w:p>
        </w:tc>
        <w:tc>
          <w:tcPr>
            <w:tcW w:w="116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$’000</w:t>
            </w:r>
          </w:p>
        </w:tc>
        <w:tc>
          <w:tcPr>
            <w:tcW w:w="78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5 years</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1880" w:type="dxa"/>
            <w:vAlign w:val="bottom"/>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1080" w:type="dxa"/>
            <w:vAlign w:val="bottom"/>
            <w:vMerge w:val="continue"/>
          </w:tcPr>
          <w:p>
            <w:pPr>
              <w:spacing w:after="0"/>
              <w:rPr>
                <w:sz w:val="16"/>
                <w:szCs w:val="16"/>
                <w:color w:val="auto"/>
              </w:rPr>
            </w:pPr>
          </w:p>
        </w:tc>
        <w:tc>
          <w:tcPr>
            <w:tcW w:w="1140" w:type="dxa"/>
            <w:vAlign w:val="bottom"/>
            <w:vMerge w:val="continue"/>
          </w:tcPr>
          <w:p>
            <w:pPr>
              <w:spacing w:after="0"/>
              <w:rPr>
                <w:sz w:val="16"/>
                <w:szCs w:val="16"/>
                <w:color w:val="auto"/>
              </w:rPr>
            </w:pPr>
          </w:p>
        </w:tc>
        <w:tc>
          <w:tcPr>
            <w:tcW w:w="1120" w:type="dxa"/>
            <w:vAlign w:val="bottom"/>
            <w:vMerge w:val="continue"/>
          </w:tcPr>
          <w:p>
            <w:pPr>
              <w:spacing w:after="0"/>
              <w:rPr>
                <w:sz w:val="16"/>
                <w:szCs w:val="16"/>
                <w:color w:val="auto"/>
              </w:rPr>
            </w:pPr>
          </w:p>
        </w:tc>
        <w:tc>
          <w:tcPr>
            <w:tcW w:w="1160" w:type="dxa"/>
            <w:vAlign w:val="bottom"/>
            <w:vMerge w:val="continue"/>
          </w:tcPr>
          <w:p>
            <w:pPr>
              <w:spacing w:after="0"/>
              <w:rPr>
                <w:sz w:val="16"/>
                <w:szCs w:val="16"/>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$’000</w:t>
            </w:r>
          </w:p>
        </w:tc>
        <w:tc>
          <w:tcPr>
            <w:tcW w:w="0" w:type="dxa"/>
            <w:vAlign w:val="bottom"/>
          </w:tcPr>
          <w:p>
            <w:pPr>
              <w:spacing w:after="0"/>
              <w:rPr>
                <w:sz w:val="1"/>
                <w:szCs w:val="1"/>
                <w:color w:val="auto"/>
              </w:rPr>
            </w:pPr>
          </w:p>
        </w:tc>
      </w:tr>
      <w:tr>
        <w:trPr>
          <w:trHeight w:val="132"/>
        </w:trPr>
        <w:tc>
          <w:tcPr>
            <w:tcW w:w="20" w:type="dxa"/>
            <w:vAlign w:val="bottom"/>
            <w:vMerge w:val="restart"/>
          </w:tcPr>
          <w:p>
            <w:pPr>
              <w:spacing w:after="0"/>
              <w:rPr>
                <w:sz w:val="11"/>
                <w:szCs w:val="11"/>
                <w:color w:val="auto"/>
              </w:rPr>
            </w:pPr>
          </w:p>
        </w:tc>
        <w:tc>
          <w:tcPr>
            <w:tcW w:w="276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7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1880" w:type="dxa"/>
            <w:vAlign w:val="bottom"/>
            <w:shd w:val="clear" w:color="auto" w:fill="CCEEFF"/>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(91)</w:t>
            </w:r>
          </w:p>
        </w:tc>
        <w:tc>
          <w:tcPr>
            <w:tcW w:w="1260" w:type="dxa"/>
            <w:vAlign w:val="bottom"/>
            <w:shd w:val="clear" w:color="auto" w:fill="CCEEFF"/>
          </w:tcPr>
          <w:p>
            <w:pPr>
              <w:jc w:val="right"/>
              <w:ind w:right="268"/>
              <w:spacing w:after="0" w:line="149" w:lineRule="exact"/>
              <w:rPr>
                <w:sz w:val="20"/>
                <w:szCs w:val="20"/>
                <w:color w:val="auto"/>
              </w:rPr>
            </w:pPr>
            <w:r>
              <w:rPr>
                <w:rFonts w:ascii="Times New Roman" w:cs="Times New Roman" w:eastAsia="Times New Roman" w:hAnsi="Times New Roman"/>
                <w:sz w:val="14"/>
                <w:szCs w:val="14"/>
                <w:color w:val="auto"/>
              </w:rPr>
              <w:t>(91)</w:t>
            </w:r>
          </w:p>
        </w:tc>
        <w:tc>
          <w:tcPr>
            <w:tcW w:w="1080" w:type="dxa"/>
            <w:vAlign w:val="bottom"/>
            <w:shd w:val="clear" w:color="auto" w:fill="CCEEFF"/>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(91)</w:t>
            </w:r>
          </w:p>
        </w:tc>
        <w:tc>
          <w:tcPr>
            <w:tcW w:w="1140" w:type="dxa"/>
            <w:vAlign w:val="bottom"/>
            <w:shd w:val="clear" w:color="auto" w:fill="CCEEFF"/>
          </w:tcPr>
          <w:p>
            <w:pPr>
              <w:jc w:val="right"/>
              <w:ind w:right="2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ind w:right="2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ind w:right="2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760" w:type="dxa"/>
            <w:vAlign w:val="bottom"/>
            <w:tcBorders>
              <w:bottom w:val="single" w:sz="8" w:color="auto"/>
            </w:tcBorders>
          </w:tcPr>
          <w:p>
            <w:pPr>
              <w:spacing w:after="0" w:line="149" w:lineRule="exact"/>
              <w:rPr>
                <w:sz w:val="20"/>
                <w:szCs w:val="20"/>
                <w:color w:val="auto"/>
              </w:rPr>
            </w:pPr>
            <w:r>
              <w:rPr>
                <w:rFonts w:ascii="Times New Roman" w:cs="Times New Roman" w:eastAsia="Times New Roman" w:hAnsi="Times New Roman"/>
                <w:sz w:val="14"/>
                <w:szCs w:val="14"/>
                <w:color w:val="auto"/>
              </w:rPr>
              <w:t>Accruals and other liabilities</w:t>
            </w:r>
          </w:p>
        </w:tc>
        <w:tc>
          <w:tcPr>
            <w:tcW w:w="1880" w:type="dxa"/>
            <w:vAlign w:val="bottom"/>
            <w:tcBorders>
              <w:bottom w:val="single" w:sz="8" w:color="auto"/>
            </w:tcBorders>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(13,643)</w:t>
            </w:r>
          </w:p>
        </w:tc>
        <w:tc>
          <w:tcPr>
            <w:tcW w:w="1260" w:type="dxa"/>
            <w:vAlign w:val="bottom"/>
            <w:tcBorders>
              <w:bottom w:val="single" w:sz="8" w:color="auto"/>
            </w:tcBorders>
          </w:tcPr>
          <w:p>
            <w:pPr>
              <w:jc w:val="right"/>
              <w:ind w:right="268"/>
              <w:spacing w:after="0" w:line="149" w:lineRule="exact"/>
              <w:rPr>
                <w:sz w:val="20"/>
                <w:szCs w:val="20"/>
                <w:color w:val="auto"/>
              </w:rPr>
            </w:pPr>
            <w:r>
              <w:rPr>
                <w:rFonts w:ascii="Times New Roman" w:cs="Times New Roman" w:eastAsia="Times New Roman" w:hAnsi="Times New Roman"/>
                <w:sz w:val="14"/>
                <w:szCs w:val="14"/>
                <w:color w:val="auto"/>
              </w:rPr>
              <w:t>(13,643)</w:t>
            </w:r>
          </w:p>
        </w:tc>
        <w:tc>
          <w:tcPr>
            <w:tcW w:w="1080" w:type="dxa"/>
            <w:vAlign w:val="bottom"/>
            <w:tcBorders>
              <w:bottom w:val="single" w:sz="8" w:color="auto"/>
            </w:tcBorders>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(13,643)</w:t>
            </w:r>
          </w:p>
        </w:tc>
        <w:tc>
          <w:tcPr>
            <w:tcW w:w="1140" w:type="dxa"/>
            <w:vAlign w:val="bottom"/>
            <w:tcBorders>
              <w:bottom w:val="single" w:sz="8" w:color="auto"/>
            </w:tcBorders>
          </w:tcPr>
          <w:p>
            <w:pPr>
              <w:jc w:val="right"/>
              <w:ind w:right="2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tcPr>
          <w:p>
            <w:pPr>
              <w:jc w:val="right"/>
              <w:ind w:right="2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tcPr>
          <w:p>
            <w:pPr>
              <w:jc w:val="right"/>
              <w:ind w:right="2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shd w:val="clear" w:color="auto" w:fill="CCEEFF"/>
          </w:tcPr>
          <w:p>
            <w:pPr>
              <w:spacing w:after="0"/>
              <w:rPr>
                <w:sz w:val="12"/>
                <w:szCs w:val="12"/>
                <w:color w:val="auto"/>
              </w:rPr>
            </w:pPr>
          </w:p>
        </w:tc>
        <w:tc>
          <w:tcPr>
            <w:tcW w:w="188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760" w:type="dxa"/>
            <w:vAlign w:val="bottom"/>
            <w:tcBorders>
              <w:bottom w:val="single" w:sz="8" w:color="auto"/>
            </w:tcBorders>
          </w:tcPr>
          <w:p>
            <w:pPr>
              <w:spacing w:after="0"/>
              <w:rPr>
                <w:sz w:val="13"/>
                <w:szCs w:val="13"/>
                <w:color w:val="auto"/>
              </w:rPr>
            </w:pPr>
          </w:p>
        </w:tc>
        <w:tc>
          <w:tcPr>
            <w:tcW w:w="1880" w:type="dxa"/>
            <w:vAlign w:val="bottom"/>
            <w:tcBorders>
              <w:bottom w:val="single" w:sz="8" w:color="auto"/>
            </w:tcBorders>
          </w:tcPr>
          <w:p>
            <w:pPr>
              <w:jc w:val="right"/>
              <w:ind w:right="108"/>
              <w:spacing w:after="0" w:line="149" w:lineRule="exact"/>
              <w:rPr>
                <w:sz w:val="20"/>
                <w:szCs w:val="20"/>
                <w:color w:val="auto"/>
              </w:rPr>
            </w:pPr>
            <w:r>
              <w:rPr>
                <w:rFonts w:ascii="Times New Roman" w:cs="Times New Roman" w:eastAsia="Times New Roman" w:hAnsi="Times New Roman"/>
                <w:sz w:val="14"/>
                <w:szCs w:val="14"/>
                <w:b w:val="1"/>
                <w:bCs w:val="1"/>
                <w:color w:val="auto"/>
              </w:rPr>
              <w:t>(13,734)</w:t>
            </w:r>
          </w:p>
        </w:tc>
        <w:tc>
          <w:tcPr>
            <w:tcW w:w="1260" w:type="dxa"/>
            <w:vAlign w:val="bottom"/>
            <w:tcBorders>
              <w:bottom w:val="single" w:sz="8" w:color="auto"/>
            </w:tcBorders>
          </w:tcPr>
          <w:p>
            <w:pPr>
              <w:jc w:val="right"/>
              <w:ind w:right="268"/>
              <w:spacing w:after="0" w:line="149" w:lineRule="exact"/>
              <w:rPr>
                <w:sz w:val="20"/>
                <w:szCs w:val="20"/>
                <w:color w:val="auto"/>
              </w:rPr>
            </w:pPr>
            <w:r>
              <w:rPr>
                <w:rFonts w:ascii="Times New Roman" w:cs="Times New Roman" w:eastAsia="Times New Roman" w:hAnsi="Times New Roman"/>
                <w:sz w:val="14"/>
                <w:szCs w:val="14"/>
                <w:b w:val="1"/>
                <w:bCs w:val="1"/>
                <w:color w:val="auto"/>
              </w:rPr>
              <w:t>(13,734)</w:t>
            </w:r>
          </w:p>
        </w:tc>
        <w:tc>
          <w:tcPr>
            <w:tcW w:w="1080" w:type="dxa"/>
            <w:vAlign w:val="bottom"/>
            <w:tcBorders>
              <w:bottom w:val="single" w:sz="8" w:color="auto"/>
            </w:tcBorders>
          </w:tcPr>
          <w:p>
            <w:pPr>
              <w:jc w:val="right"/>
              <w:ind w:right="188"/>
              <w:spacing w:after="0" w:line="149" w:lineRule="exact"/>
              <w:rPr>
                <w:sz w:val="20"/>
                <w:szCs w:val="20"/>
                <w:color w:val="auto"/>
              </w:rPr>
            </w:pPr>
            <w:r>
              <w:rPr>
                <w:rFonts w:ascii="Times New Roman" w:cs="Times New Roman" w:eastAsia="Times New Roman" w:hAnsi="Times New Roman"/>
                <w:sz w:val="14"/>
                <w:szCs w:val="14"/>
                <w:b w:val="1"/>
                <w:bCs w:val="1"/>
                <w:color w:val="auto"/>
              </w:rPr>
              <w:t>(13,734)</w:t>
            </w:r>
          </w:p>
        </w:tc>
        <w:tc>
          <w:tcPr>
            <w:tcW w:w="1140" w:type="dxa"/>
            <w:vAlign w:val="bottom"/>
            <w:tcBorders>
              <w:bottom w:val="single" w:sz="8" w:color="auto"/>
            </w:tcBorders>
          </w:tcPr>
          <w:p>
            <w:pPr>
              <w:jc w:val="right"/>
              <w:ind w:right="208"/>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tcBorders>
              <w:bottom w:val="single" w:sz="8" w:color="auto"/>
            </w:tcBorders>
          </w:tcPr>
          <w:p>
            <w:pPr>
              <w:jc w:val="right"/>
              <w:ind w:right="208"/>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tcBorders>
              <w:bottom w:val="single" w:sz="8" w:color="auto"/>
            </w:tcBorders>
          </w:tcPr>
          <w:p>
            <w:pPr>
              <w:jc w:val="right"/>
              <w:ind w:right="248"/>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risk</w:t>
      </w:r>
    </w:p>
    <w:p>
      <w:pPr>
        <w:spacing w:after="0" w:line="31" w:lineRule="exact"/>
        <w:rPr>
          <w:sz w:val="20"/>
          <w:szCs w:val="20"/>
          <w:color w:val="auto"/>
        </w:rPr>
      </w:pPr>
    </w:p>
    <w:p>
      <w:pPr>
        <w:jc w:val="both"/>
        <w:ind w:left="340"/>
        <w:spacing w:after="0" w:line="255" w:lineRule="auto"/>
        <w:rPr>
          <w:sz w:val="20"/>
          <w:szCs w:val="20"/>
          <w:color w:val="auto"/>
        </w:rPr>
      </w:pPr>
      <w:r>
        <w:rPr>
          <w:rFonts w:ascii="Times New Roman" w:cs="Times New Roman" w:eastAsia="Times New Roman" w:hAnsi="Times New Roman"/>
          <w:sz w:val="18"/>
          <w:szCs w:val="18"/>
          <w:color w:val="auto"/>
        </w:rPr>
        <w:t>While the functional currency of the Company is USD, the functional currency of the branches is the Euro. As a consequence, the results, when translated into U.S. dollars, could be affected by fluctuations in exchange rates against the U.S. dollar. At 31 December 2015 the Company had $nil US dollar denominated bank loans (2014: $nil).</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29"/>
          <w:szCs w:val="29"/>
          <w:color w:val="auto"/>
        </w:rPr>
        <w:t>ICON Plc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Notes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Forming part of the financial statements</w:t>
      </w:r>
    </w:p>
    <w:p>
      <w:pPr>
        <w:spacing w:after="0" w:line="200" w:lineRule="exact"/>
        <w:rPr>
          <w:sz w:val="20"/>
          <w:szCs w:val="20"/>
          <w:color w:val="auto"/>
        </w:rPr>
      </w:pPr>
    </w:p>
    <w:p>
      <w:pPr>
        <w:spacing w:after="0" w:line="217" w:lineRule="exact"/>
        <w:rPr>
          <w:sz w:val="20"/>
          <w:szCs w:val="20"/>
          <w:color w:val="auto"/>
        </w:rPr>
      </w:pPr>
    </w:p>
    <w:p>
      <w:pPr>
        <w:ind w:left="340" w:hanging="332"/>
        <w:spacing w:after="0"/>
        <w:tabs>
          <w:tab w:leader="none" w:pos="34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Financial instruments </w:t>
      </w:r>
      <w:r>
        <w:rPr>
          <w:rFonts w:ascii="Times New Roman" w:cs="Times New Roman" w:eastAsia="Times New Roman" w:hAnsi="Times New Roman"/>
          <w:sz w:val="18"/>
          <w:szCs w:val="18"/>
          <w:i w:val="1"/>
          <w:iCs w:val="1"/>
          <w:color w:val="auto"/>
        </w:rPr>
        <w:t>(continued)</w:t>
      </w:r>
    </w:p>
    <w:p>
      <w:pPr>
        <w:spacing w:after="0" w:line="252"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Interest rate risk</w:t>
      </w:r>
    </w:p>
    <w:p>
      <w:pPr>
        <w:spacing w:after="0" w:line="31" w:lineRule="exact"/>
        <w:rPr>
          <w:rFonts w:ascii="Times New Roman" w:cs="Times New Roman" w:eastAsia="Times New Roman" w:hAnsi="Times New Roman"/>
          <w:sz w:val="18"/>
          <w:szCs w:val="18"/>
          <w:b w:val="1"/>
          <w:bCs w:val="1"/>
          <w:color w:val="auto"/>
        </w:rPr>
      </w:pPr>
    </w:p>
    <w:p>
      <w:pPr>
        <w:jc w:val="both"/>
        <w:ind w:left="34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finances its operations through a mixture of shareholders’ funds, borrowings and working capital. The Company determines the level of borrowings at fixed rates of interest having regard to current market rates and future trends. At 31 December 2015, the Company did not have any borrowings drawn down.</w:t>
      </w:r>
    </w:p>
    <w:p>
      <w:pPr>
        <w:spacing w:after="0" w:line="209"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Fair Values</w:t>
      </w:r>
    </w:p>
    <w:p>
      <w:pPr>
        <w:spacing w:after="0" w:line="256" w:lineRule="exact"/>
        <w:rPr>
          <w:rFonts w:ascii="Times New Roman" w:cs="Times New Roman" w:eastAsia="Times New Roman" w:hAnsi="Times New Roman"/>
          <w:sz w:val="18"/>
          <w:szCs w:val="18"/>
          <w:b w:val="1"/>
          <w:bCs w:val="1"/>
          <w:color w:val="auto"/>
        </w:rPr>
      </w:pPr>
    </w:p>
    <w:p>
      <w:pPr>
        <w:jc w:val="both"/>
        <w:ind w:left="3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Financial instruments are measured in the statement of financial position at fair value using a fair value hierarchy of valuation inputs. The hierarchy prioritises the inputs into three levels based on the extent to which inputs used in measuring fair value are observable in the market. Each fair value measurement is reported in one of three levels, which is determined by the lowest level input that is significant to the fair value measurement in its entirety. These levels are:</w:t>
      </w:r>
    </w:p>
    <w:p>
      <w:pPr>
        <w:spacing w:after="0" w:line="200" w:lineRule="exact"/>
        <w:rPr>
          <w:sz w:val="20"/>
          <w:szCs w:val="20"/>
          <w:color w:val="auto"/>
        </w:rPr>
      </w:pPr>
    </w:p>
    <w:p>
      <w:pPr>
        <w:spacing w:after="0" w:line="223" w:lineRule="exact"/>
        <w:rPr>
          <w:sz w:val="20"/>
          <w:szCs w:val="20"/>
          <w:color w:val="auto"/>
        </w:rPr>
      </w:pPr>
    </w:p>
    <w:p>
      <w:pPr>
        <w:ind w:left="580"/>
        <w:spacing w:after="0"/>
        <w:tabs>
          <w:tab w:leader="none" w:pos="2200" w:val="left"/>
        </w:tabs>
        <w:rPr>
          <w:sz w:val="20"/>
          <w:szCs w:val="20"/>
          <w:color w:val="auto"/>
        </w:rPr>
      </w:pPr>
      <w:r>
        <w:rPr>
          <w:rFonts w:ascii="Times New Roman" w:cs="Times New Roman" w:eastAsia="Times New Roman" w:hAnsi="Times New Roman"/>
          <w:sz w:val="18"/>
          <w:szCs w:val="18"/>
          <w:color w:val="auto"/>
        </w:rPr>
        <w:t>Level 1:</w:t>
      </w:r>
      <w:r>
        <w:rPr>
          <w:sz w:val="20"/>
          <w:szCs w:val="20"/>
          <w:color w:val="auto"/>
        </w:rPr>
        <w:tab/>
      </w:r>
      <w:r>
        <w:rPr>
          <w:rFonts w:ascii="Times New Roman" w:cs="Times New Roman" w:eastAsia="Times New Roman" w:hAnsi="Times New Roman"/>
          <w:sz w:val="18"/>
          <w:szCs w:val="18"/>
          <w:color w:val="auto"/>
        </w:rPr>
        <w:t>Inputs are based upon unadjusted quoted prices for identical instruments traded in active markets.</w:t>
      </w:r>
    </w:p>
    <w:p>
      <w:pPr>
        <w:spacing w:after="0" w:line="225" w:lineRule="exact"/>
        <w:rPr>
          <w:sz w:val="20"/>
          <w:szCs w:val="20"/>
          <w:color w:val="auto"/>
        </w:rPr>
      </w:pPr>
    </w:p>
    <w:p>
      <w:pPr>
        <w:jc w:val="both"/>
        <w:ind w:left="2220" w:right="60" w:hanging="1633"/>
        <w:spacing w:after="0" w:line="289" w:lineRule="auto"/>
        <w:tabs>
          <w:tab w:leader="none" w:pos="2200" w:val="left"/>
        </w:tabs>
        <w:rPr>
          <w:sz w:val="20"/>
          <w:szCs w:val="20"/>
          <w:color w:val="auto"/>
        </w:rPr>
      </w:pPr>
      <w:r>
        <w:rPr>
          <w:rFonts w:ascii="Times New Roman" w:cs="Times New Roman" w:eastAsia="Times New Roman" w:hAnsi="Times New Roman"/>
          <w:sz w:val="18"/>
          <w:szCs w:val="18"/>
          <w:color w:val="auto"/>
        </w:rPr>
        <w:t>Level 2:</w:t>
      </w:r>
      <w:r>
        <w:rPr>
          <w:sz w:val="20"/>
          <w:szCs w:val="20"/>
          <w:color w:val="auto"/>
        </w:rPr>
        <w:tab/>
      </w:r>
      <w:r>
        <w:rPr>
          <w:rFonts w:ascii="Times New Roman" w:cs="Times New Roman" w:eastAsia="Times New Roman" w:hAnsi="Times New Roman"/>
          <w:sz w:val="17"/>
          <w:szCs w:val="17"/>
          <w:color w:val="auto"/>
        </w:rPr>
        <w:t>Inputs are based upon quoted prices for similar instruments in active markets, quoted prices for identical or similar instruments in markets that are not active and model-based valuation techniques for which all significant assumptions are observable in the market or can be corroborated by observable market data for substantially the full term of the assets or liabilities.</w:t>
      </w:r>
    </w:p>
    <w:p>
      <w:pPr>
        <w:spacing w:after="0" w:line="158" w:lineRule="exact"/>
        <w:rPr>
          <w:sz w:val="20"/>
          <w:szCs w:val="20"/>
          <w:color w:val="auto"/>
        </w:rPr>
      </w:pPr>
    </w:p>
    <w:p>
      <w:pPr>
        <w:ind w:left="2220" w:right="100" w:hanging="1633"/>
        <w:spacing w:after="0" w:line="282" w:lineRule="auto"/>
        <w:tabs>
          <w:tab w:leader="none" w:pos="2200" w:val="left"/>
        </w:tabs>
        <w:rPr>
          <w:sz w:val="20"/>
          <w:szCs w:val="20"/>
          <w:color w:val="auto"/>
        </w:rPr>
      </w:pPr>
      <w:r>
        <w:rPr>
          <w:rFonts w:ascii="Times New Roman" w:cs="Times New Roman" w:eastAsia="Times New Roman" w:hAnsi="Times New Roman"/>
          <w:sz w:val="18"/>
          <w:szCs w:val="18"/>
          <w:color w:val="auto"/>
        </w:rPr>
        <w:t>Level 3:</w:t>
      </w:r>
      <w:r>
        <w:rPr>
          <w:sz w:val="20"/>
          <w:szCs w:val="20"/>
          <w:color w:val="auto"/>
        </w:rPr>
        <w:tab/>
      </w:r>
      <w:r>
        <w:rPr>
          <w:rFonts w:ascii="Times New Roman" w:cs="Times New Roman" w:eastAsia="Times New Roman" w:hAnsi="Times New Roman"/>
          <w:sz w:val="18"/>
          <w:szCs w:val="18"/>
          <w:color w:val="auto"/>
        </w:rPr>
        <w:t>Inputs are generally unobservable and typically reflect management’s estimates of assumptions that market participants would use in pricing the asset or liability.</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22. Group relationships and controlling parties</w:t>
      </w:r>
    </w:p>
    <w:p>
      <w:pPr>
        <w:spacing w:after="0" w:line="256"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The Company is a public limited company incorporated in the Republic of Ireland. The Company’s ordinary shares are traded on the NASDAQ market. The Company prepares consolidated financial statements for itself and its subsidiary undertakings. These consolidated financial statements may be obtained from the Company’s website www.iconplc.com.</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23. Subsequent events</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There have been no material events since the balance sheet date requiring disclosure in these financial statements.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24. Approval of financial statements</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financial statements were approved on 13 December 2016.</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31</w:t>
      </w:r>
    </w:p>
    <w:sectPr>
      <w:pgSz w:w="11900" w:h="16838" w:orient="portrait"/>
      <w:cols w:equalWidth="0" w:num="1">
        <w:col w:w="11420"/>
      </w:cols>
      <w:pgMar w:left="240" w:top="10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1."/>
      <w:numFmt w:val="decimal"/>
      <w:start w:val="1"/>
    </w:lvl>
  </w:abstractNum>
  <w:abstractNum w:abstractNumId="2">
    <w:nsid w:val="5BD062C2"/>
    <w:multiLevelType w:val="hybridMultilevel"/>
    <w:lvl w:ilvl="0">
      <w:lvlJc w:val="left"/>
      <w:lvlText w:val="%1."/>
      <w:numFmt w:val="decimal"/>
      <w:start w:val="1"/>
    </w:lvl>
  </w:abstractNum>
  <w:abstractNum w:abstractNumId="3">
    <w:nsid w:val="12200854"/>
    <w:multiLevelType w:val="hybridMultilevel"/>
    <w:lvl w:ilvl="0">
      <w:lvlJc w:val="left"/>
      <w:lvlText w:val="%1."/>
      <w:numFmt w:val="decimal"/>
      <w:start w:val="1"/>
    </w:lvl>
  </w:abstractNum>
  <w:abstractNum w:abstractNumId="4">
    <w:nsid w:val="4DB127F8"/>
    <w:multiLevelType w:val="hybridMultilevel"/>
    <w:lvl w:ilvl="0">
      <w:lvlJc w:val="left"/>
      <w:lvlText w:val="%1."/>
      <w:numFmt w:val="decimal"/>
      <w:start w:val="1"/>
    </w:lvl>
  </w:abstractNum>
  <w:abstractNum w:abstractNumId="5">
    <w:nsid w:val="216231B"/>
    <w:multiLevelType w:val="hybridMultilevel"/>
    <w:lvl w:ilvl="0">
      <w:lvlJc w:val="left"/>
      <w:lvlText w:val="%1."/>
      <w:numFmt w:val="decimal"/>
      <w:start w:val="1"/>
    </w:lvl>
  </w:abstractNum>
  <w:abstractNum w:abstractNumId="6">
    <w:nsid w:val="1F16E9E8"/>
    <w:multiLevelType w:val="hybridMultilevel"/>
    <w:lvl w:ilvl="0">
      <w:lvlJc w:val="left"/>
      <w:lvlText w:val="%1."/>
      <w:numFmt w:val="decimal"/>
      <w:start w:val="9"/>
    </w:lvl>
  </w:abstractNum>
  <w:abstractNum w:abstractNumId="7">
    <w:nsid w:val="1190CDE7"/>
    <w:multiLevelType w:val="hybridMultilevel"/>
    <w:lvl w:ilvl="0">
      <w:lvlJc w:val="left"/>
      <w:lvlText w:val="%1."/>
      <w:numFmt w:val="decimal"/>
      <w:start w:val="10"/>
    </w:lvl>
  </w:abstractNum>
  <w:abstractNum w:abstractNumId="8">
    <w:nsid w:val="66EF438D"/>
    <w:multiLevelType w:val="hybridMultilevel"/>
    <w:lvl w:ilvl="0">
      <w:lvlJc w:val="left"/>
      <w:lvlText w:val="(%1)"/>
      <w:numFmt w:val="decimal"/>
      <w:start w:val="1"/>
    </w:lvl>
  </w:abstractNum>
  <w:abstractNum w:abstractNumId="9">
    <w:nsid w:val="140E0F76"/>
    <w:multiLevelType w:val="hybridMultilevel"/>
    <w:lvl w:ilvl="0">
      <w:lvlJc w:val="left"/>
      <w:lvlText w:val="%1."/>
      <w:numFmt w:val="decimal"/>
      <w:start w:val="16"/>
    </w:lvl>
  </w:abstractNum>
  <w:abstractNum w:abstractNumId="10">
    <w:nsid w:val="3352255A"/>
    <w:multiLevelType w:val="hybridMultilevel"/>
    <w:lvl w:ilvl="0">
      <w:lvlJc w:val="left"/>
      <w:lvlText w:val="(%1)"/>
      <w:numFmt w:val="lowerLetter"/>
      <w:start w:val="1"/>
    </w:lvl>
    <w:lvl w:ilvl="1">
      <w:lvlJc w:val="left"/>
      <w:lvlText w:val="(%2)"/>
      <w:numFmt w:val="lowerLetter"/>
      <w:start w:val="2"/>
    </w:lvl>
  </w:abstractNum>
  <w:abstractNum w:abstractNumId="11">
    <w:nsid w:val="109CF92E"/>
    <w:multiLevelType w:val="hybridMultilevel"/>
    <w:lvl w:ilvl="0">
      <w:lvlJc w:val="left"/>
      <w:lvlText w:val="%1."/>
      <w:numFmt w:val="decimal"/>
      <w:start w:val="19"/>
    </w:lvl>
  </w:abstractNum>
  <w:abstractNum w:abstractNumId="12">
    <w:nsid w:val="DED7263"/>
    <w:multiLevelType w:val="hybridMultilevel"/>
    <w:lvl w:ilvl="0">
      <w:lvlJc w:val="left"/>
      <w:lvlText w:val="%1."/>
      <w:numFmt w:val="decimal"/>
      <w:start w:val="20"/>
    </w:lvl>
  </w:abstractNum>
  <w:abstractNum w:abstractNumId="13">
    <w:nsid w:val="7FDCC233"/>
    <w:multiLevelType w:val="hybridMultilevel"/>
    <w:lvl w:ilvl="0">
      <w:lvlJc w:val="left"/>
      <w:lvlText w:val="%1."/>
      <w:numFmt w:val="decimal"/>
      <w:start w:val="21"/>
    </w:lvl>
  </w:abstractNum>
  <w:abstractNum w:abstractNumId="14">
    <w:nsid w:val="1BEFD79F"/>
    <w:multiLevelType w:val="hybridMultilevel"/>
    <w:lvl w:ilvl="0">
      <w:lvlJc w:val="left"/>
      <w:lvlText w:val="%1."/>
      <w:numFmt w:val="decimal"/>
      <w:start w:val="2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2019-12-06T22:43:50Z</dcterms:created>
  <dcterms:modified xsi:type="dcterms:W3CDTF">2019-12-06T22:43:50Z</dcterms:modified>
</cp:coreProperties>
</file>