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3"/>
          <w:szCs w:val="13"/>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WASHINGTON, D.C. 20549</w:t>
      </w:r>
    </w:p>
    <w:p>
      <w:pPr>
        <w:ind w:left="3060"/>
        <w:spacing w:after="0"/>
        <w:rPr>
          <w:sz w:val="20"/>
          <w:szCs w:val="20"/>
          <w:color w:val="auto"/>
        </w:rPr>
      </w:pPr>
      <w:r>
        <w:rPr>
          <w:rFonts w:ascii="Arial" w:cs="Arial" w:eastAsia="Arial" w:hAnsi="Arial"/>
          <w:sz w:val="13"/>
          <w:szCs w:val="13"/>
          <w:u w:val="single" w:color="auto"/>
          <w:color w:val="auto"/>
        </w:rPr>
        <w:t>______________________________________________________________________</w:t>
      </w:r>
    </w:p>
    <w:p>
      <w:pPr>
        <w:spacing w:after="0" w:line="11" w:lineRule="exact"/>
        <w:rPr>
          <w:sz w:val="24"/>
          <w:szCs w:val="24"/>
          <w:color w:val="auto"/>
        </w:rPr>
      </w:pPr>
    </w:p>
    <w:p>
      <w:pPr>
        <w:ind w:left="5280"/>
        <w:spacing w:after="0"/>
        <w:rPr>
          <w:sz w:val="20"/>
          <w:szCs w:val="20"/>
          <w:color w:val="auto"/>
        </w:rPr>
      </w:pPr>
      <w:r>
        <w:rPr>
          <w:rFonts w:ascii="Arial" w:cs="Arial" w:eastAsia="Arial" w:hAnsi="Arial"/>
          <w:sz w:val="13"/>
          <w:szCs w:val="13"/>
          <w:b w:val="1"/>
          <w:bCs w:val="1"/>
          <w:color w:val="auto"/>
        </w:rPr>
        <w:t>FORM 20-F</w:t>
      </w:r>
    </w:p>
    <w:p>
      <w:pPr>
        <w:spacing w:after="0" w:line="11" w:lineRule="exact"/>
        <w:rPr>
          <w:sz w:val="24"/>
          <w:szCs w:val="24"/>
          <w:color w:val="auto"/>
        </w:rPr>
      </w:pPr>
    </w:p>
    <w:p>
      <w:pPr>
        <w:ind w:left="5280"/>
        <w:spacing w:after="0"/>
        <w:rPr>
          <w:sz w:val="20"/>
          <w:szCs w:val="20"/>
          <w:color w:val="auto"/>
        </w:rPr>
      </w:pPr>
      <w:r>
        <w:rPr>
          <w:rFonts w:ascii="Arial" w:cs="Arial" w:eastAsia="Arial" w:hAnsi="Arial"/>
          <w:sz w:val="13"/>
          <w:szCs w:val="13"/>
          <w:b w:val="1"/>
          <w:bCs w:val="1"/>
          <w:color w:val="auto"/>
        </w:rPr>
        <w:t>(Mark One)</w:t>
      </w:r>
    </w:p>
    <w:p>
      <w:pPr>
        <w:spacing w:after="0" w:line="11" w:lineRule="exact"/>
        <w:rPr>
          <w:sz w:val="24"/>
          <w:szCs w:val="24"/>
          <w:color w:val="auto"/>
        </w:rPr>
      </w:pPr>
    </w:p>
    <w:p>
      <w:pPr>
        <w:ind w:left="2780" w:hanging="175"/>
        <w:spacing w:after="0"/>
        <w:tabs>
          <w:tab w:leader="none" w:pos="2780" w:val="left"/>
        </w:tabs>
        <w:numPr>
          <w:ilvl w:val="0"/>
          <w:numId w:val="1"/>
        </w:numPr>
        <w:rPr>
          <w:rFonts w:ascii="MS PGothic" w:cs="MS PGothic" w:eastAsia="MS PGothic" w:hAnsi="MS PGothic"/>
          <w:sz w:val="15"/>
          <w:szCs w:val="15"/>
          <w:color w:val="auto"/>
        </w:rPr>
      </w:pPr>
      <w:r>
        <w:rPr>
          <w:rFonts w:ascii="Arial" w:cs="Arial" w:eastAsia="Arial" w:hAnsi="Arial"/>
          <w:sz w:val="13"/>
          <w:szCs w:val="13"/>
          <w:b w:val="1"/>
          <w:bCs w:val="1"/>
          <w:color w:val="auto"/>
        </w:rPr>
        <w:t>Registration statement pursuant to Section 12(b) or (g) of the Securities Exchange Act of 1934</w:t>
      </w:r>
    </w:p>
    <w:p>
      <w:pPr>
        <w:spacing w:after="0" w:line="15"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OR</w:t>
      </w:r>
    </w:p>
    <w:p>
      <w:pPr>
        <w:spacing w:after="0" w:line="17" w:lineRule="exact"/>
        <w:rPr>
          <w:rFonts w:ascii="MS PGothic" w:cs="MS PGothic" w:eastAsia="MS PGothic" w:hAnsi="MS PGothic"/>
          <w:sz w:val="15"/>
          <w:szCs w:val="15"/>
          <w:color w:val="auto"/>
        </w:rPr>
      </w:pPr>
    </w:p>
    <w:p>
      <w:pPr>
        <w:ind w:left="3060" w:hanging="182"/>
        <w:spacing w:after="0"/>
        <w:tabs>
          <w:tab w:leader="none" w:pos="3060" w:val="left"/>
        </w:tabs>
        <w:numPr>
          <w:ilvl w:val="1"/>
          <w:numId w:val="1"/>
        </w:numPr>
        <w:rPr>
          <w:rFonts w:ascii="MS PGothic" w:cs="MS PGothic" w:eastAsia="MS PGothic" w:hAnsi="MS PGothic"/>
          <w:sz w:val="15"/>
          <w:szCs w:val="15"/>
          <w:color w:val="auto"/>
        </w:rPr>
      </w:pPr>
      <w:r>
        <w:rPr>
          <w:rFonts w:ascii="Arial" w:cs="Arial" w:eastAsia="Arial" w:hAnsi="Arial"/>
          <w:sz w:val="13"/>
          <w:szCs w:val="13"/>
          <w:b w:val="1"/>
          <w:bCs w:val="1"/>
          <w:color w:val="auto"/>
        </w:rPr>
        <w:t>Annual report pursuant to Section 13 or 15 (d) of the Securities Exchange Act of 1934</w:t>
      </w:r>
    </w:p>
    <w:p>
      <w:pPr>
        <w:spacing w:after="0" w:line="330" w:lineRule="exact"/>
        <w:rPr>
          <w:sz w:val="24"/>
          <w:szCs w:val="24"/>
          <w:color w:val="auto"/>
        </w:rPr>
      </w:pPr>
    </w:p>
    <w:p>
      <w:pPr>
        <w:ind w:left="2980" w:hanging="175"/>
        <w:spacing w:after="0"/>
        <w:tabs>
          <w:tab w:leader="none" w:pos="2980" w:val="left"/>
        </w:tabs>
        <w:numPr>
          <w:ilvl w:val="1"/>
          <w:numId w:val="2"/>
        </w:numPr>
        <w:rPr>
          <w:rFonts w:ascii="MS PGothic" w:cs="MS PGothic" w:eastAsia="MS PGothic" w:hAnsi="MS PGothic"/>
          <w:sz w:val="15"/>
          <w:szCs w:val="15"/>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5"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OR</w:t>
      </w:r>
    </w:p>
    <w:p>
      <w:pPr>
        <w:spacing w:after="0" w:line="17" w:lineRule="exact"/>
        <w:rPr>
          <w:rFonts w:ascii="MS PGothic" w:cs="MS PGothic" w:eastAsia="MS PGothic" w:hAnsi="MS PGothic"/>
          <w:sz w:val="15"/>
          <w:szCs w:val="15"/>
          <w:color w:val="auto"/>
        </w:rPr>
      </w:pPr>
    </w:p>
    <w:p>
      <w:pPr>
        <w:ind w:left="2820" w:hanging="175"/>
        <w:spacing w:after="0"/>
        <w:tabs>
          <w:tab w:leader="none" w:pos="2820" w:val="left"/>
        </w:tabs>
        <w:numPr>
          <w:ilvl w:val="0"/>
          <w:numId w:val="2"/>
        </w:numPr>
        <w:rPr>
          <w:rFonts w:ascii="MS PGothic" w:cs="MS PGothic" w:eastAsia="MS PGothic" w:hAnsi="MS PGothic"/>
          <w:sz w:val="15"/>
          <w:szCs w:val="15"/>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21" w:lineRule="exact"/>
        <w:rPr>
          <w:rFonts w:ascii="MS PGothic" w:cs="MS PGothic" w:eastAsia="MS PGothic" w:hAnsi="MS PGothic"/>
          <w:sz w:val="15"/>
          <w:szCs w:val="15"/>
          <w:color w:val="auto"/>
        </w:rPr>
      </w:pPr>
    </w:p>
    <w:p>
      <w:pPr>
        <w:ind w:left="4280"/>
        <w:spacing w:after="0"/>
        <w:rPr>
          <w:rFonts w:ascii="MS PGothic" w:cs="MS PGothic" w:eastAsia="MS PGothic" w:hAnsi="MS PGothic"/>
          <w:sz w:val="15"/>
          <w:szCs w:val="15"/>
          <w:color w:val="auto"/>
        </w:rPr>
      </w:pPr>
      <w:r>
        <w:rPr>
          <w:rFonts w:ascii="Arial" w:cs="Arial" w:eastAsia="Arial" w:hAnsi="Arial"/>
          <w:sz w:val="13"/>
          <w:szCs w:val="13"/>
          <w:b w:val="1"/>
          <w:bCs w:val="1"/>
          <w:u w:val="single" w:color="auto"/>
          <w:color w:val="auto"/>
        </w:rPr>
        <w:t>_____________________________________</w:t>
      </w:r>
    </w:p>
    <w:p>
      <w:pPr>
        <w:spacing w:after="0" w:line="23" w:lineRule="exact"/>
        <w:rPr>
          <w:rFonts w:ascii="MS PGothic" w:cs="MS PGothic" w:eastAsia="MS PGothic" w:hAnsi="MS PGothic"/>
          <w:sz w:val="15"/>
          <w:szCs w:val="15"/>
          <w:color w:val="auto"/>
        </w:rPr>
      </w:pPr>
    </w:p>
    <w:p>
      <w:pPr>
        <w:ind w:left="448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Commission File Number: 333-08704</w:t>
      </w:r>
    </w:p>
    <w:p>
      <w:pPr>
        <w:spacing w:after="0" w:line="159" w:lineRule="exact"/>
        <w:rPr>
          <w:sz w:val="24"/>
          <w:szCs w:val="24"/>
          <w:color w:val="auto"/>
        </w:rPr>
      </w:pPr>
    </w:p>
    <w:p>
      <w:pPr>
        <w:ind w:left="4560"/>
        <w:spacing w:after="0"/>
        <w:rPr>
          <w:sz w:val="20"/>
          <w:szCs w:val="20"/>
          <w:color w:val="auto"/>
        </w:rPr>
      </w:pPr>
      <w:r>
        <w:rPr>
          <w:rFonts w:ascii="Arial" w:cs="Arial" w:eastAsia="Arial" w:hAnsi="Arial"/>
          <w:sz w:val="13"/>
          <w:szCs w:val="13"/>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2143125</wp:posOffset>
            </wp:positionH>
            <wp:positionV relativeFrom="paragraph">
              <wp:posOffset>43180</wp:posOffset>
            </wp:positionV>
            <wp:extent cx="28486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77" w:lineRule="exact"/>
        <w:rPr>
          <w:sz w:val="24"/>
          <w:szCs w:val="24"/>
          <w:color w:val="auto"/>
        </w:rPr>
      </w:pPr>
    </w:p>
    <w:p>
      <w:pPr>
        <w:ind w:left="4060"/>
        <w:spacing w:after="0"/>
        <w:rPr>
          <w:sz w:val="20"/>
          <w:szCs w:val="20"/>
          <w:color w:val="auto"/>
        </w:rPr>
      </w:pPr>
      <w:r>
        <w:rPr>
          <w:rFonts w:ascii="Arial" w:cs="Arial" w:eastAsia="Arial" w:hAnsi="Arial"/>
          <w:sz w:val="13"/>
          <w:szCs w:val="13"/>
          <w:color w:val="auto"/>
        </w:rPr>
        <w:t>(Exact name of Registrant as Specified in its Charter)</w:t>
      </w:r>
    </w:p>
    <w:p>
      <w:pPr>
        <w:spacing w:after="0" w:line="35" w:lineRule="exact"/>
        <w:rPr>
          <w:sz w:val="24"/>
          <w:szCs w:val="24"/>
          <w:color w:val="auto"/>
        </w:rPr>
      </w:pPr>
    </w:p>
    <w:p>
      <w:pPr>
        <w:ind w:left="5300"/>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2143125</wp:posOffset>
            </wp:positionH>
            <wp:positionV relativeFrom="paragraph">
              <wp:posOffset>43180</wp:posOffset>
            </wp:positionV>
            <wp:extent cx="28486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77"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(Translation of Registrant’s name into English)</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2143125</wp:posOffset>
            </wp:positionH>
            <wp:positionV relativeFrom="paragraph">
              <wp:posOffset>43180</wp:posOffset>
            </wp:positionV>
            <wp:extent cx="28486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(Jurisdiction of Incorporation or Organization)</w:t>
      </w:r>
    </w:p>
    <w:p>
      <w:pPr>
        <w:spacing w:after="0" w:line="109"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South County Business Park, Leopardstown, Dublin 18, D18 X5R3,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2143125</wp:posOffset>
            </wp:positionH>
            <wp:positionV relativeFrom="paragraph">
              <wp:posOffset>50800</wp:posOffset>
            </wp:positionV>
            <wp:extent cx="28486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(Address of principal executive offices)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Nigel Clerkin, Chief Financial Officer</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South County Business Park, Leopardstown, Dublin 18, D18 X5R3, Ireland.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Nigel.Clerkin@iconplc.com | +353-1-291-2000</w:t>
      </w:r>
    </w:p>
    <w:p>
      <w:pPr>
        <w:ind w:left="4280"/>
        <w:spacing w:after="0"/>
        <w:rPr>
          <w:sz w:val="20"/>
          <w:szCs w:val="20"/>
          <w:color w:val="auto"/>
        </w:rPr>
      </w:pPr>
      <w:r>
        <w:rPr>
          <w:rFonts w:ascii="Arial" w:cs="Arial" w:eastAsia="Arial" w:hAnsi="Arial"/>
          <w:sz w:val="13"/>
          <w:szCs w:val="13"/>
          <w:b w:val="1"/>
          <w:bCs w:val="1"/>
          <w:u w:val="single" w:color="auto"/>
          <w:color w:val="auto"/>
        </w:rPr>
        <w:t>_____________________________________</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(Name, telephone number, email and/or facsimile number and address of Company contact person)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Securities registered or to be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Title of each class</w:t>
            </w:r>
          </w:p>
        </w:tc>
        <w:tc>
          <w:tcPr>
            <w:tcW w:w="2280" w:type="dxa"/>
            <w:vAlign w:val="bottom"/>
          </w:tcPr>
          <w:p>
            <w:pPr>
              <w:spacing w:after="0"/>
              <w:rPr>
                <w:sz w:val="12"/>
                <w:szCs w:val="12"/>
                <w:color w:val="auto"/>
              </w:rPr>
            </w:pPr>
          </w:p>
        </w:tc>
        <w:tc>
          <w:tcPr>
            <w:tcW w:w="2600" w:type="dxa"/>
            <w:vAlign w:val="bottom"/>
            <w:gridSpan w:val="2"/>
          </w:tcPr>
          <w:p>
            <w:pPr>
              <w:jc w:val="center"/>
              <w:ind w:right="1480"/>
              <w:spacing w:after="0"/>
              <w:rPr>
                <w:sz w:val="20"/>
                <w:szCs w:val="20"/>
                <w:color w:val="auto"/>
              </w:rPr>
            </w:pPr>
            <w:r>
              <w:rPr>
                <w:rFonts w:ascii="Arial" w:cs="Arial" w:eastAsia="Arial" w:hAnsi="Arial"/>
                <w:sz w:val="13"/>
                <w:szCs w:val="13"/>
                <w:color w:val="auto"/>
                <w:w w:val="99"/>
              </w:rPr>
              <w:t>Trading symbol(s)</w:t>
            </w:r>
          </w:p>
        </w:tc>
        <w:tc>
          <w:tcPr>
            <w:tcW w:w="2600" w:type="dxa"/>
            <w:vAlign w:val="bottom"/>
          </w:tcPr>
          <w:p>
            <w:pPr>
              <w:jc w:val="center"/>
              <w:spacing w:after="0"/>
              <w:rPr>
                <w:sz w:val="20"/>
                <w:szCs w:val="20"/>
                <w:color w:val="auto"/>
              </w:rPr>
            </w:pPr>
            <w:r>
              <w:rPr>
                <w:rFonts w:ascii="Arial" w:cs="Arial" w:eastAsia="Arial" w:hAnsi="Arial"/>
                <w:sz w:val="13"/>
                <w:szCs w:val="13"/>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01"/>
        </w:trPr>
        <w:tc>
          <w:tcPr>
            <w:tcW w:w="424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99"/>
              </w:rPr>
              <w:t>ORDINARY SHARES, PAR VALUE €0.06 EACH</w:t>
            </w:r>
          </w:p>
        </w:tc>
        <w:tc>
          <w:tcPr>
            <w:tcW w:w="260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w w:val="98"/>
              </w:rPr>
              <w:t>ICLR</w:t>
            </w: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Securities registered or to be registered pursuant to section 12(g) of the Act:</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NONE</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Securities for which there is a reporting obligation pursuant to Section 15(d) of the Act:</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NONE</w:t>
      </w:r>
    </w:p>
    <w:p>
      <w:pPr>
        <w:spacing w:after="0" w:line="123" w:lineRule="exact"/>
        <w:rPr>
          <w:sz w:val="24"/>
          <w:szCs w:val="24"/>
          <w:color w:val="auto"/>
        </w:rPr>
      </w:pPr>
    </w:p>
    <w:p>
      <w:pPr>
        <w:ind w:right="300"/>
        <w:spacing w:after="0" w:line="159" w:lineRule="exact"/>
        <w:rPr>
          <w:sz w:val="20"/>
          <w:szCs w:val="20"/>
          <w:color w:val="auto"/>
        </w:rPr>
      </w:pPr>
      <w:r>
        <w:rPr>
          <w:rFonts w:ascii="Arial" w:cs="Arial" w:eastAsia="Arial" w:hAnsi="Arial"/>
          <w:sz w:val="13"/>
          <w:szCs w:val="13"/>
          <w:color w:val="auto"/>
        </w:rPr>
        <w:t xml:space="preserve">Indicate the number of outstanding shares of each of the issuer’s classes of capital or common stock as of the close of the period covered by the annual report: 80,756,860 Ordinary Shares. Indicate by check mark if the registrant is a well-known seasoned issuer, as determined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56"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 accelerated filer or an emerging growth company.</w:t>
      </w:r>
    </w:p>
    <w:p>
      <w:pPr>
        <w:ind w:right="2740"/>
        <w:spacing w:after="0" w:line="162"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162" w:lineRule="exact"/>
        <w:rPr>
          <w:sz w:val="24"/>
          <w:szCs w:val="24"/>
          <w:color w:val="auto"/>
        </w:rPr>
      </w:pPr>
    </w:p>
    <w:p>
      <w:pPr>
        <w:ind w:right="60"/>
        <w:spacing w:after="0" w:line="246"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820"/>
        <w:spacing w:after="0" w:line="15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ind w:right="3520"/>
        <w:spacing w:after="0" w:line="155"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which basis of accounting the registrant has used to prepare the financial statements included in this filing:</w:t>
      </w:r>
    </w:p>
    <w:p>
      <w:pPr>
        <w:spacing w:after="0" w:line="1" w:lineRule="exact"/>
        <w:rPr>
          <w:sz w:val="24"/>
          <w:szCs w:val="24"/>
          <w:color w:val="auto"/>
        </w:rPr>
      </w:pPr>
    </w:p>
    <w:p>
      <w:pPr>
        <w:ind w:left="2700" w:right="3200" w:hanging="2698"/>
        <w:spacing w:after="0" w:line="161" w:lineRule="exact"/>
        <w:tabs>
          <w:tab w:leader="none" w:pos="2680" w:val="left"/>
        </w:tabs>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International Financial Reporting Standards as issued Other </w:t>
      </w:r>
      <w:r>
        <w:rPr>
          <w:rFonts w:ascii="MS PGothic" w:cs="MS PGothic" w:eastAsia="MS PGothic" w:hAnsi="MS PGothic"/>
          <w:sz w:val="13"/>
          <w:szCs w:val="13"/>
          <w:color w:val="auto"/>
        </w:rPr>
        <w:t>☐</w:t>
      </w:r>
      <w:r>
        <w:rPr>
          <w:rFonts w:ascii="Arial" w:cs="Arial" w:eastAsia="Arial" w:hAnsi="Arial"/>
          <w:sz w:val="13"/>
          <w:szCs w:val="13"/>
          <w:color w:val="auto"/>
        </w:rPr>
        <w:t xml:space="preserve"> by the International Accounting Standards Board </w:t>
      </w:r>
      <w:r>
        <w:rPr>
          <w:rFonts w:ascii="MS PGothic" w:cs="MS PGothic" w:eastAsia="MS PGothic" w:hAnsi="MS PGothic"/>
          <w:sz w:val="13"/>
          <w:szCs w:val="13"/>
          <w:color w:val="auto"/>
        </w:rPr>
        <w:t>☐</w:t>
      </w:r>
    </w:p>
    <w:p>
      <w:pPr>
        <w:ind w:right="960"/>
        <w:spacing w:after="0" w:line="163"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w:t>
      </w:r>
      <w:r>
        <w:rPr>
          <w:rFonts w:ascii="MS PGothic" w:cs="MS PGothic" w:eastAsia="MS PGothic" w:hAnsi="MS PGothic"/>
          <w:sz w:val="13"/>
          <w:szCs w:val="13"/>
          <w:color w:val="auto"/>
        </w:rPr>
        <w:t>☐</w:t>
      </w:r>
      <w:r>
        <w:rPr>
          <w:rFonts w:ascii="Arial" w:cs="Arial" w:eastAsia="Arial" w:hAnsi="Arial"/>
          <w:sz w:val="13"/>
          <w:szCs w:val="13"/>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365760</wp:posOffset>
            </wp:positionV>
            <wp:extent cx="71697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20"/>
          </w:cols>
          <w:pgMar w:left="320" w:top="1192"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gridSpan w:val="4"/>
          </w:tcPr>
          <w:p>
            <w:pPr>
              <w:jc w:val="center"/>
              <w:ind w:right="2040"/>
              <w:spacing w:after="0"/>
              <w:rPr>
                <w:sz w:val="20"/>
                <w:szCs w:val="20"/>
                <w:color w:val="auto"/>
              </w:rPr>
            </w:pPr>
            <w:r>
              <w:rPr>
                <w:rFonts w:ascii="Arial" w:cs="Arial" w:eastAsia="Arial" w:hAnsi="Arial"/>
                <w:sz w:val="15"/>
                <w:szCs w:val="15"/>
                <w:b w:val="1"/>
                <w:bCs w:val="1"/>
                <w:color w:val="auto"/>
                <w:w w:val="97"/>
              </w:rPr>
              <w:t>TABLE OF CONTENTS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0" w:type="dxa"/>
            <w:vAlign w:val="bottom"/>
            <w:gridSpan w:val="6"/>
          </w:tcPr>
          <w:p>
            <w:pPr>
              <w:ind w:left="2220"/>
              <w:spacing w:after="0"/>
              <w:rPr>
                <w:sz w:val="20"/>
                <w:szCs w:val="20"/>
                <w:color w:val="auto"/>
              </w:rPr>
            </w:pPr>
            <w:r>
              <w:rPr>
                <w:rFonts w:ascii="Arial" w:cs="Arial" w:eastAsia="Arial" w:hAnsi="Arial"/>
                <w:sz w:val="15"/>
                <w:szCs w:val="15"/>
                <w:b w:val="1"/>
                <w:bCs w:val="1"/>
                <w:color w:val="auto"/>
              </w:rPr>
              <w:t>Page</w:t>
            </w:r>
          </w:p>
        </w:tc>
      </w:tr>
      <w:tr>
        <w:trPr>
          <w:trHeight w:val="374"/>
        </w:trPr>
        <w:tc>
          <w:tcPr>
            <w:tcW w:w="20" w:type="dxa"/>
            <w:vAlign w:val="bottom"/>
          </w:tcPr>
          <w:p>
            <w:pPr>
              <w:spacing w:after="0"/>
              <w:rPr>
                <w:sz w:val="24"/>
                <w:szCs w:val="24"/>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General Information</w:t>
            </w:r>
          </w:p>
        </w:tc>
        <w:tc>
          <w:tcPr>
            <w:tcW w:w="2220" w:type="dxa"/>
            <w:vAlign w:val="bottom"/>
          </w:tcPr>
          <w:p>
            <w:pPr>
              <w:spacing w:after="0"/>
              <w:rPr>
                <w:sz w:val="24"/>
                <w:szCs w:val="24"/>
                <w:color w:val="auto"/>
              </w:rPr>
            </w:pPr>
          </w:p>
        </w:tc>
        <w:tc>
          <w:tcPr>
            <w:tcW w:w="34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Cautionary Statement Regarding Forward-looking Statements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5"/>
                <w:szCs w:val="15"/>
                <w:color w:val="auto"/>
              </w:rPr>
            </w:pPr>
          </w:p>
        </w:tc>
      </w:tr>
      <w:tr>
        <w:trPr>
          <w:trHeight w:val="465"/>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Arial" w:cs="Arial" w:eastAsia="Arial" w:hAnsi="Arial"/>
                <w:sz w:val="15"/>
                <w:szCs w:val="15"/>
                <w:b w:val="1"/>
                <w:bCs w:val="1"/>
                <w:color w:val="auto"/>
                <w:w w:val="97"/>
              </w:rPr>
              <w:t>PART 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4080" w:type="dxa"/>
            <w:vAlign w:val="bottom"/>
            <w:tcBorders>
              <w:bottom w:val="single" w:sz="8" w:color="0000FF"/>
            </w:tcBorders>
            <w:gridSpan w:val="25"/>
          </w:tcPr>
          <w:p>
            <w:pPr>
              <w:spacing w:after="0"/>
              <w:rPr>
                <w:sz w:val="20"/>
                <w:szCs w:val="20"/>
                <w:color w:val="auto"/>
              </w:rPr>
            </w:pPr>
            <w:r>
              <w:rPr>
                <w:rFonts w:ascii="Arial" w:cs="Arial" w:eastAsia="Arial" w:hAnsi="Arial"/>
                <w:sz w:val="15"/>
                <w:szCs w:val="15"/>
                <w:color w:val="0000FF"/>
                <w:w w:val="98"/>
              </w:rPr>
              <w:t>Item 1. Identity of Directors, Senior Management and Advisors</w:t>
            </w:r>
          </w:p>
        </w:tc>
        <w:tc>
          <w:tcPr>
            <w:tcW w:w="4540" w:type="dxa"/>
            <w:vAlign w:val="bottom"/>
            <w:gridSpan w:val="6"/>
          </w:tcPr>
          <w:p>
            <w:pPr>
              <w:spacing w:after="0"/>
              <w:rPr>
                <w:sz w:val="24"/>
                <w:szCs w:val="24"/>
                <w:color w:val="auto"/>
              </w:rPr>
            </w:pPr>
          </w:p>
        </w:tc>
        <w:tc>
          <w:tcPr>
            <w:tcW w:w="2480" w:type="dxa"/>
            <w:vAlign w:val="bottom"/>
            <w:gridSpan w:val="4"/>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080" w:type="dxa"/>
            <w:vAlign w:val="bottom"/>
            <w:tcBorders>
              <w:bottom w:val="single" w:sz="8" w:color="0000FF"/>
            </w:tcBorders>
            <w:gridSpan w:val="17"/>
          </w:tcPr>
          <w:p>
            <w:pPr>
              <w:spacing w:after="0"/>
              <w:rPr>
                <w:sz w:val="20"/>
                <w:szCs w:val="20"/>
                <w:color w:val="auto"/>
              </w:rPr>
            </w:pPr>
            <w:r>
              <w:rPr>
                <w:rFonts w:ascii="Arial" w:cs="Arial" w:eastAsia="Arial" w:hAnsi="Arial"/>
                <w:sz w:val="15"/>
                <w:szCs w:val="15"/>
                <w:color w:val="0000FF"/>
                <w:w w:val="97"/>
              </w:rPr>
              <w:t>Item 2. Offer Statistics and Expected Timetable</w:t>
            </w:r>
          </w:p>
        </w:tc>
        <w:tc>
          <w:tcPr>
            <w:tcW w:w="5540" w:type="dxa"/>
            <w:vAlign w:val="bottom"/>
            <w:gridSpan w:val="14"/>
          </w:tcPr>
          <w:p>
            <w:pPr>
              <w:spacing w:after="0"/>
              <w:rPr>
                <w:sz w:val="15"/>
                <w:szCs w:val="15"/>
                <w:color w:val="auto"/>
              </w:rPr>
            </w:pPr>
          </w:p>
        </w:tc>
        <w:tc>
          <w:tcPr>
            <w:tcW w:w="2480" w:type="dxa"/>
            <w:vAlign w:val="bottom"/>
            <w:gridSpan w:val="4"/>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3. Key Information</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2</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w w:val="97"/>
              </w:rPr>
              <w:t>Item 4. Information on the Company</w:t>
            </w:r>
          </w:p>
        </w:tc>
        <w:tc>
          <w:tcPr>
            <w:tcW w:w="6260" w:type="dxa"/>
            <w:vAlign w:val="bottom"/>
            <w:gridSpan w:val="17"/>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24</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440" w:type="dxa"/>
            <w:vAlign w:val="bottom"/>
            <w:tcBorders>
              <w:bottom w:val="single" w:sz="8" w:color="0000FF"/>
            </w:tcBorders>
            <w:gridSpan w:val="15"/>
          </w:tcPr>
          <w:p>
            <w:pPr>
              <w:spacing w:after="0"/>
              <w:rPr>
                <w:sz w:val="20"/>
                <w:szCs w:val="20"/>
                <w:color w:val="auto"/>
              </w:rPr>
            </w:pPr>
            <w:r>
              <w:rPr>
                <w:rFonts w:ascii="Arial" w:cs="Arial" w:eastAsia="Arial" w:hAnsi="Arial"/>
                <w:sz w:val="15"/>
                <w:szCs w:val="15"/>
                <w:color w:val="0000FF"/>
                <w:w w:val="97"/>
              </w:rPr>
              <w:t>Item 4A. Unresolved Staff Comments</w:t>
            </w:r>
          </w:p>
        </w:tc>
        <w:tc>
          <w:tcPr>
            <w:tcW w:w="6180" w:type="dxa"/>
            <w:vAlign w:val="bottom"/>
            <w:gridSpan w:val="16"/>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57</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580" w:type="dxa"/>
            <w:vAlign w:val="bottom"/>
            <w:tcBorders>
              <w:bottom w:val="single" w:sz="8" w:color="0000FF"/>
            </w:tcBorders>
            <w:gridSpan w:val="20"/>
          </w:tcPr>
          <w:p>
            <w:pPr>
              <w:spacing w:after="0"/>
              <w:rPr>
                <w:sz w:val="20"/>
                <w:szCs w:val="20"/>
                <w:color w:val="auto"/>
              </w:rPr>
            </w:pPr>
            <w:r>
              <w:rPr>
                <w:rFonts w:ascii="Arial" w:cs="Arial" w:eastAsia="Arial" w:hAnsi="Arial"/>
                <w:sz w:val="15"/>
                <w:szCs w:val="15"/>
                <w:color w:val="0000FF"/>
                <w:w w:val="98"/>
              </w:rPr>
              <w:t>Item 5. Operating and Financial Review and Prospects</w:t>
            </w:r>
          </w:p>
        </w:tc>
        <w:tc>
          <w:tcPr>
            <w:tcW w:w="5040" w:type="dxa"/>
            <w:vAlign w:val="bottom"/>
            <w:gridSpan w:val="11"/>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58</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560" w:type="dxa"/>
            <w:vAlign w:val="bottom"/>
            <w:tcBorders>
              <w:bottom w:val="single" w:sz="8" w:color="0000FF"/>
            </w:tcBorders>
            <w:gridSpan w:val="19"/>
          </w:tcPr>
          <w:p>
            <w:pPr>
              <w:spacing w:after="0"/>
              <w:rPr>
                <w:sz w:val="20"/>
                <w:szCs w:val="20"/>
                <w:color w:val="auto"/>
              </w:rPr>
            </w:pPr>
            <w:r>
              <w:rPr>
                <w:rFonts w:ascii="Arial" w:cs="Arial" w:eastAsia="Arial" w:hAnsi="Arial"/>
                <w:sz w:val="15"/>
                <w:szCs w:val="15"/>
                <w:color w:val="0000FF"/>
                <w:w w:val="98"/>
              </w:rPr>
              <w:t>Item 6. Directors, Senior Management and Employees</w:t>
            </w:r>
          </w:p>
        </w:tc>
        <w:tc>
          <w:tcPr>
            <w:tcW w:w="5060" w:type="dxa"/>
            <w:vAlign w:val="bottom"/>
            <w:gridSpan w:val="12"/>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68</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7. Major Shareholders and Related Party Transactions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81</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880" w:type="dxa"/>
            <w:vAlign w:val="bottom"/>
            <w:tcBorders>
              <w:top w:val="single" w:sz="8" w:color="0000FF"/>
            </w:tcBorders>
            <w:gridSpan w:val="23"/>
          </w:tcPr>
          <w:p>
            <w:pPr>
              <w:spacing w:after="0"/>
              <w:rPr>
                <w:sz w:val="20"/>
                <w:szCs w:val="20"/>
                <w:color w:val="auto"/>
              </w:rPr>
            </w:pPr>
            <w:r>
              <w:rPr>
                <w:rFonts w:ascii="Arial" w:cs="Arial" w:eastAsia="Arial" w:hAnsi="Arial"/>
                <w:sz w:val="15"/>
                <w:szCs w:val="15"/>
                <w:color w:val="0000FF"/>
              </w:rPr>
              <w:t>Item 8. Financial Information</w:t>
            </w:r>
          </w:p>
        </w:tc>
        <w:tc>
          <w:tcPr>
            <w:tcW w:w="4740" w:type="dxa"/>
            <w:vAlign w:val="bottom"/>
            <w:gridSpan w:val="8"/>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82</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9. The Offer and Listing</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82</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10. Additional Information</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83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420" w:type="dxa"/>
            <w:vAlign w:val="bottom"/>
            <w:tcBorders>
              <w:bottom w:val="single" w:sz="8" w:color="0000FF"/>
            </w:tcBorders>
            <w:gridSpan w:val="26"/>
          </w:tcPr>
          <w:p>
            <w:pPr>
              <w:spacing w:after="0"/>
              <w:rPr>
                <w:sz w:val="20"/>
                <w:szCs w:val="20"/>
                <w:color w:val="auto"/>
              </w:rPr>
            </w:pPr>
            <w:r>
              <w:rPr>
                <w:rFonts w:ascii="Arial" w:cs="Arial" w:eastAsia="Arial" w:hAnsi="Arial"/>
                <w:sz w:val="15"/>
                <w:szCs w:val="15"/>
                <w:color w:val="0000FF"/>
                <w:w w:val="97"/>
              </w:rPr>
              <w:t>Item 11. Quantitative and Qualitative Disclosures about Market Risk</w:t>
            </w:r>
          </w:p>
        </w:tc>
        <w:tc>
          <w:tcPr>
            <w:tcW w:w="4200" w:type="dxa"/>
            <w:vAlign w:val="bottom"/>
            <w:gridSpan w:val="5"/>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91</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12. Description of Securities Other than Equity Securities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92</w:t>
            </w:r>
          </w:p>
        </w:tc>
        <w:tc>
          <w:tcPr>
            <w:tcW w:w="40" w:type="dxa"/>
            <w:vAlign w:val="bottom"/>
          </w:tcPr>
          <w:p>
            <w:pPr>
              <w:spacing w:after="0"/>
              <w:rPr>
                <w:sz w:val="15"/>
                <w:szCs w:val="15"/>
                <w:color w:val="auto"/>
              </w:rPr>
            </w:pPr>
          </w:p>
        </w:tc>
      </w:tr>
      <w:tr>
        <w:trPr>
          <w:trHeight w:val="465"/>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2"/>
          </w:tcPr>
          <w:p>
            <w:pPr>
              <w:ind w:left="80"/>
              <w:spacing w:after="0"/>
              <w:rPr>
                <w:sz w:val="20"/>
                <w:szCs w:val="20"/>
                <w:color w:val="auto"/>
              </w:rPr>
            </w:pPr>
            <w:r>
              <w:rPr>
                <w:rFonts w:ascii="Arial" w:cs="Arial" w:eastAsia="Arial" w:hAnsi="Arial"/>
                <w:sz w:val="15"/>
                <w:szCs w:val="15"/>
                <w:b w:val="1"/>
                <w:bCs w:val="1"/>
                <w:color w:val="auto"/>
              </w:rPr>
              <w:t>PART II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76"/>
        </w:trPr>
        <w:tc>
          <w:tcPr>
            <w:tcW w:w="20" w:type="dxa"/>
            <w:vAlign w:val="bottom"/>
          </w:tcPr>
          <w:p>
            <w:pPr>
              <w:spacing w:after="0"/>
              <w:rPr>
                <w:sz w:val="24"/>
                <w:szCs w:val="24"/>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13. Defaults, Dividend Arrearages and Delinquencies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14. Material Modifications to the Rights of Security Holders and Use of Proceeds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5"/>
                <w:szCs w:val="15"/>
                <w:color w:val="0000FF"/>
                <w:w w:val="98"/>
              </w:rPr>
              <w:t>Item 15. Controls and Procedures</w:t>
            </w:r>
          </w:p>
        </w:tc>
        <w:tc>
          <w:tcPr>
            <w:tcW w:w="3340" w:type="dxa"/>
            <w:vAlign w:val="bottom"/>
            <w:tcBorders>
              <w:top w:val="single" w:sz="8" w:color="0000FF"/>
            </w:tcBorders>
            <w:gridSpan w:val="18"/>
          </w:tcPr>
          <w:p>
            <w:pPr>
              <w:spacing w:after="0"/>
              <w:rPr>
                <w:sz w:val="15"/>
                <w:szCs w:val="15"/>
                <w:color w:val="auto"/>
              </w:rPr>
            </w:pPr>
          </w:p>
        </w:tc>
        <w:tc>
          <w:tcPr>
            <w:tcW w:w="3040" w:type="dxa"/>
            <w:vAlign w:val="bottom"/>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 Reserved</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16A. Audit Committee Financial Expert</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860" w:type="dxa"/>
            <w:vAlign w:val="bottom"/>
            <w:tcBorders>
              <w:top w:val="single" w:sz="8" w:color="0000FF"/>
            </w:tcBorders>
            <w:gridSpan w:val="16"/>
          </w:tcPr>
          <w:p>
            <w:pPr>
              <w:spacing w:after="0"/>
              <w:rPr>
                <w:sz w:val="20"/>
                <w:szCs w:val="20"/>
                <w:color w:val="auto"/>
              </w:rPr>
            </w:pPr>
            <w:r>
              <w:rPr>
                <w:rFonts w:ascii="Arial" w:cs="Arial" w:eastAsia="Arial" w:hAnsi="Arial"/>
                <w:sz w:val="15"/>
                <w:szCs w:val="15"/>
                <w:color w:val="0000FF"/>
              </w:rPr>
              <w:t>Item 16B. Code of Ethical Conduct</w:t>
            </w:r>
          </w:p>
        </w:tc>
        <w:tc>
          <w:tcPr>
            <w:tcW w:w="5760" w:type="dxa"/>
            <w:vAlign w:val="bottom"/>
            <w:gridSpan w:val="15"/>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300" w:type="dxa"/>
            <w:vAlign w:val="bottom"/>
            <w:tcBorders>
              <w:bottom w:val="single" w:sz="8" w:color="0000FF"/>
            </w:tcBorders>
            <w:gridSpan w:val="18"/>
          </w:tcPr>
          <w:p>
            <w:pPr>
              <w:spacing w:after="0"/>
              <w:rPr>
                <w:sz w:val="20"/>
                <w:szCs w:val="20"/>
                <w:color w:val="auto"/>
              </w:rPr>
            </w:pPr>
            <w:r>
              <w:rPr>
                <w:rFonts w:ascii="Arial" w:cs="Arial" w:eastAsia="Arial" w:hAnsi="Arial"/>
                <w:sz w:val="15"/>
                <w:szCs w:val="15"/>
                <w:color w:val="0000FF"/>
                <w:w w:val="98"/>
              </w:rPr>
              <w:t>Item 16C. Principal Accountant Fees and Services</w:t>
            </w:r>
          </w:p>
        </w:tc>
        <w:tc>
          <w:tcPr>
            <w:tcW w:w="5320" w:type="dxa"/>
            <w:vAlign w:val="bottom"/>
            <w:gridSpan w:val="13"/>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94</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40" w:type="dxa"/>
            <w:vAlign w:val="bottom"/>
            <w:tcBorders>
              <w:bottom w:val="single" w:sz="8" w:color="0000FF"/>
            </w:tcBorders>
            <w:gridSpan w:val="27"/>
          </w:tcPr>
          <w:p>
            <w:pPr>
              <w:spacing w:after="0"/>
              <w:rPr>
                <w:sz w:val="20"/>
                <w:szCs w:val="20"/>
                <w:color w:val="auto"/>
              </w:rPr>
            </w:pPr>
            <w:r>
              <w:rPr>
                <w:rFonts w:ascii="Arial" w:cs="Arial" w:eastAsia="Arial" w:hAnsi="Arial"/>
                <w:sz w:val="15"/>
                <w:szCs w:val="15"/>
                <w:color w:val="0000FF"/>
                <w:w w:val="98"/>
              </w:rPr>
              <w:t>Item 16D. Exemptions from the Listing Standards for Audit Committees</w:t>
            </w:r>
          </w:p>
        </w:tc>
        <w:tc>
          <w:tcPr>
            <w:tcW w:w="3980" w:type="dxa"/>
            <w:vAlign w:val="bottom"/>
            <w:gridSpan w:val="4"/>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94</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16E. Purchases of Equity Securities by the Issuer and Affiliated Purchasers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95</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5"/>
                <w:szCs w:val="15"/>
                <w:color w:val="0000FF"/>
                <w:w w:val="97"/>
              </w:rPr>
              <w:t>Item 16F. Changes in Registrant’s Certifying Accountant</w:t>
            </w:r>
          </w:p>
        </w:tc>
        <w:tc>
          <w:tcPr>
            <w:tcW w:w="1580" w:type="dxa"/>
            <w:vAlign w:val="bottom"/>
            <w:tcBorders>
              <w:top w:val="single" w:sz="8" w:color="0000FF"/>
            </w:tcBorders>
            <w:gridSpan w:val="8"/>
          </w:tcPr>
          <w:p>
            <w:pPr>
              <w:spacing w:after="0"/>
              <w:rPr>
                <w:sz w:val="15"/>
                <w:szCs w:val="15"/>
                <w:color w:val="auto"/>
              </w:rPr>
            </w:pPr>
          </w:p>
        </w:tc>
        <w:tc>
          <w:tcPr>
            <w:tcW w:w="3380" w:type="dxa"/>
            <w:vAlign w:val="bottom"/>
            <w:gridSpan w:val="2"/>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95</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220" w:type="dxa"/>
            <w:vAlign w:val="bottom"/>
            <w:tcBorders>
              <w:bottom w:val="single" w:sz="8" w:color="0000FF"/>
            </w:tcBorders>
            <w:gridSpan w:val="11"/>
          </w:tcPr>
          <w:p>
            <w:pPr>
              <w:spacing w:after="0"/>
              <w:rPr>
                <w:sz w:val="20"/>
                <w:szCs w:val="20"/>
                <w:color w:val="auto"/>
              </w:rPr>
            </w:pPr>
            <w:r>
              <w:rPr>
                <w:rFonts w:ascii="Arial" w:cs="Arial" w:eastAsia="Arial" w:hAnsi="Arial"/>
                <w:sz w:val="15"/>
                <w:szCs w:val="15"/>
                <w:color w:val="0000FF"/>
                <w:w w:val="98"/>
              </w:rPr>
              <w:t>Item 16G. Corporate Governance</w:t>
            </w:r>
          </w:p>
        </w:tc>
        <w:tc>
          <w:tcPr>
            <w:tcW w:w="6400" w:type="dxa"/>
            <w:vAlign w:val="bottom"/>
            <w:gridSpan w:val="20"/>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96</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200" w:type="dxa"/>
            <w:vAlign w:val="bottom"/>
            <w:tcBorders>
              <w:bottom w:val="single" w:sz="8" w:color="0000FF"/>
            </w:tcBorders>
            <w:gridSpan w:val="10"/>
          </w:tcPr>
          <w:p>
            <w:pPr>
              <w:spacing w:after="0"/>
              <w:rPr>
                <w:sz w:val="20"/>
                <w:szCs w:val="20"/>
                <w:color w:val="auto"/>
              </w:rPr>
            </w:pPr>
            <w:r>
              <w:rPr>
                <w:rFonts w:ascii="Arial" w:cs="Arial" w:eastAsia="Arial" w:hAnsi="Arial"/>
                <w:sz w:val="15"/>
                <w:szCs w:val="15"/>
                <w:color w:val="0000FF"/>
                <w:w w:val="97"/>
              </w:rPr>
              <w:t>Item 16H. Mine Safety Disclosure</w:t>
            </w:r>
          </w:p>
        </w:tc>
        <w:tc>
          <w:tcPr>
            <w:tcW w:w="6420" w:type="dxa"/>
            <w:vAlign w:val="bottom"/>
            <w:gridSpan w:val="21"/>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96</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16I. Disclosure Regarding Foreign Jurisdictions that Prevent Inspections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96</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5"/>
                <w:szCs w:val="15"/>
                <w:color w:val="0000FF"/>
                <w:w w:val="97"/>
              </w:rPr>
              <w:t>Item 16J. Insider Trading Policies</w:t>
            </w:r>
          </w:p>
        </w:tc>
        <w:tc>
          <w:tcPr>
            <w:tcW w:w="2860" w:type="dxa"/>
            <w:vAlign w:val="bottom"/>
            <w:tcBorders>
              <w:top w:val="single" w:sz="8" w:color="0000FF"/>
            </w:tcBorders>
            <w:gridSpan w:val="19"/>
          </w:tcPr>
          <w:p>
            <w:pPr>
              <w:spacing w:after="0"/>
              <w:rPr>
                <w:sz w:val="15"/>
                <w:szCs w:val="15"/>
                <w:color w:val="auto"/>
              </w:rPr>
            </w:pPr>
          </w:p>
        </w:tc>
        <w:tc>
          <w:tcPr>
            <w:tcW w:w="3580" w:type="dxa"/>
            <w:vAlign w:val="bottom"/>
            <w:gridSpan w:val="3"/>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96</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16K. Cybersecurity</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97</w:t>
            </w:r>
          </w:p>
        </w:tc>
        <w:tc>
          <w:tcPr>
            <w:tcW w:w="40" w:type="dxa"/>
            <w:vAlign w:val="bottom"/>
          </w:tcPr>
          <w:p>
            <w:pPr>
              <w:spacing w:after="0"/>
              <w:rPr>
                <w:sz w:val="15"/>
                <w:szCs w:val="15"/>
                <w:color w:val="auto"/>
              </w:rPr>
            </w:pPr>
          </w:p>
        </w:tc>
      </w:tr>
      <w:tr>
        <w:trPr>
          <w:trHeight w:val="465"/>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Arial" w:cs="Arial" w:eastAsia="Arial" w:hAnsi="Arial"/>
                <w:sz w:val="15"/>
                <w:szCs w:val="15"/>
                <w:b w:val="1"/>
                <w:bCs w:val="1"/>
                <w:color w:val="auto"/>
                <w:w w:val="97"/>
              </w:rPr>
              <w:t>PART III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5"/>
                <w:szCs w:val="15"/>
                <w:color w:val="0000FF"/>
                <w:w w:val="98"/>
              </w:rPr>
              <w:t>Item 17. Financial Statements</w:t>
            </w:r>
          </w:p>
        </w:tc>
        <w:tc>
          <w:tcPr>
            <w:tcW w:w="6620" w:type="dxa"/>
            <w:vAlign w:val="bottom"/>
            <w:gridSpan w:val="23"/>
          </w:tcPr>
          <w:p>
            <w:pPr>
              <w:spacing w:after="0"/>
              <w:rPr>
                <w:sz w:val="24"/>
                <w:szCs w:val="24"/>
                <w:color w:val="auto"/>
              </w:rPr>
            </w:pPr>
          </w:p>
        </w:tc>
        <w:tc>
          <w:tcPr>
            <w:tcW w:w="2400" w:type="dxa"/>
            <w:vAlign w:val="bottom"/>
            <w:gridSpan w:val="3"/>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97</w:t>
            </w:r>
          </w:p>
        </w:tc>
        <w:tc>
          <w:tcPr>
            <w:tcW w:w="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5"/>
                <w:szCs w:val="15"/>
                <w:color w:val="0000FF"/>
                <w:w w:val="98"/>
              </w:rPr>
              <w:t>Item 18. Financial Statements</w:t>
            </w:r>
          </w:p>
        </w:tc>
        <w:tc>
          <w:tcPr>
            <w:tcW w:w="6620" w:type="dxa"/>
            <w:vAlign w:val="bottom"/>
            <w:gridSpan w:val="23"/>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97</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19. Exhibits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140</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80" w:type="dxa"/>
            <w:vAlign w:val="bottom"/>
            <w:tcBorders>
              <w:top w:val="single" w:sz="8" w:color="0000FF"/>
            </w:tcBorders>
            <w:gridSpan w:val="2"/>
          </w:tcPr>
          <w:p>
            <w:pPr>
              <w:spacing w:after="0"/>
              <w:rPr>
                <w:sz w:val="20"/>
                <w:szCs w:val="20"/>
                <w:color w:val="auto"/>
              </w:rPr>
            </w:pPr>
            <w:r>
              <w:rPr>
                <w:rFonts w:ascii="Arial" w:cs="Arial" w:eastAsia="Arial" w:hAnsi="Arial"/>
                <w:sz w:val="15"/>
                <w:szCs w:val="15"/>
                <w:color w:val="0000FF"/>
              </w:rPr>
              <w:t>Signatures</w:t>
            </w:r>
          </w:p>
        </w:tc>
        <w:tc>
          <w:tcPr>
            <w:tcW w:w="7540" w:type="dxa"/>
            <w:vAlign w:val="bottom"/>
            <w:gridSpan w:val="29"/>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top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141</w:t>
            </w:r>
          </w:p>
        </w:tc>
        <w:tc>
          <w:tcPr>
            <w:tcW w:w="40" w:type="dxa"/>
            <w:vAlign w:val="bottom"/>
          </w:tcPr>
          <w:p>
            <w:pPr>
              <w:spacing w:after="0"/>
              <w:rPr>
                <w:sz w:val="15"/>
                <w:szCs w:val="15"/>
                <w:color w:val="auto"/>
              </w:rPr>
            </w:pPr>
          </w:p>
        </w:tc>
      </w:tr>
      <w:tr>
        <w:trPr>
          <w:trHeight w:val="897"/>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General Information</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68"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this Form 20-F, references to "U.S. dollars", "U.S.$" or "$" are to the lawful currency of the United States, references to “euro” or “€” are to the European single currency adopted by twenty members of the European Union, references to "pound sterling", "sterling", "£", "pence" or "p" are to the lawful currency of the United Kingdom. ICON publishes its consolidated financial statements in U.S. dollars.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234"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“Risk Factors” included on pages 3 through 23. The Company has no obligation under the PSLRA to update any forward looking statements and does not intend to do so.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2"/>
        </w:trPr>
        <w:tc>
          <w:tcPr>
            <w:tcW w:w="7600" w:type="dxa"/>
            <w:vAlign w:val="bottom"/>
          </w:tcPr>
          <w:p>
            <w:pPr>
              <w:spacing w:after="0"/>
              <w:rPr>
                <w:sz w:val="20"/>
                <w:szCs w:val="20"/>
                <w:color w:val="auto"/>
              </w:rPr>
            </w:pPr>
            <w:r>
              <w:rPr>
                <w:rFonts w:ascii="Arial" w:cs="Arial" w:eastAsia="Arial" w:hAnsi="Arial"/>
                <w:sz w:val="15"/>
                <w:szCs w:val="15"/>
                <w:b w:val="1"/>
                <w:bCs w:val="1"/>
                <w:color w:val="auto"/>
              </w:rPr>
              <w:t>Part I</w:t>
            </w: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94"/>
        </w:trPr>
        <w:tc>
          <w:tcPr>
            <w:tcW w:w="7600" w:type="dxa"/>
            <w:vAlign w:val="bottom"/>
          </w:tcPr>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Identity of Directors, Senior Management and Advisers.</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7600" w:type="dxa"/>
            <w:vAlign w:val="bottom"/>
          </w:tcPr>
          <w:p>
            <w:pPr>
              <w:ind w:left="160"/>
              <w:spacing w:after="0"/>
              <w:rPr>
                <w:sz w:val="20"/>
                <w:szCs w:val="20"/>
                <w:color w:val="auto"/>
              </w:rPr>
            </w:pPr>
            <w:r>
              <w:rPr>
                <w:rFonts w:ascii="Arial" w:cs="Arial" w:eastAsia="Arial" w:hAnsi="Arial"/>
                <w:sz w:val="15"/>
                <w:szCs w:val="15"/>
                <w:color w:val="auto"/>
              </w:rPr>
              <w:t>Not applicable.</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2"/>
        </w:trPr>
        <w:tc>
          <w:tcPr>
            <w:tcW w:w="7600" w:type="dxa"/>
            <w:vAlign w:val="bottom"/>
          </w:tcPr>
          <w:p>
            <w:pPr>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Offer Statistics and Expected Timetable.</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7600" w:type="dxa"/>
            <w:vAlign w:val="bottom"/>
          </w:tcPr>
          <w:p>
            <w:pPr>
              <w:ind w:left="160"/>
              <w:spacing w:after="0"/>
              <w:rPr>
                <w:sz w:val="20"/>
                <w:szCs w:val="20"/>
                <w:color w:val="auto"/>
              </w:rPr>
            </w:pPr>
            <w:r>
              <w:rPr>
                <w:rFonts w:ascii="Arial" w:cs="Arial" w:eastAsia="Arial" w:hAnsi="Arial"/>
                <w:sz w:val="15"/>
                <w:szCs w:val="15"/>
                <w:color w:val="auto"/>
              </w:rPr>
              <w:t>Not applicable.</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2"/>
        </w:trPr>
        <w:tc>
          <w:tcPr>
            <w:tcW w:w="7600" w:type="dxa"/>
            <w:vAlign w:val="bottom"/>
          </w:tcPr>
          <w:p>
            <w:pPr>
              <w:spacing w:after="0"/>
              <w:rPr>
                <w:sz w:val="20"/>
                <w:szCs w:val="20"/>
                <w:color w:val="auto"/>
              </w:rPr>
            </w:pPr>
            <w:r>
              <w:rPr>
                <w:rFonts w:ascii="Arial" w:cs="Arial" w:eastAsia="Arial" w:hAnsi="Arial"/>
                <w:sz w:val="15"/>
                <w:szCs w:val="15"/>
                <w:b w:val="1"/>
                <w:bCs w:val="1"/>
                <w:color w:val="auto"/>
              </w:rPr>
              <w:t>Item 3</w:t>
            </w:r>
            <w:r>
              <w:rPr>
                <w:rFonts w:ascii="Arial" w:cs="Arial" w:eastAsia="Arial" w:hAnsi="Arial"/>
                <w:sz w:val="15"/>
                <w:szCs w:val="15"/>
                <w:b w:val="1"/>
                <w:bCs w:val="1"/>
                <w:i w:val="1"/>
                <w:iCs w:val="1"/>
                <w:color w:val="auto"/>
              </w:rPr>
              <w:t>. Key Information.</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4"/>
        </w:trPr>
        <w:tc>
          <w:tcPr>
            <w:tcW w:w="7600" w:type="dxa"/>
            <w:vAlign w:val="bottom"/>
          </w:tcPr>
          <w:p>
            <w:pPr>
              <w:ind w:left="300"/>
              <w:spacing w:after="0"/>
              <w:rPr>
                <w:sz w:val="20"/>
                <w:szCs w:val="20"/>
                <w:color w:val="auto"/>
              </w:rPr>
            </w:pPr>
            <w:r>
              <w:rPr>
                <w:rFonts w:ascii="Arial" w:cs="Arial" w:eastAsia="Arial" w:hAnsi="Arial"/>
                <w:sz w:val="15"/>
                <w:szCs w:val="15"/>
                <w:b w:val="1"/>
                <w:bCs w:val="1"/>
                <w:color w:val="auto"/>
              </w:rPr>
              <w:t>A.  [Reserved]</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7"/>
        </w:trPr>
        <w:tc>
          <w:tcPr>
            <w:tcW w:w="7600" w:type="dxa"/>
            <w:vAlign w:val="bottom"/>
          </w:tcPr>
          <w:p>
            <w:pPr>
              <w:ind w:left="300"/>
              <w:spacing w:after="0"/>
              <w:rPr>
                <w:sz w:val="20"/>
                <w:szCs w:val="20"/>
                <w:color w:val="auto"/>
              </w:rPr>
            </w:pPr>
            <w:r>
              <w:rPr>
                <w:rFonts w:ascii="Arial" w:cs="Arial" w:eastAsia="Arial" w:hAnsi="Arial"/>
                <w:sz w:val="15"/>
                <w:szCs w:val="15"/>
                <w:b w:val="1"/>
                <w:bCs w:val="1"/>
                <w:color w:val="auto"/>
              </w:rPr>
              <w:t>B. Capitalization and indebtedness</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9"/>
        </w:trPr>
        <w:tc>
          <w:tcPr>
            <w:tcW w:w="7600" w:type="dxa"/>
            <w:vAlign w:val="bottom"/>
          </w:tcPr>
          <w:p>
            <w:pPr>
              <w:ind w:left="600"/>
              <w:spacing w:after="0"/>
              <w:rPr>
                <w:sz w:val="20"/>
                <w:szCs w:val="20"/>
                <w:color w:val="auto"/>
              </w:rPr>
            </w:pPr>
            <w:r>
              <w:rPr>
                <w:rFonts w:ascii="Arial" w:cs="Arial" w:eastAsia="Arial" w:hAnsi="Arial"/>
                <w:sz w:val="15"/>
                <w:szCs w:val="15"/>
                <w:color w:val="auto"/>
              </w:rPr>
              <w:t>The following table presents our capitalization as of December 31, 2024 and December 31, 2023:</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7"/>
        </w:trPr>
        <w:tc>
          <w:tcPr>
            <w:tcW w:w="7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7"/>
        </w:trPr>
        <w:tc>
          <w:tcPr>
            <w:tcW w:w="76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December 31, 2024</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December 31, 2023</w:t>
            </w:r>
          </w:p>
        </w:tc>
      </w:tr>
      <w:tr>
        <w:trPr>
          <w:trHeight w:val="189"/>
        </w:trPr>
        <w:tc>
          <w:tcPr>
            <w:tcW w:w="7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gridSpan w:val="3"/>
          </w:tcPr>
          <w:p>
            <w:pPr>
              <w:jc w:val="right"/>
              <w:ind w:right="906"/>
              <w:spacing w:after="0"/>
              <w:rPr>
                <w:sz w:val="20"/>
                <w:szCs w:val="20"/>
                <w:color w:val="auto"/>
              </w:rPr>
            </w:pPr>
            <w:r>
              <w:rPr>
                <w:rFonts w:ascii="Arial" w:cs="Arial" w:eastAsia="Arial" w:hAnsi="Arial"/>
                <w:sz w:val="15"/>
                <w:szCs w:val="15"/>
                <w:b w:val="1"/>
                <w:bCs w:val="1"/>
                <w:color w:val="auto"/>
              </w:rPr>
              <w:t>(in thousands)</w:t>
            </w: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3,446,450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3,806,213</w:t>
            </w:r>
          </w:p>
        </w:tc>
      </w:tr>
      <w:tr>
        <w:trPr>
          <w:trHeight w:val="196"/>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(20,290)</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(30,624)</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Debt,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3,426,160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3,775,589</w:t>
            </w:r>
          </w:p>
        </w:tc>
      </w:tr>
      <w:tr>
        <w:trPr>
          <w:trHeight w:val="20"/>
        </w:trPr>
        <w:tc>
          <w:tcPr>
            <w:tcW w:w="7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6,699</w:t>
            </w:r>
          </w:p>
        </w:tc>
      </w:tr>
      <w:tr>
        <w:trPr>
          <w:trHeight w:val="196"/>
        </w:trPr>
        <w:tc>
          <w:tcPr>
            <w:tcW w:w="760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7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7,020,231</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6,942,669</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undenominated capital</w:t>
            </w: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r>
      <w:tr>
        <w:trPr>
          <w:trHeight w:val="196"/>
        </w:trPr>
        <w:tc>
          <w:tcPr>
            <w:tcW w:w="760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7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(229,929)</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(143,506)</w:t>
            </w:r>
          </w:p>
        </w:tc>
      </w:tr>
      <w:tr>
        <w:trPr>
          <w:trHeight w:val="197"/>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7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2,724,807</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2,433,719</w:t>
            </w:r>
          </w:p>
        </w:tc>
      </w:tr>
      <w:tr>
        <w:trPr>
          <w:trHeight w:val="191"/>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Shareholders’ Equity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9,522,999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9,240,743</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1"/>
        </w:trPr>
        <w:tc>
          <w:tcPr>
            <w:tcW w:w="7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189"/>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Capitalization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12,949,159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13,016,332</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In conjunction with the completion of the merger,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addition to the Senior Secured Credit Facilities, the Company, issued $500 million in aggregate principal amount of 2.875% senior secured notes in a private offering (the "2026 Notes"). On May 2, 2023, the Company agreed with its lenders to increase the aggregate principal amount of the senior secured revolving loan facility from $300 million to $500 million.</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201" w:lineRule="exact"/>
        <w:rPr>
          <w:sz w:val="20"/>
          <w:szCs w:val="20"/>
          <w:color w:val="auto"/>
        </w:rPr>
      </w:pPr>
    </w:p>
    <w:p>
      <w:pPr>
        <w:jc w:val="both"/>
        <w:ind w:firstLine="591"/>
        <w:spacing w:after="0" w:line="342" w:lineRule="auto"/>
        <w:rPr>
          <w:sz w:val="20"/>
          <w:szCs w:val="20"/>
          <w:color w:val="auto"/>
        </w:rPr>
      </w:pPr>
      <w:r>
        <w:rPr>
          <w:rFonts w:ascii="Arial" w:cs="Arial" w:eastAsia="Arial" w:hAnsi="Arial"/>
          <w:sz w:val="14"/>
          <w:szCs w:val="14"/>
          <w:color w:val="auto"/>
        </w:rPr>
        <w:t>As of December 31, 2024, $4,568.6 million of the senior secured term loan facility has been repaid through cash flow ($2,581.8 million) and refinancing ($1,986.8 million) in the period since the completion of the Merger. As at December 31, 2024, $500.0 million remained undrawn under the senior secured revolving loan facility.</w:t>
      </w:r>
    </w:p>
    <w:p>
      <w:pPr>
        <w:spacing w:after="0" w:line="36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 Reasons for the offer and use of proceeds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 w:name="page5"/>
    <w:bookmarkEnd w:id="4"/>
    <w:p>
      <w:pPr>
        <w:ind w:left="300"/>
        <w:spacing w:after="0"/>
        <w:rPr>
          <w:sz w:val="20"/>
          <w:szCs w:val="20"/>
          <w:color w:val="auto"/>
        </w:rPr>
      </w:pPr>
      <w:r>
        <w:rPr>
          <w:rFonts w:ascii="Arial" w:cs="Arial" w:eastAsia="Arial" w:hAnsi="Arial"/>
          <w:sz w:val="15"/>
          <w:szCs w:val="15"/>
          <w:b w:val="1"/>
          <w:bCs w:val="1"/>
          <w:color w:val="auto"/>
        </w:rPr>
        <w:t>D. Risk Factors</w:t>
      </w:r>
    </w:p>
    <w:p>
      <w:pPr>
        <w:spacing w:after="0" w:line="222" w:lineRule="exact"/>
        <w:rPr>
          <w:sz w:val="20"/>
          <w:szCs w:val="20"/>
          <w:color w:val="auto"/>
        </w:rPr>
      </w:pPr>
    </w:p>
    <w:p>
      <w:pPr>
        <w:ind w:firstLine="168"/>
        <w:spacing w:after="0" w:line="286" w:lineRule="auto"/>
        <w:rPr>
          <w:sz w:val="20"/>
          <w:szCs w:val="20"/>
          <w:color w:val="auto"/>
        </w:rPr>
      </w:pPr>
      <w:r>
        <w:rPr>
          <w:rFonts w:ascii="Arial" w:cs="Arial" w:eastAsia="Arial" w:hAnsi="Arial"/>
          <w:sz w:val="15"/>
          <w:szCs w:val="15"/>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u w:val="single" w:color="auto"/>
          <w:color w:val="auto"/>
        </w:rPr>
        <w:t>Summary of Risk Factors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Below is a summary of some of the principal risks that could adversely affect our business, operations and financial results: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Business and Operations</w:t>
      </w:r>
    </w:p>
    <w:p>
      <w:pPr>
        <w:spacing w:after="0" w:line="222" w:lineRule="exact"/>
        <w:rPr>
          <w:sz w:val="20"/>
          <w:szCs w:val="20"/>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loss or delay of our large contracts, or of multiple contracts, could adversely affect our results.</w:t>
      </w:r>
    </w:p>
    <w:p>
      <w:pPr>
        <w:spacing w:after="0" w:line="21" w:lineRule="exact"/>
        <w:rPr>
          <w:rFonts w:ascii="Arial" w:cs="Arial" w:eastAsia="Arial" w:hAnsi="Arial"/>
          <w:sz w:val="15"/>
          <w:szCs w:val="15"/>
          <w:color w:val="auto"/>
        </w:rPr>
      </w:pPr>
    </w:p>
    <w:p>
      <w:pPr>
        <w:ind w:left="600" w:hanging="306"/>
        <w:spacing w:after="0" w:line="243"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ind w:left="600" w:hanging="306"/>
        <w:spacing w:after="0" w:line="248"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depend on a limited number of customers and a loss of, or significant decrease in, business or an inability to pay outstanding invoices by one or more of them could affect our business.</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inability of biotechnology customers to raise adequate financing or funding could affect our business.</w:t>
      </w:r>
    </w:p>
    <w:p>
      <w:pPr>
        <w:spacing w:after="0" w:line="7" w:lineRule="exact"/>
        <w:rPr>
          <w:rFonts w:ascii="Arial" w:cs="Arial" w:eastAsia="Arial" w:hAnsi="Arial"/>
          <w:sz w:val="15"/>
          <w:szCs w:val="15"/>
          <w:color w:val="auto"/>
        </w:rPr>
      </w:pPr>
    </w:p>
    <w:p>
      <w:pPr>
        <w:ind w:left="600" w:hanging="306"/>
        <w:spacing w:after="0" w:line="243"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financial results may be adversely impacted if we underprice our contracts, overrun our cost estimates or fail to receive approval for, or experience delays in, documenting change orders.</w:t>
      </w:r>
    </w:p>
    <w:p>
      <w:pPr>
        <w:ind w:left="600" w:hanging="306"/>
        <w:spacing w:after="0" w:line="248"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are unable to successfully develop and market new services or enter new markets, our growth, results of operations or financial condition could be adversely affected.</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fail to attract or retain key personnel, our performance may suffer.</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may face challenges retaining employees which could cause disruption to our day-to-day activities which may result in additional costs to the business.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perform clinical trials is dependent upon the ability to recruit suitable willing patients.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perform clinical trials is dependent upon our ability to recruit suitable willing investigators.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Climate change, extreme weather events, earthquakes and other natural disasters could adversely affect our business.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disease outbreak, epidemic or pandemic could adversely affect our business performance.</w:t>
      </w:r>
    </w:p>
    <w:p>
      <w:pPr>
        <w:jc w:val="both"/>
        <w:ind w:left="600" w:hanging="306"/>
        <w:spacing w:after="0" w:line="249"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Upgrading the information systems that support our operating processes and evolving the technology platform for our services pose risks to our business.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meet productivity objectives under our business improvement objectives could adversely impact our competitiveness and therefore our operating results.</w:t>
      </w:r>
    </w:p>
    <w:p>
      <w:pPr>
        <w:spacing w:after="0" w:line="11" w:lineRule="exact"/>
        <w:rPr>
          <w:rFonts w:ascii="Arial" w:cs="Arial" w:eastAsia="Arial" w:hAnsi="Arial"/>
          <w:sz w:val="14"/>
          <w:szCs w:val="14"/>
          <w:color w:val="auto"/>
        </w:rPr>
      </w:pPr>
    </w:p>
    <w:p>
      <w:pPr>
        <w:ind w:left="600" w:hanging="306"/>
        <w:spacing w:after="0" w:line="248"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rely on our interactive response technologies to provide accurate information regarding the randomization of patients and the dosage required for patients enrolled in the trials.</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failure to identify and successfully close and integrate strategic acquisition targets could adversely impact our ongoing business and financial results.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Improper performance or delays in performance of our services could adversely impact our reputation and our financial results.</w:t>
      </w:r>
    </w:p>
    <w:p>
      <w:pPr>
        <w:spacing w:after="0" w:line="5" w:lineRule="exact"/>
        <w:rPr>
          <w:rFonts w:ascii="Arial" w:cs="Arial" w:eastAsia="Arial" w:hAnsi="Arial"/>
          <w:sz w:val="15"/>
          <w:szCs w:val="15"/>
          <w:color w:val="auto"/>
        </w:rPr>
      </w:pPr>
    </w:p>
    <w:p>
      <w:pPr>
        <w:ind w:left="600" w:hanging="306"/>
        <w:spacing w:after="0" w:line="245"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have only a limited ability to protect our intellectual property rights and these rights are important to our success.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biopharmaceutical industry has a history of patent and other intellectual property litigation and we might be involved in costly intellectual property lawsuits.</w:t>
      </w:r>
    </w:p>
    <w:p>
      <w:pPr>
        <w:spacing w:after="0" w:line="7" w:lineRule="exact"/>
        <w:rPr>
          <w:rFonts w:ascii="Arial" w:cs="Arial" w:eastAsia="Arial" w:hAnsi="Arial"/>
          <w:sz w:val="15"/>
          <w:szCs w:val="15"/>
          <w:color w:val="auto"/>
        </w:rPr>
      </w:pPr>
    </w:p>
    <w:p>
      <w:pPr>
        <w:ind w:left="600" w:hanging="306"/>
        <w:spacing w:after="0" w:line="243"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jc w:val="both"/>
        <w:ind w:left="600" w:hanging="306"/>
        <w:spacing w:after="0" w:line="245"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 w:lineRule="exact"/>
        <w:rPr>
          <w:rFonts w:ascii="Arial" w:cs="Arial" w:eastAsia="Arial" w:hAnsi="Arial"/>
          <w:sz w:val="15"/>
          <w:szCs w:val="15"/>
          <w:color w:val="auto"/>
        </w:rPr>
      </w:pPr>
    </w:p>
    <w:p>
      <w:pPr>
        <w:ind w:left="600" w:hanging="306"/>
        <w:spacing w:after="0" w:line="267" w:lineRule="auto"/>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Industry</w:t>
      </w:r>
    </w:p>
    <w:p>
      <w:pPr>
        <w:spacing w:after="0" w:line="234" w:lineRule="exact"/>
        <w:rPr>
          <w:sz w:val="20"/>
          <w:szCs w:val="20"/>
          <w:color w:val="auto"/>
        </w:rPr>
      </w:pPr>
    </w:p>
    <w:p>
      <w:pPr>
        <w:ind w:left="600" w:hanging="306"/>
        <w:spacing w:after="0" w:line="249" w:lineRule="auto"/>
        <w:tabs>
          <w:tab w:leader="none" w:pos="59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Outsourcing trends in the pharmaceutical, biotechnology and medical device industries and changes in spending on research and development could adversely affect our operating results and growth rates.</w:t>
      </w:r>
    </w:p>
    <w:p>
      <w:pPr>
        <w:spacing w:after="0" w:line="1" w:lineRule="exact"/>
        <w:rPr>
          <w:rFonts w:ascii="Arial" w:cs="Arial" w:eastAsia="Arial" w:hAnsi="Arial"/>
          <w:sz w:val="15"/>
          <w:szCs w:val="15"/>
          <w:color w:val="auto"/>
        </w:rPr>
      </w:pPr>
    </w:p>
    <w:p>
      <w:pPr>
        <w:ind w:left="600" w:hanging="306"/>
        <w:spacing w:after="0" w:line="248" w:lineRule="auto"/>
        <w:tabs>
          <w:tab w:leader="none" w:pos="590" w:val="left"/>
        </w:tabs>
        <w:numPr>
          <w:ilvl w:val="0"/>
          <w:numId w:val="4"/>
        </w:numPr>
        <w:rPr>
          <w:rFonts w:ascii="Arial" w:cs="Arial" w:eastAsia="Arial" w:hAnsi="Arial"/>
          <w:sz w:val="15"/>
          <w:szCs w:val="15"/>
          <w:color w:val="auto"/>
        </w:rPr>
      </w:pPr>
      <w:r>
        <w:rPr>
          <w:rFonts w:ascii="Arial" w:cs="Arial" w:eastAsia="Arial" w:hAnsi="Arial"/>
          <w:sz w:val="15"/>
          <w:szCs w:val="15"/>
          <w:color w:val="auto"/>
        </w:rPr>
        <w:t>Large pharmaceutical companies are increasingly consolidating their vendor base and entering strategic partnership arrangements with a limited number of outsource providers.</w:t>
      </w:r>
    </w:p>
    <w:p>
      <w:pPr>
        <w:ind w:left="580" w:hanging="286"/>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Increased collaboration amongst pharmaceutical companies in research and development activities may lead to fewer research opportunities.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operate in a highly competitive and dynamic market.</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adversely affected by industry, customer or therapeutic concentration.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u w:val="single" w:color="auto"/>
          <w:color w:val="auto"/>
        </w:rPr>
        <w:t>Risk Related to Our Financial Results and Financial Position</w:t>
      </w:r>
    </w:p>
    <w:p>
      <w:pPr>
        <w:spacing w:after="0" w:line="222" w:lineRule="exact"/>
        <w:rPr>
          <w:sz w:val="20"/>
          <w:szCs w:val="20"/>
          <w:color w:val="auto"/>
        </w:rPr>
      </w:pPr>
    </w:p>
    <w:p>
      <w:pPr>
        <w:ind w:left="600" w:hanging="306"/>
        <w:spacing w:after="0" w:line="258" w:lineRule="auto"/>
        <w:tabs>
          <w:tab w:leader="none" w:pos="59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exposure to exchange rate fluctuations could adversely affect our future results of operations.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Inflation and rising labor costs could adversely affect our future results of operations.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effective tax rate may fluctuate from quarter-to-quarter, which may adversely affect our results of operations.</w:t>
      </w: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unsatisfied performance obligation may not convert to revenue and the rate of conversion may slow.</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is exposed to various risks in relation to our cash and cash equivalents.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accounting standards may adversely affect our financial statements.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Impairment of goodwill and intangible assets may adversely impact future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Indebtedness</w:t>
      </w:r>
    </w:p>
    <w:p>
      <w:pPr>
        <w:spacing w:after="0" w:line="222" w:lineRule="exact"/>
        <w:rPr>
          <w:sz w:val="20"/>
          <w:szCs w:val="20"/>
          <w:color w:val="auto"/>
        </w:rPr>
      </w:pPr>
    </w:p>
    <w:p>
      <w:pPr>
        <w:ind w:left="600" w:hanging="306"/>
        <w:spacing w:after="0" w:line="258" w:lineRule="auto"/>
        <w:tabs>
          <w:tab w:leader="none" w:pos="59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incurred substantial additional indebtedness, which could impair our flexibility and access to capital and could adversely affect the Company’s business, financial condition or results of operations.</w:t>
      </w:r>
    </w:p>
    <w:p>
      <w:pPr>
        <w:ind w:left="600" w:hanging="306"/>
        <w:spacing w:after="0" w:line="245" w:lineRule="auto"/>
        <w:tabs>
          <w:tab w:leader="none" w:pos="59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ind w:left="600" w:hanging="306"/>
        <w:spacing w:after="0" w:line="248" w:lineRule="auto"/>
        <w:tabs>
          <w:tab w:leader="none" w:pos="59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ind w:left="580" w:hanging="286"/>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financial results and ability to access cost effective debt may be adversely impacted if we do not maintain our credit rating.</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Political, Legal or Regulatory Environment</w:t>
      </w:r>
    </w:p>
    <w:p>
      <w:pPr>
        <w:spacing w:after="0" w:line="222" w:lineRule="exact"/>
        <w:rPr>
          <w:sz w:val="20"/>
          <w:szCs w:val="20"/>
          <w:color w:val="auto"/>
        </w:rPr>
      </w:pP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lose business opportunities as a result of health care reform and the expansion of managed care organizations.</w:t>
      </w:r>
    </w:p>
    <w:p>
      <w:pPr>
        <w:spacing w:after="0" w:line="21" w:lineRule="exact"/>
        <w:rPr>
          <w:rFonts w:ascii="Arial" w:cs="Arial" w:eastAsia="Arial" w:hAnsi="Arial"/>
          <w:sz w:val="15"/>
          <w:szCs w:val="15"/>
          <w:color w:val="auto"/>
        </w:rPr>
      </w:pPr>
    </w:p>
    <w:p>
      <w:pPr>
        <w:ind w:left="600" w:hanging="306"/>
        <w:spacing w:after="0" w:line="248"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Healthcare reform legislation, other changes in the healthcare industry and in healthcare spending could adversely affect our business model, financial condition or results of operations.</w:t>
      </w: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international operations expose us to risks as a result of changes in global political conditions which could adversely affect our results of operations.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lose business as a result of changes in the regulatory environment.</w:t>
      </w:r>
    </w:p>
    <w:p>
      <w:pPr>
        <w:ind w:left="600" w:hanging="306"/>
        <w:spacing w:after="0" w:line="248"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Failure to comply with the regulations and requirements of the U.S. Food and Drug Administration and other regulatory authorities could result in substantial penalties and/or loss of business.</w:t>
      </w: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subject to political, regulatory, operational and legal risks associated with our international operations.</w:t>
      </w:r>
    </w:p>
    <w:p>
      <w:pPr>
        <w:spacing w:after="0" w:line="7" w:lineRule="exact"/>
        <w:rPr>
          <w:rFonts w:ascii="Arial" w:cs="Arial" w:eastAsia="Arial" w:hAnsi="Arial"/>
          <w:sz w:val="15"/>
          <w:szCs w:val="15"/>
          <w:color w:val="auto"/>
        </w:rPr>
      </w:pPr>
    </w:p>
    <w:p>
      <w:pPr>
        <w:jc w:val="both"/>
        <w:ind w:left="600" w:hanging="306"/>
        <w:spacing w:after="0" w:line="245"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1" w:lineRule="exact"/>
        <w:rPr>
          <w:rFonts w:ascii="Arial" w:cs="Arial" w:eastAsia="Arial" w:hAnsi="Arial"/>
          <w:sz w:val="15"/>
          <w:szCs w:val="15"/>
          <w:color w:val="auto"/>
        </w:rPr>
      </w:pPr>
    </w:p>
    <w:p>
      <w:pPr>
        <w:ind w:left="600" w:hanging="306"/>
        <w:spacing w:after="0" w:line="248"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Current and proposed laws and regulations regarding the protection of personal data could result in increased risks of liability or increased costs to us or could limit our service offerings.</w:t>
      </w:r>
    </w:p>
    <w:p>
      <w:pPr>
        <w:ind w:left="600" w:hanging="306"/>
        <w:spacing w:after="0" w:line="243"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employees may engage in misconduct or other improper activities, including noncompliance with regulatory standards and requirements, which could have a material adverse effect on our business.</w:t>
      </w:r>
    </w:p>
    <w:p>
      <w:pPr>
        <w:ind w:left="600" w:hanging="306"/>
        <w:spacing w:after="0" w:line="248" w:lineRule="auto"/>
        <w:tabs>
          <w:tab w:leader="none" w:pos="59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Liability claims brought against us could result in payment of substantial damages, costs and liabilities and decrease our profitability.</w:t>
      </w:r>
    </w:p>
    <w:p>
      <w:pPr>
        <w:ind w:left="580" w:hanging="286"/>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Environmental, social and governance matters may impact our business and reputation.</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Common Stock</w:t>
      </w:r>
    </w:p>
    <w:p>
      <w:pPr>
        <w:spacing w:after="0" w:line="222" w:lineRule="exact"/>
        <w:rPr>
          <w:sz w:val="20"/>
          <w:szCs w:val="20"/>
          <w:color w:val="auto"/>
        </w:rPr>
      </w:pPr>
    </w:p>
    <w:p>
      <w:pPr>
        <w:ind w:left="580" w:hanging="286"/>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Volatility in the market price of our common stock could lead to losses by investors.</w:t>
      </w:r>
    </w:p>
    <w:p>
      <w:pPr>
        <w:spacing w:after="0" w:line="21" w:lineRule="exact"/>
        <w:rPr>
          <w:rFonts w:ascii="Arial" w:cs="Arial" w:eastAsia="Arial" w:hAnsi="Arial"/>
          <w:sz w:val="15"/>
          <w:szCs w:val="15"/>
          <w:color w:val="auto"/>
        </w:rPr>
      </w:pPr>
    </w:p>
    <w:p>
      <w:pPr>
        <w:ind w:left="580" w:hanging="286"/>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 investor's return may be reduced if we lose our foreign private issuer status.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do not expect to pay any cash dividends for the foreseeable future.</w:t>
      </w:r>
    </w:p>
    <w:p>
      <w:pPr>
        <w:ind w:left="600" w:hanging="306"/>
        <w:spacing w:after="0" w:line="267" w:lineRule="auto"/>
        <w:tabs>
          <w:tab w:leader="none" w:pos="59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future transfer of ICON ordinary shares, other than one effected by means of the transfer of book entry interests in the Depositary Trust Company ("DTC"), may be subject to Irish stamp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auto"/>
        </w:rPr>
        <w:t>Risk Related to Our Business and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potential loss or delay of our large contracts, or of multiple contracts, could adversely affect our results.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35" w:lineRule="exact"/>
        <w:rPr>
          <w:sz w:val="20"/>
          <w:szCs w:val="20"/>
          <w:color w:val="auto"/>
        </w:rPr>
      </w:pP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 reductions or change in prioritization of resources;</w:t>
      </w:r>
    </w:p>
    <w:p>
      <w:pPr>
        <w:spacing w:after="0" w:line="21" w:lineRule="exact"/>
        <w:rPr>
          <w:rFonts w:ascii="Arial" w:cs="Arial" w:eastAsia="Arial" w:hAnsi="Arial"/>
          <w:sz w:val="15"/>
          <w:szCs w:val="15"/>
          <w:color w:val="auto"/>
        </w:rPr>
      </w:pP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failure of products being tested to satisfy safety or efficacy requirements;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unexpected or undesired clinical results of the product;</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decision that a particular study is no longer necessary or viable;</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poor project performance, quality concerns, insufficient patient enrollment or investigator recruitment; and</w:t>
      </w:r>
    </w:p>
    <w:p>
      <w:pPr>
        <w:ind w:left="580" w:hanging="286"/>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production problems resulting in shortages of the drug.</w:t>
      </w:r>
    </w:p>
    <w:p>
      <w:pPr>
        <w:spacing w:after="0" w:line="171"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6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Our business is dependent on our ability to generate new business awards from new and existing customers and maintain and execute existing customer contracts. If we were unable to generate new business awards on a timely basis and contract, execute and deliver those awards, that could have a material impact on our business, financial condition, results of operations or cash flows.</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We depend on a limited number of customers and a loss of, or significant decrease in, business or an inability to pay outstanding invoices by one or more of them could affect our business.</w:t>
      </w:r>
    </w:p>
    <w:p>
      <w:pPr>
        <w:spacing w:after="0" w:line="127" w:lineRule="exact"/>
        <w:rPr>
          <w:sz w:val="20"/>
          <w:szCs w:val="20"/>
          <w:color w:val="auto"/>
        </w:rPr>
      </w:pPr>
    </w:p>
    <w:p>
      <w:pPr>
        <w:jc w:val="both"/>
        <w:ind w:firstLine="591"/>
        <w:spacing w:after="0" w:line="275" w:lineRule="auto"/>
        <w:rPr>
          <w:sz w:val="20"/>
          <w:szCs w:val="20"/>
          <w:color w:val="auto"/>
        </w:rPr>
      </w:pPr>
      <w:r>
        <w:rPr>
          <w:rFonts w:ascii="Arial" w:cs="Arial" w:eastAsia="Arial" w:hAnsi="Arial"/>
          <w:sz w:val="14"/>
          <w:szCs w:val="14"/>
          <w:color w:val="auto"/>
        </w:rPr>
        <w:t>While no customers individually contributed more than 10% of our revenues during the years ended December 31, 2024 and December 31, 2023, our top five customers represented 25.0% and 26.8% of our revenues respectively, our largest customer represented 7.7% and 8.9% of our revenues, respectively, and our top twenty</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five customers represented 62.2% and 62.9% of our revenues, respectively. The loss of, or a significant decrease in, business from one or more of these key customers, or an inability to pay outstanding invoices due to us, could have a material adverse impact on our results of operations and financial results.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inability of biotechnology customers to raise adequate financing or funding could affect our business.</w:t>
      </w:r>
    </w:p>
    <w:p>
      <w:pPr>
        <w:spacing w:after="0" w:line="22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27"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Many of our contracts are long-term contracts for services. As a result, variations in the timing and progress of large contracts may materially adversely affect our financial results. Revenue recognized on these service contracts are based on an assessment of progress towards completion being the cost of time and other third party costs as a percentage of total estimated time and other third party costs to deliver our services. Estimating time and costs to complete requires judgment and includes consideration of the complexity of the study, the number of sites where trials are to be conducted and the number of patients to be recruited. We regularly review the estimated hours on each contract to determine if the budget accurately reflects the agreed tasks to be performed, taking into account the state of progress at the time of review.</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bear the risk of cost overruns unless the scope of activity and/or the assumptions upon which budget is built are revised via a change order and we are able to negotiate a contract modification. We endeavor to ensure that any changes in scope are appropriately monitored and change orders or contract modifications are promptly negotiated and documented. If we fail to successfully negotiate change orders for changes in the resources required or the scope of the work to be performed, it could materially adversely affect our operations and financial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 w:name="page9"/>
    <w:bookmarkEnd w:id="8"/>
    <w:p>
      <w:pPr>
        <w:jc w:val="both"/>
        <w:spacing w:after="0" w:line="280" w:lineRule="auto"/>
        <w:rPr>
          <w:sz w:val="20"/>
          <w:szCs w:val="20"/>
          <w:color w:val="auto"/>
        </w:rPr>
      </w:pPr>
      <w:r>
        <w:rPr>
          <w:rFonts w:ascii="Arial" w:cs="Arial" w:eastAsia="Arial" w:hAnsi="Arial"/>
          <w:sz w:val="15"/>
          <w:szCs w:val="15"/>
          <w:b w:val="1"/>
          <w:bCs w:val="1"/>
          <w:i w:val="1"/>
          <w:iCs w:val="1"/>
          <w:color w:val="auto"/>
        </w:rPr>
        <w:t>If we are unable to successfully develop and market new services or enter new markets, our growth, results of operations or financial condition could be adversely affected.</w:t>
      </w:r>
    </w:p>
    <w:p>
      <w:pPr>
        <w:spacing w:after="0" w:line="17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or financial condition could be adversely impacted.</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attract or retain key personnel, our performance may suffer.</w:t>
      </w:r>
    </w:p>
    <w:p>
      <w:pPr>
        <w:spacing w:after="0" w:line="185"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Our business, future success and ability to continue to expand operations depends upon our ability to attract, hire, train and retain qualified professional, scientific and technical operating people. We compete for qualified professionals with other Contract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challenges retaining employees which could cause disruption to our day-to-day activities which may result in additional costs to the business.</w:t>
      </w:r>
    </w:p>
    <w:p>
      <w:pPr>
        <w:spacing w:after="0" w:line="234"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ICON is an award-winning workplace that enables employees to make a difference to patients’ lives by being part of a world-class contract research organization that helps deliver new medicines &amp; medical devices that are benefiting patients worldwide. The attraction, development and retention of our talent is critical to the success of the Company, and we continue to strengthen processes around these areas to minimize retention risk.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perform clinical trials is dependent upon the ability to recruit suitable willing patients.</w:t>
      </w:r>
    </w:p>
    <w:p>
      <w:pPr>
        <w:spacing w:after="0" w:line="23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 is focused on continuing to develop its expertise in patient recruitment through Accellacare, a global clinical research network, offering patients easier and faster access to innovative treatments and offering customers the option to deploy decentralized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Improved site selection is achieved through:</w:t>
      </w:r>
    </w:p>
    <w:p>
      <w:pPr>
        <w:spacing w:after="0" w:line="234" w:lineRule="exact"/>
        <w:rPr>
          <w:sz w:val="20"/>
          <w:szCs w:val="20"/>
          <w:color w:val="auto"/>
        </w:rPr>
      </w:pPr>
    </w:p>
    <w:p>
      <w:pPr>
        <w:ind w:left="580" w:hanging="286"/>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leading technology to identify where the patients are that match the protocol;</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assessment of the qualification of sites based on real data; and</w:t>
      </w:r>
    </w:p>
    <w:p>
      <w:pPr>
        <w:ind w:left="600" w:hanging="306"/>
        <w:spacing w:after="0" w:line="267" w:lineRule="auto"/>
        <w:tabs>
          <w:tab w:leader="none" w:pos="5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perform clinical trials is dependent upon our ability to recruit suitable willing investigators.</w:t>
      </w:r>
    </w:p>
    <w:p>
      <w:pPr>
        <w:spacing w:after="0" w:line="222"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Climate change, extreme weather events, earthquakes and other natural disasters could adversely affect our business.</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floods, wildfires or other events that may result from the impact of climate change on the environment.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disease outbreak, epidemic or pandemic could adversely affect our business performance.</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 in addition to adversely affecting the economies and financial markets worldwide, resulting in an economic downturn that could impact our business, financial condition and results of operations.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8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Due to the global nature of our business and our reliance on information systems to provide our services, we use web-enabled and other integrated information systems in delivering our services. We continue to increase the use of technology. The systems may be either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07" w:lineRule="exact"/>
        <w:rPr>
          <w:sz w:val="20"/>
          <w:szCs w:val="20"/>
          <w:color w:val="auto"/>
        </w:rPr>
      </w:pPr>
    </w:p>
    <w:p>
      <w:pPr>
        <w:ind w:left="580" w:hanging="286"/>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disruption or failure of data centers, telecommunications facilities or other key infrastructure platforms;</w:t>
      </w:r>
    </w:p>
    <w:p>
      <w:pPr>
        <w:spacing w:after="0" w:line="14" w:lineRule="exact"/>
        <w:rPr>
          <w:rFonts w:ascii="Arial" w:cs="Arial" w:eastAsia="Arial" w:hAnsi="Arial"/>
          <w:sz w:val="15"/>
          <w:szCs w:val="15"/>
          <w:color w:val="auto"/>
        </w:rPr>
      </w:pPr>
    </w:p>
    <w:p>
      <w:pPr>
        <w:ind w:left="600" w:hanging="306"/>
        <w:spacing w:after="0" w:line="245" w:lineRule="auto"/>
        <w:tabs>
          <w:tab w:leader="none" w:pos="5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security breaches, cyber attacks or other failures (such as inappropriate software updates) or malfunctions in our application or information systems or their associated hardware or other systems that we have access to, or that we rely upon, or that have access to our systems;</w:t>
      </w:r>
    </w:p>
    <w:p>
      <w:pPr>
        <w:ind w:left="580" w:hanging="286"/>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security breaches, cyber attacks or malfunctions with key suppliers or partners who we rely on to provide services to customers;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use of Artificial Intelligence (“AI”) resulting in inappropriate interpretation of data; and</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excessive costs, excessive delays or other deficiencies in, or problems with, systems development and deployment.</w:t>
      </w:r>
    </w:p>
    <w:p>
      <w:pPr>
        <w:spacing w:after="0" w:line="213" w:lineRule="exact"/>
        <w:rPr>
          <w:sz w:val="20"/>
          <w:szCs w:val="20"/>
          <w:color w:val="auto"/>
        </w:rPr>
      </w:pPr>
    </w:p>
    <w:p>
      <w:pPr>
        <w:jc w:val="both"/>
        <w:ind w:firstLine="591"/>
        <w:spacing w:after="0" w:line="306" w:lineRule="auto"/>
        <w:rPr>
          <w:sz w:val="20"/>
          <w:szCs w:val="20"/>
          <w:color w:val="auto"/>
        </w:rPr>
      </w:pPr>
      <w:r>
        <w:rPr>
          <w:rFonts w:ascii="Arial" w:cs="Arial" w:eastAsia="Arial" w:hAnsi="Arial"/>
          <w:sz w:val="14"/>
          <w:szCs w:val="14"/>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16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addition, as AI powered cyber threats evolve, our cybersecurity program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organization against emerging threats.</w:t>
      </w:r>
    </w:p>
    <w:p>
      <w:pPr>
        <w:spacing w:after="0" w:line="185"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While we have cybersecurity controls and disaster recovery plans in place, they might not adequately protect us in the event of a system failure, security breach or cyber attack. To date, no cyber attacks have had a material impact on our results of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47"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5"/>
          <w:szCs w:val="15"/>
          <w:color w:val="auto"/>
        </w:rPr>
        <w:t>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cover provided or amount to adequately cover us against claims related to security breaches, cyber attacks and other related breaches.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may also face cybersecurity risks due to hybrid work arrangements, which could create opportunities for cybercriminals to exploit vulnerabilities.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Upgrading the information systems that support our operating processes and evolving the technology platform for our services pose risks to our business.</w:t>
      </w:r>
    </w:p>
    <w:p>
      <w:pPr>
        <w:spacing w:after="0" w:line="222"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4"/>
          <w:szCs w:val="14"/>
          <w:color w:val="auto"/>
        </w:rPr>
        <w:t>Continued efficient operation of our business requires that we implement standardized global business processes and evolve our information systems to enable this. We have continued to undertake significant programs to optimize business processes. A failure to effectively manage the implementation and adapt to new processes designed in these new or upgraded systems in a timely and cost-effective manner may result in disruption to our business and negatively affect our results of operations.</w:t>
      </w:r>
    </w:p>
    <w:p>
      <w:pPr>
        <w:spacing w:after="0" w:line="180"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82"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w:t>
      </w:r>
    </w:p>
    <w:p>
      <w:pPr>
        <w:spacing w:after="0" w:line="196"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ICON has a dedicated Artificial Intelligence Centre of Excellence. By leveraging innovative AI and ML ('machine learning'), we accelerate trials, optimize resources, and ensure strict compliance, all while upholding the highest standards of ethical governance and data privacy. Our focus is to expedite our ability to:</w:t>
      </w:r>
    </w:p>
    <w:p>
      <w:pPr>
        <w:spacing w:after="0" w:line="205" w:lineRule="exact"/>
        <w:rPr>
          <w:sz w:val="20"/>
          <w:szCs w:val="20"/>
          <w:color w:val="auto"/>
        </w:rPr>
      </w:pPr>
    </w:p>
    <w:p>
      <w:pPr>
        <w:ind w:left="580" w:hanging="286"/>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find signals quickly;</w:t>
      </w:r>
    </w:p>
    <w:p>
      <w:pPr>
        <w:spacing w:after="0" w:line="21" w:lineRule="exact"/>
        <w:rPr>
          <w:rFonts w:ascii="Arial" w:cs="Arial" w:eastAsia="Arial" w:hAnsi="Arial"/>
          <w:sz w:val="15"/>
          <w:szCs w:val="15"/>
          <w:color w:val="auto"/>
        </w:rPr>
      </w:pPr>
    </w:p>
    <w:p>
      <w:pPr>
        <w:ind w:left="580" w:hanging="286"/>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connect information intelligently;</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predict outcomes; and</w:t>
      </w:r>
    </w:p>
    <w:p>
      <w:pPr>
        <w:ind w:left="580" w:hanging="286"/>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take proactive action to accelerate processes or mitigate emerging risks.</w:t>
      </w:r>
    </w:p>
    <w:p>
      <w:pPr>
        <w:spacing w:after="0" w:line="20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Regulations relating to the use of AI and the interpretation of those regulations by regulators, courts and others are in the early stages of development and evolving, which may make it difficult to identify adequate compliance requirements or suitable governance practices to meet those requirements.</w:t>
      </w:r>
    </w:p>
    <w:p>
      <w:pPr>
        <w:spacing w:after="0" w:line="168"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To remain competitive within our industry and keep pace with the rapid evolution of the technological landscape, it is critical that we continue to innovate and expand the capabilities of our current technologies. Increased requirements for investment in information technology or failure to comply with regulations may negatively impact our financial condition, including profitability.</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Failure to meet productivity objectives under our business improvement objectives could adversely impact our competitiveness and therefore our operating results.</w:t>
      </w:r>
    </w:p>
    <w:p>
      <w:pPr>
        <w:spacing w:after="0" w:line="177"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 w:name="page12"/>
    <w:bookmarkEnd w:id="11"/>
    <w:p>
      <w:pPr>
        <w:jc w:val="both"/>
        <w:spacing w:after="0" w:line="280" w:lineRule="auto"/>
        <w:rPr>
          <w:sz w:val="20"/>
          <w:szCs w:val="20"/>
          <w:color w:val="auto"/>
        </w:rPr>
      </w:pPr>
      <w:r>
        <w:rPr>
          <w:rFonts w:ascii="Arial" w:cs="Arial" w:eastAsia="Arial" w:hAnsi="Arial"/>
          <w:sz w:val="15"/>
          <w:szCs w:val="15"/>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7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to identify and successfully close and integrate strategic acquisition targets could adversely impact our ongoing business and financial results.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5" w:lineRule="exact"/>
        <w:rPr>
          <w:sz w:val="20"/>
          <w:szCs w:val="20"/>
          <w:color w:val="auto"/>
        </w:rPr>
      </w:pPr>
    </w:p>
    <w:p>
      <w:pPr>
        <w:ind w:left="580" w:hanging="286"/>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effectively and quickly assimilate the operations and services or products of the acquired company or business;</w:t>
      </w:r>
    </w:p>
    <w:p>
      <w:pPr>
        <w:spacing w:after="0" w:line="21" w:lineRule="exact"/>
        <w:rPr>
          <w:rFonts w:ascii="Arial" w:cs="Arial" w:eastAsia="Arial" w:hAnsi="Arial"/>
          <w:sz w:val="15"/>
          <w:szCs w:val="15"/>
          <w:color w:val="auto"/>
        </w:rPr>
      </w:pPr>
    </w:p>
    <w:p>
      <w:pPr>
        <w:ind w:left="580" w:hanging="286"/>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integrate acquired personnel;</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retain and motivate key employees;</w:t>
      </w:r>
    </w:p>
    <w:p>
      <w:pPr>
        <w:ind w:left="580" w:hanging="286"/>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retain customers; and</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minimize the diversion of management's attention from other business concerns.</w:t>
      </w:r>
    </w:p>
    <w:p>
      <w:pPr>
        <w:spacing w:after="0" w:line="213"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Improper performance or delays in performance of our services could adversely impact our reputation and our financial results.</w:t>
      </w:r>
    </w:p>
    <w:p>
      <w:pPr>
        <w:spacing w:after="0" w:line="23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or delays as a result of our performance could have an adverse effect on our financial condition, damage our reputation and result in the cancellation of current contracts or failure to obtain new contracts from affected or other clients.</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7" w:lineRule="exact"/>
        <w:rPr>
          <w:sz w:val="20"/>
          <w:szCs w:val="20"/>
          <w:color w:val="auto"/>
        </w:rPr>
      </w:pPr>
    </w:p>
    <w:p>
      <w:pPr>
        <w:jc w:val="both"/>
        <w:ind w:firstLine="591"/>
        <w:spacing w:after="0" w:line="248" w:lineRule="auto"/>
        <w:rPr>
          <w:sz w:val="20"/>
          <w:szCs w:val="20"/>
          <w:color w:val="auto"/>
        </w:rPr>
      </w:pPr>
      <w:r>
        <w:rPr>
          <w:rFonts w:ascii="Arial" w:cs="Arial" w:eastAsia="Arial" w:hAnsi="Arial"/>
          <w:sz w:val="15"/>
          <w:szCs w:val="15"/>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We have only a limited ability to protect our intellectual property rights and these rights are important to our success.</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The biopharmaceutical industry has a history of patent and other intellectual property litigation and we might be involved in costly intellectual property lawsuits.</w:t>
      </w:r>
    </w:p>
    <w:p>
      <w:pPr>
        <w:spacing w:after="0" w:line="177"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act as authorized representative pursuant to Medical Devices Regulation 2017/745 (“MDR”) for certain clients who are located outside of the European Union.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As authorized representative, we act on behalf of medical device manufacturers in relation to specified tasks with regard to their obligations under MDR.</w:t>
      </w:r>
    </w:p>
    <w:p>
      <w:pPr>
        <w:spacing w:after="0" w:line="22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also act as legal representative pursuant to European Clinical Trials Directive (2021/20/EC) (“CTD”), EU Clinical Trials Regulation (No.536/2014) (“CTR”) and MDR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19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7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Our services are derived from, or include, the use of data we collect from third parties. We have several data suppliers that provide us with a broad scope of information that we collect, use in our business and sell.</w:t>
      </w:r>
    </w:p>
    <w:p>
      <w:pPr>
        <w:spacing w:after="0" w:line="168"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5"/>
          <w:szCs w:val="15"/>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94"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Industry</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51"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03" w:lineRule="exact"/>
        <w:rPr>
          <w:sz w:val="20"/>
          <w:szCs w:val="20"/>
          <w:color w:val="auto"/>
        </w:rPr>
      </w:pPr>
    </w:p>
    <w:p>
      <w:pPr>
        <w:ind w:left="600" w:hanging="306"/>
        <w:spacing w:after="0" w:line="249"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pharmaceutical, biotechnology or medical device companies expanded upon their in-house clinical or development capabilities, they would be less likely to utilize our services;</w:t>
      </w:r>
    </w:p>
    <w:p>
      <w:pPr>
        <w:spacing w:after="0" w:line="1" w:lineRule="exact"/>
        <w:rPr>
          <w:rFonts w:ascii="Arial" w:cs="Arial" w:eastAsia="Arial" w:hAnsi="Arial"/>
          <w:sz w:val="15"/>
          <w:szCs w:val="15"/>
          <w:color w:val="auto"/>
        </w:rPr>
      </w:pPr>
    </w:p>
    <w:p>
      <w:pPr>
        <w:ind w:left="600" w:hanging="306"/>
        <w:spacing w:after="0" w:line="248"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600" w:hanging="306"/>
        <w:spacing w:after="0" w:line="267"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unfavorable economic conditions or disruptions in the credit and capital markets negatively impact our customers, this could result in delays or reprioritization of their research spending.</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Large pharmaceutical companies are increasingly consolidating their vendor base and entering strategic partnership arrangements with a limited number of outsource providers.</w:t>
      </w:r>
    </w:p>
    <w:p>
      <w:pPr>
        <w:spacing w:after="0" w:line="17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Large pharmaceutical companies continually seek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collaboration amongst pharmaceutical companies in research and development activities may lead to fewer research opportunities.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and dynamic market.</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we may also compete with the Research and Development capabilities of our customers; being unable to win work outside of the strategic relationships could have a material adverse impact on our results.</w:t>
      </w:r>
    </w:p>
    <w:p>
      <w:pPr>
        <w:spacing w:after="0" w:line="19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type and depth of services provided by CROs has changed in recent years. Failure to develop and market new services or expand existing service offerings could adversely affect our business and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4" w:name="page15"/>
    <w:bookmarkEnd w:id="14"/>
    <w:p>
      <w:pPr>
        <w:ind w:left="600"/>
        <w:spacing w:after="0"/>
        <w:rPr>
          <w:sz w:val="20"/>
          <w:szCs w:val="20"/>
          <w:color w:val="auto"/>
        </w:rPr>
      </w:pPr>
      <w:r>
        <w:rPr>
          <w:rFonts w:ascii="Arial" w:cs="Arial" w:eastAsia="Arial" w:hAnsi="Arial"/>
          <w:sz w:val="15"/>
          <w:szCs w:val="15"/>
          <w:color w:val="auto"/>
        </w:rPr>
        <w:t>New entrants may also enter the market which would further increase competition and could adversely affect our business and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by industry, customer or therapeutic concentration.</w:t>
      </w:r>
    </w:p>
    <w:p>
      <w:pPr>
        <w:spacing w:after="0" w:line="16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policy decisions, distress in financial markets or other factors resulting in a decrease in the number of potential customers or therapeutic products being developed through the drug development process.</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There has been consolidation in the biopharmaceutical market in recent years, including the acquisition of biotechnology companies by pharmaceutical companies. If the number of our potential customers were to decline in the future, they may be able to negotiate price discounts or other terms for services that are less favorable to us than they have been historically.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Financial Results and Financial Position</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9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189"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exchange rate fluctuations could adversely affect our future results of operations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9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 and rising labor costs could adversely affect our future results of operations.</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Inflation and rising labor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costs to our customers. A sustained increase in these costs may require us to increase the price of future service offerings. These actions could adversely affect our future revenue, gross margin, or both.</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effective tax rate may fluctuate from quarter-to-quarter, which may adversely affect our results of operations.</w:t>
      </w:r>
    </w:p>
    <w:p>
      <w:pPr>
        <w:spacing w:after="0" w:line="234"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179"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terms of recent legislative changes which could potentially impact our effective tax rate, on August 16, 2022, the U.S. government enacted the Inflation Reduction Act of 2022 ("IRA"). The IRA introduced a 15% minimum tax on book income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5"/>
          <w:szCs w:val="15"/>
          <w:color w:val="auto"/>
        </w:rPr>
        <w:t>certain large corporations, a 1% excise tax on net stock repurchases, and several tax incentives to promote clean energy, with those tax changes becoming effective in 2023. While these changes did not have any impact on the Company for the year ended December 31, 2024, we are continuing to monitor any potential future tax impacts in this regard.</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cannot predict the impact of any executive orders or regulatory changes that may become effective or enacted by the new administration in the United States.</w:t>
      </w:r>
    </w:p>
    <w:p>
      <w:pPr>
        <w:spacing w:after="0" w:line="246" w:lineRule="exact"/>
        <w:rPr>
          <w:sz w:val="20"/>
          <w:szCs w:val="20"/>
          <w:color w:val="auto"/>
        </w:rPr>
      </w:pPr>
    </w:p>
    <w:p>
      <w:pPr>
        <w:jc w:val="both"/>
        <w:ind w:firstLine="591"/>
        <w:spacing w:after="0" w:line="271" w:lineRule="auto"/>
        <w:rPr>
          <w:sz w:val="20"/>
          <w:szCs w:val="20"/>
          <w:color w:val="auto"/>
        </w:rPr>
      </w:pPr>
      <w:r>
        <w:rPr>
          <w:rFonts w:ascii="Arial" w:cs="Arial" w:eastAsia="Arial" w:hAnsi="Arial"/>
          <w:sz w:val="14"/>
          <w:szCs w:val="14"/>
          <w:color w:val="auto"/>
        </w:rPr>
        <w:t>In terms of a global minimum tax rate, the Organization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December 31,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implemented global minimum tax legislation which has been in force from 1 January 2024. The global tax environment is becoming increasingly complex and management continues to review the impact of a global minimum tax on the Company’s financial performance. Further, regulatory or policy changes in geographies in which we operate may have a material impact on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unsatisfied performance obligation may not convert to revenue and the rate of conversion may slow.</w:t>
      </w:r>
    </w:p>
    <w:p>
      <w:pPr>
        <w:spacing w:after="0" w:line="23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is exposed to various risks in relation to our cash and cash equivalents.</w:t>
      </w:r>
    </w:p>
    <w:p>
      <w:pPr>
        <w:spacing w:after="0" w:line="17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Cash and cash equivalents comprise cash and highly liquid investments with maturities of three months or less.</w:t>
      </w:r>
    </w:p>
    <w:p>
      <w:pPr>
        <w:spacing w:after="0" w:line="197" w:lineRule="exact"/>
        <w:rPr>
          <w:sz w:val="20"/>
          <w:szCs w:val="20"/>
          <w:color w:val="auto"/>
        </w:rPr>
      </w:pPr>
    </w:p>
    <w:p>
      <w:pPr>
        <w:jc w:val="both"/>
        <w:ind w:firstLine="207"/>
        <w:spacing w:after="0" w:line="306" w:lineRule="auto"/>
        <w:rPr>
          <w:sz w:val="20"/>
          <w:szCs w:val="20"/>
          <w:color w:val="auto"/>
        </w:rPr>
      </w:pPr>
      <w:r>
        <w:rPr>
          <w:rFonts w:ascii="Arial" w:cs="Arial" w:eastAsia="Arial" w:hAnsi="Arial"/>
          <w:sz w:val="14"/>
          <w:szCs w:val="14"/>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56"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Although we have not recognized any significant losses to date on our cash and cash equivalents, any significant declines in their market values could have a material adverse effect on our financial position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accounting standards may adversely affect our financial statements.</w:t>
      </w:r>
    </w:p>
    <w:p>
      <w:pPr>
        <w:spacing w:after="0" w:line="22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Impairment of goodwill and intangible assets may adversely impact future results of operations.</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record intangible assets, including goodwill, on our balance sheet on acquisitions of businesses. The initial identification and valuation of these intangible assets and the determination of the estimated useful lives at the time of acquisition involve use of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19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If the future growth and operating results of our business are not as strong as anticipated, overall macroeconomic or industry conditions deteriorate and/or our market capitalization declines, this could impact the assumptions used in establishing the carrying value of goodwill or intangible assets. Should disruption in the global financial markets and deterioration of economic conditions have a prolonged impact on our industry, triggering events may arise resulting in intangible asset, or goodwill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5"/>
          <w:szCs w:val="15"/>
          <w:color w:val="auto"/>
        </w:rPr>
        <w:t>impairments. To the extent intangible assets, or goodwill are impaired, their carrying value will be written down to their implied fair values and a charge will be made to our net income. Such an impairment charge could materially and adversely affect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Indebtedness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We incurred substantial additional indebtedness, which could impair our flexibility and access to capital and could adversely affect the Company’s business, financial condition or results of operations.</w:t>
      </w:r>
    </w:p>
    <w:p>
      <w:pPr>
        <w:spacing w:after="0" w:line="15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Following completion of the Merger and the other transactions contemplated by the Merger Agreement, the Company has a substantial amount of debt. ICON borrowed approximately $6,015.0 million in order to pay PRA stockholders the cash consideration due to them as merger consideration under the Merger Agreement, pay related fees and transaction costs in connection with the transactions, and refinance existing indebtedness.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May 8, 2024, ICON Investments Six Designated Activity Company (the "Issuer"), a wholly-owned subsidiary of ICON</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As of December 31, 2024 we had outstanding $3,446.5 million of debt.</w:t>
      </w:r>
    </w:p>
    <w:p>
      <w:pPr>
        <w:jc w:val="both"/>
        <w:ind w:firstLine="591"/>
        <w:spacing w:after="0" w:line="248" w:lineRule="auto"/>
        <w:rPr>
          <w:sz w:val="20"/>
          <w:szCs w:val="20"/>
          <w:color w:val="auto"/>
        </w:rPr>
      </w:pPr>
      <w:r>
        <w:rPr>
          <w:rFonts w:ascii="Arial" w:cs="Arial" w:eastAsia="Arial" w:hAnsi="Arial"/>
          <w:sz w:val="15"/>
          <w:szCs w:val="15"/>
          <w:color w:val="auto"/>
        </w:rPr>
        <w:t>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spacing w:after="0" w:line="15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Senior Secured Credit Facilities and the indentures governing the 2026 Notes and the New Notes include certain customary covenants that limit our ability to, amongst other things, subject to certain exceptions:</w:t>
      </w:r>
    </w:p>
    <w:p>
      <w:pPr>
        <w:spacing w:after="0" w:line="180" w:lineRule="exact"/>
        <w:rPr>
          <w:sz w:val="20"/>
          <w:szCs w:val="20"/>
          <w:color w:val="auto"/>
        </w:rPr>
      </w:pPr>
    </w:p>
    <w:p>
      <w:pPr>
        <w:ind w:left="580" w:hanging="28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5"/>
          <w:szCs w:val="15"/>
          <w:color w:val="auto"/>
        </w:rPr>
        <w:t>make dividends, investments and other restricted payments;</w:t>
      </w:r>
    </w:p>
    <w:p>
      <w:pPr>
        <w:spacing w:after="0" w:line="14" w:lineRule="exact"/>
        <w:rPr>
          <w:rFonts w:ascii="Arial" w:cs="Arial" w:eastAsia="Arial" w:hAnsi="Arial"/>
          <w:sz w:val="18"/>
          <w:szCs w:val="18"/>
          <w:color w:val="auto"/>
        </w:rPr>
      </w:pPr>
    </w:p>
    <w:p>
      <w:pPr>
        <w:ind w:left="580" w:hanging="28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5"/>
          <w:szCs w:val="15"/>
          <w:color w:val="auto"/>
        </w:rPr>
        <w:t>enter into sale and leaseback transactions;</w:t>
      </w:r>
    </w:p>
    <w:p>
      <w:pPr>
        <w:spacing w:after="0" w:line="5" w:lineRule="exact"/>
        <w:rPr>
          <w:rFonts w:ascii="Arial" w:cs="Arial" w:eastAsia="Arial" w:hAnsi="Arial"/>
          <w:sz w:val="18"/>
          <w:szCs w:val="18"/>
          <w:color w:val="auto"/>
        </w:rPr>
      </w:pPr>
    </w:p>
    <w:p>
      <w:pPr>
        <w:ind w:left="580" w:hanging="286"/>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engage in share buybacks;</w:t>
      </w:r>
    </w:p>
    <w:p>
      <w:pPr>
        <w:spacing w:after="0" w:line="9" w:lineRule="exact"/>
        <w:rPr>
          <w:rFonts w:ascii="Arial" w:cs="Arial" w:eastAsia="Arial" w:hAnsi="Arial"/>
          <w:sz w:val="15"/>
          <w:szCs w:val="15"/>
          <w:color w:val="auto"/>
        </w:rPr>
      </w:pPr>
    </w:p>
    <w:p>
      <w:pPr>
        <w:ind w:left="580" w:hanging="28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5"/>
          <w:szCs w:val="15"/>
          <w:color w:val="auto"/>
        </w:rPr>
        <w:t>incur or assume liens or additional debt;</w:t>
      </w:r>
    </w:p>
    <w:p>
      <w:pPr>
        <w:spacing w:after="0" w:line="12" w:lineRule="exact"/>
        <w:rPr>
          <w:rFonts w:ascii="Arial" w:cs="Arial" w:eastAsia="Arial" w:hAnsi="Arial"/>
          <w:sz w:val="18"/>
          <w:szCs w:val="18"/>
          <w:color w:val="auto"/>
        </w:rPr>
      </w:pPr>
    </w:p>
    <w:p>
      <w:pPr>
        <w:ind w:left="580" w:hanging="286"/>
        <w:spacing w:after="0" w:line="22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5"/>
          <w:szCs w:val="15"/>
          <w:color w:val="auto"/>
        </w:rPr>
        <w:t>engage in mergers or reorganizations; or</w:t>
      </w:r>
    </w:p>
    <w:p>
      <w:pPr>
        <w:spacing w:after="0" w:line="15" w:lineRule="exact"/>
        <w:rPr>
          <w:rFonts w:ascii="Arial" w:cs="Arial" w:eastAsia="Arial" w:hAnsi="Arial"/>
          <w:sz w:val="18"/>
          <w:szCs w:val="18"/>
          <w:color w:val="auto"/>
        </w:rPr>
      </w:pPr>
    </w:p>
    <w:p>
      <w:pPr>
        <w:ind w:left="580" w:hanging="28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5"/>
          <w:szCs w:val="15"/>
          <w:color w:val="auto"/>
        </w:rPr>
        <w:t>enter into certain types of transactions with affiliates.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On December 8, 2023, ICON notified the holders of the 2026 Notes of the upgrade of the instrument rating to investment grade and the consequent suspension of certain of the covenants under the Indenture governing the 2026 Notes. The suspension of these covenants remains in place and will continue so long as the instrument remains at investment grade.</w:t>
      </w:r>
    </w:p>
    <w:p>
      <w:pPr>
        <w:spacing w:after="0" w:line="19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7" w:name="page18"/>
    <w:bookmarkEnd w:id="17"/>
    <w:p>
      <w:pPr>
        <w:jc w:val="both"/>
        <w:spacing w:after="0" w:line="280" w:lineRule="auto"/>
        <w:rPr>
          <w:sz w:val="20"/>
          <w:szCs w:val="20"/>
          <w:color w:val="auto"/>
        </w:rPr>
      </w:pPr>
      <w:r>
        <w:rPr>
          <w:rFonts w:ascii="Arial" w:cs="Arial" w:eastAsia="Arial" w:hAnsi="Arial"/>
          <w:sz w:val="15"/>
          <w:szCs w:val="15"/>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7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w:t>
      </w:r>
    </w:p>
    <w:p>
      <w:pPr>
        <w:spacing w:after="0" w:line="180" w:lineRule="exact"/>
        <w:rPr>
          <w:sz w:val="20"/>
          <w:szCs w:val="20"/>
          <w:color w:val="auto"/>
        </w:rPr>
      </w:pPr>
    </w:p>
    <w:p>
      <w:pPr>
        <w:jc w:val="both"/>
        <w:ind w:firstLine="591"/>
        <w:spacing w:after="0" w:line="237" w:lineRule="auto"/>
        <w:rPr>
          <w:sz w:val="20"/>
          <w:szCs w:val="20"/>
          <w:color w:val="auto"/>
        </w:rPr>
      </w:pPr>
      <w:r>
        <w:rPr>
          <w:rFonts w:ascii="Arial" w:cs="Arial" w:eastAsia="Arial" w:hAnsi="Arial"/>
          <w:sz w:val="15"/>
          <w:szCs w:val="15"/>
          <w:color w:val="auto"/>
        </w:rPr>
        <w:t>On March 14, 2024, the parties to the credit agreement entered into a Third Amendment (the “Third Amendment”) in connection with the repricing of the senior secured term loan facility and the senior secured revolving credit facility.</w:t>
      </w:r>
    </w:p>
    <w:p>
      <w:pPr>
        <w:spacing w:after="0" w:line="20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interest rate margin applicable to borrowings under the senior secured term loan facility is USD Term SOFR plus an applicable margin which is dependent on the Company's net leverage ratio. At December 31, 2024, the applicable margin is 2.0% (which reflects the Third Amendment). The senior secured term loan facility is subject to a floor of 0.50%.</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December 31, 2024, $nil (December 31, 2023: $55.0 million) was outstanding under the revolving loan facility while there was also $nil (December 31, 2023:</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$3.7 million) in letters of credit given to landlords to guarantee lease arrangements under the senior secured revolving loan facility.</w:t>
      </w:r>
    </w:p>
    <w:p>
      <w:pPr>
        <w:spacing w:after="0" w:line="201"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As the Company has variable rate debt, fluctuations in interest rates affect our business. We attempt to minimize interest rate risk by issuing fixed term debt to provide a mix of fixed and floating rate debt in the Company debt portfolio. Although the Company manages it interest rate exposure (at December 31, 2024, 73% of the Company's outstanding debt was at a fixed interest rate (December 31, 2023: 13%)), significant changes in rates at which the Company can borrow could have a material adverse effect on our financial position and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results and ability to access cost effective debt may be adversely impacted if we do not maintain our credit rating.</w:t>
      </w:r>
    </w:p>
    <w:p>
      <w:pPr>
        <w:spacing w:after="0" w:line="210" w:lineRule="exact"/>
        <w:rPr>
          <w:sz w:val="20"/>
          <w:szCs w:val="20"/>
          <w:color w:val="auto"/>
        </w:rPr>
      </w:pPr>
    </w:p>
    <w:p>
      <w:pPr>
        <w:jc w:val="both"/>
        <w:ind w:firstLine="591"/>
        <w:spacing w:after="0" w:line="244" w:lineRule="auto"/>
        <w:rPr>
          <w:sz w:val="20"/>
          <w:szCs w:val="20"/>
          <w:color w:val="auto"/>
        </w:rPr>
      </w:pPr>
      <w:r>
        <w:rPr>
          <w:rFonts w:ascii="Arial" w:cs="Arial" w:eastAsia="Arial" w:hAnsi="Arial"/>
          <w:sz w:val="15"/>
          <w:szCs w:val="15"/>
          <w:color w:val="auto"/>
        </w:rPr>
        <w:t>In Quarter Four, 2023, S&amp;P Global Ratings ('S&amp;P') upgraded ICON to an investment grade credit rating of BBB- with a stable outlook. Further Moody's Investors Service upgraded all of ICON plc’s instrument ratings to Baa3 with a stable outlook. In Quarter Four, 2024 S&amp;P affirmed ICON issuer ratings of BBB- and Moody's Investors Service changed the outlook from stable to positive. Our financial results and ability to access cost effective debt may be adversely impacted if we do not maintain our credit rating.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Political, Legal or Regulatory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business opportunities as a result of healthcare reform and the expansion of managed care organizations.</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85"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In addition to healthcare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7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8" w:name="page19"/>
    <w:bookmarkEnd w:id="18"/>
    <w:p>
      <w:pPr>
        <w:jc w:val="both"/>
        <w:ind w:firstLine="591"/>
        <w:spacing w:after="0" w:line="256" w:lineRule="auto"/>
        <w:rPr>
          <w:sz w:val="20"/>
          <w:szCs w:val="20"/>
          <w:color w:val="auto"/>
        </w:rPr>
      </w:pPr>
      <w:r>
        <w:rPr>
          <w:rFonts w:ascii="Arial" w:cs="Arial" w:eastAsia="Arial" w:hAnsi="Arial"/>
          <w:sz w:val="15"/>
          <w:szCs w:val="15"/>
          <w:color w:val="auto"/>
        </w:rPr>
        <w:t>As previously noted, on August 16, 2022, the U.S. government enacted the IRA, which among other things, authorizes the U.S. Department of Health and Human Services to establish prices for certain single-source drugs and biologics within the Medicare program, commencing in 2026. Furthermore, the IRA contains provisions which impose rebate obligations on manufacturers if price increases outpace inflation. While the full impact of these IRA provisions on our customers in the biopharmaceutical industry remains uncertain, any resultant pressure on our customers’ operating results could lead to a reduction in research and development spend and related outsourcing activities, which could have an adverse impact on our operating results and financial condition.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cannot predict the impact of any executive orders or regulatory changes that may become effective or enacted by the new administration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expose us to risks as a result of changes in global political conditions which could adversely affect our results of operations.</w:t>
      </w:r>
    </w:p>
    <w:p>
      <w:pPr>
        <w:spacing w:after="0" w:line="234"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19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We continue to monitor developments in Israel and the conflict area in the Middle East. Further broadening or escalation of the conflict, or the imposition of international economic sanctions, could adversely affect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business as a result of changes in the regulatory environment</w:t>
      </w:r>
      <w:r>
        <w:rPr>
          <w:rFonts w:ascii="Arial" w:cs="Arial" w:eastAsia="Arial" w:hAnsi="Arial"/>
          <w:sz w:val="15"/>
          <w:szCs w:val="15"/>
          <w:color w:val="auto"/>
        </w:rPr>
        <w:t>.</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5"/>
          <w:szCs w:val="15"/>
          <w:b w:val="1"/>
          <w:bCs w:val="1"/>
          <w:color w:val="auto"/>
        </w:rPr>
        <w:t>.</w:t>
      </w:r>
    </w:p>
    <w:p>
      <w:pPr>
        <w:spacing w:after="0" w:line="151"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If we, or vendors we engage, fail to comply with any of these requirements we could suffer some or all of:</w:t>
      </w:r>
    </w:p>
    <w:p>
      <w:pPr>
        <w:spacing w:after="0" w:line="99" w:lineRule="exact"/>
        <w:rPr>
          <w:sz w:val="20"/>
          <w:szCs w:val="20"/>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termination of or delay in any research;</w:t>
      </w:r>
    </w:p>
    <w:p>
      <w:pPr>
        <w:spacing w:after="0" w:line="21"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disqualification of data;</w:t>
      </w:r>
    </w:p>
    <w:p>
      <w:pPr>
        <w:spacing w:after="0" w:line="5"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denial of the right to conduct business;</w:t>
      </w: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criminal penalties;</w:t>
      </w:r>
    </w:p>
    <w:p>
      <w:pPr>
        <w:spacing w:after="0" w:line="7"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financial penalties;</w:t>
      </w:r>
    </w:p>
    <w:p>
      <w:pPr>
        <w:spacing w:after="0" w:line="5"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enforcement actions including debarment from government contracts;</w:t>
      </w:r>
    </w:p>
    <w:p>
      <w:pPr>
        <w:spacing w:after="0" w:line="7"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loss of clients and/or business; and</w:t>
      </w:r>
    </w:p>
    <w:p>
      <w:pPr>
        <w:spacing w:after="0" w:line="5" w:lineRule="exact"/>
        <w:rPr>
          <w:rFonts w:ascii="Arial" w:cs="Arial" w:eastAsia="Arial" w:hAnsi="Arial"/>
          <w:sz w:val="15"/>
          <w:szCs w:val="15"/>
          <w:color w:val="auto"/>
        </w:rPr>
      </w:pPr>
    </w:p>
    <w:p>
      <w:pPr>
        <w:ind w:left="1180" w:hanging="294"/>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litigation from clients and/or patients and/or regulatory authorities and/or other affected third parties, and resulting material penalties, damages and costs.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We are subject to political, regulatory, operational and legal risks associated with our international operations.</w:t>
      </w:r>
    </w:p>
    <w:p>
      <w:pPr>
        <w:spacing w:after="0" w:line="222"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81" w:lineRule="exact"/>
        <w:rPr>
          <w:sz w:val="20"/>
          <w:szCs w:val="20"/>
          <w:color w:val="auto"/>
        </w:rPr>
      </w:pPr>
    </w:p>
    <w:p>
      <w:pPr>
        <w:jc w:val="both"/>
        <w:ind w:firstLine="591"/>
        <w:spacing w:after="0" w:line="234" w:lineRule="auto"/>
        <w:rPr>
          <w:sz w:val="20"/>
          <w:szCs w:val="20"/>
          <w:color w:val="auto"/>
        </w:rPr>
      </w:pPr>
      <w:r>
        <w:rPr>
          <w:rFonts w:ascii="Arial" w:cs="Arial" w:eastAsia="Arial" w:hAnsi="Arial"/>
          <w:sz w:val="15"/>
          <w:szCs w:val="15"/>
          <w:color w:val="auto"/>
        </w:rPr>
        <w:t>Changes in the political and regulatory environment in the markets in which we operate such as price or exchange controls or tariffs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We continue to monitor developments in other regions, including the Middle East and China, and will assess any impact of trade compliance measures, or other restrictions, on our business.</w:t>
      </w:r>
    </w:p>
    <w:p>
      <w:pPr>
        <w:spacing w:after="0" w:line="216"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0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If any of the above risks or similar risks associated with our international operations were to materialize, our results of operations and financial condition could be materially adversely affected.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18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FCPA, UK Bribery Act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0" w:name="page21"/>
    <w:bookmarkEnd w:id="20"/>
    <w:p>
      <w:pPr>
        <w:jc w:val="both"/>
        <w:ind w:firstLine="591"/>
        <w:spacing w:after="0" w:line="249" w:lineRule="auto"/>
        <w:rPr>
          <w:sz w:val="20"/>
          <w:szCs w:val="20"/>
          <w:color w:val="auto"/>
        </w:rPr>
      </w:pPr>
      <w:r>
        <w:rPr>
          <w:rFonts w:ascii="Arial" w:cs="Arial" w:eastAsia="Arial" w:hAnsi="Arial"/>
          <w:sz w:val="15"/>
          <w:szCs w:val="15"/>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increase in economic sanctions and trade controls, particularly relating to our ongoing operations in Russia, Ukraine and Belarus, has increased the amount of resources necessary to ensure compliance in this area.</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4"/>
          <w:szCs w:val="14"/>
          <w:u w:val="single" w:color="auto"/>
          <w:color w:val="auto"/>
        </w:rPr>
        <w:t>Administrative fines:</w:t>
      </w:r>
      <w:r>
        <w:rPr>
          <w:rFonts w:ascii="Arial" w:cs="Arial" w:eastAsia="Arial" w:hAnsi="Arial"/>
          <w:sz w:val="14"/>
          <w:szCs w:val="14"/>
          <w:color w:val="auto"/>
        </w:rPr>
        <w:t xml:space="preserve"> The GDPR introduced a regime of administrative fines for data protection infringements and provided for a tiered penalty structure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1212215</wp:posOffset>
            </wp:positionH>
            <wp:positionV relativeFrom="paragraph">
              <wp:posOffset>-93980</wp:posOffset>
            </wp:positionV>
            <wp:extent cx="5931535" cy="109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1535" cy="109855"/>
                    </a:xfrm>
                    <a:prstGeom prst="rect">
                      <a:avLst/>
                    </a:prstGeom>
                    <a:noFill/>
                  </pic:spPr>
                </pic:pic>
              </a:graphicData>
            </a:graphic>
          </wp:anchor>
        </w:drawing>
      </w:r>
    </w:p>
    <w:p>
      <w:pPr>
        <w:spacing w:after="0" w:line="1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nature of the infringement. The EU supervisory authorities for the GDPR can directly impose fines on organizations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194"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u w:val="single" w:color="auto"/>
          <w:color w:val="auto"/>
        </w:rPr>
        <w:t>Penalties:</w:t>
      </w:r>
      <w:r>
        <w:rPr>
          <w:rFonts w:ascii="Arial" w:cs="Arial" w:eastAsia="Arial" w:hAnsi="Arial"/>
          <w:sz w:val="15"/>
          <w:szCs w:val="15"/>
          <w:color w:val="auto"/>
        </w:rPr>
        <w:t xml:space="preserve"> The GDPR also permits Member States to implement rules on other penalties applicable to infringements of the GDPR, in particular, for infringements which are not subject to administrative fines under the GDPR itself. Therefore, Member States may legislate for further fines or penalties that may be criminal in nature.</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u w:val="single" w:color="auto"/>
          <w:color w:val="auto"/>
        </w:rPr>
        <w:t>Right to compensation of data subjects:</w:t>
      </w:r>
      <w:r>
        <w:rPr>
          <w:rFonts w:ascii="Arial" w:cs="Arial" w:eastAsia="Arial" w:hAnsi="Arial"/>
          <w:sz w:val="15"/>
          <w:szCs w:val="15"/>
          <w:color w:val="auto"/>
        </w:rPr>
        <w:t xml:space="preserve"> In addition to the risk of administrative and criminal penalties, the GDPR also provides that any person who has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-100965</wp:posOffset>
            </wp:positionV>
            <wp:extent cx="5102225" cy="109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02225" cy="109855"/>
                    </a:xfrm>
                    <a:prstGeom prst="rect">
                      <a:avLst/>
                    </a:prstGeom>
                    <a:noFill/>
                  </pic:spPr>
                </pic:pic>
              </a:graphicData>
            </a:graphic>
          </wp:anchor>
        </w:drawing>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176" w:lineRule="exact"/>
        <w:rPr>
          <w:sz w:val="20"/>
          <w:szCs w:val="20"/>
          <w:color w:val="auto"/>
        </w:rPr>
      </w:pPr>
    </w:p>
    <w:p>
      <w:pPr>
        <w:jc w:val="both"/>
        <w:ind w:firstLine="591"/>
        <w:spacing w:after="0" w:line="243" w:lineRule="auto"/>
        <w:rPr>
          <w:sz w:val="20"/>
          <w:szCs w:val="20"/>
          <w:color w:val="auto"/>
        </w:rPr>
      </w:pPr>
      <w:r>
        <w:rPr>
          <w:rFonts w:ascii="Arial" w:cs="Arial" w:eastAsia="Arial" w:hAnsi="Arial"/>
          <w:sz w:val="15"/>
          <w:szCs w:val="15"/>
          <w:u w:val="single" w:color="auto"/>
          <w:color w:val="auto"/>
        </w:rPr>
        <w:t>Corrective Powers of the supervisory authorities:</w:t>
      </w:r>
      <w:r>
        <w:rPr>
          <w:rFonts w:ascii="Arial" w:cs="Arial" w:eastAsia="Arial" w:hAnsi="Arial"/>
          <w:sz w:val="15"/>
          <w:szCs w:val="15"/>
          <w:color w:val="auto"/>
        </w:rPr>
        <w:t xml:space="preserve"> Each supervisory authority across the Member States of the EU also has corrective powers. Supervisory authorities have the power to order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organization.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-546100</wp:posOffset>
            </wp:positionV>
            <wp:extent cx="4655820" cy="109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55820" cy="109855"/>
                    </a:xfrm>
                    <a:prstGeom prst="rect">
                      <a:avLst/>
                    </a:prstGeom>
                    <a:noFill/>
                  </pic:spPr>
                </pic:pic>
              </a:graphicData>
            </a:graphic>
          </wp:anchor>
        </w:drawing>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organizations processing that personal data. As a global organization, ICON must ensure that our privacy posture continues to adapt to these new laws and regulations.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1" w:name="page22"/>
    <w:bookmarkEnd w:id="21"/>
    <w:p>
      <w:pPr>
        <w:jc w:val="both"/>
        <w:ind w:firstLine="591"/>
        <w:spacing w:after="0" w:line="252" w:lineRule="auto"/>
        <w:rPr>
          <w:sz w:val="20"/>
          <w:szCs w:val="20"/>
          <w:color w:val="auto"/>
        </w:rPr>
      </w:pPr>
      <w:r>
        <w:rPr>
          <w:rFonts w:ascii="Arial" w:cs="Arial" w:eastAsia="Arial" w:hAnsi="Arial"/>
          <w:sz w:val="15"/>
          <w:szCs w:val="15"/>
          <w:color w:val="auto"/>
        </w:rPr>
        <w:t>From a US perspective, the confidentiality, collection, use and disclosure of personal data, including clinical trial patient-specific information, is regulated at the federal and state level. The Federal Trade Commission, or FTC, is an independent U.S. law enforcement agency charged with protecting consumers and enhancing competition across broad sectors of the economy. The FTC’s authority with respect to data privacy and security comes from Section 5 of the FTC Act. The FTC uses its broad grant of authority to regulate data privacy and security, using including, but not limited to, requiring the implementation of comprehensive privacy and security programs, biennial assessments by independent experts, monetary redress to consumers, and provision of robust notice and choice mechanisms to consumers. Similar laws exist at the state level, which are used by state attorneys general to enforce against privacy and security-related acts or practices deemed to be unfair or deceptive.</w:t>
      </w:r>
    </w:p>
    <w:p>
      <w:pPr>
        <w:spacing w:after="0" w:line="195"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More than 15 US states have adopted a comprehensive consumer privacy law or a consumer health data privacy law that regulates how certain businesses collect, use, and disclose the personal information of consumers residing in the state. In general, these laws provide for certain consumer privacy rights and impose transparency standards for business data collection and processing practices. These laws have broad exemptions for personal information that constitutes protected health information under the Health Insurance Portability and Accountability Act of 1996 ("HIPAA") and de-identified health data as defined under HIPAA. As a result, we do not expect to have compliance obligations under these laws with respect to most patient information we collect and process. However, we are required to comply with these consumer privacy laws insofar as we collect other categories of consumers’ personal information, which could include, for example, information about website visitors. These state consumer privacy laws are generally enforced by the respective state Attorney General. California’s law also includes a private right of action for certain data breaches. Dozens of other states are currently considering similar consumer privacy laws, which could impact our operations if enacted.</w:t>
      </w:r>
    </w:p>
    <w:p>
      <w:pPr>
        <w:spacing w:after="0" w:line="196" w:lineRule="exact"/>
        <w:rPr>
          <w:sz w:val="20"/>
          <w:szCs w:val="20"/>
          <w:color w:val="auto"/>
        </w:rPr>
      </w:pPr>
    </w:p>
    <w:p>
      <w:pPr>
        <w:jc w:val="both"/>
        <w:ind w:firstLine="591"/>
        <w:spacing w:after="0" w:line="324" w:lineRule="auto"/>
        <w:rPr>
          <w:sz w:val="20"/>
          <w:szCs w:val="20"/>
          <w:color w:val="auto"/>
        </w:rPr>
      </w:pPr>
      <w:r>
        <w:rPr>
          <w:rFonts w:ascii="Arial" w:cs="Arial" w:eastAsia="Arial" w:hAnsi="Arial"/>
          <w:sz w:val="14"/>
          <w:szCs w:val="14"/>
          <w:color w:val="auto"/>
        </w:rPr>
        <w:t>The US federal administrative simplification regulations under HIPAA require individuals’ written authorization, in addition to any required informed consent, before protected health information may be used for research (unless an institutional review board has waived the authorization requirement or another exception applies).</w:t>
      </w:r>
    </w:p>
    <w:p>
      <w:pPr>
        <w:spacing w:after="0" w:line="14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are directly regulated by HIPAA as a “business associate” because we obtain individually identifiable health information from “covered entity” third parties that are subject to such regulations. We can be directly liable to the covered entity contractually for mishandling protected health information and, under HIPAA’s enforcement scheme, we can be subject to up to approximately $2.1 million per year in civil money penalties for multiple violations of the same HIPAA requirement in 2024. The per violation penalties and calendar year cap on penalties are adjusted annually for inflation under the Federal Civil Penalties Inflation Adjustment Act.</w:t>
      </w:r>
    </w:p>
    <w:p>
      <w:pPr>
        <w:spacing w:after="0" w:line="20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7"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2" w:name="page23"/>
    <w:bookmarkEnd w:id="22"/>
    <w:p>
      <w:pPr>
        <w:jc w:val="both"/>
        <w:spacing w:after="0" w:line="280" w:lineRule="auto"/>
        <w:rPr>
          <w:sz w:val="20"/>
          <w:szCs w:val="20"/>
          <w:color w:val="auto"/>
        </w:rPr>
      </w:pPr>
      <w:r>
        <w:rPr>
          <w:rFonts w:ascii="Arial" w:cs="Arial" w:eastAsia="Arial" w:hAnsi="Arial"/>
          <w:sz w:val="15"/>
          <w:szCs w:val="15"/>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2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contracts in the public segment are generally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Liability claims brought against us could result in payment of substantial damages, costs and liabilities and decrease our profitability.</w:t>
      </w:r>
    </w:p>
    <w:p>
      <w:pPr>
        <w:spacing w:after="0" w:line="22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 xml:space="preserve">We may face legal claims involving stockholders, consumers, clinical trial subjects, competitors, regulators and other parties. See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in Part A, Item 8 of this Form 20-F.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Customer Claims</w:t>
      </w:r>
    </w:p>
    <w:p>
      <w:pPr>
        <w:spacing w:after="0" w:line="22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Claims relating to Investigators</w:t>
      </w:r>
    </w:p>
    <w:p>
      <w:pPr>
        <w:spacing w:after="0" w:line="22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Indemnification from Customers</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Insurance</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Claims to Date</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Environmental, social and governance matters may impact our business and reputation.</w:t>
      </w:r>
    </w:p>
    <w:p>
      <w:pPr>
        <w:spacing w:after="0" w:line="222"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Customers may have specific ESG related requirements or targets and if we fail to meet these targets, we may lose business.</w:t>
      </w:r>
    </w:p>
    <w:p>
      <w:pPr>
        <w:spacing w:after="0" w:line="186"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stakeholders’ increased focus on ESG matters and the lack of clear consensus and guidelines on the issues,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96"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4"/>
          <w:szCs w:val="14"/>
          <w:color w:val="auto"/>
        </w:rPr>
        <w:t>Increasing focus on ESG matters has resulted in, and is expected to continue to result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addition, our selection of voluntary disclosure frameworks and standards, and the interpretation or application of those frameworks and standards, may change from time to time or may not meet the expectations of investors or other stakeholders. Our ability to achieve our ESG expectations and commitments is subject to numerous risks, many of which are outside of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Volatility in the market price of our common stock could lead to losses by investors.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market price of our common stock has experienced volatility in the past and may experience volatility in the future which could lead to losses 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Factors impacting volatility in the market price of our common stock include, amongst others:</w:t>
      </w:r>
    </w:p>
    <w:p>
      <w:pPr>
        <w:spacing w:after="0" w:line="213" w:lineRule="exact"/>
        <w:rPr>
          <w:sz w:val="20"/>
          <w:szCs w:val="20"/>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market and economic conditions;</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results of operations;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issuance of new or changed securities analysts’ reports or recommendations;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developments impacting the industry or our competitors;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declines in the market prices of stocks generally;</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ind w:left="620" w:hanging="326"/>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new products, acquisitions, joint marketing relationships, joint ventures, other strategic</w:t>
      </w:r>
    </w:p>
    <w:p>
      <w:pPr>
        <w:ind w:left="600"/>
        <w:spacing w:after="0"/>
        <w:rPr>
          <w:sz w:val="20"/>
          <w:szCs w:val="20"/>
          <w:color w:val="auto"/>
        </w:rPr>
      </w:pPr>
      <w:r>
        <w:rPr>
          <w:rFonts w:ascii="Arial" w:cs="Arial" w:eastAsia="Arial" w:hAnsi="Arial"/>
          <w:sz w:val="15"/>
          <w:szCs w:val="15"/>
          <w:color w:val="auto"/>
        </w:rPr>
        <w:t>relationships or capital commitments;</w:t>
      </w: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public's reaction to press releases, other public announcements by us or third parties, including our filings with the SEC;</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guidance, if any, that we provide to the public, any changes in this guidance or failure to meet this guidance;</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the credit rating of our debt;</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sale, or anticipated sale, of large blocks of our stock;</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regulatory or political developments;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performance on ESG matters;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litigation and governmental investigations;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changing economic conditions;</w:t>
      </w:r>
    </w:p>
    <w:p>
      <w:pPr>
        <w:spacing w:after="0" w:line="5" w:lineRule="exact"/>
        <w:rPr>
          <w:rFonts w:ascii="Arial" w:cs="Arial" w:eastAsia="Arial" w:hAnsi="Arial"/>
          <w:sz w:val="15"/>
          <w:szCs w:val="15"/>
          <w:color w:val="auto"/>
        </w:rPr>
      </w:pPr>
    </w:p>
    <w:p>
      <w:pPr>
        <w:ind w:left="580" w:hanging="286"/>
        <w:spacing w:after="0" w:line="222"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exchange rate fluctuations;</w:t>
      </w: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natural disasters, war, acts of terrorism or responses to those events.</w:t>
      </w:r>
    </w:p>
    <w:p>
      <w:pPr>
        <w:spacing w:after="0" w:line="225"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An investor's return may be reduced if we lose our foreign private issuer status.</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expect to pay any cash dividends for the foreseeable future.</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9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51"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5" w:name="page26"/>
    <w:bookmarkEnd w:id="25"/>
    <w:p>
      <w:pPr>
        <w:jc w:val="center"/>
        <w:ind w:right="8600"/>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Information on the Company.</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  History and development</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 public limited company (“ICON plc”) is a contract research organization (“CRO”), founded in Dublin, Ireland in 1990. For over thirty years we have grown significantly to become a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185"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4"/>
          <w:szCs w:val="14"/>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168"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203"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 Recent investments, which continue to strengthen our service offerings to meet the needs of our customers include:</w:t>
      </w:r>
    </w:p>
    <w:p>
      <w:pPr>
        <w:spacing w:after="0" w:line="20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On August 19, 2024, the Company acquired the KCR S.A Group ("KCR"), a CRO offering full service and functional services partnership ("FSP") clinical trial services. On January 9, 2024, the Company acquired HumanFirst, Inc. ("HumanFirst"), a life sciences technology company.</w:t>
      </w:r>
    </w:p>
    <w:p>
      <w:pPr>
        <w:spacing w:after="0" w:line="19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On October 2, 2023, the Company acquired 100% of the equity of BioTel Research, LLC which comprised the business formerly known as Philips Pharma Solutions, a leading provider of medical imaging and cardiac safety monitoring services. On April 20, 2023, the Company completed the purchase of the majority investor's 51% voting share capital of Oncacare Limited (such that Oncacare and its subsidiaries became wholly-owned subsidiaries of the ICON Group), a global network of oncology research sites that provide a unique patient recruitment and delivery solution for the clinical research industry.</w:t>
      </w:r>
    </w:p>
    <w:p>
      <w:pPr>
        <w:spacing w:after="0" w:line="191"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Upon completion of the Acquisition, PRA became a wholly owned subsidiary within the ICON Group. The Acquisition has transformed the scale and capabilities of the Company. The combined Company leverages its enhanced operations to transform clinical trials and accelerate biopharma customers’ commercial success through the development of much needed medicines and medical devices. The combined Company retained the name ICON and brought together approximately 38,000 (as at the Merger date) employees across the globe, creating one of the world’s most advanced healthcare intelligence and clinical research organizations. The total value of the Merger consideration was $12.0 billion and has resulted in the recognition of goodwill of $8.1 billion, intangible assets of $4.9 billion and an associated deferred tax liability of $1.1 billion.</w:t>
      </w:r>
    </w:p>
    <w:p>
      <w:pPr>
        <w:spacing w:after="0" w:line="194"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color w:val="auto"/>
        </w:rPr>
        <w:t>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As of December 31, 2024, $4,568.6 million of the senior secured term loan facility has been repaid through cash flow ($2,581.8 million) and refinancing ($1,986.8 million - refer to the New Notes below) in the period since the completion of the Merger. At December 31, 2024, $946.4 million was outstanding under the senior secured term loan facility (December 31, 2023: $3,251.2 million). As at December 31, 2024, $nil (December 31, 2023: $55.0 million) was drawn under the senior secured revolving loan facility while there was also $nil (December 31, 2023: $3.7 million) in letters of credit given to landlords to guarantee lease arrangements under the senior secured revolving loan facility.</w:t>
      </w:r>
    </w:p>
    <w:p>
      <w:pPr>
        <w:spacing w:after="0" w:line="193"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With approximately 41,900 employees across the globe,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1098550</wp:posOffset>
            </wp:positionV>
            <wp:extent cx="6826250" cy="3795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826250" cy="379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73025</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rPr>
          <w:sz w:val="20"/>
          <w:szCs w:val="20"/>
          <w:color w:val="auto"/>
        </w:rPr>
      </w:pPr>
      <w:r>
        <w:rPr>
          <w:rFonts w:ascii="Arial" w:cs="Arial" w:eastAsia="Arial" w:hAnsi="Arial"/>
          <w:sz w:val="15"/>
          <w:szCs w:val="15"/>
          <w:i w:val="1"/>
          <w:iCs w:val="1"/>
          <w:color w:val="auto"/>
        </w:rPr>
        <w:t>Share repurchase program</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February 20, 2024, the Company's Board of Directors authorized a new buyback program of up to $500.0 million of the outstanding ordinary shares of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Company. On October 22, 2024, the Company's Board of Directors authorized an additional buyback program of up to $250.0 million of the outstanding ordinary shares of the Company. During the year ended December 31, 2024, 2,179,699 ordinary shares were redeemed by the Company for a total consideration of $500.0 million.</w:t>
      </w:r>
    </w:p>
    <w:p>
      <w:pPr>
        <w:spacing w:after="0" w:line="19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A resolution was passed at the Company’s Annual General Meeting (“AGM”) on July 23, 2024, which renewed the authorization for the Directors to purchase (buyback) up to 10% of the outstanding shares in the Company. All ordinary shares that were repurchased under the buyback program were canceled in accordance with the constitution of the Company and the nominal value of these shares transferred to other undenominated capital as required by Irish Company law.</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New Notes</w:t>
      </w:r>
    </w:p>
    <w:p>
      <w:pPr>
        <w:spacing w:after="0" w:line="195" w:lineRule="exact"/>
        <w:rPr>
          <w:sz w:val="20"/>
          <w:szCs w:val="20"/>
          <w:color w:val="auto"/>
        </w:rPr>
      </w:pPr>
    </w:p>
    <w:p>
      <w:pPr>
        <w:jc w:val="both"/>
        <w:ind w:firstLine="591"/>
        <w:spacing w:after="0" w:line="23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of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On July 10, 2024, the New Notes were admitted to the Official List (the “Official List”) of The International Stock Exchange (the “Exchange”).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Repricing - senior secured term loan facility and senior secured revolving credit facility</w:t>
      </w:r>
    </w:p>
    <w:p>
      <w:pPr>
        <w:spacing w:after="0" w:line="19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On March 14,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180"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89"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 repayment</w:t>
      </w:r>
    </w:p>
    <w:p>
      <w:pPr>
        <w:spacing w:after="0" w:line="208"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During the year ended December 31, 2024, the Company made mandatory and voluntary principal repayments of $2,304.8 million (December 31, 2023: mandatory and voluntary principal repayments of $950.0 million) of the senior secured term loan facility. The voluntary repayments made during the year ended December 31, 2024 resulted in an accelerated charge associated with previously capitalized fees of $16.9 million.</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 addition, during the year ended December 31, 2024, the Company drew $318.0 million (December 31, 2023: $370.0 million) of the senior secured revolving loan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facility and repaid $373.0 million (December 31, 2023: $315.0 million). At December 31, 2024, $nil was drawn under the senior secured revolving loan facility</w:t>
      </w:r>
    </w:p>
    <w:p>
      <w:pPr>
        <w:spacing w:after="0"/>
        <w:rPr>
          <w:sz w:val="20"/>
          <w:szCs w:val="20"/>
          <w:color w:val="auto"/>
        </w:rPr>
      </w:pPr>
      <w:r>
        <w:rPr>
          <w:rFonts w:ascii="Arial" w:cs="Arial" w:eastAsia="Arial" w:hAnsi="Arial"/>
          <w:sz w:val="15"/>
          <w:szCs w:val="15"/>
          <w:color w:val="auto"/>
        </w:rPr>
        <w:t>(December 31, 2023: $55.0 million). Refer to note 13. Bank credit lines, loan facilities and notes for further details on the Company's Senior Secured Credit Facilities.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exchange</w:t>
      </w:r>
    </w:p>
    <w:p>
      <w:pPr>
        <w:spacing w:after="0" w:line="208" w:lineRule="exact"/>
        <w:rPr>
          <w:sz w:val="20"/>
          <w:szCs w:val="20"/>
          <w:color w:val="auto"/>
        </w:rPr>
      </w:pPr>
    </w:p>
    <w:p>
      <w:pPr>
        <w:jc w:val="both"/>
        <w:ind w:firstLine="591"/>
        <w:spacing w:after="0" w:line="245" w:lineRule="auto"/>
        <w:rPr>
          <w:sz w:val="20"/>
          <w:szCs w:val="20"/>
          <w:color w:val="auto"/>
        </w:rPr>
      </w:pPr>
      <w:r>
        <w:rPr>
          <w:rFonts w:ascii="Arial" w:cs="Arial" w:eastAsia="Arial" w:hAnsi="Arial"/>
          <w:sz w:val="14"/>
          <w:szCs w:val="14"/>
          <w:color w:val="auto"/>
        </w:rPr>
        <w:t>The Company prepares its financial statements in United States dollars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the local currencies of where our global operations are based. Accordingly, changes in exchange rates between the United States dollar and those other currencies could have a material adverse effect on the Company’s financial results. In the year ended December 31, 2024, the Company recorded foreign currency gains of $18.1 million.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Board of Directors composition &amp; Executive Leadership</w:t>
      </w:r>
    </w:p>
    <w:p>
      <w:pPr>
        <w:spacing w:after="0" w:line="22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On July 23, 2024, Ms. Joan Garahy retired from the Board of Directors and Ms. Anne Whitaker was appointed to the Board of Directors. Mr. Nigel Clerkin commenced employment with the Company in October 2024 and effective October 31, 2024 took over from Mr. Brendan Brennan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8" w:name="page29"/>
    <w:bookmarkEnd w:id="28"/>
    <w:p>
      <w:pPr>
        <w:ind w:left="300"/>
        <w:spacing w:after="0"/>
        <w:rPr>
          <w:sz w:val="20"/>
          <w:szCs w:val="20"/>
          <w:color w:val="auto"/>
        </w:rPr>
      </w:pPr>
      <w:r>
        <w:rPr>
          <w:rFonts w:ascii="Arial" w:cs="Arial" w:eastAsia="Arial" w:hAnsi="Arial"/>
          <w:sz w:val="15"/>
          <w:szCs w:val="15"/>
          <w:b w:val="1"/>
          <w:bCs w:val="1"/>
          <w:color w:val="auto"/>
        </w:rPr>
        <w:t>B.  Business Overview</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 is a global provider of outsourced development and commercialization services to pharmaceutical, biotechnology, medical device, and government and public health organizations.</w:t>
      </w:r>
    </w:p>
    <w:p>
      <w:pPr>
        <w:spacing w:after="0" w:line="168"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We offer a full range of clinical, consulting and commercial services that range from clinical development strategy, planning and trial design, to full study execution, and post-market commercialization.</w:t>
      </w:r>
    </w:p>
    <w:p>
      <w:pPr>
        <w:spacing w:after="0" w:line="16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ICON provides its services across a range of clinical outsourcing operating models including strategic partnerships, preferred provider, full-service delivery to functional service provision and stand-alone services.</w:t>
      </w:r>
    </w:p>
    <w:p>
      <w:pPr>
        <w:spacing w:after="0" w:line="19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-15240</wp:posOffset>
            </wp:positionV>
            <wp:extent cx="5352415" cy="255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52415" cy="255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continue to invest in technology and data analytics capabilities.</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 maintains a sustained focus on research and development. We continue to enhance our portfolio of data solutions and decentralized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At December 31, 2024, we employed approximately 41,900 employees in 106 locations in 55 countries. During the year ended December 31, 2024, we derived 36.0%, 52.6% and 11.4% of our revenue in the United States, Europe and Rest of World,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ICON strategy</w:t>
      </w:r>
    </w:p>
    <w:p>
      <w:pPr>
        <w:spacing w:after="0" w:line="222"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 (see www.iconplc.com/awards).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29" w:name="page30"/>
    <w:bookmarkEnd w:id="29"/>
    <w:p>
      <w:pPr>
        <w:jc w:val="both"/>
        <w:ind w:firstLine="591"/>
        <w:spacing w:after="0" w:line="255" w:lineRule="auto"/>
        <w:rPr>
          <w:sz w:val="20"/>
          <w:szCs w:val="20"/>
          <w:color w:val="auto"/>
        </w:rPr>
      </w:pPr>
      <w:r>
        <w:rPr>
          <w:rFonts w:ascii="Arial" w:cs="Arial" w:eastAsia="Arial" w:hAnsi="Arial"/>
          <w:sz w:val="14"/>
          <w:szCs w:val="14"/>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 We believe innovation in the biopharma sector has been fueled by recent advances in technology, improving scientific profiles of drug targets, and increasing the pipeline of quality assets that can be investigated for further development. This provides biopharma companies an opportunity to strengthen their development pipeline with promising drug candidates, particularly those that are facing challenging patent expiries to their current marketed products.</w:t>
      </w:r>
    </w:p>
    <w:p>
      <w:pPr>
        <w:spacing w:after="0" w:line="206"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believe regulatory and reimbursement pressures will increase the emphasis on late stage (post marketing) research, while increasing requirements to demonstrate the economic value of new treatments.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outsourced development partners.</w:t>
      </w:r>
    </w:p>
    <w:p>
      <w:pPr>
        <w:spacing w:after="0" w:line="191"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expect that continued outsourcing will be a core strategy of clients in the near and mid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clinical development models. More recently we have seen the increasing adoption of this reduced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96"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114300</wp:posOffset>
            </wp:positionV>
            <wp:extent cx="5352415" cy="2652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2415"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Patient Access &amp; Engagement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ICON has a focused patient, site and data strategy, which is helping us to improve site identification, study placement and patient recruitment and retention.</w:t>
      </w:r>
    </w:p>
    <w:p>
      <w:pPr>
        <w:spacing w:after="0" w:line="22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Accellacare is ICON's global clinical research network offering customers a wide range of stand-alone and integrated solutions at site or in patients' homes as part of decentralized trials. Our patient centric approach accelerates study start-up and increases patient recruitment and retention for the pharmaceutical, biotechnology and medical device industries.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0" w:name="page31"/>
    <w:bookmarkEnd w:id="30"/>
    <w:p>
      <w:pPr>
        <w:jc w:val="both"/>
        <w:ind w:firstLine="591"/>
        <w:spacing w:after="0" w:line="239" w:lineRule="auto"/>
        <w:rPr>
          <w:sz w:val="20"/>
          <w:szCs w:val="20"/>
          <w:color w:val="auto"/>
        </w:rPr>
      </w:pPr>
      <w:r>
        <w:rPr>
          <w:rFonts w:ascii="Arial" w:cs="Arial" w:eastAsia="Arial" w:hAnsi="Arial"/>
          <w:sz w:val="15"/>
          <w:szCs w:val="15"/>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and retention. Accellacare In-Home Services has experience in more than 500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204"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The Accellacare Site Network encompasses 21 owned/embedded sites across the US, UK and Spain as well as a number of collaboration agreements with other sites. Accellacare offers a quality focused clinical research infrastructure delivering value and benefits to sponsors. Accellacare supports customers with faster start-up and the time from site selection to site initiation visit when compared to other sites. Furthermore, Accellacare achieves on average more patients per site when compared to other sites.</w:t>
      </w:r>
    </w:p>
    <w:p>
      <w:pPr>
        <w:spacing w:after="0" w:line="18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2024, Accellacare Site Network further optimized its site partnerships and focused on enhancing capabilities within its US locations with a continued focus on Central nervous system (CNS) capabilities. This included onboarding two new CNS specialist sites in California.</w:t>
      </w:r>
    </w:p>
    <w:p>
      <w:pPr>
        <w:spacing w:after="0" w:line="168"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In 2024, the Elite Sites, ICON's dedicated program for top-tier site networks, was designed to offer an infrastructure for those networks who have set themselves apart. These networks have been selected for their high-performance quality, consistency with faster start-up, and ability to meet or exceed recruitment commitments. With the use of ICON’s Elite Site program, the aim is for clients to increase reliability with delivery, reduce site or country footprint, shorten overall study timelines and ultimately get drugs to market faster. ICON Elite Sites have been selected to align with a few key therapeutic areas – Oncology, Neurosciences, and Gastrointestinal/ Non-alcoholic steatohepatitis (NASH) in which these networks have shown the ability to be true differentiators for our clients and study teams. The ICON Elite Sites program has a global reach, including 3 networks presently, and will continue to expand to best support our clients.</w:t>
      </w:r>
    </w:p>
    <w:p>
      <w:pPr>
        <w:spacing w:after="0" w:line="215"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Finding and engaging suitable patients to conduct clinical trials is one of the biggest issues facing the drug development industry today.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w:t>
      </w:r>
    </w:p>
    <w:p>
      <w:pPr>
        <w:spacing w:after="0" w:line="20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ICON's site networks enhance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Career development and employer of choice</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 is an award-winning workplace that enables our employees to make a difference to patients’ lives by being part of a world-class clinical research organization that helps deliver new medicines &amp; medical devices that are benefiting patients worldwide.</w:t>
      </w:r>
    </w:p>
    <w:p>
      <w:pPr>
        <w:spacing w:after="0" w:line="16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global team of over 41,900 is united in purpose, working together in an inclusive environment to help solve some of the world’s most complex healthcare challenges. We value integrity, inclusion, collaboration and agility, which together form our ‘Own it’ culture that fosters innovative ideas and a vibrant workplace.</w:t>
      </w:r>
    </w:p>
    <w:p>
      <w:pPr>
        <w:spacing w:after="0" w:line="19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success depends on the knowledge, skills and calibre of our people. That’s why we are committed to developing a continuous learning culture – one where we challenge employees with engaging work and where every experience adds to their professional development.</w:t>
      </w:r>
    </w:p>
    <w:p>
      <w:pPr>
        <w:spacing w:after="0" w:line="19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Through our industry leading learning management system, internally developed professional development programs and partnerships with leading academic institutions, employees are encouraged to broaden their scientific, technical and business knowledge.</w:t>
      </w:r>
    </w:p>
    <w:p>
      <w:pPr>
        <w:spacing w:after="0" w:line="18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Employees also have access to tools that will help them develop the skills to support their career aspirations. With a strong emphasis on personal and professional development, ICON equips employees with the skills, knowledge and expertise to</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5"/>
          <w:szCs w:val="15"/>
          <w:color w:val="auto"/>
        </w:rPr>
        <w:t>navigate and succeed in a dynamic work environment. At ICON, we provide growth opportunities for every stage of an employee’s career, empowering them to progress and reach new heights.</w:t>
      </w:r>
    </w:p>
    <w:p>
      <w:pPr>
        <w:spacing w:after="0" w:line="19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We offer competitive total rewards packages that are designed with employee health, wealth and well-being in mind. Fair and equitable pay is core to our reward ethos, and we celebrate and reward high performance. Our benefits are focused on well-being and work-life balance for employees and their family.</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From training and development programs to mentorship and coaching, we're committed to helping our employees reach their full potential.</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Enduring customer partnerships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continue to focus on expanding and deepening our partnerships with existing customers, while also developing new customer relationships.</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6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also invested significantly in our site and patient network (Accellacare), and consider our expertise and offering in this area as one of our strategic pillars.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Healthcare intelligence and applied innovation</w:t>
      </w:r>
    </w:p>
    <w:p>
      <w:pPr>
        <w:spacing w:after="0" w:line="19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68"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20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195"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ICON’s proprietary One Search tool helps to efficiently and effectively identify optimum trial sites.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21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color w:val="auto"/>
        </w:rPr>
        <w:t>queries originated from investigator sites. FIRECREST is now integrated into the ICON Safety Reporting Solution and provides a Site Question Management Tool.</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ICON Patient Engagement Platform was developed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Operational excellence, quality and delivery</w:t>
      </w:r>
    </w:p>
    <w:p>
      <w:pPr>
        <w:spacing w:after="0" w:line="23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9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Capabilities and service offerings</w:t>
      </w:r>
    </w:p>
    <w:p>
      <w:pPr>
        <w:spacing w:after="0" w:line="23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believe ICON is the world’s largest pure-play contract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Our focus is on delivering Healthcare Intelligence to customers to address the full spectrum of clinical development challenges, not just point-of-service delivery. The synthesis of our experience, expertise, best practices, technology and data provides patient centric processes, commercially optimized for global success, and is driving transformation of trials to improve R&amp;D return on investment.</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 selection to Phase I-IV clinical studies and post approval outcome research and market access consulting solutions, and can be adapted to suit local trials or large global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1172845</wp:posOffset>
            </wp:positionH>
            <wp:positionV relativeFrom="page">
              <wp:posOffset>534670</wp:posOffset>
            </wp:positionV>
            <wp:extent cx="5203825" cy="7371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203825" cy="737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73025</wp:posOffset>
            </wp:positionV>
            <wp:extent cx="7169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color w:val="auto"/>
        </w:rPr>
        <w:t>Industry overview</w:t>
      </w:r>
    </w:p>
    <w:p>
      <w:pPr>
        <w:spacing w:after="0" w:line="222"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as well as bring drugs, biologics, patent-protected medicinal product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 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157" w:lineRule="exact"/>
        <w:rPr>
          <w:sz w:val="20"/>
          <w:szCs w:val="20"/>
          <w:color w:val="auto"/>
        </w:rPr>
      </w:pPr>
    </w:p>
    <w:p>
      <w:pPr>
        <w:jc w:val="both"/>
        <w:ind w:firstLine="591"/>
        <w:spacing w:after="0" w:line="248" w:lineRule="auto"/>
        <w:rPr>
          <w:sz w:val="20"/>
          <w:szCs w:val="20"/>
          <w:color w:val="auto"/>
        </w:rPr>
      </w:pPr>
      <w:r>
        <w:rPr>
          <w:rFonts w:ascii="Arial" w:cs="Arial" w:eastAsia="Arial" w:hAnsi="Arial"/>
          <w:sz w:val="15"/>
          <w:szCs w:val="15"/>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New drug development overview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ethical pharmaceuticals and biologics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Before a new drug or biologic may be marketed, it must undergo extensive testing and regulatory review to determine that it is safe and effective. The following discussion primarily relates to the US FDA approval process for such products. Similar procedures must be followed for product development with other global regulatory agencies. The stages of this development process are as follows:</w:t>
      </w:r>
    </w:p>
    <w:p>
      <w:pPr>
        <w:spacing w:after="0" w:line="18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b w:val="1"/>
          <w:bCs w:val="1"/>
          <w:i w:val="1"/>
          <w:iCs w:val="1"/>
          <w:color w:val="auto"/>
        </w:rPr>
        <w:t xml:space="preserve">Preclinical Research </w:t>
      </w:r>
      <w:r>
        <w:rPr>
          <w:rFonts w:ascii="Arial" w:cs="Arial" w:eastAsia="Arial" w:hAnsi="Arial"/>
          <w:sz w:val="15"/>
          <w:szCs w:val="15"/>
          <w:color w:val="auto"/>
        </w:rPr>
        <w:t>“In vitro” (test tube) and animal studies must be conducted in accordance with applicable regulations to establish the relative toxicity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 ICON can provide expert advice for preclinical programs, but does not conduct preclinical research as a service to its customers.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trials (approximately 3.5 to 7 years)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Exploratory development</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b w:val="1"/>
          <w:bCs w:val="1"/>
          <w:u w:val="single" w:color="auto"/>
          <w:color w:val="auto"/>
        </w:rPr>
        <w:t>Phase I</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highlight w:val="white"/>
        </w:rPr>
        <w:t>(approximately 6 months to 1 year)</w:t>
      </w:r>
      <w:r>
        <w:rPr>
          <w:rFonts w:ascii="Arial" w:cs="Arial" w:eastAsia="Arial" w:hAnsi="Arial"/>
          <w:sz w:val="15"/>
          <w:szCs w:val="15"/>
          <w:b w:val="1"/>
          <w:bCs w:val="1"/>
          <w:color w:val="auto"/>
        </w:rPr>
        <w:t xml:space="preserve"> </w:t>
      </w:r>
      <w:r>
        <w:rPr>
          <w:rFonts w:ascii="Arial" w:cs="Arial" w:eastAsia="Arial" w:hAnsi="Arial"/>
          <w:sz w:val="15"/>
          <w:szCs w:val="15"/>
          <w:color w:val="auto"/>
        </w:rPr>
        <w:t>consists of basic safety and tolerability testing in small numbers of human subjects, initially in healthy volunteers, and</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b w:val="1"/>
          <w:bCs w:val="1"/>
          <w:u w:val="single" w:color="auto"/>
          <w:color w:val="auto"/>
        </w:rPr>
        <w:t>Phase II</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(approximately 2 to 3 years) includes basic efficacy and dose-range testing in a limited patient population (usually) 100 to 200 patients to help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preliminary safety and evidence that the drug is likely to be effective in the target disease. If the Phase II results are satisfactory the sponsor may decide to proceed to Phase III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-257810</wp:posOffset>
            </wp:positionV>
            <wp:extent cx="11944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Confirmatory development</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b w:val="1"/>
          <w:bCs w:val="1"/>
          <w:u w:val="single" w:color="auto"/>
          <w:color w:val="auto"/>
        </w:rPr>
        <w:t>Phase III</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highlight w:val="white"/>
        </w:rPr>
        <w:t>(2 years or greater)</w:t>
      </w:r>
      <w:r>
        <w:rPr>
          <w:rFonts w:ascii="Arial" w:cs="Arial" w:eastAsia="Arial" w:hAnsi="Arial"/>
          <w:sz w:val="15"/>
          <w:szCs w:val="15"/>
          <w:b w:val="1"/>
          <w:bCs w:val="1"/>
          <w:color w:val="auto"/>
        </w:rPr>
        <w:t xml:space="preserve"> </w:t>
      </w:r>
      <w:r>
        <w:rPr>
          <w:rFonts w:ascii="Arial" w:cs="Arial" w:eastAsia="Arial" w:hAnsi="Arial"/>
          <w:sz w:val="15"/>
          <w:szCs w:val="15"/>
          <w:color w:val="auto"/>
        </w:rPr>
        <w:t>consists of efficacy and safety studies in several hundred to a few thousand patients at multiple investigational sites (hospitals and</w:t>
      </w:r>
      <w:r>
        <w:rPr>
          <w:rFonts w:ascii="Arial" w:cs="Arial" w:eastAsia="Arial" w:hAnsi="Arial"/>
          <w:sz w:val="15"/>
          <w:szCs w:val="15"/>
          <w:b w:val="1"/>
          <w:bCs w:val="1"/>
          <w:color w:val="auto"/>
        </w:rPr>
        <w:t xml:space="preserve"> </w:t>
      </w:r>
      <w:r>
        <w:rPr>
          <w:rFonts w:ascii="Arial" w:cs="Arial" w:eastAsia="Arial" w:hAnsi="Arial"/>
          <w:sz w:val="15"/>
          <w:szCs w:val="15"/>
          <w:color w:val="auto"/>
        </w:rPr>
        <w:t>clinics), often in multiple geographies.</w:t>
      </w:r>
    </w:p>
    <w:p>
      <w:pPr>
        <w:spacing w:after="0" w:line="18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FDA approval, through submission of an IND, is necessary for most clinical trials, regardless of the phase of development. In addition, parallel independent committee approval is also required.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5" w:name="page36"/>
    <w:bookmarkEnd w:id="35"/>
    <w:p>
      <w:pPr>
        <w:jc w:val="both"/>
        <w:ind w:firstLine="591"/>
        <w:spacing w:after="0" w:line="263" w:lineRule="auto"/>
        <w:rPr>
          <w:sz w:val="20"/>
          <w:szCs w:val="20"/>
          <w:color w:val="auto"/>
        </w:rPr>
      </w:pPr>
      <w:r>
        <w:rPr>
          <w:rFonts w:ascii="Arial" w:cs="Arial" w:eastAsia="Arial" w:hAnsi="Arial"/>
          <w:sz w:val="15"/>
          <w:szCs w:val="15"/>
          <w:b w:val="1"/>
          <w:bCs w:val="1"/>
          <w:i w:val="1"/>
          <w:iCs w:val="1"/>
          <w:color w:val="auto"/>
        </w:rPr>
        <w:t xml:space="preserve">NDA or BLA Preparation and Submission. </w:t>
      </w:r>
      <w:r>
        <w:rPr>
          <w:rFonts w:ascii="Arial" w:cs="Arial" w:eastAsia="Arial" w:hAnsi="Arial"/>
          <w:sz w:val="15"/>
          <w:szCs w:val="15"/>
          <w:color w:val="auto"/>
        </w:rPr>
        <w:t>Upon completion of Phase III trials, the sponsor assembles the statistically analyzed data from all phases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into a single large submission along with the Chemistry, Manufacturing and Controls (CMC) and preclinical data and the proposed labelling into the New Drug Application (NDA), or Biologics License Application (BLA) and submits them for assessment and approval by the relevant division of the FDA.</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 xml:space="preserve">Expanded Access Programs (EAPs). </w:t>
      </w:r>
      <w:r>
        <w:rPr>
          <w:rFonts w:ascii="Arial" w:cs="Arial" w:eastAsia="Arial" w:hAnsi="Arial"/>
          <w:sz w:val="15"/>
          <w:szCs w:val="15"/>
          <w:color w:val="auto"/>
        </w:rPr>
        <w:t>Sometimes an investigational drug may be provided to subjects outside of a clinical trial, also called compassionate use.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EAPs refer to the regulated use of a study drug outside of a clinical trial by patients with serious or life-threatening conditions where there is no alternative therapy available.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In this context the FDA may allow the sponsor to make the study drug available to a larger number of patients for treatment use.</w:t>
      </w:r>
    </w:p>
    <w:p>
      <w:pPr>
        <w:spacing w:after="0" w:line="15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b w:val="1"/>
          <w:bCs w:val="1"/>
          <w:i w:val="1"/>
          <w:iCs w:val="1"/>
          <w:color w:val="auto"/>
        </w:rPr>
        <w:t xml:space="preserve">FDA review and approval of NDA or BLA (1 to 1.5 years). </w:t>
      </w:r>
      <w:r>
        <w:rPr>
          <w:rFonts w:ascii="Arial" w:cs="Arial" w:eastAsia="Arial" w:hAnsi="Arial"/>
          <w:sz w:val="15"/>
          <w:szCs w:val="15"/>
          <w:color w:val="auto"/>
        </w:rPr>
        <w:t>Data from all phases of development is scrutinized to confirm that the applicant company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complied with all applicable regulations, safety and efficacy of the product has been demonstrated,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requirements or commitments.</w:t>
      </w:r>
    </w:p>
    <w:p>
      <w:pPr>
        <w:spacing w:after="0" w:line="195"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b w:val="1"/>
          <w:bCs w:val="1"/>
          <w:i w:val="1"/>
          <w:iCs w:val="1"/>
          <w:color w:val="auto"/>
        </w:rPr>
        <w:t xml:space="preserve">Post-market surveillance, Phase IV studies and health outcomes. </w:t>
      </w:r>
      <w:r>
        <w:rPr>
          <w:rFonts w:ascii="Arial" w:cs="Arial" w:eastAsia="Arial" w:hAnsi="Arial"/>
          <w:sz w:val="14"/>
          <w:szCs w:val="14"/>
          <w:color w:val="auto"/>
        </w:rPr>
        <w:t>Once approved by the FDA, it requires the drug or biologic license holder to collect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periodically report to them additional safety (and perhaps efficacy) data on the drug or biologic for as long as the manufacturer markets it (post-market surveillance, including pharmacovigilance). If the product is marketed outside the U.S., these reports must include data from all countries in which the drug is sold. Additional studies (Phase III and Phase IV) may be undertaken by the manufacturer after initial approval to find new uses for the drug, to test new dosage formulations, or to confirm selected non-clinical benefits, e.g., increased cost-effectiveness or improved quality of life. Additionally, the FDA and other regulatory agencies may require license holders of drugs or biologics to prepare risk management plans that are aimed at assessing areas of product risk and actively managing such risks throughout the product lifecycle.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trends affecting the CRO industry</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CROs derive substantially all their revenue from the research and development expenditures of pharmaceutical, biotechnology and medical device companies. We believe that the following trends create further potential growth opportunities for global CROs, although there is no assurance that growth will materialize.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Continued innovation and development of enabling technologies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Innovation driving new drug development activity</w:t>
      </w:r>
    </w:p>
    <w:p>
      <w:pPr>
        <w:spacing w:after="0" w:line="232"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 or orphan diseases that currently have no effective treatments.</w:t>
      </w:r>
    </w:p>
    <w:p>
      <w:pPr>
        <w:spacing w:after="0" w:line="20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These developments should lead to increased activity in both preclinical and Phase I development and in turn lead to more treatments in Phase II-III 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 of commercialized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Decentralized and hybrid trials</w:t>
      </w:r>
    </w:p>
    <w:p>
      <w:pPr>
        <w:spacing w:after="0" w:line="23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Decentralized (DCT) and hybrid trials have existed for quite some time, but the coronavirus pandemic accelerated the demand when the pharma industry was challenged to move to remote models to protect patient safety and ensure data integrity for COVID-19 vaccine trials and other ongoing trials. The pandemic provided an opportunity to move many technologies and remote patient care solutions from pilot phase to actively supporting patients and clinical research. .</w:t>
      </w:r>
    </w:p>
    <w:p>
      <w:pPr>
        <w:spacing w:after="0" w:line="18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As an industry, we have an opportunity to make decentralized and hybrid approaches a standard moving forward. The ways the industry has been conducting clinical research in a traditional site-based approach need to evolve so we can implement tools, techniques and processes in everyday research to bring about a more patient-centric approach. Each new element needs to be evaluated to assess the impact for the individual patients and study sites. Recent experiences in the industry have shown:</w:t>
      </w:r>
    </w:p>
    <w:p>
      <w:pPr>
        <w:spacing w:after="0" w:line="203" w:lineRule="exact"/>
        <w:rPr>
          <w:sz w:val="20"/>
          <w:szCs w:val="20"/>
          <w:color w:val="auto"/>
        </w:rPr>
      </w:pPr>
    </w:p>
    <w:p>
      <w:pPr>
        <w:ind w:left="880" w:hanging="290"/>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Using fewer countries and fewer sites can reduce costs, decrease timelines for start-up and minimize the risk of disruption during and post pandemic.</w:t>
      </w:r>
    </w:p>
    <w:p>
      <w:pPr>
        <w:spacing w:after="0" w:line="14" w:lineRule="exact"/>
        <w:rPr>
          <w:rFonts w:ascii="Arial" w:cs="Arial" w:eastAsia="Arial" w:hAnsi="Arial"/>
          <w:sz w:val="15"/>
          <w:szCs w:val="15"/>
          <w:color w:val="auto"/>
        </w:rPr>
      </w:pPr>
    </w:p>
    <w:p>
      <w:pPr>
        <w:ind w:left="880" w:hanging="290"/>
        <w:spacing w:after="0" w:line="250" w:lineRule="auto"/>
        <w:tabs>
          <w:tab w:leader="none" w:pos="870" w:val="left"/>
        </w:tabs>
        <w:numPr>
          <w:ilvl w:val="0"/>
          <w:numId w:val="20"/>
        </w:numPr>
        <w:rPr>
          <w:rFonts w:ascii="Arial" w:cs="Arial" w:eastAsia="Arial" w:hAnsi="Arial"/>
          <w:sz w:val="15"/>
          <w:szCs w:val="15"/>
          <w:color w:val="auto"/>
        </w:rPr>
      </w:pPr>
      <w:r>
        <w:rPr>
          <w:rFonts w:ascii="Arial" w:cs="Arial" w:eastAsia="Arial" w:hAnsi="Arial"/>
          <w:sz w:val="15"/>
          <w:szCs w:val="15"/>
          <w:color w:val="auto"/>
        </w:rPr>
        <w:t>Hybrid studies, utilizing digital health, in-home health, and telehealth, can reduce the number and frequency of onsite patient visits and therefore reduce patient burden.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6" w:name="page37"/>
    <w:bookmarkEnd w:id="36"/>
    <w:p>
      <w:pPr>
        <w:ind w:left="880" w:hanging="290"/>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Home-based patient visits and direct-to-patient contacts can increase patient satisfaction, compliance and retention, providing greater trial resilience.</w:t>
      </w:r>
    </w:p>
    <w:p>
      <w:pPr>
        <w:spacing w:after="0" w:line="14" w:lineRule="exact"/>
        <w:rPr>
          <w:rFonts w:ascii="Arial" w:cs="Arial" w:eastAsia="Arial" w:hAnsi="Arial"/>
          <w:sz w:val="15"/>
          <w:szCs w:val="15"/>
          <w:color w:val="auto"/>
        </w:rPr>
      </w:pPr>
    </w:p>
    <w:p>
      <w:pPr>
        <w:ind w:left="880" w:hanging="290"/>
        <w:spacing w:after="0" w:line="267" w:lineRule="auto"/>
        <w:tabs>
          <w:tab w:leader="none" w:pos="8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Harmonizing data from disparate data sources will provide real-time access and consistent data visibility, helping to improve safety monitoring and enabling the visualization of data trends.</w:t>
      </w:r>
    </w:p>
    <w:p>
      <w:pPr>
        <w:spacing w:after="0" w:line="169"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Regulatory easement during the pandemic resulted in a number of positive changes to clinical trial procedures, enabling studies to continue and in some cases progress at a faster pace, and improvements to the process of CTA and IND approvals. Regulatory authorities have been clear that regulatory easement related to the pandemic will not be extended. However, many regulatory authorities have instead released guidance or position statements on the use of DCT elements, such as technology and off-site conduct, more generally in clinical trials, benefiting the patient and healthcare advancement.</w:t>
      </w:r>
    </w:p>
    <w:p>
      <w:pPr>
        <w:spacing w:after="0" w:line="203"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Ultimately, we are trying to increase the speed at which drugs can meet approval guidelines and help treatable populations. By using decentralized tools, technologies and processes, we will reduce the burden on patients, increase satisfaction and provide them with the same standard of care during a virtual or home visit that they would receive in a clinic, thereby fulfilling the promise of clinical research as a care option. While reduced costs may not be seen in the early phase of adoption (in fact investment required may be higher initially due to technology implementation), choosing the right solution for the specific study characteristics has the potential to increase patient recruitment and retention, which can result in reduced overall research costs and quicker time to market. To find the best clinical trial design to suit their needs, sponsors will need to take patient centricity into consideration from the outset and at every step along the way, because what benefits the patient will ultimately benefit the sponsor in outcomes.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New technology enabling more efficient development</w:t>
      </w:r>
    </w:p>
    <w:p>
      <w:pPr>
        <w:spacing w:after="0" w:line="22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Technology innovation is playing an increasingly important role in helping to support more efficient drug development. Leveraging differentiated technology solutions and data collaborations drives better execution in clinical trials. Larger CROs have been at the forefront of this innovation developing technology solutions that support the integration of trial data across multiple systems, data repositories that enable sponsors to get real time clinical insights on the performance of their drugs and tools that support better trial designs and operation.</w:t>
      </w:r>
    </w:p>
    <w:p>
      <w:pPr>
        <w:spacing w:after="0" w:line="186"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emergence of modern healthcare technologies ("mHealth")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“decentralized and hybrid trials” based on remote monitoring of patients in their home environment which may drive further efficiencies in the trial process.</w:t>
      </w:r>
    </w:p>
    <w:p>
      <w:pPr>
        <w:spacing w:after="0" w:line="203"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Social media is also becoming an important platform for life sciences companies to strengthen patient engagement programs and collaborate with other stakeholders in the healthcare system. Many patients with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the influence of technology on drug development grows, it broadens the potential number of partners that CROs will work with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Expanded use of new patient data sources</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Pharmaceutical companies are looking to access a variety of new healthcare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and sites to the clinical trial process.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auto"/>
        </w:rPr>
        <w:t>Improving productivity and operating efficiencies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Continuing focus on productivity within research and development programs</w:t>
      </w:r>
    </w:p>
    <w:p>
      <w:pPr>
        <w:spacing w:after="0" w:line="232"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Pharmaceutical and biotechnology companies continue to seek ways to improve the productivity and overall efficiency of their development efforts and increasingly see the use of CROs as a strategic partner in these efforts. They are leveraging the expertise of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across Phase I-III trials. In parallel, regulatory initiatives such as the 21st Century Cures Act and the emergence of clinical trial techniques such as adaptive trial design, risk based clinical trial monitoring, decentralized and hybrid trials are enhancing development, allowing effective treatments to get to patients quicker at reduced development costs.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containment pressures</w:t>
      </w:r>
    </w:p>
    <w:p>
      <w:pPr>
        <w:spacing w:after="0" w:line="220" w:lineRule="exact"/>
        <w:rPr>
          <w:sz w:val="20"/>
          <w:szCs w:val="20"/>
          <w:color w:val="auto"/>
        </w:rPr>
      </w:pPr>
    </w:p>
    <w:p>
      <w:pPr>
        <w:jc w:val="both"/>
        <w:ind w:firstLine="591"/>
        <w:spacing w:after="0" w:line="271" w:lineRule="auto"/>
        <w:rPr>
          <w:sz w:val="20"/>
          <w:szCs w:val="20"/>
          <w:color w:val="auto"/>
        </w:rPr>
      </w:pPr>
      <w:r>
        <w:rPr>
          <w:rFonts w:ascii="Arial" w:cs="Arial" w:eastAsia="Arial" w:hAnsi="Arial"/>
          <w:sz w:val="14"/>
          <w:szCs w:val="14"/>
          <w:color w:val="auto"/>
        </w:rPr>
        <w:t>Over the past several years, drug companies have sought more efficient ways of conducting business due to margin pressures stemming from patent expirations of their commercialized products,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into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Global trends influencing the CRO industry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Pressure to accelerate time to markets and globalization of the marketplace</w:t>
      </w:r>
    </w:p>
    <w:p>
      <w:pPr>
        <w:spacing w:after="0" w:line="220"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Progress within the biotechnology sector</w:t>
      </w:r>
    </w:p>
    <w:p>
      <w:pPr>
        <w:spacing w:after="0" w:line="232"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sectors of unmet medical need. Much of this discovery expertise is found in biotechnology firms. We believe that it is to these organizations that the large pharmaceutical companies will look for an increasing proportion of their innovation, and consequently,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Increasing number of large long-term studies and an increasing requirement to show the economic value of new treatments</w:t>
      </w:r>
    </w:p>
    <w:p>
      <w:pPr>
        <w:spacing w:after="0" w:line="232"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color w:val="auto"/>
        </w:rPr>
        <w:t>We believe that to establish competitive claims and demonstrate product value, to obtain reimbursement authorization from bodies such as the FDA in the US, and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to manage this complex process throughout its duration.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8" w:name="page39"/>
    <w:bookmarkEnd w:id="38"/>
    <w:p>
      <w:pPr>
        <w:jc w:val="both"/>
        <w:ind w:firstLine="591"/>
        <w:spacing w:after="0" w:line="255" w:lineRule="auto"/>
        <w:rPr>
          <w:sz w:val="20"/>
          <w:szCs w:val="20"/>
          <w:color w:val="auto"/>
        </w:rPr>
      </w:pPr>
      <w:r>
        <w:rPr>
          <w:rFonts w:ascii="Arial" w:cs="Arial" w:eastAsia="Arial" w:hAnsi="Arial"/>
          <w:sz w:val="15"/>
          <w:szCs w:val="15"/>
          <w:color w:val="auto"/>
        </w:rPr>
        <w:t>The rising costs of healthcare in most developed countries also means there is an increasing pressure to show that new medical treatments are more cost effective and deliver better patient outcomes than existing treatment regimes. This also means that sponsors need to increasingly generate outcome data both as part of the product approval submissions and as part of post-approval research programs. This is creating opportunities for CROs who can offer support in developing and interpreting this data.</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 focus on long-term product safety</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Increasing regulatory demands</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Regulatory agencies increasingly require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ICON Cares</w:t>
      </w:r>
    </w:p>
    <w:p>
      <w:pPr>
        <w:spacing w:after="0" w:line="234"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and care about the success of our people, and we care about doing the right thing.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organization by every measure.</w:t>
      </w:r>
    </w:p>
    <w:p>
      <w:pPr>
        <w:spacing w:after="0" w:line="195"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Our core values underpin our mission and drive a culture and mind-set of ownership at ICON. "Own it at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Our values also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 training.</w:t>
      </w:r>
    </w:p>
    <w:p>
      <w:pPr>
        <w:jc w:val="both"/>
        <w:ind w:firstLine="591"/>
        <w:spacing w:after="0" w:line="231" w:lineRule="auto"/>
        <w:rPr>
          <w:sz w:val="20"/>
          <w:szCs w:val="20"/>
          <w:color w:val="auto"/>
        </w:rPr>
      </w:pPr>
      <w:r>
        <w:rPr>
          <w:rFonts w:ascii="Arial" w:cs="Arial" w:eastAsia="Arial" w:hAnsi="Arial"/>
          <w:sz w:val="15"/>
          <w:szCs w:val="15"/>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initiatives into one program. ICON’s Environment, Social, and Governance Committee (“ESG Committee”) brings together all these initiatives and efforts under one umbrella to ensure consistency, enhance monitoring, reveal areas for development and facilitate reporting to the Board.</w:t>
      </w:r>
    </w:p>
    <w:p>
      <w:pPr>
        <w:spacing w:after="0" w:line="216"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Nominating, Sustainability, and Governance Committee of the ICON plc Board has oversight responsibilities in respect to ESG-related strategies and initiatives. The Chief Administrative Officer and General Counsel (“CAO”) chairs the ESG Committee and reports on ESG matters to the Nominating, Sustainability and Governance Committee quarterly and reports to the Board at least annually whilst also providing periodic ESG updates to the executive leadership team. ICON’s ESG program office reports to the CAO and delivers centralized reporting and tracking of ESG initiatives. The Audit Committee has oversight responsibilities in respect to ESG-related reporting in the ICON financial statements. The Chief Financial Officer (“CFO”) reports to the Audit Committee on ESG-related reporting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39" w:name="page40"/>
    <w:bookmarkEnd w:id="39"/>
    <w:p>
      <w:pPr>
        <w:jc w:val="both"/>
        <w:ind w:firstLine="591"/>
        <w:spacing w:after="0" w:line="256" w:lineRule="auto"/>
        <w:rPr>
          <w:sz w:val="20"/>
          <w:szCs w:val="20"/>
          <w:color w:val="auto"/>
        </w:rPr>
      </w:pPr>
      <w:r>
        <w:rPr>
          <w:rFonts w:ascii="Arial" w:cs="Arial" w:eastAsia="Arial" w:hAnsi="Arial"/>
          <w:sz w:val="15"/>
          <w:szCs w:val="15"/>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Nominating, Sustainability and Governance Committee of the Company in:</w:t>
      </w:r>
    </w:p>
    <w:p>
      <w:pPr>
        <w:spacing w:after="0" w:line="189" w:lineRule="exact"/>
        <w:rPr>
          <w:sz w:val="20"/>
          <w:szCs w:val="20"/>
          <w:color w:val="auto"/>
        </w:rPr>
      </w:pPr>
    </w:p>
    <w:p>
      <w:pPr>
        <w:ind w:left="580" w:hanging="286"/>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determining and setting the strategy relating to ESG matters;</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developing, implementing and monitoring initiatives and policies based on that strategy; and</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communicating these strategies, initiatives, and their results.</w:t>
      </w:r>
    </w:p>
    <w:p>
      <w:pPr>
        <w:spacing w:after="0" w:line="21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are committed to building and developing our ESG strategies and reporting. In 2020 we launched our ESG page on the ICON website and have an internal ICON Cares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 2023 ESG report, released in 2024, we reported under the Global Reporting Initiative (GRI, 2021) standards, the Task Force on Climate-Related Financial Disclosures (“TCFD”) and the Sustainability Accounting Standards Board (“SASB”) index. Our report summarizes our current policies, priorities, commitments, achievements, and progress in respect to ESG matters. During 2025, ICON received a silver medal from EcoVadis and increased our score from 70/100 in 2024 to 72/100 in 2025, in recognition of our environment, social and governance efforts throughout ICON.</w:t>
      </w:r>
    </w:p>
    <w:p>
      <w:pPr>
        <w:spacing w:after="0" w:line="184"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This includes mandatory reporting under the Corporate Sustainability Reporting Disclosure (“CSRD”) from the EU and the SEC Climate Risk Disclosure Rule which is pending finalization.</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Building a sustainable future – our commitment to the United Nations Sustainable Development Goals</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Our research, our work with customers and patients and our on-the-ground efforts to meet the needs across our communities align with the SDGs. We focus these efforts on a subset of themes where we have identified the greatest opportunity to effect change:</w:t>
      </w:r>
    </w:p>
    <w:p>
      <w:pPr>
        <w:spacing w:after="0" w:line="168" w:lineRule="exact"/>
        <w:rPr>
          <w:sz w:val="20"/>
          <w:szCs w:val="20"/>
          <w:color w:val="auto"/>
        </w:rPr>
      </w:pP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3 – Good health and well-being</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9 – Industry, innovation and infrastructure</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10 – Reduced inequalities</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12 – Responsible consumption and production</w:t>
      </w: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13 – Climate action</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SDG 17 – Partnerships for the goals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Further details on the ways ICON contributes to these SDGs and their targets are set out in our ICON Cares Report.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 Conducting business sustainably</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temporary workers, and suppliers are expected to support our sustainability objectives. Similarly, ICON endeavors to support our customers sustainability objectives.</w:t>
      </w:r>
    </w:p>
    <w:p>
      <w:pPr>
        <w:spacing w:after="0" w:line="177"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Our Global Environmental Management Policy and Environmental Management Plan are part of our ICON Cares program for managing environmental sustainability initiatives. The implementation of the policy and plan is led by our facilities team, reporting to our CAO. The CAO is responsible for reporting on the ICON Cares program and environmental initiatives and progress to the ICON executive leadership team and Nominating, Sustainability and Governance Committee and the Board.</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ICON set environmental goals around the use of renewable energy and carbon emissions in 2019 and we are working towards achieving these goals which are 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08" w:lineRule="exact"/>
        <w:rPr>
          <w:sz w:val="20"/>
          <w:szCs w:val="20"/>
          <w:color w:val="auto"/>
        </w:rPr>
      </w:pPr>
    </w:p>
    <w:p>
      <w:pPr>
        <w:ind w:left="580" w:hanging="286"/>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100% renewable electricity by 2025.</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20% reduction in kilowatt hours (“kWh”) of electricity by 2030.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0" w:name="page41"/>
    <w:bookmarkEnd w:id="40"/>
    <w:p>
      <w:pPr>
        <w:jc w:val="both"/>
        <w:ind w:firstLine="591"/>
        <w:spacing w:after="0" w:line="246" w:lineRule="auto"/>
        <w:rPr>
          <w:sz w:val="20"/>
          <w:szCs w:val="20"/>
          <w:color w:val="auto"/>
        </w:rPr>
      </w:pPr>
      <w:r>
        <w:rPr>
          <w:rFonts w:ascii="Arial" w:cs="Arial" w:eastAsia="Arial" w:hAnsi="Arial"/>
          <w:sz w:val="15"/>
          <w:szCs w:val="15"/>
          <w:color w:val="auto"/>
        </w:rPr>
        <w:t>In October 2024, the Science Based Target initiative (“SBTi”) validated ICON’s near- and long-term science-based emissions reduction targets. The SBTi has also verified ICON’s net-zero science-based target (“SBT”) by 2050. The SBTi is a corporate climate action organization that enables companies and financial institutions worldwide to play their part in combating the climate crisis. ICON’s SBTi validated targets: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Near-term targets:</w:t>
      </w:r>
    </w:p>
    <w:p>
      <w:pPr>
        <w:spacing w:after="0" w:line="222" w:lineRule="exact"/>
        <w:rPr>
          <w:sz w:val="20"/>
          <w:szCs w:val="20"/>
          <w:color w:val="auto"/>
        </w:rPr>
      </w:pPr>
    </w:p>
    <w:p>
      <w:pPr>
        <w:ind w:left="580" w:hanging="286"/>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absolute scope 1 and 2 GHG emissions 61.2% by FY2028 from a FY2019 base year.</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absolute scope 3 GHG emissions 20.0% by FY2028 from a FY2022 base year.</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Long-term targets:</w:t>
      </w:r>
    </w:p>
    <w:p>
      <w:pPr>
        <w:spacing w:after="0" w:line="222" w:lineRule="exact"/>
        <w:rPr>
          <w:sz w:val="20"/>
          <w:szCs w:val="20"/>
          <w:color w:val="auto"/>
        </w:rPr>
      </w:pPr>
    </w:p>
    <w:p>
      <w:pPr>
        <w:ind w:left="580" w:hanging="286"/>
        <w:spacing w:after="0"/>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 absolute scope 1 and 2 GHG emissions 90.0% by FY2050 from a FY2019 base year.</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 absolute scope 3 GHG emissions 90.0% by FY2050 from a FY2022 base year.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Net-zero target:</w:t>
      </w:r>
    </w:p>
    <w:p>
      <w:pPr>
        <w:spacing w:after="0" w:line="222" w:lineRule="exact"/>
        <w:rPr>
          <w:sz w:val="20"/>
          <w:szCs w:val="20"/>
          <w:color w:val="auto"/>
        </w:rPr>
      </w:pPr>
    </w:p>
    <w:p>
      <w:pPr>
        <w:ind w:left="580" w:hanging="286"/>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Reach net-zero greenhouse gas emissions across the value chain by FY2050.</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We have programs in place to manage and minimize climate impacts of business activities. To continue to improve processes and reduce our environmental impact, we track, calculate, and report our Scope 1, Scope 2 and Scope 3 GHG footprint. We apply the GHG Protocol Corporate Standard, which is the global corporate accounting and reporting standard for calculating carbon emissions. In Quarter One 2025, external verification of our 2024 Scope 1 and 2 GHG emissions data will be conducted. During 2024, we uploaded our 2022 and 2023 Scope 3 emissions into a software platform and have collected our full Scope 3 GHG emissions for 2024 utilizing the platform. We are currently analyzing the Scope 3 data with a view to annual public reporting in due course.</w:t>
      </w:r>
    </w:p>
    <w:p>
      <w:pPr>
        <w:spacing w:after="0" w:line="18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 respect to ICON’s carbon emissions for the year ended 2023, ICON’s combined Scope 1 and 2 GHG emissions have decreased since 2018. We recognize that although the combined Scopes 1 and 2 emissions have fallen year-on-year, ICON’s Scope 1 emissions have increased slightly each year up to the year ended 2023. To reach our net-zero goal, our decarbonization strategy is currently focused on reducing Scope 2 emissions, the largest contributor to our Scope 1 and 2 footprint. Following on from our Scope 2 emissions reduction efforts, we plan to launch efforts that target our Scope 1 emissions in the coming years.</w:t>
      </w:r>
    </w:p>
    <w:p>
      <w:pPr>
        <w:spacing w:after="0" w:line="20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2020, following pandemic-related closures and a reduction in business travel, our Scope 3, business travel GHG emissions declined significantly. Since 2021 up to the year ended 2023, as more normal business travel operations resumed, we have seen an overall increase in our total GHG emissions driven by an increase in business travel (Scope 3).</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Although emissions have increased, up to the year ended 2023, we remain below our 2018 pre-COVID overall GHG emissions and are committed to continue our work towards reducing emissions. Additionally, our emissions intensity has decreased substantially as our business has grown. Since 2018, up to the year ended 2023, our emissions intensity per million in revenue and our emissions intensity per FTE employee has decreased.</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16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ICON participates in CDP (formerly the Carbon Disclosure Project) on an annual basis. CDP is a globally recognized organization that allows companies to measure and manage their environmental impacts. We received a B- score from CDP for 2024 on our 2023 Climate Change response.</w:t>
      </w:r>
    </w:p>
    <w:p>
      <w:pPr>
        <w:spacing w:after="0" w:line="19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are focused on reducing energy use and increasing renewable energy use across our global operations as specific environmental goals; in 2023, 81.54% of our electricity consumed came from renewable sources (through a combination of switching direct tariffs and purchases through renewable energy credits (“RECs”)). Waste reduction is embedded into our environmental policies and practices and is one of the objectives of ICON’s Environmental Management Policy.</w:t>
      </w:r>
    </w:p>
    <w:p>
      <w:pPr>
        <w:spacing w:after="0" w:line="185"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ICON leases most of our offices and facilities, and therefore we work closely with our landlords and leasing agents to implement measures to ensure we operate in an environmentally sustainable manner. In 2024, we continued with our real estate harmonization efforts and aligning ourselves to new working styles &amp; business needs. This resulted in downsizing or closing 16 locations and relocating 4 locations to new buildings, all of which are BREEAM or LEED certified, overall helping to reduce our environmental footprint. Experts from our real estate team factor environmental considerations into decisions around new office locations or building improvements. We’ve also implemented a series of measures globally to reduce the local footprint of our offices while promoting comfort and efficiency. These include:</w:t>
      </w:r>
    </w:p>
    <w:p>
      <w:pPr>
        <w:spacing w:after="0" w:line="207" w:lineRule="exact"/>
        <w:rPr>
          <w:sz w:val="20"/>
          <w:szCs w:val="20"/>
          <w:color w:val="auto"/>
        </w:rPr>
      </w:pPr>
    </w:p>
    <w:p>
      <w:pPr>
        <w:ind w:left="580" w:hanging="286"/>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Installing energy-efficient LED lighting.</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Using motion detectors.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Purchasing recycled office supplies.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1" w:name="page42"/>
    <w:bookmarkEnd w:id="41"/>
    <w:p>
      <w:pPr>
        <w:ind w:left="580" w:hanging="286"/>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Reducing paper consumption by promoting paperless office processes and defaulting double-sided output.</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Building recycling areas into business centers and kitchens/canteens.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Planting green spaces to improve internal air quality.</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Selecting building materials and vendors for their low environmental impact.</w:t>
      </w:r>
    </w:p>
    <w:p>
      <w:pPr>
        <w:spacing w:after="0" w:line="208"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As part of our onboarding process, we require our suppliers to abide by our Global Supplier Code of Conduct which outlines our expectations around conducting business in a sustainable manner. The code requires suppliers to comply with all applicable environmental laws and regulations and to have systems in place with regards to waste management and sustainable use of resources.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Social: The power of our people</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We are dedicated to making a positive impact on the communities where we work and live. Our community efforts are aligned with a broader vision for social impact and we are committed to furthering the United Nations Sustainable Development Goals (“SDGs”).</w:t>
      </w:r>
    </w:p>
    <w:p>
      <w:pPr>
        <w:spacing w:after="0" w:line="18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Since 2012, ICON’s annual employee-nominated charity donation program has supported over 100 charities worldwide, donating $10,000 to each organization. These charities address a range of critical issues, such as fostering a more inclusive society, improving child welfare, and supporting patients battling chronic diseases. The chosen organizations reflect ICON’s corporate mission, align with our ICON Cares program. In 2024, through ICON’s Charity Matching Program, which bolsters our colleagues’ fundraising efforts and fosters partnership across and within teams, 46 organizations were supported. This program aligns with the ICON Cares social pillar, as well as our company values of integrity, collaboration, agility and inclusion.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community engagement activities are focused on two core areas:</w:t>
      </w:r>
    </w:p>
    <w:p>
      <w:pPr>
        <w:spacing w:after="0" w:line="234" w:lineRule="exact"/>
        <w:rPr>
          <w:sz w:val="20"/>
          <w:szCs w:val="20"/>
          <w:color w:val="auto"/>
        </w:rPr>
      </w:pPr>
    </w:p>
    <w:p>
      <w:pPr>
        <w:ind w:left="1180" w:hanging="590"/>
        <w:spacing w:after="0"/>
        <w:tabs>
          <w:tab w:leader="none" w:pos="11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Supporting education and building closer ties between industry and academia; and</w:t>
      </w:r>
    </w:p>
    <w:p>
      <w:pPr>
        <w:spacing w:after="0" w:line="14" w:lineRule="exact"/>
        <w:rPr>
          <w:rFonts w:ascii="Arial" w:cs="Arial" w:eastAsia="Arial" w:hAnsi="Arial"/>
          <w:sz w:val="15"/>
          <w:szCs w:val="15"/>
          <w:color w:val="auto"/>
        </w:rPr>
      </w:pPr>
    </w:p>
    <w:p>
      <w:pPr>
        <w:ind w:left="1180" w:hanging="590"/>
        <w:spacing w:after="0"/>
        <w:tabs>
          <w:tab w:leader="none" w:pos="11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Improving the welfare of people in the communities in which we live.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Supporting education and building closer ties between industry and academia</w:t>
      </w:r>
    </w:p>
    <w:p>
      <w:pPr>
        <w:spacing w:after="0" w:line="220"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A core area of community support includes building ties between industry and academia to inspire the next generation of leaders in business and science. Our existing partnerships continued with the following organizations:</w:t>
      </w:r>
    </w:p>
    <w:p>
      <w:pPr>
        <w:spacing w:after="0" w:line="193" w:lineRule="exact"/>
        <w:rPr>
          <w:sz w:val="20"/>
          <w:szCs w:val="20"/>
          <w:color w:val="auto"/>
        </w:rPr>
      </w:pPr>
    </w:p>
    <w:p>
      <w:pPr>
        <w:jc w:val="both"/>
        <w:ind w:firstLine="590"/>
        <w:spacing w:after="0" w:line="263" w:lineRule="auto"/>
        <w:tabs>
          <w:tab w:leader="none" w:pos="1173" w:val="left"/>
        </w:tabs>
        <w:numPr>
          <w:ilvl w:val="0"/>
          <w:numId w:val="31"/>
        </w:numPr>
        <w:rPr>
          <w:rFonts w:ascii="Arial" w:cs="Arial" w:eastAsia="Arial" w:hAnsi="Arial"/>
          <w:sz w:val="15"/>
          <w:szCs w:val="15"/>
          <w:color w:val="auto"/>
        </w:rPr>
      </w:pPr>
      <w:r>
        <w:rPr>
          <w:rFonts w:ascii="Arial" w:cs="Arial" w:eastAsia="Arial" w:hAnsi="Arial"/>
          <w:sz w:val="15"/>
          <w:szCs w:val="15"/>
          <w:b w:val="1"/>
          <w:bCs w:val="1"/>
          <w:color w:val="auto"/>
        </w:rPr>
        <w:t xml:space="preserve">The ICON-McKeon Research Fellowship in Motor Neuron Disease (“MND”) </w:t>
      </w:r>
      <w:r>
        <w:rPr>
          <w:rFonts w:ascii="Arial" w:cs="Arial" w:eastAsia="Arial" w:hAnsi="Arial"/>
          <w:sz w:val="15"/>
          <w:szCs w:val="15"/>
          <w:color w:val="auto"/>
        </w:rPr>
        <w:t>in honor of Mr. Declan McKeon, former Board member, acting Chairman,</w:t>
      </w:r>
      <w:r>
        <w:rPr>
          <w:rFonts w:ascii="Arial" w:cs="Arial" w:eastAsia="Arial" w:hAnsi="Arial"/>
          <w:sz w:val="15"/>
          <w:szCs w:val="15"/>
          <w:b w:val="1"/>
          <w:bCs w:val="1"/>
          <w:color w:val="auto"/>
        </w:rPr>
        <w:t xml:space="preserve"> </w:t>
      </w:r>
      <w:r>
        <w:rPr>
          <w:rFonts w:ascii="Arial" w:cs="Arial" w:eastAsia="Arial" w:hAnsi="Arial"/>
          <w:sz w:val="15"/>
          <w:szCs w:val="15"/>
          <w:color w:val="auto"/>
        </w:rPr>
        <w:t>Lead Independent Director and Chair of the ICON Audit committee. The ICON-McKeon Research Fellow in MND carries out research in the areas of machine-learning and artificial intelligence to derive insights from multimodal clinical, imaging neuro-electric signaling, in the context of the neurodegenerative disease of ALS.</w:t>
      </w:r>
    </w:p>
    <w:p>
      <w:pPr>
        <w:spacing w:after="0" w:line="184" w:lineRule="exact"/>
        <w:rPr>
          <w:rFonts w:ascii="Arial" w:cs="Arial" w:eastAsia="Arial" w:hAnsi="Arial"/>
          <w:sz w:val="15"/>
          <w:szCs w:val="15"/>
          <w:color w:val="auto"/>
        </w:rPr>
      </w:pPr>
    </w:p>
    <w:p>
      <w:pPr>
        <w:jc w:val="both"/>
        <w:ind w:firstLine="590"/>
        <w:spacing w:after="0" w:line="250" w:lineRule="auto"/>
        <w:tabs>
          <w:tab w:leader="none" w:pos="1173" w:val="left"/>
        </w:tabs>
        <w:numPr>
          <w:ilvl w:val="0"/>
          <w:numId w:val="31"/>
        </w:numPr>
        <w:rPr>
          <w:rFonts w:ascii="Arial" w:cs="Arial" w:eastAsia="Arial" w:hAnsi="Arial"/>
          <w:sz w:val="15"/>
          <w:szCs w:val="15"/>
          <w:color w:val="auto"/>
        </w:rPr>
      </w:pPr>
      <w:r>
        <w:rPr>
          <w:rFonts w:ascii="Arial" w:cs="Arial" w:eastAsia="Arial" w:hAnsi="Arial"/>
          <w:sz w:val="15"/>
          <w:szCs w:val="15"/>
          <w:b w:val="1"/>
          <w:bCs w:val="1"/>
          <w:color w:val="auto"/>
        </w:rPr>
        <w:t>Partnership with Trinity Centre for People with Intellectual Disabilities (“TCPID”</w:t>
      </w:r>
      <w:r>
        <w:rPr>
          <w:rFonts w:ascii="Arial" w:cs="Arial" w:eastAsia="Arial" w:hAnsi="Arial"/>
          <w:sz w:val="15"/>
          <w:szCs w:val="15"/>
          <w:color w:val="auto"/>
        </w:rPr>
        <w:t>) - TCPID situated within the School of Education, Trinity College</w:t>
      </w:r>
      <w:r>
        <w:rPr>
          <w:rFonts w:ascii="Arial" w:cs="Arial" w:eastAsia="Arial" w:hAnsi="Arial"/>
          <w:sz w:val="15"/>
          <w:szCs w:val="15"/>
          <w:b w:val="1"/>
          <w:bCs w:val="1"/>
          <w:color w:val="auto"/>
        </w:rPr>
        <w:t xml:space="preserve"> </w:t>
      </w:r>
      <w:r>
        <w:rPr>
          <w:rFonts w:ascii="Arial" w:cs="Arial" w:eastAsia="Arial" w:hAnsi="Arial"/>
          <w:sz w:val="15"/>
          <w:szCs w:val="15"/>
          <w:color w:val="auto"/>
        </w:rPr>
        <w:t>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2024, we were delighted to offer a permanent position to our first graduate of TCPID and we created a 6-month internship for an additional graduate. We also continued to host a student visit from TCPID students to our global headquarters in Dublin, where they enjoyed learning about the different phases of a clinical trial and also experienced a working laboratory during a tour of the facility.</w:t>
      </w:r>
    </w:p>
    <w:p>
      <w:pPr>
        <w:spacing w:after="0" w:line="208" w:lineRule="exact"/>
        <w:rPr>
          <w:rFonts w:ascii="Arial" w:cs="Arial" w:eastAsia="Arial" w:hAnsi="Arial"/>
          <w:sz w:val="15"/>
          <w:szCs w:val="15"/>
          <w:color w:val="auto"/>
        </w:rPr>
      </w:pPr>
    </w:p>
    <w:p>
      <w:pPr>
        <w:jc w:val="both"/>
        <w:ind w:firstLine="590"/>
        <w:spacing w:after="0" w:line="251" w:lineRule="auto"/>
        <w:tabs>
          <w:tab w:leader="none" w:pos="1173" w:val="left"/>
        </w:tabs>
        <w:numPr>
          <w:ilvl w:val="0"/>
          <w:numId w:val="31"/>
        </w:numPr>
        <w:rPr>
          <w:rFonts w:ascii="Arial" w:cs="Arial" w:eastAsia="Arial" w:hAnsi="Arial"/>
          <w:sz w:val="15"/>
          <w:szCs w:val="15"/>
          <w:color w:val="auto"/>
        </w:rPr>
      </w:pPr>
      <w:r>
        <w:rPr>
          <w:rFonts w:ascii="Arial" w:cs="Arial" w:eastAsia="Arial" w:hAnsi="Arial"/>
          <w:sz w:val="15"/>
          <w:szCs w:val="15"/>
          <w:b w:val="1"/>
          <w:bCs w:val="1"/>
          <w:color w:val="auto"/>
        </w:rPr>
        <w:t>Partnership with Junior Achievement to inspire schoolchildren</w:t>
      </w:r>
      <w:r>
        <w:rPr>
          <w:rFonts w:ascii="Arial" w:cs="Arial" w:eastAsia="Arial" w:hAnsi="Arial"/>
          <w:sz w:val="15"/>
          <w:szCs w:val="15"/>
          <w:color w:val="auto"/>
        </w:rPr>
        <w:t>. Junior Achievement encourages young people to remain in education and teaches</w:t>
      </w:r>
      <w:r>
        <w:rPr>
          <w:rFonts w:ascii="Arial" w:cs="Arial" w:eastAsia="Arial" w:hAnsi="Arial"/>
          <w:sz w:val="15"/>
          <w:szCs w:val="15"/>
          <w:b w:val="1"/>
          <w:bCs w:val="1"/>
          <w:color w:val="auto"/>
        </w:rPr>
        <w:t xml:space="preserve"> </w:t>
      </w:r>
      <w:r>
        <w:rPr>
          <w:rFonts w:ascii="Arial" w:cs="Arial" w:eastAsia="Arial" w:hAnsi="Arial"/>
          <w:sz w:val="15"/>
          <w:szCs w:val="15"/>
          <w:color w:val="auto"/>
        </w:rPr>
        <w:t>them the skills they need to succeed in a changing world. ICON volunteers take time out of their working day to deliver Junior Achievement programs, teaching primary and secondary-level students valuable business, STEM (Science, Technology, Engineering &amp; Mathematics) and entrepreneurship skills that will serve them throughout their professional lives. Our strong partnership with JA Ireland has been in place since 2018 and we were delighted to extend our Junior Achievement partnership to India and Spain in 2024 and to relaunch the program in the UK.</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Improving the welfare of people in the communities in which we live</w:t>
      </w:r>
    </w:p>
    <w:p>
      <w:pPr>
        <w:spacing w:after="0" w:line="220"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November 2024, 380 ICON colleagues from across the globe united in person and virtually to take part in Run in the Dark for the fifth consecutive year. Team ICON raised $10,000 to support Mark Pollock's Collaborative Cures foundation whose mission is to bring people together to cure paralysis in our lifetime. A team of over 125 ICON cyclists from 24 countries also participated in our eighth annual ICON cycle challenge, which covered a minimum of 389km from Bratislava, Slovakia to Budapest, Hungary, across 3 days and which raised over €13,000 through JustGiving donations and the ICON Cares Charity matching program for My Name’5 Doddie Foundation, a charity in support of accelerating the development of new treatments for motor neuron disease (“MND”) and, ultimately, finding a cure.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Talent and People</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people are core to our ability to deliver our services and drive better patient outcomes. Through industry-leading talent management practices, a sincere attention to our employees’ needs, well-being and health and safety, we continue to power the potential of together.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At the core of our strategy is our people</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Learning and development of our staff is a key focus for us</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leadership and talent programs contribute to the enhanced retention of our employees, better project deliverables for our customers and the enhanced financial performance of the business.</w:t>
      </w:r>
    </w:p>
    <w:p>
      <w:pPr>
        <w:spacing w:after="0" w:line="18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0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9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To support employees at every stage of their career journeys, training and development programs are aimed at advancing scientific, technical, and business knowledge as well as behavioral competencies. Programs include Corporate and Functional Onboarding for all ICON employees tailored CRA academies; Data Management and Biostats &amp; Programming Academies; a Commercial Skills Academy; a range of project management curricula, therapeutic-focused programs, and People Leader development programs.</w:t>
      </w:r>
    </w:p>
    <w:p>
      <w:pPr>
        <w:spacing w:after="0" w:line="191"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We are focused on retaining the best talent by ensuring employees are aware of what career opportunities exist at ICON. We have invested in our career platforms to ensure employees understand the career opportunities that are available across the organization, providing them with a platform in our HR system to share and capture their skills, interests and career aspirations which enables People Leaders and employees to have better conversations on careers as part of our performance management process. This allows us to get a better understanding of the skills that exist today across the organization, within service lines and teams so we can better serve our customers.</w:t>
      </w:r>
    </w:p>
    <w:p>
      <w:pPr>
        <w:spacing w:after="0" w:line="18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People Leader development program focuses on providing our People Leaders with the relevant skills to effectively manage themselves, their team and their business, including leveraging psychometrics to raise awareness of their behavioral preferences and the preference of others. ICON also invests in Harvard Manage Mentor, an online learning platform providing People Leaders with access to learning available at any time with topics ranging from change management, retaining employees and developing employees.</w:t>
      </w:r>
    </w:p>
    <w:p>
      <w:pPr>
        <w:spacing w:after="0" w:line="20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provide our people with a personalized and flexible learning experience, delivered through a combination of in-person and technology-driven programs that suit their learning styles and can flex to suit their schedules. Through our industry leading Career 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customized leadership development programs for global employees.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 an organization we are keen to hear directly from our employees</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To attract and retain the best talent, we must listen and respond to employees’ needs. This extends to every aspect of our work, from recruitment and onboarding, to training, engagement, enablement, and reward. We pursue best-in-class approaches to building employee engagement and these include, among others:</w:t>
      </w:r>
    </w:p>
    <w:p>
      <w:pPr>
        <w:spacing w:after="0" w:line="168" w:lineRule="exact"/>
        <w:rPr>
          <w:sz w:val="20"/>
          <w:szCs w:val="20"/>
          <w:color w:val="auto"/>
        </w:rPr>
      </w:pPr>
    </w:p>
    <w:p>
      <w:pPr>
        <w:ind w:left="600" w:hanging="306"/>
        <w:spacing w:after="0" w:line="258" w:lineRule="auto"/>
        <w:tabs>
          <w:tab w:leader="none" w:pos="59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580" w:hanging="286"/>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Pulse check surveys, which are smaller-scale studies designed to measure employee sentiment on specific topics and initiatives.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ind w:left="580" w:hanging="286"/>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Fostering an environment of inclusion and belonging where everyone is valued.</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Stay interviews to help managers understand why staff stay and to uncover what might put them at risk of departing.</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Skip-level meetings to develop trust and rapport between senior leaders and employees.</w:t>
      </w:r>
    </w:p>
    <w:p>
      <w:pPr>
        <w:spacing w:after="0" w:line="213"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 well-being</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68"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Our global Employee Assistance Program (“EAP”) ensures that all employees, and their families, have access to professional mental health, financial and relationship support on a confidential basis. Employees can also access a wide range of tools, information and support services online in local languages.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Health and safety</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20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employment practices</w:t>
      </w:r>
    </w:p>
    <w:p>
      <w:pPr>
        <w:spacing w:after="0" w:line="23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are committed to being a workplace where all employees are included and feel a sense of belonging. As a global, values-driven organization, we acknowledge and celebrate our differences. Respecting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185"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We recognize the critical importance of ensuring all types of patients who will eventually receive therapies are represented on clinical trials, as well as offering clinical trials as a care option for those who may not otherwise have access to medical treatment.</w:t>
      </w:r>
    </w:p>
    <w:p>
      <w:pPr>
        <w:spacing w:after="0" w:line="18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have a strong focus on talent management, succession planning and talent development to ensure we work towards building strong talent pipelines with the best candidate appointed, based on a fair and unbiased selection process where merit, experience and performance form the basis for hiring and promotion decisions.</w:t>
      </w:r>
    </w:p>
    <w:p>
      <w:pPr>
        <w:spacing w:after="0" w:line="254"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Establishing a truly inclusive workplace requires offering fair pay. Using best-in-class methodology, we regularly review salary ranges to establish fair pay among employees regardless of gender, race or ethnicity. We also consider legitimate business factors that explain differences, such as performance, tenure and experience. ICON has made and will continue to make significant investments in organizational design structures, tools and education that uphold and support our pay principles.</w:t>
      </w:r>
    </w:p>
    <w:p>
      <w:pPr>
        <w:spacing w:after="0" w:line="204"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are committed to ensuring fair employment practices. For every jurisdiction in which we operate, we act in compliance with relevant laws relating to labor rights and labor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i w:val="1"/>
          <w:iCs w:val="1"/>
          <w:color w:val="auto"/>
        </w:rPr>
        <w:t>Human rights</w:t>
      </w:r>
    </w:p>
    <w:p>
      <w:pPr>
        <w:spacing w:after="0" w:line="22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ICON is committed to human rights and in 2021, ICON became a participant in the UN Global Compact (“UNGC”), signaling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labor, slavery, and human trafficking is defined clearly in these policies, which are available to employees, suppliers, customers, and the public.</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are opposed to forced labor, slavery, and human trafficking. We will not knowingly support or conduct business with any organization involved in such activities.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We do not employ anyone below the minimum employment age in the jurisdictions in which we operate.</w:t>
      </w:r>
    </w:p>
    <w:p>
      <w:pPr>
        <w:spacing w:after="0" w:line="220"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Our Global Supplier Code of Conduct incorporates the Pharmaceutical Supply Chain Initiative (“PSCI”) principles for responsible supply chain management, including for labor.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Ethics and Compliance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behavior. This Code addresses the core values expected of our people in our internal interactions with each other as well as in external dealings with patients, customers, healthcare professionals, regulators, investors, vendors and other third parties.</w:t>
      </w:r>
    </w:p>
    <w:p>
      <w:pPr>
        <w:spacing w:after="0" w:line="20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Our Ethics and Compliance program is designed to protect the interests of the company and its shareholders by preventing, detecting, investigating and responding to potential misconduct and violations.</w:t>
      </w:r>
    </w:p>
    <w:p>
      <w:pPr>
        <w:spacing w:after="0" w:line="18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Ethics &amp; Compliance team (“E&amp;C”) provides day-to-day independent oversight for the program. The team works collaboratively with risk and compliance functions and leadership across the business to align on and optimize its reach and impact. The program is overseen by the CAO, who, reports on the program to ICON’s executive leadership team, the Nominating, Sustainability and Governance Committee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 Where appropriate, the program also implements regional and/or country specific policies, procedure, training and guidance.</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uses Ethics Line, a system for employees and third parties to confidentially report ethics and compliance questions, as well as concerns, and to track reports through follow-up and resolution. An independent company administers this hotline, which is available all hours of every day and can accommodate calls in over 75 languages. These tools also provide visibility into our risks while highlighting opportunities to address them. ICON’s Ethics and Compliance program will continue to grow and evolve in response to changes in our business and in the global business climate.</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All personnel are required to receive ethics and compliance training during initial onboarding and complete annual refresher sessions. Training modules explain the channels available for reporting suspected unethical or illegal practices. The training supports our values and our ways of working and incorporates the key principles of our policies and codes and includes interactive scenarios where applicable.</w:t>
      </w:r>
    </w:p>
    <w:p>
      <w:pPr>
        <w:spacing w:after="0" w:line="19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Anti-bribery and Corruption</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is guided by the foundational principle that we do not tolerate bribery or any other form of corruption or fraud. Our anti-bribery and anti-corruption (“ABAC”) program is a core element of our Ethics and Compliance program. ICON and all ICON directors, employees, consultants, agents and all third parties acting on ICON's behalf must act in compliance with international laws and regulations relating to bribery, corruption, and illicit payments, including but not limited to the US Foreign Corrupt Practices Act and the UK Bribery Act 2010.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45" w:name="page46"/>
    <w:bookmarkEnd w:id="45"/>
    <w:p>
      <w:pPr>
        <w:jc w:val="both"/>
        <w:ind w:firstLine="591"/>
        <w:spacing w:after="0" w:line="263" w:lineRule="auto"/>
        <w:rPr>
          <w:sz w:val="20"/>
          <w:szCs w:val="20"/>
          <w:color w:val="auto"/>
        </w:rPr>
      </w:pPr>
      <w:r>
        <w:rPr>
          <w:rFonts w:ascii="Arial" w:cs="Arial" w:eastAsia="Arial" w:hAnsi="Arial"/>
          <w:sz w:val="15"/>
          <w:szCs w:val="15"/>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8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0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ICON's internal audit teams conduct ABAC program audits. Internal Audit focuses on testing for compliance and design effectiveness of the overall ABAC program. Internal Audit incorporates an assessment of ABAC measures in audits, as appropriate. In this approach, bribery and corruption risks are incorporated into the risk assessment and scoping process of each audit.</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Privacy and Information Security</w:t>
      </w:r>
    </w:p>
    <w:p>
      <w:pPr>
        <w:spacing w:after="0" w:line="208" w:lineRule="exact"/>
        <w:rPr>
          <w:sz w:val="20"/>
          <w:szCs w:val="20"/>
          <w:color w:val="auto"/>
        </w:rPr>
      </w:pPr>
    </w:p>
    <w:p>
      <w:pPr>
        <w:jc w:val="both"/>
        <w:ind w:firstLine="591"/>
        <w:spacing w:after="0" w:line="244" w:lineRule="auto"/>
        <w:rPr>
          <w:sz w:val="20"/>
          <w:szCs w:val="20"/>
          <w:color w:val="auto"/>
        </w:rPr>
      </w:pPr>
      <w:r>
        <w:rPr>
          <w:rFonts w:ascii="Arial" w:cs="Arial" w:eastAsia="Arial" w:hAnsi="Arial"/>
          <w:sz w:val="15"/>
          <w:szCs w:val="15"/>
          <w:color w:val="auto"/>
        </w:rPr>
        <w:t>Data privacy and information security are fundamental to our business and key to retaining customers, building investors’ trust, protecting data subjects who entrust their personal information to us, and complying with global and regional regulations. We recognize and respect that our customers, employees, participants, and all those who do business with us expect that we will protect their personal information in accordance with our legal obligations and policy commitments. ICON´s commitment to privacy and information security is demonstrated through the implementation of robust privacy and information security programs.</w:t>
      </w:r>
    </w:p>
    <w:p>
      <w:pPr>
        <w:spacing w:after="0" w:line="210"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ICON’s Global Data Protection program is overseen by the CAO. This program governs ICON’s and its employees’ obligations concerning the processing of personal data. The program consists of a Global Data Protection Officer (“DPO”), a team of privacy lawyers and specialists and corporate policies and procedures regulating how we address our data protection obligations in the countries we operate in, including our obligations under the EU General Data Protection Regulation (“GDPR”) e.g. fulfillment of data subject rights, data protection impact assessments, our obligations to maintain records of processing activities (“ROPAs”) and management of personal data incidents and breaches in accordance with data protection laws. ICON´s Global Data Protection program supports compliance with fundamental data protection principles including transparency, data minimization, accountability and security. ICON has embedded privacy by design considerations in product and process development and implements a robust set of technical and organizational measures to protect personal information processed by ICON.</w:t>
      </w:r>
    </w:p>
    <w:p>
      <w:pPr>
        <w:spacing w:after="0" w:line="181" w:lineRule="exact"/>
        <w:rPr>
          <w:sz w:val="20"/>
          <w:szCs w:val="20"/>
          <w:color w:val="auto"/>
        </w:rPr>
      </w:pPr>
    </w:p>
    <w:p>
      <w:pPr>
        <w:jc w:val="both"/>
        <w:ind w:firstLine="591"/>
        <w:spacing w:after="0" w:line="244" w:lineRule="auto"/>
        <w:rPr>
          <w:sz w:val="20"/>
          <w:szCs w:val="20"/>
          <w:color w:val="auto"/>
        </w:rPr>
      </w:pPr>
      <w:r>
        <w:rPr>
          <w:rFonts w:ascii="Arial" w:cs="Arial" w:eastAsia="Arial" w:hAnsi="Arial"/>
          <w:sz w:val="15"/>
          <w:szCs w:val="15"/>
          <w:color w:val="auto"/>
        </w:rPr>
        <w:t>ICON’s Personal Data Incident and Breach Response Policy and Process governs the management of personal data incidents and breaches within ICON. The policy requires incidents to be reported to ICON’s DPO and Privacy Team, who manage them in collaboration with relevant internal stakeholders (e.g., IT Security, Quality &amp; Compliance), to ensure we comply with our legal and contractual obligations, including our reporting obligations. ICON’s data protection policies and procedures are independently audited as part of ICON maintaining an ISO 27701 certification that it initially achieved in 2023.</w:t>
      </w:r>
    </w:p>
    <w:p>
      <w:pPr>
        <w:spacing w:after="0" w:line="21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programs and provide direct support in response to priorities dictated by ICON’s Privacy and Security Council (chaired by ICON’s DPO and the Vice President of Cyber &amp; Information Security ).</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For information about our cybersecurity program see </w:t>
      </w:r>
      <w:r>
        <w:rPr>
          <w:rFonts w:ascii="Arial" w:cs="Arial" w:eastAsia="Arial" w:hAnsi="Arial"/>
          <w:sz w:val="15"/>
          <w:szCs w:val="15"/>
          <w:i w:val="1"/>
          <w:iCs w:val="1"/>
          <w:color w:val="auto"/>
        </w:rPr>
        <w:t>Item 16K Cybersecurity</w:t>
      </w:r>
      <w:r>
        <w:rPr>
          <w:rFonts w:ascii="Arial" w:cs="Arial" w:eastAsia="Arial" w:hAnsi="Arial"/>
          <w:sz w:val="15"/>
          <w:szCs w:val="15"/>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Sustainable procurement</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 maintains policies and processes to support responsible, sustainable, and ethical business practices. Our goal is to source from suppliers whose values align with our own, and who are socially and environmentally responsible and conscious. In 2024 we launched a Sustainable Procurement Policy that outlines our expectations for suppliers relating to sustainability. This policy applies to all suppliers and aims to ensure ICON maintains a responsible and sustainable supply chain.</w:t>
      </w:r>
    </w:p>
    <w:p>
      <w:pPr>
        <w:spacing w:after="0" w:line="185"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6" w:name="page47"/>
    <w:bookmarkEnd w:id="46"/>
    <w:p>
      <w:pPr>
        <w:jc w:val="both"/>
        <w:ind w:firstLine="591"/>
        <w:spacing w:after="0" w:line="263" w:lineRule="auto"/>
        <w:rPr>
          <w:sz w:val="20"/>
          <w:szCs w:val="20"/>
          <w:color w:val="auto"/>
        </w:rPr>
      </w:pPr>
      <w:r>
        <w:rPr>
          <w:rFonts w:ascii="Arial" w:cs="Arial" w:eastAsia="Arial" w:hAnsi="Arial"/>
          <w:sz w:val="15"/>
          <w:szCs w:val="15"/>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As part of our onboarding process, we require our suppliers to abide by our Global Supplier Code of Conduct which incorporates the Pharmaceutical Supply Chain Initiative (“PSCI”) principles for Responsible Supply Chain Management and sets out our standards and expectations regarding:</w:t>
      </w:r>
    </w:p>
    <w:p>
      <w:pPr>
        <w:spacing w:after="0" w:line="168" w:lineRule="exact"/>
        <w:rPr>
          <w:sz w:val="20"/>
          <w:szCs w:val="20"/>
          <w:color w:val="auto"/>
        </w:rPr>
      </w:pPr>
    </w:p>
    <w:p>
      <w:pPr>
        <w:ind w:left="580" w:hanging="286"/>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Ethics and compliance</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Labor and human rights</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Health and safety</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Environmental stewardship</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To further support the development of our sustainable procurement program, ICON has engaged with EcoVadis, CDP and Supplier IO to help assess our key suppliers and gather data around sustainability maturity and GHG emissions. This data allows us to factor sustainability related factors into our supplier selection activities and embed sustainability into our procurement practices.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234"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to gain repeat business and enable us new opportunities to penetrate into other therapeutic indications and adjacent service lines.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9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the PPD clinical research services brand of Thermo Fisher Scientific Inc., Fortrea and Syneos Health. In some specific markets, for example biotech and mid-tier pharma, ICON may also compete against mid-tier CROs. Competition also exists for acquisition candidates in addition to competition for customers.</w:t>
      </w:r>
    </w:p>
    <w:p>
      <w:pPr>
        <w:spacing w:after="0" w:line="207"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CROs generally compete on the basis of operational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believe that we compete favorably in all these areas and we continue to invest in our capabilities to ensure that we remain competitive in the future.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Customers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During the year ended December 31, 2024, revenue was earned from a wide range of customers and 25.0% of our revenues were derived from our top five customers, with no one customer individually contributing more than 10% of our revenues during the period. Our largest customer represented a strategic partnership with a large global pharmaceutical company and contributed 7.7% of revenue for the year.</w:t>
      </w:r>
    </w:p>
    <w:p>
      <w:pPr>
        <w:spacing w:after="0" w:line="19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During the year ended December 31, 2023, 26.8% of our revenues were derived from our top five customers, with no one customer individually contributing more than 10% of our revenues during the period. Our largest customer represented a strategic partnership with a large global pharmaceutical company and contributed 8.9% of revenue for the year ended December 31, 2023.</w:t>
      </w:r>
    </w:p>
    <w:p>
      <w:pPr>
        <w:spacing w:after="0" w:line="20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During the year ended December 31, 2022, 28.3% of our revenues were derived from our top five customers, with no one customer individually contributing more than 10% of our revenues during the period. Our largest customer represented a strategic partnership with a large global pharmaceutical company and contributed 8.8% of revenue for the year ended December 31, 2022.</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loss of, or a significant decrease in business from one or more of our key customers could have a material adverse impact on our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Unsatisfied Performance Obligation</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unsatisfied performance obligation consists of contracted revenue yet to be earned from projects awarded by clients. At December 31, 2024, we had contracted unsatisfied performance obligations of $15.9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Systems</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Having access to accurate and timely information is critical in the management, delivery and quality of all aspects of drug development. ICON invests in technologies that align with modern healthcare delivery. Our strategy of using technology to enhance our global processes is evident from our deployment of leading global platforms such as Veeva (SOP document management system), Cornerstone (training delivery solution), ServiceNow (workflow and automation platform), SailPoint (identity management and governance), PEGA (safety reporting), ARGUS (pharmacovigilance), Salesforce (CRM) and Medidata (Clinical systems).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ICON uses an extensive range of both on premise and cloud-based applications to support its services, including:</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 Operations</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('CTMS') that tracks all relevant data in a trial and automates all management and reporting processes. The Electronic Trial Master File ('eTMF') is delivered via ICON's proprietary software ICOMaster and/or the Wingspan and PhlexGlobal software platforms.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 Data Science and Biometrics</w:t>
      </w:r>
    </w:p>
    <w:p>
      <w:pPr>
        <w:spacing w:after="0" w:line="22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our Clinical Data Science function, we have leading clinical data management solutions including Electronic Data Capture (EDC), Biostatistics and Clinical Data Warehouse solutions from external vendors. This allows us to guarantee the integrity of client data and provide consolidated information across client studies.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Decentralized Trials</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ICON's Digital Platform (IDP) enables the delivery of Decentralized and Hybrid Clinical Trial services, maximizing patient recruitment and retention and at the same time expanding access to remote patient populations.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Site Performance Management and Patient Engagement</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FIRECREST’s digital suite employs videos and visual aids to assist in the explanation of complex scientific concepts and medical terms found in trial protocols. FIRECREST eConsent solution provides sites and Sponsors with an audit-ready, on-site and remotely accessible system that automatically captures dates and signatures and is configured to mitigate against the common inspection findings which hamper the traditional paper-based consenting process.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i w:val="1"/>
          <w:iCs w:val="1"/>
          <w:color w:val="auto"/>
        </w:rPr>
        <w:t>Compliance and Safety</w:t>
      </w:r>
    </w:p>
    <w:p>
      <w:pPr>
        <w:spacing w:after="0" w:line="220"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ICON provides its Pharmacovigilance Services using Oracle’s ARGUS safety database. The system is FDA regulated, 21 CFR Part 11 compliant and generates all the standard regulatory required reports, as well the periodic reports required to support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Population Pharmacokinetics and Pharmacokinetic Pharmacodynamic Modelling</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ICON supports Population Pharmacokinetics and Pharmacokinetic Pharmacodynamic modeling using its proprietary software NONMEM®.</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Laboratory and Imaging</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ICON's Laboratory uses a comprehensive suite of software, including a laboratory information management system (LIMS), a kit / sample management system and a web interface system to allow clients to review results online. Sample Inventory Management System (SIMS) is an interactive reporting module for use by sponsors and study teams. It provides detailed sample inventory reports and summaries of sample status and location with drill down capabilities. It helps locate samples more rapidly, particularly at critical study junctures. ICON provides imaging and cardio safety services using its internally developed Medical Image Review and Analysis system ('MIRA') &amp; Maestro platforms and uses Medidata’s Rave Commercial Imaging for collecting, managing and processing data to support its imaging capabilities.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Centralized Patient Randomization</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ICON provides interactive response technology (IXR) to enable centralized patient randomization, drug inventory management and patient diary collection, providing our clients with a fully flexible multi-channel data retrieval solution which can be utilized via telephone, internet browser or a mobile device.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Healthcare Data Analytics</w:t>
      </w:r>
    </w:p>
    <w:p>
      <w:pPr>
        <w:spacing w:after="0" w:line="232"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Integrated Dataverse (IDV®) is a comprehensive and longitudinal source of healthcare data in the industry, bringing together vast claims resources: medical, hospital, and prescription, with rich point-of-sale prescription data, non-retail invoice data, and demographic data. This provides data, applications, analytics, and consulting to help companies gain deep insight into the pharmaceutical market. We transform data into decisions and give deeper insight into the relationships that sponsor brands have with the market by allowing a holistic view of the impacts of payer, prescriber, and patient behavior. Our proprietary Tokenization technology Synoma® simplifies the anonymization, exchange and connection of industry data sources to provide an integrated view of a patient’s data.</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Finance Operations and Investigator Payments</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Company’s global finance operations utilize Oracle’s eBusiness suite, with Hyperion reporting, to serve the organization’s financial and project accounting requirements. Workday is used to fulfill our Human Resource people management requirements. Our business development and contracting teams use Salesforce CRM. Our Investigator Payment team uses Accelerated Payment Entitlements Calculation System ('APECS') for timely and accurate payments to sites for the work performed in the care and management of patients as they participate within clinical trials.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49" w:name="page50"/>
    <w:bookmarkEnd w:id="49"/>
    <w:p>
      <w:pPr>
        <w:ind w:left="1"/>
        <w:spacing w:after="0"/>
        <w:rPr>
          <w:sz w:val="20"/>
          <w:szCs w:val="20"/>
          <w:color w:val="auto"/>
        </w:rPr>
      </w:pPr>
      <w:r>
        <w:rPr>
          <w:rFonts w:ascii="Arial" w:cs="Arial" w:eastAsia="Arial" w:hAnsi="Arial"/>
          <w:sz w:val="15"/>
          <w:szCs w:val="15"/>
          <w:b w:val="1"/>
          <w:bCs w:val="1"/>
          <w:color w:val="auto"/>
        </w:rPr>
        <w:t>Accelerating Clinical Research with AI</w:t>
      </w:r>
    </w:p>
    <w:p>
      <w:pPr>
        <w:spacing w:after="0" w:line="99" w:lineRule="exact"/>
        <w:rPr>
          <w:sz w:val="20"/>
          <w:szCs w:val="20"/>
          <w:color w:val="auto"/>
        </w:rPr>
      </w:pPr>
    </w:p>
    <w:p>
      <w:pPr>
        <w:ind w:left="1" w:firstLine="591"/>
        <w:spacing w:after="0" w:line="286" w:lineRule="auto"/>
        <w:rPr>
          <w:sz w:val="20"/>
          <w:szCs w:val="20"/>
          <w:color w:val="auto"/>
        </w:rPr>
      </w:pPr>
      <w:r>
        <w:rPr>
          <w:rFonts w:ascii="Arial" w:cs="Arial" w:eastAsia="Arial" w:hAnsi="Arial"/>
          <w:sz w:val="15"/>
          <w:szCs w:val="15"/>
          <w:color w:val="auto"/>
        </w:rPr>
        <w:t>ICON has a dedicated AI Centre of Excellence. By leveraging innovative AI and ML, we accelerate trials, optimize resources, and ensure strict compliance, all while upholding the highest standards of ethical governance and data privacy. Our focus is to expedite our ability to:</w:t>
      </w:r>
    </w:p>
    <w:p>
      <w:pPr>
        <w:spacing w:after="0" w:line="168" w:lineRule="exact"/>
        <w:rPr>
          <w:sz w:val="20"/>
          <w:szCs w:val="20"/>
          <w:color w:val="auto"/>
        </w:rPr>
      </w:pPr>
    </w:p>
    <w:p>
      <w:pPr>
        <w:ind w:left="581" w:hanging="286"/>
        <w:spacing w:after="0"/>
        <w:tabs>
          <w:tab w:leader="none" w:pos="581" w:val="left"/>
        </w:tabs>
        <w:numPr>
          <w:ilvl w:val="0"/>
          <w:numId w:val="35"/>
        </w:numPr>
        <w:rPr>
          <w:rFonts w:ascii="Arial" w:cs="Arial" w:eastAsia="Arial" w:hAnsi="Arial"/>
          <w:sz w:val="15"/>
          <w:szCs w:val="15"/>
          <w:color w:val="auto"/>
        </w:rPr>
      </w:pPr>
      <w:r>
        <w:rPr>
          <w:rFonts w:ascii="Arial" w:cs="Arial" w:eastAsia="Arial" w:hAnsi="Arial"/>
          <w:sz w:val="15"/>
          <w:szCs w:val="15"/>
          <w:color w:val="auto"/>
        </w:rPr>
        <w:t>find signals quickly;</w:t>
      </w:r>
    </w:p>
    <w:p>
      <w:pPr>
        <w:spacing w:after="0" w:line="21" w:lineRule="exact"/>
        <w:rPr>
          <w:rFonts w:ascii="Arial" w:cs="Arial" w:eastAsia="Arial" w:hAnsi="Arial"/>
          <w:sz w:val="15"/>
          <w:szCs w:val="15"/>
          <w:color w:val="auto"/>
        </w:rPr>
      </w:pPr>
    </w:p>
    <w:p>
      <w:pPr>
        <w:ind w:left="581" w:hanging="286"/>
        <w:spacing w:after="0"/>
        <w:tabs>
          <w:tab w:leader="none" w:pos="581"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connect information intelligently;</w:t>
      </w:r>
    </w:p>
    <w:p>
      <w:pPr>
        <w:spacing w:after="0" w:line="5" w:lineRule="exact"/>
        <w:rPr>
          <w:rFonts w:ascii="Arial" w:cs="Arial" w:eastAsia="Arial" w:hAnsi="Arial"/>
          <w:sz w:val="15"/>
          <w:szCs w:val="15"/>
          <w:color w:val="auto"/>
        </w:rPr>
      </w:pPr>
    </w:p>
    <w:p>
      <w:pPr>
        <w:ind w:left="581" w:hanging="286"/>
        <w:spacing w:after="0"/>
        <w:tabs>
          <w:tab w:leader="none" w:pos="581"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predict outcomes; and</w:t>
      </w:r>
    </w:p>
    <w:p>
      <w:pPr>
        <w:ind w:left="581" w:hanging="286"/>
        <w:spacing w:after="0"/>
        <w:tabs>
          <w:tab w:leader="none" w:pos="581" w:val="left"/>
        </w:tabs>
        <w:numPr>
          <w:ilvl w:val="0"/>
          <w:numId w:val="35"/>
        </w:numPr>
        <w:rPr>
          <w:rFonts w:ascii="Arial" w:cs="Arial" w:eastAsia="Arial" w:hAnsi="Arial"/>
          <w:sz w:val="15"/>
          <w:szCs w:val="15"/>
          <w:color w:val="auto"/>
        </w:rPr>
      </w:pPr>
      <w:r>
        <w:rPr>
          <w:rFonts w:ascii="Arial" w:cs="Arial" w:eastAsia="Arial" w:hAnsi="Arial"/>
          <w:sz w:val="15"/>
          <w:szCs w:val="15"/>
          <w:color w:val="auto"/>
        </w:rPr>
        <w:t>take proactive action to accelerate processes or mitigate emerging risks.</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5"/>
          <w:szCs w:val="15"/>
          <w:color w:val="auto"/>
        </w:rPr>
        <w:t>Examples of ICON’s AI implementations include:</w:t>
      </w:r>
    </w:p>
    <w:p>
      <w:pPr>
        <w:spacing w:after="0" w:line="222" w:lineRule="exact"/>
        <w:rPr>
          <w:sz w:val="20"/>
          <w:szCs w:val="20"/>
          <w:color w:val="auto"/>
        </w:rPr>
      </w:pPr>
    </w:p>
    <w:p>
      <w:pPr>
        <w:ind w:left="601" w:hanging="601"/>
        <w:spacing w:after="0" w:line="276" w:lineRule="auto"/>
        <w:tabs>
          <w:tab w:leader="none" w:pos="591"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OneView </w:t>
      </w:r>
      <w:r>
        <w:rPr>
          <w:rFonts w:ascii="Arial" w:cs="Arial" w:eastAsia="Arial" w:hAnsi="Arial"/>
          <w:sz w:val="14"/>
          <w:szCs w:val="14"/>
          <w:color w:val="auto"/>
        </w:rPr>
        <w:t>empowers sponsors to see and analyze their data from multiple sources within a trusted secure environment. With OneView, smart grouping algorithms</w:t>
      </w:r>
      <w:r>
        <w:rPr>
          <w:rFonts w:ascii="Arial" w:cs="Arial" w:eastAsia="Arial" w:hAnsi="Arial"/>
          <w:sz w:val="14"/>
          <w:szCs w:val="14"/>
          <w:b w:val="1"/>
          <w:bCs w:val="1"/>
          <w:color w:val="auto"/>
        </w:rPr>
        <w:t xml:space="preserve"> </w:t>
      </w:r>
      <w:r>
        <w:rPr>
          <w:rFonts w:ascii="Arial" w:cs="Arial" w:eastAsia="Arial" w:hAnsi="Arial"/>
          <w:sz w:val="14"/>
          <w:szCs w:val="14"/>
          <w:color w:val="auto"/>
        </w:rPr>
        <w:t>make it easy to transform this data into powerful interactive dashboards uncovering insights and enabling intelligent decisions for sponsors and project teams.</w:t>
      </w:r>
    </w:p>
    <w:p>
      <w:pPr>
        <w:spacing w:after="0" w:line="1" w:lineRule="exact"/>
        <w:rPr>
          <w:rFonts w:ascii="Arial" w:cs="Arial" w:eastAsia="Arial" w:hAnsi="Arial"/>
          <w:sz w:val="14"/>
          <w:szCs w:val="14"/>
          <w:color w:val="auto"/>
        </w:rPr>
      </w:pPr>
    </w:p>
    <w:p>
      <w:pPr>
        <w:jc w:val="both"/>
        <w:ind w:left="601" w:hanging="601"/>
        <w:spacing w:after="0" w:line="245" w:lineRule="auto"/>
        <w:tabs>
          <w:tab w:leader="none" w:pos="59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OneSearch </w:t>
      </w:r>
      <w:r>
        <w:rPr>
          <w:rFonts w:ascii="Arial" w:cs="Arial" w:eastAsia="Arial" w:hAnsi="Arial"/>
          <w:sz w:val="15"/>
          <w:szCs w:val="15"/>
          <w:color w:val="auto"/>
        </w:rPr>
        <w:t>for optimised site identification, an intuitive, integrated workflow and interrogation tool from ICON, enables access to multiple data sources and</w:t>
      </w:r>
      <w:r>
        <w:rPr>
          <w:rFonts w:ascii="Arial" w:cs="Arial" w:eastAsia="Arial" w:hAnsi="Arial"/>
          <w:sz w:val="15"/>
          <w:szCs w:val="15"/>
          <w:b w:val="1"/>
          <w:bCs w:val="1"/>
          <w:color w:val="auto"/>
        </w:rPr>
        <w:t xml:space="preserve"> </w:t>
      </w:r>
      <w:r>
        <w:rPr>
          <w:rFonts w:ascii="Arial" w:cs="Arial" w:eastAsia="Arial" w:hAnsi="Arial"/>
          <w:sz w:val="15"/>
          <w:szCs w:val="15"/>
          <w:color w:val="auto"/>
        </w:rPr>
        <w:t>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1" w:lineRule="exact"/>
        <w:rPr>
          <w:rFonts w:ascii="Arial" w:cs="Arial" w:eastAsia="Arial" w:hAnsi="Arial"/>
          <w:sz w:val="15"/>
          <w:szCs w:val="15"/>
          <w:color w:val="auto"/>
        </w:rPr>
      </w:pPr>
    </w:p>
    <w:p>
      <w:pPr>
        <w:ind w:left="601" w:hanging="601"/>
        <w:spacing w:after="0" w:line="245" w:lineRule="auto"/>
        <w:tabs>
          <w:tab w:leader="none" w:pos="59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EXACT™ </w:t>
      </w:r>
      <w:r>
        <w:rPr>
          <w:rFonts w:ascii="Arial" w:cs="Arial" w:eastAsia="Arial" w:hAnsi="Arial"/>
          <w:sz w:val="15"/>
          <w:szCs w:val="15"/>
          <w:color w:val="auto"/>
        </w:rPr>
        <w:t>system is used to simplify and automate the production of multiple Clinical Data Interchange Standards Consortium (CDISC) guidelines as well as</w:t>
      </w:r>
      <w:r>
        <w:rPr>
          <w:rFonts w:ascii="Arial" w:cs="Arial" w:eastAsia="Arial" w:hAnsi="Arial"/>
          <w:sz w:val="15"/>
          <w:szCs w:val="15"/>
          <w:b w:val="1"/>
          <w:bCs w:val="1"/>
          <w:color w:val="auto"/>
        </w:rPr>
        <w:t xml:space="preserve"> </w:t>
      </w:r>
      <w:r>
        <w:rPr>
          <w:rFonts w:ascii="Arial" w:cs="Arial" w:eastAsia="Arial" w:hAnsi="Arial"/>
          <w:sz w:val="15"/>
          <w:szCs w:val="15"/>
          <w:color w:val="auto"/>
        </w:rPr>
        <w:t>tables, figures and listings in trial reports.</w:t>
      </w: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Cassandra </w:t>
      </w:r>
      <w:r>
        <w:rPr>
          <w:rFonts w:ascii="Arial" w:cs="Arial" w:eastAsia="Arial" w:hAnsi="Arial"/>
          <w:sz w:val="15"/>
          <w:szCs w:val="15"/>
          <w:color w:val="auto"/>
        </w:rPr>
        <w:t>– AI capability which predicts the needs for FDA &amp; European Medical Agency "EMA" post marketing studies.</w:t>
      </w:r>
    </w:p>
    <w:p>
      <w:pPr>
        <w:spacing w:after="0" w:line="5" w:lineRule="exact"/>
        <w:rPr>
          <w:rFonts w:ascii="Arial" w:cs="Arial" w:eastAsia="Arial" w:hAnsi="Arial"/>
          <w:sz w:val="15"/>
          <w:szCs w:val="15"/>
          <w:color w:val="auto"/>
        </w:rPr>
      </w:pP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ICONex </w:t>
      </w:r>
      <w:r>
        <w:rPr>
          <w:rFonts w:ascii="Arial" w:cs="Arial" w:eastAsia="Arial" w:hAnsi="Arial"/>
          <w:sz w:val="15"/>
          <w:szCs w:val="15"/>
          <w:color w:val="auto"/>
        </w:rPr>
        <w:t>– AI Powered capability which enables key opinion leaders and their networks to be more easily identified.</w:t>
      </w:r>
    </w:p>
    <w:p>
      <w:pPr>
        <w:spacing w:after="0" w:line="12" w:lineRule="exact"/>
        <w:rPr>
          <w:rFonts w:ascii="Arial" w:cs="Arial" w:eastAsia="Arial" w:hAnsi="Arial"/>
          <w:sz w:val="15"/>
          <w:szCs w:val="15"/>
          <w:color w:val="auto"/>
        </w:rPr>
      </w:pP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iSubmit </w:t>
      </w:r>
      <w:r>
        <w:rPr>
          <w:rFonts w:ascii="Arial" w:cs="Arial" w:eastAsia="Arial" w:hAnsi="Arial"/>
          <w:sz w:val="15"/>
          <w:szCs w:val="15"/>
          <w:color w:val="auto"/>
        </w:rPr>
        <w:t>simplifies eTMF document management with automated filing and compliance checks.</w:t>
      </w: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Mapi Research Trust COA </w:t>
      </w:r>
      <w:r>
        <w:rPr>
          <w:rFonts w:ascii="Arial" w:cs="Arial" w:eastAsia="Arial" w:hAnsi="Arial"/>
          <w:sz w:val="15"/>
          <w:szCs w:val="15"/>
          <w:color w:val="auto"/>
        </w:rPr>
        <w:t>stays updated with the latest clinical outcome assessments (COAs) using AI-driven intelligence in near real-time.</w:t>
      </w: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FORWARD+ </w:t>
      </w:r>
      <w:r>
        <w:rPr>
          <w:rFonts w:ascii="Arial" w:cs="Arial" w:eastAsia="Arial" w:hAnsi="Arial"/>
          <w:sz w:val="15"/>
          <w:szCs w:val="15"/>
          <w:color w:val="auto"/>
        </w:rPr>
        <w:t>optimizes resource demand, allocation, and forecasting for smoother trial execution.</w:t>
      </w:r>
    </w:p>
    <w:p>
      <w:pPr>
        <w:spacing w:after="0" w:line="12" w:lineRule="exact"/>
        <w:rPr>
          <w:rFonts w:ascii="Arial" w:cs="Arial" w:eastAsia="Arial" w:hAnsi="Arial"/>
          <w:sz w:val="15"/>
          <w:szCs w:val="15"/>
          <w:color w:val="auto"/>
        </w:rPr>
      </w:pPr>
    </w:p>
    <w:p>
      <w:pPr>
        <w:ind w:left="581" w:hanging="581"/>
        <w:spacing w:after="0"/>
        <w:tabs>
          <w:tab w:leader="none" w:pos="58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Study Start-up Site Contracts </w:t>
      </w:r>
      <w:r>
        <w:rPr>
          <w:rFonts w:ascii="Arial" w:cs="Arial" w:eastAsia="Arial" w:hAnsi="Arial"/>
          <w:sz w:val="15"/>
          <w:szCs w:val="15"/>
          <w:color w:val="auto"/>
        </w:rPr>
        <w:t>streamlines contract drafting, reducing negotiation cycles and accelerating site activation.</w:t>
      </w:r>
    </w:p>
    <w:p>
      <w:pPr>
        <w:ind w:left="601" w:hanging="601"/>
        <w:spacing w:after="0" w:line="248" w:lineRule="auto"/>
        <w:tabs>
          <w:tab w:leader="none" w:pos="59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Operational Metrics AI </w:t>
      </w:r>
      <w:r>
        <w:rPr>
          <w:rFonts w:ascii="Arial" w:cs="Arial" w:eastAsia="Arial" w:hAnsi="Arial"/>
          <w:sz w:val="15"/>
          <w:szCs w:val="15"/>
          <w:color w:val="auto"/>
        </w:rPr>
        <w:t>(OMR) leverages generative AI to transform how teams interact with operational data for faster, more intuitive insights and transparency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Clinical Research Process.</w:t>
      </w:r>
    </w:p>
    <w:p>
      <w:pPr>
        <w:ind w:left="601" w:hanging="601"/>
        <w:spacing w:after="0" w:line="250" w:lineRule="auto"/>
        <w:tabs>
          <w:tab w:leader="none" w:pos="591"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Site Enablement </w:t>
      </w:r>
      <w:r>
        <w:rPr>
          <w:rFonts w:ascii="Arial" w:cs="Arial" w:eastAsia="Arial" w:hAnsi="Arial"/>
          <w:sz w:val="15"/>
          <w:szCs w:val="15"/>
          <w:color w:val="auto"/>
        </w:rPr>
        <w:t>- Clinical Archive Record Distribution (CARD) simplifies the delivery of data to sites at the end of a study with automated file distribution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checks.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Using Informatics to Provide Accurate and Timely Access to Data</w:t>
      </w:r>
    </w:p>
    <w:p>
      <w:pPr>
        <w:spacing w:after="0" w:line="222" w:lineRule="exact"/>
        <w:rPr>
          <w:sz w:val="20"/>
          <w:szCs w:val="20"/>
          <w:color w:val="auto"/>
        </w:rPr>
      </w:pPr>
    </w:p>
    <w:p>
      <w:pPr>
        <w:ind w:left="1" w:firstLine="591"/>
        <w:spacing w:after="0" w:line="286" w:lineRule="auto"/>
        <w:rPr>
          <w:sz w:val="20"/>
          <w:szCs w:val="20"/>
          <w:color w:val="auto"/>
        </w:rPr>
      </w:pPr>
      <w:r>
        <w:rPr>
          <w:rFonts w:ascii="Arial" w:cs="Arial" w:eastAsia="Arial" w:hAnsi="Arial"/>
          <w:sz w:val="15"/>
          <w:szCs w:val="15"/>
          <w:color w:val="auto"/>
        </w:rPr>
        <w:t>ICON’s informatics strategy is built around key platforms to provide access to accurate and timely information. These solutions allow healthcare companies to manage, optimize and execute their clinical and commercial strategies in an orchestrated manner while addressing their regulatory obligations.</w:t>
      </w:r>
    </w:p>
    <w:p>
      <w:pPr>
        <w:spacing w:after="0" w:line="168" w:lineRule="exact"/>
        <w:rPr>
          <w:sz w:val="20"/>
          <w:szCs w:val="20"/>
          <w:color w:val="auto"/>
        </w:rPr>
      </w:pPr>
    </w:p>
    <w:p>
      <w:pPr>
        <w:ind w:left="601"/>
        <w:spacing w:after="0"/>
        <w:rPr>
          <w:sz w:val="20"/>
          <w:szCs w:val="20"/>
          <w:color w:val="auto"/>
        </w:rPr>
      </w:pPr>
      <w:r>
        <w:rPr>
          <w:rFonts w:ascii="Arial" w:cs="Arial" w:eastAsia="Arial" w:hAnsi="Arial"/>
          <w:sz w:val="14"/>
          <w:szCs w:val="14"/>
          <w:color w:val="auto"/>
        </w:rPr>
        <w:t>Key areas where ICON has made strategic investments to enhance the clinical project delivery process and to provide our sponsors with value-add in the following</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5"/>
          <w:szCs w:val="15"/>
          <w:color w:val="auto"/>
        </w:rPr>
        <w:t>areas:</w:t>
      </w:r>
    </w:p>
    <w:p>
      <w:pPr>
        <w:spacing w:after="0" w:line="220" w:lineRule="exact"/>
        <w:rPr>
          <w:sz w:val="20"/>
          <w:szCs w:val="20"/>
          <w:color w:val="auto"/>
        </w:rPr>
      </w:pPr>
    </w:p>
    <w:p>
      <w:pPr>
        <w:jc w:val="both"/>
        <w:ind w:left="601" w:hanging="601"/>
        <w:spacing w:after="0" w:line="249" w:lineRule="auto"/>
        <w:tabs>
          <w:tab w:leader="none" w:pos="591"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Data Analytics, Decentralized Trials &amp; Risk-based Monitoring (RBM) </w:t>
      </w:r>
      <w:r>
        <w:rPr>
          <w:rFonts w:ascii="Arial" w:cs="Arial" w:eastAsia="Arial" w:hAnsi="Arial"/>
          <w:sz w:val="15"/>
          <w:szCs w:val="15"/>
          <w:color w:val="auto"/>
        </w:rPr>
        <w:t>– using Medidata’s Clinical Data Studio to enable the management, reporting, analysis</w:t>
      </w:r>
      <w:r>
        <w:rPr>
          <w:rFonts w:ascii="Arial" w:cs="Arial" w:eastAsia="Arial" w:hAnsi="Arial"/>
          <w:sz w:val="15"/>
          <w:szCs w:val="15"/>
          <w:b w:val="1"/>
          <w:bCs w:val="1"/>
          <w:color w:val="auto"/>
        </w:rPr>
        <w:t xml:space="preserve"> </w:t>
      </w:r>
      <w:r>
        <w:rPr>
          <w:rFonts w:ascii="Arial" w:cs="Arial" w:eastAsia="Arial" w:hAnsi="Arial"/>
          <w:sz w:val="15"/>
          <w:szCs w:val="15"/>
          <w:color w:val="auto"/>
        </w:rPr>
        <w:t>and visualization of all data relating to drug development. This platform collects, manage and standardize study data from multiple sources, including EDC, patient engagement, Electronic Medical Records (EMR) / Electronic Health Record ('EHR'), mobile health, Telehealth, Wearables, Central Laboratories to provide a single view of study information. This enables ICON to deliver services such as Risk Based Monitoring (RBM) using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jc w:val="both"/>
        <w:ind w:left="601" w:hanging="601"/>
        <w:spacing w:after="0" w:line="245" w:lineRule="auto"/>
        <w:tabs>
          <w:tab w:leader="none" w:pos="591"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Efficiencies in Study Reporting </w:t>
      </w:r>
      <w:r>
        <w:rPr>
          <w:rFonts w:ascii="Arial" w:cs="Arial" w:eastAsia="Arial" w:hAnsi="Arial"/>
          <w:sz w:val="15"/>
          <w:szCs w:val="15"/>
          <w:color w:val="auto"/>
        </w:rPr>
        <w:t>- Enhancements to our ICONIK platform resulting in the standardization of study-specific data derivations for safety monitoring</w:t>
      </w:r>
      <w:r>
        <w:rPr>
          <w:rFonts w:ascii="Arial" w:cs="Arial" w:eastAsia="Arial" w:hAnsi="Arial"/>
          <w:sz w:val="15"/>
          <w:szCs w:val="15"/>
          <w:b w:val="1"/>
          <w:bCs w:val="1"/>
          <w:color w:val="auto"/>
        </w:rPr>
        <w:t xml:space="preserve"> </w:t>
      </w:r>
      <w:r>
        <w:rPr>
          <w:rFonts w:ascii="Arial" w:cs="Arial" w:eastAsia="Arial" w:hAnsi="Arial"/>
          <w:sz w:val="15"/>
          <w:szCs w:val="15"/>
          <w:color w:val="auto"/>
        </w:rPr>
        <w:t>and clinical decision making in trials. The development of new data visualizations, to meet study-specific needs for risk-based, safety and adaptive monitoring, has improved the efficiency of study-specific delivery to sponsors.</w:t>
      </w:r>
    </w:p>
    <w:p>
      <w:pPr>
        <w:spacing w:after="0" w:line="1" w:lineRule="exact"/>
        <w:rPr>
          <w:rFonts w:ascii="Arial" w:cs="Arial" w:eastAsia="Arial" w:hAnsi="Arial"/>
          <w:sz w:val="15"/>
          <w:szCs w:val="15"/>
          <w:color w:val="auto"/>
        </w:rPr>
      </w:pPr>
    </w:p>
    <w:p>
      <w:pPr>
        <w:jc w:val="both"/>
        <w:ind w:left="601" w:hanging="601"/>
        <w:spacing w:after="0" w:line="246" w:lineRule="auto"/>
        <w:tabs>
          <w:tab w:leader="none" w:pos="591"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EMR </w:t>
      </w:r>
      <w:r>
        <w:rPr>
          <w:rFonts w:ascii="Arial" w:cs="Arial" w:eastAsia="Arial" w:hAnsi="Arial"/>
          <w:sz w:val="15"/>
          <w:szCs w:val="15"/>
          <w:color w:val="auto"/>
        </w:rPr>
        <w:t>- ICON created and implemented a strategy to use real patient data through EMR systems to support clinical development, including study design, feasibility,</w:t>
      </w:r>
      <w:r>
        <w:rPr>
          <w:rFonts w:ascii="Arial" w:cs="Arial" w:eastAsia="Arial" w:hAnsi="Arial"/>
          <w:sz w:val="15"/>
          <w:szCs w:val="15"/>
          <w:b w:val="1"/>
          <w:bCs w:val="1"/>
          <w:color w:val="auto"/>
        </w:rPr>
        <w:t xml:space="preserve"> </w:t>
      </w:r>
      <w:r>
        <w:rPr>
          <w:rFonts w:ascii="Arial" w:cs="Arial" w:eastAsia="Arial" w:hAnsi="Arial"/>
          <w:sz w:val="15"/>
          <w:szCs w:val="15"/>
          <w:color w:val="auto"/>
        </w:rPr>
        <w:t>site identification, and patient recruitment. Specifically for oncology trials, ICON has partnered with the TransMed Consortium to conduct top-level feasibility and site identification assessments based on detailed protocol inclusion and exclusion criteria, and to support patient identification and recruitment to current clinical trials.</w:t>
      </w:r>
    </w:p>
    <w:p>
      <w:pPr>
        <w:spacing w:after="0" w:line="2" w:lineRule="exact"/>
        <w:rPr>
          <w:rFonts w:ascii="Arial" w:cs="Arial" w:eastAsia="Arial" w:hAnsi="Arial"/>
          <w:sz w:val="15"/>
          <w:szCs w:val="15"/>
          <w:color w:val="auto"/>
        </w:rPr>
      </w:pPr>
    </w:p>
    <w:p>
      <w:pPr>
        <w:jc w:val="both"/>
        <w:ind w:left="601" w:hanging="601"/>
        <w:spacing w:after="0" w:line="257" w:lineRule="auto"/>
        <w:tabs>
          <w:tab w:leader="none" w:pos="591"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Decentralized Trials </w:t>
      </w:r>
      <w:r>
        <w:rPr>
          <w:rFonts w:ascii="Arial" w:cs="Arial" w:eastAsia="Arial" w:hAnsi="Arial"/>
          <w:sz w:val="15"/>
          <w:szCs w:val="15"/>
          <w:color w:val="auto"/>
        </w:rPr>
        <w:t>- Automated, Real-time, Centralized, Accessible, Discoverable, Explorable &amp; Scalable Data (ARCADES), produces solutions for wearable</w:t>
      </w:r>
      <w:r>
        <w:rPr>
          <w:rFonts w:ascii="Arial" w:cs="Arial" w:eastAsia="Arial" w:hAnsi="Arial"/>
          <w:sz w:val="15"/>
          <w:szCs w:val="15"/>
          <w:b w:val="1"/>
          <w:bCs w:val="1"/>
          <w:color w:val="auto"/>
        </w:rPr>
        <w:t xml:space="preserve"> </w:t>
      </w:r>
      <w:r>
        <w:rPr>
          <w:rFonts w:ascii="Arial" w:cs="Arial" w:eastAsia="Arial" w:hAnsi="Arial"/>
          <w:sz w:val="15"/>
          <w:szCs w:val="15"/>
          <w:color w:val="auto"/>
        </w:rPr>
        <w:t>devices, virtual/hybrid trials, robotic process automation, enhanced operational execution, and excellence through forecasting and prediction algorithms. This greatly reduces site and patient burden, while providing real-time access and oversight of our performance to our clients.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50" w:name="page51"/>
    <w:bookmarkEnd w:id="50"/>
    <w:p>
      <w:pPr>
        <w:jc w:val="both"/>
        <w:ind w:left="601" w:hanging="601"/>
        <w:spacing w:after="0" w:line="256" w:lineRule="auto"/>
        <w:tabs>
          <w:tab w:leader="none" w:pos="591"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ICON’s Digital Engagement Platform ('IDP')- </w:t>
      </w:r>
      <w:r>
        <w:rPr>
          <w:rFonts w:ascii="Arial" w:cs="Arial" w:eastAsia="Arial" w:hAnsi="Arial"/>
          <w:sz w:val="15"/>
          <w:szCs w:val="15"/>
          <w:color w:val="auto"/>
        </w:rPr>
        <w:t>ICON is investing in Digitisation through the release of our Digital Engagement Platform which provides single</w:t>
      </w:r>
      <w:r>
        <w:rPr>
          <w:rFonts w:ascii="Arial" w:cs="Arial" w:eastAsia="Arial" w:hAnsi="Arial"/>
          <w:sz w:val="15"/>
          <w:szCs w:val="15"/>
          <w:b w:val="1"/>
          <w:bCs w:val="1"/>
          <w:color w:val="auto"/>
        </w:rPr>
        <w:t xml:space="preserve"> </w:t>
      </w:r>
      <w:r>
        <w:rPr>
          <w:rFonts w:ascii="Arial" w:cs="Arial" w:eastAsia="Arial" w:hAnsi="Arial"/>
          <w:sz w:val="15"/>
          <w:szCs w:val="15"/>
          <w:color w:val="auto"/>
        </w:rPr>
        <w:t>access to enable stakeholders to access and use all services for a trial. The unified data aggregation layer pulls data from various different sources and provide automated data feeds directly to sponsor systems. Insights will be derived from a variety of Artificial Intelligence (AI) tools and techniques including Machine Learning (ML), Deep Learning, Natural Language Processing, Fuzzy Logic, and Anomaly detection. Decision Support will provide the detailed analysis—and potentially recommendations from statistically based models—to enable informed decision-making.</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Underpinning Technology Delivery with Robust IT Infrastructure &amp; Governance</w:t>
      </w:r>
    </w:p>
    <w:p>
      <w:pPr>
        <w:spacing w:after="0" w:line="222"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ICON uses a range of enterprise applications that enable the delivery of our business services in a global environment. The focus is to provide ease of access and capture of study information for our staff and clients globally. We use a combination of proprietary applications and leading commercial business applications from vendors including Microsoft, Amazon, Oracle, Dell, SAS, Veeva, Dassault, Salesforce and BOX.</w:t>
      </w:r>
    </w:p>
    <w:p>
      <w:pPr>
        <w:spacing w:after="0" w:line="197" w:lineRule="exact"/>
        <w:rPr>
          <w:sz w:val="20"/>
          <w:szCs w:val="20"/>
          <w:color w:val="auto"/>
        </w:rPr>
      </w:pPr>
    </w:p>
    <w:p>
      <w:pPr>
        <w:jc w:val="both"/>
        <w:ind w:left="1" w:firstLine="591"/>
        <w:spacing w:after="0" w:line="249" w:lineRule="auto"/>
        <w:rPr>
          <w:sz w:val="20"/>
          <w:szCs w:val="20"/>
          <w:color w:val="auto"/>
        </w:rPr>
      </w:pPr>
      <w:r>
        <w:rPr>
          <w:rFonts w:ascii="Arial" w:cs="Arial" w:eastAsia="Arial" w:hAnsi="Arial"/>
          <w:sz w:val="15"/>
          <w:szCs w:val="15"/>
          <w:color w:val="auto"/>
        </w:rPr>
        <w:t>With data at the core of ICON’s innovation efforts, we have built an Enterprise Control Tower: ARCADES which leverages the latest technology around data acquisition, consolidation, analytics, machine learning, artificial intelligence, and the cloud.</w:t>
      </w:r>
    </w:p>
    <w:p>
      <w:pPr>
        <w:spacing w:after="0" w:line="1" w:lineRule="exact"/>
        <w:rPr>
          <w:sz w:val="20"/>
          <w:szCs w:val="20"/>
          <w:color w:val="auto"/>
        </w:rPr>
      </w:pPr>
    </w:p>
    <w:p>
      <w:pPr>
        <w:jc w:val="both"/>
        <w:ind w:left="1" w:firstLine="591"/>
        <w:spacing w:after="0" w:line="267" w:lineRule="auto"/>
        <w:rPr>
          <w:sz w:val="20"/>
          <w:szCs w:val="20"/>
          <w:color w:val="auto"/>
        </w:rPr>
      </w:pPr>
      <w:r>
        <w:rPr>
          <w:rFonts w:ascii="Arial" w:cs="Arial" w:eastAsia="Arial" w:hAnsi="Arial"/>
          <w:sz w:val="15"/>
          <w:szCs w:val="15"/>
          <w:color w:val="auto"/>
        </w:rPr>
        <w:t>IT expenditure is authorized by strict IT governance policies requiring senior level approval of all strategic IT expenditure based on defined business strategy and measurable business benefits.</w:t>
      </w:r>
    </w:p>
    <w:p>
      <w:pPr>
        <w:spacing w:after="0" w:line="181" w:lineRule="exact"/>
        <w:rPr>
          <w:sz w:val="20"/>
          <w:szCs w:val="20"/>
          <w:color w:val="auto"/>
        </w:rPr>
      </w:pPr>
    </w:p>
    <w:p>
      <w:pPr>
        <w:jc w:val="both"/>
        <w:ind w:left="1" w:firstLine="591"/>
        <w:spacing w:after="0" w:line="269" w:lineRule="auto"/>
        <w:rPr>
          <w:sz w:val="20"/>
          <w:szCs w:val="20"/>
          <w:color w:val="auto"/>
        </w:rPr>
      </w:pPr>
      <w:r>
        <w:rPr>
          <w:rFonts w:ascii="Arial" w:cs="Arial" w:eastAsia="Arial" w:hAnsi="Arial"/>
          <w:sz w:val="15"/>
          <w:szCs w:val="15"/>
          <w:color w:val="auto"/>
        </w:rPr>
        <w:t>A global corporate intranet portal serves as the gateway to access authorized data and applications for our internal staff, as well as providing an internal platform for company-wide communication.</w:t>
      </w:r>
    </w:p>
    <w:p>
      <w:pPr>
        <w:spacing w:after="0" w:line="193" w:lineRule="exact"/>
        <w:rPr>
          <w:sz w:val="20"/>
          <w:szCs w:val="20"/>
          <w:color w:val="auto"/>
        </w:rPr>
      </w:pPr>
    </w:p>
    <w:p>
      <w:pPr>
        <w:jc w:val="both"/>
        <w:ind w:left="1" w:firstLine="591"/>
        <w:spacing w:after="0" w:line="290" w:lineRule="auto"/>
        <w:rPr>
          <w:sz w:val="20"/>
          <w:szCs w:val="20"/>
          <w:color w:val="auto"/>
        </w:rPr>
      </w:pPr>
      <w:r>
        <w:rPr>
          <w:rFonts w:ascii="Arial" w:cs="Arial" w:eastAsia="Arial" w:hAnsi="Arial"/>
          <w:sz w:val="14"/>
          <w:szCs w:val="14"/>
          <w:color w:val="auto"/>
        </w:rPr>
        <w:t>Our IT systems are operated from three data centre hubs in Europe, North America and Asia. These hubs reside within purpose-built data centre facility locations. ICON employs industry standard networking technology to facilitate connectivity across our offices. Our IT network provides global connectivity for our applications and allows collaboration and communication using tools like Microsoft Teams, M365, SharePoint and Box. Mobile staff can access systems via secure remote access portals.</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Cybersecurity</w:t>
      </w:r>
    </w:p>
    <w:p>
      <w:pPr>
        <w:spacing w:after="0" w:line="222" w:lineRule="exact"/>
        <w:rPr>
          <w:sz w:val="20"/>
          <w:szCs w:val="20"/>
          <w:color w:val="auto"/>
        </w:rPr>
      </w:pPr>
    </w:p>
    <w:p>
      <w:pPr>
        <w:ind w:left="601"/>
        <w:spacing w:after="0"/>
        <w:rPr>
          <w:sz w:val="20"/>
          <w:szCs w:val="20"/>
          <w:color w:val="auto"/>
        </w:rPr>
      </w:pPr>
      <w:r>
        <w:rPr>
          <w:rFonts w:ascii="Arial" w:cs="Arial" w:eastAsia="Arial" w:hAnsi="Arial"/>
          <w:sz w:val="15"/>
          <w:szCs w:val="15"/>
          <w:color w:val="auto"/>
        </w:rPr>
        <w:t xml:space="preserve">For information on Cybersecurity refer to </w:t>
      </w:r>
      <w:r>
        <w:rPr>
          <w:rFonts w:ascii="Arial" w:cs="Arial" w:eastAsia="Arial" w:hAnsi="Arial"/>
          <w:sz w:val="15"/>
          <w:szCs w:val="15"/>
          <w:i w:val="1"/>
          <w:iCs w:val="1"/>
          <w:color w:val="auto"/>
        </w:rPr>
        <w:t>Item 16K Cybersecurity.</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Contractual Arrangements</w:t>
      </w:r>
    </w:p>
    <w:p>
      <w:pPr>
        <w:spacing w:after="0" w:line="234" w:lineRule="exact"/>
        <w:rPr>
          <w:sz w:val="20"/>
          <w:szCs w:val="20"/>
          <w:color w:val="auto"/>
        </w:rPr>
      </w:pPr>
    </w:p>
    <w:p>
      <w:pPr>
        <w:jc w:val="both"/>
        <w:ind w:left="1" w:firstLine="591"/>
        <w:spacing w:after="0" w:line="269" w:lineRule="auto"/>
        <w:rPr>
          <w:sz w:val="20"/>
          <w:szCs w:val="20"/>
          <w:color w:val="auto"/>
        </w:rPr>
      </w:pPr>
      <w:r>
        <w:rPr>
          <w:rFonts w:ascii="Arial" w:cs="Arial" w:eastAsia="Arial" w:hAnsi="Arial"/>
          <w:sz w:val="15"/>
          <w:szCs w:val="15"/>
          <w:color w:val="auto"/>
        </w:rPr>
        <w:t>We are generally awarded projects based upon our responses to requests for proposals received from companies in the pharmaceutical, biotechnology and medical device industries, or through strategic partnership agreements.</w:t>
      </w:r>
    </w:p>
    <w:p>
      <w:pPr>
        <w:spacing w:after="0" w:line="180" w:lineRule="exact"/>
        <w:rPr>
          <w:sz w:val="20"/>
          <w:szCs w:val="20"/>
          <w:color w:val="auto"/>
        </w:rPr>
      </w:pPr>
    </w:p>
    <w:p>
      <w:pPr>
        <w:jc w:val="both"/>
        <w:ind w:left="1" w:firstLine="591"/>
        <w:spacing w:after="0" w:line="261" w:lineRule="auto"/>
        <w:rPr>
          <w:sz w:val="20"/>
          <w:szCs w:val="20"/>
          <w:color w:val="auto"/>
        </w:rPr>
      </w:pPr>
      <w:r>
        <w:rPr>
          <w:rFonts w:ascii="Arial" w:cs="Arial" w:eastAsia="Arial" w:hAnsi="Arial"/>
          <w:sz w:val="15"/>
          <w:szCs w:val="15"/>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186"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Contract periods may range from several weeks to several years depending on the nature of the work to be performed. In many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Installment payments may be based on key metrics for example target patient enrollment progress or delivery of the study database.</w:t>
      </w:r>
    </w:p>
    <w:p>
      <w:pPr>
        <w:spacing w:after="0" w:line="203"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The progress towards completion for clinical service contracts is measured based on total project costs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191" w:lineRule="exact"/>
        <w:rPr>
          <w:sz w:val="20"/>
          <w:szCs w:val="20"/>
          <w:color w:val="auto"/>
        </w:rPr>
      </w:pPr>
    </w:p>
    <w:p>
      <w:pPr>
        <w:jc w:val="both"/>
        <w:ind w:left="1" w:firstLine="591"/>
        <w:spacing w:after="0" w:line="286" w:lineRule="auto"/>
        <w:rPr>
          <w:sz w:val="20"/>
          <w:szCs w:val="20"/>
          <w:color w:val="auto"/>
        </w:rPr>
      </w:pPr>
      <w:r>
        <w:rPr>
          <w:rFonts w:ascii="Arial" w:cs="Arial" w:eastAsia="Arial" w:hAnsi="Arial"/>
          <w:sz w:val="15"/>
          <w:szCs w:val="15"/>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51" w:name="page52"/>
    <w:bookmarkEnd w:id="51"/>
    <w:p>
      <w:pPr>
        <w:jc w:val="both"/>
        <w:ind w:firstLine="591"/>
        <w:spacing w:after="0" w:line="279" w:lineRule="auto"/>
        <w:rPr>
          <w:sz w:val="20"/>
          <w:szCs w:val="20"/>
          <w:color w:val="auto"/>
        </w:rPr>
      </w:pPr>
      <w:r>
        <w:rPr>
          <w:rFonts w:ascii="Arial" w:cs="Arial" w:eastAsia="Arial" w:hAnsi="Arial"/>
          <w:sz w:val="14"/>
          <w:szCs w:val="14"/>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all costs associated with termination of the study. Termination or delay in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w:t>
      </w:r>
    </w:p>
    <w:p>
      <w:pPr>
        <w:spacing w:after="0" w:line="222"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Our Chief Executive Officer and other members of the executive management team are responsible for day-to-day risk management of the Company and our Board oversees management's activities through both the full Board and its committees. Our Chief Executive Officer and other members of the executive management team are members of ICON’s Quality and Risk Forum, which reviews risk. Our executive management team regularly reports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our Compensation and Organization Committee oversees risk management with respect to our compensation plans, policies and procedures and our Nominating, Sustainability and Governance Committee oversees risks relating to ESG matters. Internal audit reports functionally and administratively to our Chief Financial Officer and directly to the Audit Committee. With respect to non-financial risk management, including cybersecurity, legal compliance, privacy and enterprise risk, the Board and its Committees receive updates from the appropriate executives on the primary risks facing the Company and the measures the Company is taking to mitigate such risks.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clinical development of new drugs is highly regulated by government agencies. The international standards for the conduct of clinical studies include:</w:t>
      </w:r>
    </w:p>
    <w:p>
      <w:pPr>
        <w:spacing w:after="0" w:line="222" w:lineRule="exact"/>
        <w:rPr>
          <w:sz w:val="20"/>
          <w:szCs w:val="20"/>
          <w:color w:val="auto"/>
        </w:rPr>
      </w:pPr>
    </w:p>
    <w:p>
      <w:pPr>
        <w:ind w:left="600" w:hanging="306"/>
        <w:spacing w:after="0" w:line="258" w:lineRule="auto"/>
        <w:tabs>
          <w:tab w:leader="none" w:pos="59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Good Clinical Practice ("GCP”), which stipulates procedures designed to ensure the quality and integrity of data obtained from clinical testing and to protect the rights and safety of clinical subjects.</w:t>
      </w:r>
    </w:p>
    <w:p>
      <w:pPr>
        <w:ind w:left="600" w:hanging="306"/>
        <w:spacing w:after="0" w:line="245" w:lineRule="auto"/>
        <w:tabs>
          <w:tab w:leader="none" w:pos="59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Good Manufacturing Practice (GMP) is the aspect of quality assurance that ensures that medicinal products are consistently produced and controlled to the quality standards appropriate to their intended use and as required by the product specification.</w:t>
      </w:r>
    </w:p>
    <w:p>
      <w:pPr>
        <w:ind w:left="600" w:hanging="306"/>
        <w:spacing w:after="0" w:line="257" w:lineRule="auto"/>
        <w:tabs>
          <w:tab w:leader="none" w:pos="59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Good Distribution Practice (GDP) ensures that the quality of a pharmaceutical product is maintained by means of adequate control of the numerous activities which occur throughout the distribution process by ensuring that products are appropriately stored, transported and handled.</w:t>
      </w:r>
    </w:p>
    <w:p>
      <w:pPr>
        <w:spacing w:after="0" w:line="201"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US FDA and other national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19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services we provide outside the United States are ultimately subject to similar regulation by the relevant national regulatory authority. In addition, our activities in Europe are in compliance with the European Medicines Agency processes.</w:t>
      </w:r>
    </w:p>
    <w:p>
      <w:pPr>
        <w:spacing w:after="0" w:line="168"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Potential Liability and Insurance</w:t>
      </w:r>
    </w:p>
    <w:p>
      <w:pPr>
        <w:spacing w:after="0" w:line="197" w:lineRule="exact"/>
        <w:rPr>
          <w:sz w:val="20"/>
          <w:szCs w:val="20"/>
          <w:color w:val="auto"/>
        </w:rPr>
      </w:pPr>
    </w:p>
    <w:p>
      <w:pPr>
        <w:ind w:firstLine="591"/>
        <w:spacing w:after="0" w:line="286" w:lineRule="auto"/>
        <w:rPr>
          <w:sz w:val="20"/>
          <w:szCs w:val="20"/>
          <w:color w:val="auto"/>
        </w:rPr>
      </w:pPr>
      <w:r>
        <w:rPr>
          <w:rFonts w:ascii="Arial" w:cs="Arial" w:eastAsia="Arial" w:hAnsi="Arial"/>
          <w:sz w:val="15"/>
          <w:szCs w:val="15"/>
          <w:color w:val="auto"/>
        </w:rPr>
        <w:t>The nature of our business exposes us to potential liability including, but not limited to, potential liability for (i) breach of contract or negligence claims by our customers; and, (ii) third party (such as patients) claims in respect of our performance of services.</w:t>
      </w:r>
    </w:p>
    <w:p>
      <w:pPr>
        <w:spacing w:after="0" w:line="168" w:lineRule="exact"/>
        <w:rPr>
          <w:sz w:val="20"/>
          <w:szCs w:val="20"/>
          <w:color w:val="auto"/>
        </w:rPr>
      </w:pPr>
    </w:p>
    <w:p>
      <w:pPr>
        <w:ind w:firstLine="591"/>
        <w:spacing w:after="0" w:line="286" w:lineRule="auto"/>
        <w:rPr>
          <w:sz w:val="20"/>
          <w:szCs w:val="20"/>
          <w:color w:val="auto"/>
        </w:rPr>
      </w:pPr>
      <w:r>
        <w:rPr>
          <w:rFonts w:ascii="Arial" w:cs="Arial" w:eastAsia="Arial" w:hAnsi="Arial"/>
          <w:sz w:val="15"/>
          <w:szCs w:val="15"/>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try to reduce this potential liability by:</w:t>
      </w:r>
    </w:p>
    <w:p>
      <w:pPr>
        <w:spacing w:after="0" w:line="234" w:lineRule="exact"/>
        <w:rPr>
          <w:sz w:val="20"/>
          <w:szCs w:val="20"/>
          <w:color w:val="auto"/>
        </w:rPr>
      </w:pPr>
    </w:p>
    <w:p>
      <w:pPr>
        <w:jc w:val="both"/>
        <w:ind w:left="600" w:hanging="306"/>
        <w:spacing w:after="0" w:line="249" w:lineRule="auto"/>
        <w:tabs>
          <w:tab w:leader="none" w:pos="59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Seeking contractual indemnification from customers in relation to certain activities.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jc w:val="both"/>
        <w:ind w:left="600" w:hanging="306"/>
        <w:spacing w:after="0" w:line="253" w:lineRule="auto"/>
        <w:tabs>
          <w:tab w:leader="none" w:pos="59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Maintaining worldwide professional liability insurance. While we maintain the types and amounts of insurance we view as customary in the industries and countries in which we operate, there is no guarantee that we will continue to be able to maintain such insurance coverage on terms acceptable to us, if at all, or that the relevant policy will respond and provide cover when we want it to.</w:t>
      </w:r>
    </w:p>
    <w:p>
      <w:pPr>
        <w:spacing w:after="0" w:line="19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could be materially adversely affected if ICON is required to pay damages or bear the costs of defending or settling any claim which a) is outside the scope of or in excess of a contractual indemnification provision, b) an indemnifying party does not fulfill its indemnification obligations, c) the claim is in excess of the level of our insurance coverage or d) the relevant circumstances are not covered by our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2"/>
        </w:trPr>
        <w:tc>
          <w:tcPr>
            <w:tcW w:w="4780" w:type="dxa"/>
            <w:vAlign w:val="bottom"/>
          </w:tcPr>
          <w:p>
            <w:pPr>
              <w:ind w:left="300"/>
              <w:spacing w:after="0"/>
              <w:rPr>
                <w:sz w:val="20"/>
                <w:szCs w:val="20"/>
                <w:color w:val="auto"/>
              </w:rPr>
            </w:pPr>
            <w:r>
              <w:rPr>
                <w:rFonts w:ascii="Arial" w:cs="Arial" w:eastAsia="Arial" w:hAnsi="Arial"/>
                <w:sz w:val="15"/>
                <w:szCs w:val="15"/>
                <w:b w:val="1"/>
                <w:bCs w:val="1"/>
                <w:color w:val="auto"/>
              </w:rPr>
              <w:t>C.  Organizational Structure</w:t>
            </w:r>
          </w:p>
        </w:tc>
        <w:tc>
          <w:tcPr>
            <w:tcW w:w="4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6"/>
        </w:trPr>
        <w:tc>
          <w:tcPr>
            <w:tcW w:w="8980" w:type="dxa"/>
            <w:vAlign w:val="bottom"/>
            <w:gridSpan w:val="2"/>
          </w:tcPr>
          <w:p>
            <w:pPr>
              <w:ind w:left="160"/>
              <w:spacing w:after="0"/>
              <w:rPr>
                <w:sz w:val="20"/>
                <w:szCs w:val="20"/>
                <w:color w:val="auto"/>
              </w:rPr>
            </w:pPr>
            <w:r>
              <w:rPr>
                <w:rFonts w:ascii="Arial" w:cs="Arial" w:eastAsia="Arial" w:hAnsi="Arial"/>
                <w:sz w:val="15"/>
                <w:szCs w:val="15"/>
                <w:color w:val="auto"/>
              </w:rPr>
              <w:t>Details of the Company’s significant subsidiaries or entities under the Company's control at December 31, 2024 are as follows: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7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r>
      <w:tr>
        <w:trPr>
          <w:trHeight w:val="202"/>
        </w:trPr>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420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5"/>
                <w:szCs w:val="15"/>
                <w:b w:val="1"/>
                <w:bCs w:val="1"/>
                <w:i w:val="1"/>
                <w:iCs w:val="1"/>
                <w:color w:val="auto"/>
              </w:rPr>
              <w:t>Country</w:t>
            </w:r>
          </w:p>
        </w:tc>
        <w:tc>
          <w:tcPr>
            <w:tcW w:w="224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S.A.</w:t>
            </w:r>
          </w:p>
        </w:tc>
        <w:tc>
          <w:tcPr>
            <w:tcW w:w="4200" w:type="dxa"/>
            <w:vAlign w:val="bottom"/>
          </w:tcPr>
          <w:p>
            <w:pPr>
              <w:ind w:left="1600"/>
              <w:spacing w:after="0"/>
              <w:rPr>
                <w:sz w:val="20"/>
                <w:szCs w:val="20"/>
                <w:color w:val="auto"/>
              </w:rPr>
            </w:pPr>
            <w:r>
              <w:rPr>
                <w:rFonts w:ascii="Arial" w:cs="Arial" w:eastAsia="Arial" w:hAnsi="Arial"/>
                <w:sz w:val="15"/>
                <w:szCs w:val="15"/>
                <w:color w:val="auto"/>
              </w:rPr>
              <w:t>Argentina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Research S.A.</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Argentina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Pharmaceutical Research Associates Pty Limited</w:t>
            </w:r>
          </w:p>
        </w:tc>
        <w:tc>
          <w:tcPr>
            <w:tcW w:w="4200" w:type="dxa"/>
            <w:vAlign w:val="bottom"/>
          </w:tcPr>
          <w:p>
            <w:pPr>
              <w:ind w:left="1600"/>
              <w:spacing w:after="0"/>
              <w:rPr>
                <w:sz w:val="20"/>
                <w:szCs w:val="20"/>
                <w:color w:val="auto"/>
              </w:rPr>
            </w:pPr>
            <w:r>
              <w:rPr>
                <w:rFonts w:ascii="Arial" w:cs="Arial" w:eastAsia="Arial" w:hAnsi="Arial"/>
                <w:sz w:val="15"/>
                <w:szCs w:val="15"/>
                <w:color w:val="auto"/>
              </w:rPr>
              <w:t>Australia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PTY Limited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Australia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Medpass International Pty Ltd</w:t>
            </w:r>
          </w:p>
        </w:tc>
        <w:tc>
          <w:tcPr>
            <w:tcW w:w="4200" w:type="dxa"/>
            <w:vAlign w:val="bottom"/>
          </w:tcPr>
          <w:p>
            <w:pPr>
              <w:ind w:left="1600"/>
              <w:spacing w:after="0"/>
              <w:rPr>
                <w:sz w:val="20"/>
                <w:szCs w:val="20"/>
                <w:color w:val="auto"/>
              </w:rPr>
            </w:pPr>
            <w:r>
              <w:rPr>
                <w:rFonts w:ascii="Arial" w:cs="Arial" w:eastAsia="Arial" w:hAnsi="Arial"/>
                <w:sz w:val="15"/>
                <w:szCs w:val="15"/>
                <w:color w:val="auto"/>
              </w:rPr>
              <w:t>Australia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CRO Pty Ltd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Australia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Austria GmbH</w:t>
            </w:r>
          </w:p>
        </w:tc>
        <w:tc>
          <w:tcPr>
            <w:tcW w:w="4200" w:type="dxa"/>
            <w:vAlign w:val="bottom"/>
          </w:tcPr>
          <w:p>
            <w:pPr>
              <w:ind w:left="1600"/>
              <w:spacing w:after="0"/>
              <w:rPr>
                <w:sz w:val="20"/>
                <w:szCs w:val="20"/>
                <w:color w:val="auto"/>
              </w:rPr>
            </w:pPr>
            <w:r>
              <w:rPr>
                <w:rFonts w:ascii="Arial" w:cs="Arial" w:eastAsia="Arial" w:hAnsi="Arial"/>
                <w:sz w:val="15"/>
                <w:szCs w:val="15"/>
                <w:color w:val="auto"/>
              </w:rPr>
              <w:t>Austria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Research Austria GmbH</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Austria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IMP-Logistics Bel, FLLC</w:t>
            </w:r>
          </w:p>
        </w:tc>
        <w:tc>
          <w:tcPr>
            <w:tcW w:w="4200" w:type="dxa"/>
            <w:vAlign w:val="bottom"/>
          </w:tcPr>
          <w:p>
            <w:pPr>
              <w:ind w:left="1600"/>
              <w:spacing w:after="0"/>
              <w:rPr>
                <w:sz w:val="20"/>
                <w:szCs w:val="20"/>
                <w:color w:val="auto"/>
              </w:rPr>
            </w:pPr>
            <w:r>
              <w:rPr>
                <w:rFonts w:ascii="Arial" w:cs="Arial" w:eastAsia="Arial" w:hAnsi="Arial"/>
                <w:sz w:val="15"/>
                <w:szCs w:val="15"/>
                <w:color w:val="auto"/>
              </w:rPr>
              <w:t>Belarus</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Belgium B.V.</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Belgium</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RPS Bermuda, Ltd.</w:t>
            </w:r>
          </w:p>
        </w:tc>
        <w:tc>
          <w:tcPr>
            <w:tcW w:w="4200" w:type="dxa"/>
            <w:vAlign w:val="bottom"/>
          </w:tcPr>
          <w:p>
            <w:pPr>
              <w:ind w:left="1600"/>
              <w:spacing w:after="0"/>
              <w:rPr>
                <w:sz w:val="20"/>
                <w:szCs w:val="20"/>
                <w:color w:val="auto"/>
              </w:rPr>
            </w:pPr>
            <w:r>
              <w:rPr>
                <w:rFonts w:ascii="Arial" w:cs="Arial" w:eastAsia="Arial" w:hAnsi="Arial"/>
                <w:sz w:val="15"/>
                <w:szCs w:val="15"/>
                <w:color w:val="auto"/>
              </w:rPr>
              <w:t>Bermuda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Pesquisas Clínicas Ltda.</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Brazil</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Pharmaceutical Research Associates Ltda.</w:t>
            </w:r>
          </w:p>
        </w:tc>
        <w:tc>
          <w:tcPr>
            <w:tcW w:w="4200" w:type="dxa"/>
            <w:vAlign w:val="bottom"/>
          </w:tcPr>
          <w:p>
            <w:pPr>
              <w:ind w:left="1600"/>
              <w:spacing w:after="0"/>
              <w:rPr>
                <w:sz w:val="20"/>
                <w:szCs w:val="20"/>
                <w:color w:val="auto"/>
              </w:rPr>
            </w:pPr>
            <w:r>
              <w:rPr>
                <w:rFonts w:ascii="Arial" w:cs="Arial" w:eastAsia="Arial" w:hAnsi="Arial"/>
                <w:sz w:val="15"/>
                <w:szCs w:val="15"/>
                <w:color w:val="auto"/>
              </w:rPr>
              <w:t>Brazil</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do Brasil Serviços de Pesquisas Ltda.</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Brazil</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RPS China Inc.</w:t>
            </w:r>
          </w:p>
        </w:tc>
        <w:tc>
          <w:tcPr>
            <w:tcW w:w="4200" w:type="dxa"/>
            <w:vAlign w:val="bottom"/>
          </w:tcPr>
          <w:p>
            <w:pPr>
              <w:ind w:left="1600"/>
              <w:spacing w:after="0"/>
              <w:rPr>
                <w:sz w:val="20"/>
                <w:szCs w:val="20"/>
                <w:color w:val="auto"/>
              </w:rPr>
            </w:pPr>
            <w:r>
              <w:rPr>
                <w:rFonts w:ascii="Arial" w:cs="Arial" w:eastAsia="Arial" w:hAnsi="Arial"/>
                <w:sz w:val="15"/>
                <w:szCs w:val="15"/>
                <w:color w:val="auto"/>
              </w:rPr>
              <w:t>British Virgin Islands</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Bulgaria EOOD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Bulgaria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EOOD</w:t>
            </w:r>
          </w:p>
        </w:tc>
        <w:tc>
          <w:tcPr>
            <w:tcW w:w="4200" w:type="dxa"/>
            <w:vAlign w:val="bottom"/>
          </w:tcPr>
          <w:p>
            <w:pPr>
              <w:ind w:left="1600"/>
              <w:spacing w:after="0"/>
              <w:rPr>
                <w:sz w:val="20"/>
                <w:szCs w:val="20"/>
                <w:color w:val="auto"/>
              </w:rPr>
            </w:pPr>
            <w:r>
              <w:rPr>
                <w:rFonts w:ascii="Arial" w:cs="Arial" w:eastAsia="Arial" w:hAnsi="Arial"/>
                <w:sz w:val="15"/>
                <w:szCs w:val="15"/>
                <w:color w:val="auto"/>
              </w:rPr>
              <w:t>Bulgaria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CRO Ltd.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Bulgaria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Services de Recherche Pharmaceutique Srl</w:t>
            </w:r>
          </w:p>
        </w:tc>
        <w:tc>
          <w:tcPr>
            <w:tcW w:w="4200" w:type="dxa"/>
            <w:vAlign w:val="bottom"/>
          </w:tcPr>
          <w:p>
            <w:pPr>
              <w:ind w:left="1600"/>
              <w:spacing w:after="0"/>
              <w:rPr>
                <w:sz w:val="20"/>
                <w:szCs w:val="20"/>
                <w:color w:val="auto"/>
              </w:rPr>
            </w:pPr>
            <w:r>
              <w:rPr>
                <w:rFonts w:ascii="Arial" w:cs="Arial" w:eastAsia="Arial" w:hAnsi="Arial"/>
                <w:sz w:val="15"/>
                <w:szCs w:val="15"/>
                <w:color w:val="auto"/>
              </w:rPr>
              <w:t>Canada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3065613 Nova Scotia Company</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Canada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(Canada) Inc.</w:t>
            </w:r>
          </w:p>
        </w:tc>
        <w:tc>
          <w:tcPr>
            <w:tcW w:w="4200" w:type="dxa"/>
            <w:vAlign w:val="bottom"/>
          </w:tcPr>
          <w:p>
            <w:pPr>
              <w:ind w:left="1600"/>
              <w:spacing w:after="0"/>
              <w:rPr>
                <w:sz w:val="20"/>
                <w:szCs w:val="20"/>
                <w:color w:val="auto"/>
              </w:rPr>
            </w:pPr>
            <w:r>
              <w:rPr>
                <w:rFonts w:ascii="Arial" w:cs="Arial" w:eastAsia="Arial" w:hAnsi="Arial"/>
                <w:sz w:val="15"/>
                <w:szCs w:val="15"/>
                <w:color w:val="auto"/>
              </w:rPr>
              <w:t>Canada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ULC</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Canada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48"/>
        </w:trPr>
        <w:tc>
          <w:tcPr>
            <w:tcW w:w="4780" w:type="dxa"/>
            <w:vAlign w:val="bottom"/>
          </w:tcPr>
          <w:p>
            <w:pPr>
              <w:ind w:left="320"/>
              <w:spacing w:after="0" w:line="148" w:lineRule="exact"/>
              <w:rPr>
                <w:sz w:val="20"/>
                <w:szCs w:val="20"/>
                <w:color w:val="auto"/>
              </w:rPr>
            </w:pPr>
            <w:r>
              <w:rPr>
                <w:rFonts w:ascii="Arial" w:cs="Arial" w:eastAsia="Arial" w:hAnsi="Arial"/>
                <w:sz w:val="15"/>
                <w:szCs w:val="15"/>
                <w:color w:val="auto"/>
              </w:rPr>
              <w:t>Oxford Outcomes LTD.</w:t>
            </w:r>
          </w:p>
        </w:tc>
        <w:tc>
          <w:tcPr>
            <w:tcW w:w="4200" w:type="dxa"/>
            <w:vAlign w:val="bottom"/>
          </w:tcPr>
          <w:p>
            <w:pPr>
              <w:ind w:left="1600"/>
              <w:spacing w:after="0" w:line="148" w:lineRule="exact"/>
              <w:rPr>
                <w:sz w:val="20"/>
                <w:szCs w:val="20"/>
                <w:color w:val="auto"/>
              </w:rPr>
            </w:pPr>
            <w:r>
              <w:rPr>
                <w:rFonts w:ascii="Arial" w:cs="Arial" w:eastAsia="Arial" w:hAnsi="Arial"/>
                <w:sz w:val="15"/>
                <w:szCs w:val="15"/>
                <w:color w:val="auto"/>
              </w:rPr>
              <w:t>Canada</w:t>
            </w:r>
          </w:p>
        </w:tc>
        <w:tc>
          <w:tcPr>
            <w:tcW w:w="2240" w:type="dxa"/>
            <w:vAlign w:val="bottom"/>
          </w:tcPr>
          <w:p>
            <w:pPr>
              <w:jc w:val="center"/>
              <w:ind w:left="26"/>
              <w:spacing w:after="0" w:line="148" w:lineRule="exact"/>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2"/>
                <w:szCs w:val="12"/>
                <w:color w:val="auto"/>
              </w:rPr>
            </w:pPr>
          </w:p>
        </w:tc>
      </w:tr>
      <w:tr>
        <w:trPr>
          <w:trHeight w:val="195"/>
        </w:trPr>
        <w:tc>
          <w:tcPr>
            <w:tcW w:w="4780" w:type="dxa"/>
            <w:vAlign w:val="bottom"/>
          </w:tcPr>
          <w:p>
            <w:pPr>
              <w:spacing w:after="0"/>
              <w:rPr>
                <w:sz w:val="16"/>
                <w:szCs w:val="16"/>
                <w:color w:val="auto"/>
              </w:rPr>
            </w:pPr>
          </w:p>
        </w:tc>
        <w:tc>
          <w:tcPr>
            <w:tcW w:w="4200" w:type="dxa"/>
            <w:vAlign w:val="bottom"/>
          </w:tcPr>
          <w:p>
            <w:pPr>
              <w:ind w:left="1600"/>
              <w:spacing w:after="0"/>
              <w:rPr>
                <w:sz w:val="20"/>
                <w:szCs w:val="20"/>
                <w:color w:val="auto"/>
              </w:rPr>
            </w:pPr>
            <w:r>
              <w:rPr>
                <w:rFonts w:ascii="Arial" w:cs="Arial" w:eastAsia="Arial" w:hAnsi="Arial"/>
                <w:sz w:val="15"/>
                <w:szCs w:val="15"/>
                <w:color w:val="auto"/>
              </w:rPr>
              <w:t>(British Columbia)</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Life Sciences Canada Inc.</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Canada- Ontario</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Chile Limitada</w:t>
            </w:r>
          </w:p>
        </w:tc>
        <w:tc>
          <w:tcPr>
            <w:tcW w:w="4200" w:type="dxa"/>
            <w:vAlign w:val="bottom"/>
          </w:tcPr>
          <w:p>
            <w:pPr>
              <w:ind w:left="1600"/>
              <w:spacing w:after="0"/>
              <w:rPr>
                <w:sz w:val="20"/>
                <w:szCs w:val="20"/>
                <w:color w:val="auto"/>
              </w:rPr>
            </w:pPr>
            <w:r>
              <w:rPr>
                <w:rFonts w:ascii="Arial" w:cs="Arial" w:eastAsia="Arial" w:hAnsi="Arial"/>
                <w:sz w:val="15"/>
                <w:szCs w:val="15"/>
                <w:color w:val="auto"/>
              </w:rPr>
              <w:t>Chile</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Health Sciences Chile SpA</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Chile</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PRA Health Sciences China, Inc.</w:t>
            </w:r>
          </w:p>
        </w:tc>
        <w:tc>
          <w:tcPr>
            <w:tcW w:w="4200" w:type="dxa"/>
            <w:vAlign w:val="bottom"/>
          </w:tcPr>
          <w:p>
            <w:pPr>
              <w:ind w:left="1600"/>
              <w:spacing w:after="0"/>
              <w:rPr>
                <w:sz w:val="20"/>
                <w:szCs w:val="20"/>
                <w:color w:val="auto"/>
              </w:rPr>
            </w:pPr>
            <w:r>
              <w:rPr>
                <w:rFonts w:ascii="Arial" w:cs="Arial" w:eastAsia="Arial" w:hAnsi="Arial"/>
                <w:sz w:val="15"/>
                <w:szCs w:val="15"/>
                <w:color w:val="auto"/>
              </w:rPr>
              <w:t>China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(Beijing No.2) Co., Ltd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China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(Beijing) Co., Ltd</w:t>
            </w:r>
          </w:p>
        </w:tc>
        <w:tc>
          <w:tcPr>
            <w:tcW w:w="4200" w:type="dxa"/>
            <w:vAlign w:val="bottom"/>
          </w:tcPr>
          <w:p>
            <w:pPr>
              <w:ind w:left="1600"/>
              <w:spacing w:after="0"/>
              <w:rPr>
                <w:sz w:val="20"/>
                <w:szCs w:val="20"/>
                <w:color w:val="auto"/>
              </w:rPr>
            </w:pPr>
            <w:r>
              <w:rPr>
                <w:rFonts w:ascii="Arial" w:cs="Arial" w:eastAsia="Arial" w:hAnsi="Arial"/>
                <w:sz w:val="15"/>
                <w:szCs w:val="15"/>
                <w:color w:val="auto"/>
              </w:rPr>
              <w:t>China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Health Sciences Colombia Ltda.</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Colombia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Research Pharmaceutical Services Costa Rica, LTDA.</w:t>
            </w:r>
          </w:p>
        </w:tc>
        <w:tc>
          <w:tcPr>
            <w:tcW w:w="4200" w:type="dxa"/>
            <w:vAlign w:val="bottom"/>
          </w:tcPr>
          <w:p>
            <w:pPr>
              <w:ind w:left="1600"/>
              <w:spacing w:after="0"/>
              <w:rPr>
                <w:sz w:val="20"/>
                <w:szCs w:val="20"/>
                <w:color w:val="auto"/>
              </w:rPr>
            </w:pPr>
            <w:r>
              <w:rPr>
                <w:rFonts w:ascii="Arial" w:cs="Arial" w:eastAsia="Arial" w:hAnsi="Arial"/>
                <w:sz w:val="15"/>
                <w:szCs w:val="15"/>
                <w:color w:val="auto"/>
              </w:rPr>
              <w:t>Costa Rica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Research Ltd.</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Croatia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 Research Associates d.o.o. za klinicka ispitivanja</w:t>
            </w:r>
          </w:p>
        </w:tc>
        <w:tc>
          <w:tcPr>
            <w:tcW w:w="4200" w:type="dxa"/>
            <w:vAlign w:val="bottom"/>
          </w:tcPr>
          <w:p>
            <w:pPr>
              <w:ind w:left="1600"/>
              <w:spacing w:after="0"/>
              <w:rPr>
                <w:sz w:val="20"/>
                <w:szCs w:val="20"/>
                <w:color w:val="auto"/>
              </w:rPr>
            </w:pPr>
            <w:r>
              <w:rPr>
                <w:rFonts w:ascii="Arial" w:cs="Arial" w:eastAsia="Arial" w:hAnsi="Arial"/>
                <w:sz w:val="15"/>
                <w:szCs w:val="15"/>
                <w:color w:val="auto"/>
              </w:rPr>
              <w:t>Croatia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Czech Republic s.r.o.</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Czech Republic</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s.r.o.</w:t>
            </w:r>
          </w:p>
        </w:tc>
        <w:tc>
          <w:tcPr>
            <w:tcW w:w="4200" w:type="dxa"/>
            <w:vAlign w:val="bottom"/>
          </w:tcPr>
          <w:p>
            <w:pPr>
              <w:ind w:left="1600"/>
              <w:spacing w:after="0"/>
              <w:rPr>
                <w:sz w:val="20"/>
                <w:szCs w:val="20"/>
                <w:color w:val="auto"/>
              </w:rPr>
            </w:pPr>
            <w:r>
              <w:rPr>
                <w:rFonts w:ascii="Arial" w:cs="Arial" w:eastAsia="Arial" w:hAnsi="Arial"/>
                <w:sz w:val="15"/>
                <w:szCs w:val="15"/>
                <w:color w:val="auto"/>
              </w:rPr>
              <w:t>Czech Republic</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Czech Republic a.s., in liquidation</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Czech Republic</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Pharmaceutical Research Associates Denmark ApS</w:t>
            </w:r>
          </w:p>
        </w:tc>
        <w:tc>
          <w:tcPr>
            <w:tcW w:w="4200" w:type="dxa"/>
            <w:vAlign w:val="bottom"/>
          </w:tcPr>
          <w:p>
            <w:pPr>
              <w:ind w:left="1600"/>
              <w:spacing w:after="0"/>
              <w:rPr>
                <w:sz w:val="20"/>
                <w:szCs w:val="20"/>
                <w:color w:val="auto"/>
              </w:rPr>
            </w:pPr>
            <w:r>
              <w:rPr>
                <w:rFonts w:ascii="Arial" w:cs="Arial" w:eastAsia="Arial" w:hAnsi="Arial"/>
                <w:sz w:val="15"/>
                <w:szCs w:val="15"/>
                <w:color w:val="auto"/>
              </w:rPr>
              <w:t>Denmark</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DOCS International Nordic Countries A/S</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Denmark</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Egypt Limited Liability Company</w:t>
            </w:r>
          </w:p>
        </w:tc>
        <w:tc>
          <w:tcPr>
            <w:tcW w:w="4200" w:type="dxa"/>
            <w:vAlign w:val="bottom"/>
          </w:tcPr>
          <w:p>
            <w:pPr>
              <w:ind w:left="1600"/>
              <w:spacing w:after="0"/>
              <w:rPr>
                <w:sz w:val="20"/>
                <w:szCs w:val="20"/>
                <w:color w:val="auto"/>
              </w:rPr>
            </w:pPr>
            <w:r>
              <w:rPr>
                <w:rFonts w:ascii="Arial" w:cs="Arial" w:eastAsia="Arial" w:hAnsi="Arial"/>
                <w:sz w:val="15"/>
                <w:szCs w:val="15"/>
                <w:color w:val="auto"/>
              </w:rPr>
              <w:t>Egypt</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Estonia OÜ</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Estonia</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KCR Baltics OÜ</w:t>
            </w:r>
          </w:p>
        </w:tc>
        <w:tc>
          <w:tcPr>
            <w:tcW w:w="4200" w:type="dxa"/>
            <w:vAlign w:val="bottom"/>
          </w:tcPr>
          <w:p>
            <w:pPr>
              <w:ind w:left="1600"/>
              <w:spacing w:after="0"/>
              <w:rPr>
                <w:sz w:val="20"/>
                <w:szCs w:val="20"/>
                <w:color w:val="auto"/>
              </w:rPr>
            </w:pPr>
            <w:r>
              <w:rPr>
                <w:rFonts w:ascii="Arial" w:cs="Arial" w:eastAsia="Arial" w:hAnsi="Arial"/>
                <w:sz w:val="15"/>
                <w:szCs w:val="15"/>
                <w:color w:val="auto"/>
              </w:rPr>
              <w:t>Estonia</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Finland Oy</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Finland</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DOCS International Finland Oy</w:t>
            </w:r>
          </w:p>
        </w:tc>
        <w:tc>
          <w:tcPr>
            <w:tcW w:w="4200" w:type="dxa"/>
            <w:vAlign w:val="bottom"/>
          </w:tcPr>
          <w:p>
            <w:pPr>
              <w:ind w:left="1600"/>
              <w:spacing w:after="0"/>
              <w:rPr>
                <w:sz w:val="20"/>
                <w:szCs w:val="20"/>
                <w:color w:val="auto"/>
              </w:rPr>
            </w:pPr>
            <w:r>
              <w:rPr>
                <w:rFonts w:ascii="Arial" w:cs="Arial" w:eastAsia="Arial" w:hAnsi="Arial"/>
                <w:sz w:val="15"/>
                <w:szCs w:val="15"/>
                <w:color w:val="auto"/>
              </w:rPr>
              <w:t>Finland</w:t>
            </w:r>
          </w:p>
        </w:tc>
        <w:tc>
          <w:tcPr>
            <w:tcW w:w="2240" w:type="dxa"/>
            <w:vAlign w:val="bottom"/>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Pharmaceutical Services France S.A.S.</w:t>
            </w:r>
          </w:p>
        </w:tc>
        <w:tc>
          <w:tcPr>
            <w:tcW w:w="4200" w:type="dxa"/>
            <w:vAlign w:val="bottom"/>
            <w:shd w:val="clear" w:color="auto" w:fill="CCEEFF"/>
          </w:tcPr>
          <w:p>
            <w:pPr>
              <w:ind w:left="1600"/>
              <w:spacing w:after="0"/>
              <w:rPr>
                <w:sz w:val="20"/>
                <w:szCs w:val="20"/>
                <w:color w:val="auto"/>
              </w:rPr>
            </w:pPr>
            <w:r>
              <w:rPr>
                <w:rFonts w:ascii="Arial" w:cs="Arial" w:eastAsia="Arial" w:hAnsi="Arial"/>
                <w:sz w:val="15"/>
                <w:szCs w:val="15"/>
                <w:color w:val="auto"/>
              </w:rPr>
              <w:t>France</w:t>
            </w:r>
          </w:p>
        </w:tc>
        <w:tc>
          <w:tcPr>
            <w:tcW w:w="2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798"/>
        </w:trPr>
        <w:tc>
          <w:tcPr>
            <w:tcW w:w="4780" w:type="dxa"/>
            <w:vAlign w:val="bottom"/>
          </w:tcPr>
          <w:p>
            <w:pPr>
              <w:spacing w:after="0"/>
              <w:rPr>
                <w:sz w:val="24"/>
                <w:szCs w:val="24"/>
                <w:color w:val="auto"/>
              </w:rPr>
            </w:pPr>
          </w:p>
        </w:tc>
        <w:tc>
          <w:tcPr>
            <w:tcW w:w="4200" w:type="dxa"/>
            <w:vAlign w:val="bottom"/>
          </w:tcPr>
          <w:p>
            <w:pPr>
              <w:ind w:left="760"/>
              <w:spacing w:after="0"/>
              <w:rPr>
                <w:sz w:val="20"/>
                <w:szCs w:val="20"/>
                <w:color w:val="auto"/>
              </w:rPr>
            </w:pPr>
            <w:r>
              <w:rPr>
                <w:rFonts w:ascii="Arial" w:cs="Arial" w:eastAsia="Arial" w:hAnsi="Arial"/>
                <w:sz w:val="15"/>
                <w:szCs w:val="15"/>
                <w:color w:val="auto"/>
              </w:rPr>
              <w:t>52</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2"/>
        </w:trPr>
        <w:tc>
          <w:tcPr>
            <w:tcW w:w="5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28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5"/>
                <w:szCs w:val="15"/>
                <w:b w:val="1"/>
                <w:bCs w:val="1"/>
                <w:i w:val="1"/>
                <w:iCs w:val="1"/>
                <w:color w:val="auto"/>
              </w:rPr>
              <w:t>Country</w:t>
            </w:r>
          </w:p>
        </w:tc>
        <w:tc>
          <w:tcPr>
            <w:tcW w:w="2860" w:type="dxa"/>
            <w:vAlign w:val="bottom"/>
            <w:tcBorders>
              <w:bottom w:val="single" w:sz="8" w:color="auto"/>
            </w:tcBorders>
            <w:shd w:val="clear" w:color="auto" w:fill="CCEEFF"/>
          </w:tcPr>
          <w:p>
            <w:pPr>
              <w:jc w:val="center"/>
              <w:ind w:left="64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S.A.R.L.</w:t>
            </w:r>
          </w:p>
        </w:tc>
        <w:tc>
          <w:tcPr>
            <w:tcW w:w="2820" w:type="dxa"/>
            <w:vAlign w:val="bottom"/>
          </w:tcPr>
          <w:p>
            <w:pPr>
              <w:ind w:left="840"/>
              <w:spacing w:after="0"/>
              <w:rPr>
                <w:sz w:val="20"/>
                <w:szCs w:val="20"/>
                <w:color w:val="auto"/>
              </w:rPr>
            </w:pPr>
            <w:r>
              <w:rPr>
                <w:rFonts w:ascii="Arial" w:cs="Arial" w:eastAsia="Arial" w:hAnsi="Arial"/>
                <w:sz w:val="15"/>
                <w:szCs w:val="15"/>
                <w:color w:val="auto"/>
              </w:rPr>
              <w:t>France</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line="199" w:lineRule="exact"/>
              <w:rPr>
                <w:sz w:val="20"/>
                <w:szCs w:val="20"/>
                <w:color w:val="auto"/>
              </w:rPr>
            </w:pPr>
            <w:r>
              <w:rPr>
                <w:rFonts w:ascii="Arial" w:cs="Arial" w:eastAsia="Arial" w:hAnsi="Arial"/>
                <w:sz w:val="15"/>
                <w:szCs w:val="15"/>
                <w:color w:val="auto"/>
              </w:rPr>
              <w:t>Mapi Research Trust</w:t>
            </w:r>
            <w:r>
              <w:rPr>
                <w:rFonts w:ascii="Arial" w:cs="Arial" w:eastAsia="Arial" w:hAnsi="Arial"/>
                <w:sz w:val="19"/>
                <w:szCs w:val="19"/>
                <w:color w:val="auto"/>
                <w:vertAlign w:val="superscript"/>
              </w:rPr>
              <w:t>1</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France</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Oncacare France SAS</w:t>
            </w:r>
          </w:p>
        </w:tc>
        <w:tc>
          <w:tcPr>
            <w:tcW w:w="2820" w:type="dxa"/>
            <w:vAlign w:val="bottom"/>
          </w:tcPr>
          <w:p>
            <w:pPr>
              <w:ind w:left="840"/>
              <w:spacing w:after="0"/>
              <w:rPr>
                <w:sz w:val="20"/>
                <w:szCs w:val="20"/>
                <w:color w:val="auto"/>
              </w:rPr>
            </w:pPr>
            <w:r>
              <w:rPr>
                <w:rFonts w:ascii="Arial" w:cs="Arial" w:eastAsia="Arial" w:hAnsi="Arial"/>
                <w:sz w:val="15"/>
                <w:szCs w:val="15"/>
                <w:color w:val="auto"/>
              </w:rPr>
              <w:t>France</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 Logistics Georgia LLC</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Pharmaceutical Research Associates Georgia LLC</w:t>
            </w:r>
          </w:p>
        </w:tc>
        <w:tc>
          <w:tcPr>
            <w:tcW w:w="2820" w:type="dxa"/>
            <w:vAlign w:val="bottom"/>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LLC</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Germany GmbH</w:t>
            </w:r>
          </w:p>
        </w:tc>
        <w:tc>
          <w:tcPr>
            <w:tcW w:w="282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Oncacare (Germany) GmbH</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Averion Europe GmbH i.L</w:t>
            </w:r>
          </w:p>
        </w:tc>
        <w:tc>
          <w:tcPr>
            <w:tcW w:w="282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Placement GmbH (in liquidation)</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KCR CRO GmbH</w:t>
            </w:r>
          </w:p>
        </w:tc>
        <w:tc>
          <w:tcPr>
            <w:tcW w:w="282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Greece A.E.</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Greece</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Guatemala, S.A.</w:t>
            </w:r>
          </w:p>
        </w:tc>
        <w:tc>
          <w:tcPr>
            <w:tcW w:w="2820" w:type="dxa"/>
            <w:vAlign w:val="bottom"/>
          </w:tcPr>
          <w:p>
            <w:pPr>
              <w:ind w:left="840"/>
              <w:spacing w:after="0"/>
              <w:rPr>
                <w:sz w:val="20"/>
                <w:szCs w:val="20"/>
                <w:color w:val="auto"/>
              </w:rPr>
            </w:pPr>
            <w:r>
              <w:rPr>
                <w:rFonts w:ascii="Arial" w:cs="Arial" w:eastAsia="Arial" w:hAnsi="Arial"/>
                <w:sz w:val="15"/>
                <w:szCs w:val="15"/>
                <w:color w:val="auto"/>
              </w:rPr>
              <w:t>Guatemala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Health Sciences (Hong Kong)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Hong Kong</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Hong Kong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Hong Kong</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Pharmaceutical Research Associates Hungary Research and Development Ltd.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Hungary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Limited Liability Company</w:t>
            </w:r>
          </w:p>
        </w:tc>
        <w:tc>
          <w:tcPr>
            <w:tcW w:w="2820" w:type="dxa"/>
            <w:vAlign w:val="bottom"/>
          </w:tcPr>
          <w:p>
            <w:pPr>
              <w:ind w:left="840"/>
              <w:spacing w:after="0"/>
              <w:rPr>
                <w:sz w:val="20"/>
                <w:szCs w:val="20"/>
                <w:color w:val="auto"/>
              </w:rPr>
            </w:pPr>
            <w:r>
              <w:rPr>
                <w:rFonts w:ascii="Arial" w:cs="Arial" w:eastAsia="Arial" w:hAnsi="Arial"/>
                <w:sz w:val="15"/>
                <w:szCs w:val="15"/>
                <w:color w:val="auto"/>
              </w:rPr>
              <w:t>Hungary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Iceland ehf.</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Iceland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Pharmaceutical Research Associates India Private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India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India Private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India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Property Development (Ireland)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Holdings Clinical Research International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Investments Five Unlimited Company</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Investments Four Unlimited Company</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Holdings Unlimited Company</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Accellacare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(LR)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Global Holdings Unlimited Company</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Property Holdings (Ireland)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Operational Financing Unlimited Company</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Operational Holdings Unlimited Company</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Oncacare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Investments Six Designated Activity Company</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Holdings (Ireland) Unlimited Company</w:t>
            </w:r>
          </w:p>
        </w:tc>
        <w:tc>
          <w:tcPr>
            <w:tcW w:w="282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Global Treasury Unlimited Company</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Pharmaceutical Research Associates Israel Ltd.</w:t>
            </w:r>
          </w:p>
        </w:tc>
        <w:tc>
          <w:tcPr>
            <w:tcW w:w="2820" w:type="dxa"/>
            <w:vAlign w:val="bottom"/>
          </w:tcPr>
          <w:p>
            <w:pPr>
              <w:ind w:left="840"/>
              <w:spacing w:after="0"/>
              <w:rPr>
                <w:sz w:val="20"/>
                <w:szCs w:val="20"/>
                <w:color w:val="auto"/>
              </w:rPr>
            </w:pPr>
            <w:r>
              <w:rPr>
                <w:rFonts w:ascii="Arial" w:cs="Arial" w:eastAsia="Arial" w:hAnsi="Arial"/>
                <w:sz w:val="15"/>
                <w:szCs w:val="15"/>
                <w:color w:val="auto"/>
              </w:rPr>
              <w:t>Israel</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Israel Ltd.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Israel</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Pharmaceutical Research Associates Italy S.r.l.</w:t>
            </w:r>
          </w:p>
        </w:tc>
        <w:tc>
          <w:tcPr>
            <w:tcW w:w="2820" w:type="dxa"/>
            <w:vAlign w:val="bottom"/>
          </w:tcPr>
          <w:p>
            <w:pPr>
              <w:ind w:left="840"/>
              <w:spacing w:after="0"/>
              <w:rPr>
                <w:sz w:val="20"/>
                <w:szCs w:val="20"/>
                <w:color w:val="auto"/>
              </w:rPr>
            </w:pPr>
            <w:r>
              <w:rPr>
                <w:rFonts w:ascii="Arial" w:cs="Arial" w:eastAsia="Arial" w:hAnsi="Arial"/>
                <w:sz w:val="15"/>
                <w:szCs w:val="15"/>
                <w:color w:val="auto"/>
              </w:rPr>
              <w:t>Italy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Oncacare Italy S.r.l</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Italy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ICON Clinical Research GK</w:t>
            </w:r>
          </w:p>
        </w:tc>
        <w:tc>
          <w:tcPr>
            <w:tcW w:w="2820" w:type="dxa"/>
            <w:vAlign w:val="bottom"/>
          </w:tcPr>
          <w:p>
            <w:pPr>
              <w:ind w:left="840"/>
              <w:spacing w:after="0"/>
              <w:rPr>
                <w:sz w:val="20"/>
                <w:szCs w:val="20"/>
                <w:color w:val="auto"/>
              </w:rPr>
            </w:pPr>
            <w:r>
              <w:rPr>
                <w:rFonts w:ascii="Arial" w:cs="Arial" w:eastAsia="Arial" w:hAnsi="Arial"/>
                <w:sz w:val="15"/>
                <w:szCs w:val="15"/>
                <w:color w:val="auto"/>
              </w:rPr>
              <w:t>Japan</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Investments Limited</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Jersey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PRA Health Sciences Kenya Limited</w:t>
            </w:r>
          </w:p>
        </w:tc>
        <w:tc>
          <w:tcPr>
            <w:tcW w:w="2820" w:type="dxa"/>
            <w:vAlign w:val="bottom"/>
          </w:tcPr>
          <w:p>
            <w:pPr>
              <w:ind w:left="840"/>
              <w:spacing w:after="0"/>
              <w:rPr>
                <w:sz w:val="20"/>
                <w:szCs w:val="20"/>
                <w:color w:val="auto"/>
              </w:rPr>
            </w:pPr>
            <w:r>
              <w:rPr>
                <w:rFonts w:ascii="Arial" w:cs="Arial" w:eastAsia="Arial" w:hAnsi="Arial"/>
                <w:sz w:val="15"/>
                <w:szCs w:val="15"/>
                <w:color w:val="auto"/>
              </w:rPr>
              <w:t>Kenya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Latvia SIA</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Latvia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540" w:type="dxa"/>
            <w:vAlign w:val="bottom"/>
          </w:tcPr>
          <w:p>
            <w:pPr>
              <w:ind w:left="320"/>
              <w:spacing w:after="0"/>
              <w:rPr>
                <w:sz w:val="20"/>
                <w:szCs w:val="20"/>
                <w:color w:val="auto"/>
              </w:rPr>
            </w:pPr>
            <w:r>
              <w:rPr>
                <w:rFonts w:ascii="Arial" w:cs="Arial" w:eastAsia="Arial" w:hAnsi="Arial"/>
                <w:sz w:val="15"/>
                <w:szCs w:val="15"/>
                <w:color w:val="auto"/>
              </w:rPr>
              <w:t>UAB RPS Lithuania</w:t>
            </w:r>
          </w:p>
        </w:tc>
        <w:tc>
          <w:tcPr>
            <w:tcW w:w="2820" w:type="dxa"/>
            <w:vAlign w:val="bottom"/>
          </w:tcPr>
          <w:p>
            <w:pPr>
              <w:ind w:left="840"/>
              <w:spacing w:after="0"/>
              <w:rPr>
                <w:sz w:val="20"/>
                <w:szCs w:val="20"/>
                <w:color w:val="auto"/>
              </w:rPr>
            </w:pPr>
            <w:r>
              <w:rPr>
                <w:rFonts w:ascii="Arial" w:cs="Arial" w:eastAsia="Arial" w:hAnsi="Arial"/>
                <w:sz w:val="15"/>
                <w:szCs w:val="15"/>
                <w:color w:val="auto"/>
              </w:rPr>
              <w:t>Lithuania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Luxembourg S.à r.l.</w:t>
            </w:r>
          </w:p>
        </w:tc>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Luxembourg</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4"/>
        </w:trPr>
        <w:tc>
          <w:tcPr>
            <w:tcW w:w="5540" w:type="dxa"/>
            <w:vAlign w:val="bottom"/>
          </w:tcPr>
          <w:p>
            <w:pPr>
              <w:ind w:left="320"/>
              <w:spacing w:after="0"/>
              <w:rPr>
                <w:sz w:val="20"/>
                <w:szCs w:val="20"/>
                <w:color w:val="auto"/>
              </w:rPr>
            </w:pPr>
            <w:r>
              <w:rPr>
                <w:rFonts w:ascii="Arial" w:cs="Arial" w:eastAsia="Arial" w:hAnsi="Arial"/>
                <w:sz w:val="15"/>
                <w:szCs w:val="15"/>
                <w:color w:val="auto"/>
              </w:rPr>
              <w:t>RPS Malaysia Sdn. Bhd.</w:t>
            </w:r>
          </w:p>
        </w:tc>
        <w:tc>
          <w:tcPr>
            <w:tcW w:w="2820" w:type="dxa"/>
            <w:vAlign w:val="bottom"/>
          </w:tcPr>
          <w:p>
            <w:pPr>
              <w:ind w:left="840"/>
              <w:spacing w:after="0"/>
              <w:rPr>
                <w:sz w:val="20"/>
                <w:szCs w:val="20"/>
                <w:color w:val="auto"/>
              </w:rPr>
            </w:pPr>
            <w:r>
              <w:rPr>
                <w:rFonts w:ascii="Arial" w:cs="Arial" w:eastAsia="Arial" w:hAnsi="Arial"/>
                <w:sz w:val="15"/>
                <w:szCs w:val="15"/>
                <w:color w:val="auto"/>
              </w:rPr>
              <w:t>Malaysia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89"/>
        </w:trPr>
        <w:tc>
          <w:tcPr>
            <w:tcW w:w="55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53</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2"/>
        </w:trPr>
        <w:tc>
          <w:tcPr>
            <w:tcW w:w="50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11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b w:val="1"/>
                <w:bCs w:val="1"/>
                <w:i w:val="1"/>
                <w:iCs w:val="1"/>
                <w:color w:val="auto"/>
              </w:rPr>
              <w:t>Country</w:t>
            </w:r>
          </w:p>
        </w:tc>
        <w:tc>
          <w:tcPr>
            <w:tcW w:w="2840" w:type="dxa"/>
            <w:vAlign w:val="bottom"/>
            <w:tcBorders>
              <w:bottom w:val="single" w:sz="8" w:color="auto"/>
            </w:tcBorders>
            <w:shd w:val="clear" w:color="auto" w:fill="CCEEFF"/>
          </w:tcPr>
          <w:p>
            <w:pPr>
              <w:jc w:val="center"/>
              <w:ind w:left="62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7"/>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CRO Malaysia Sdn. Bhd.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Malaysia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RPS Research México, S. de R.L. de C.V.</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Mexico</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Research Servicios, S. de R.L. de C.V.</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Mexico</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ICON Clinical Research México, S.A. de C.V.</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Mexico</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Mexico S. de R.L. de C. V.</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Mexico</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DOCS International B.V.</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Netherlands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Pharmaceutical Services Netherlands B.V.</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Netherlands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Group B.V.</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Netherlands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International Operations B.V.</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Netherlands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New Zealand Limited</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New Zealand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(New Zealand) Limited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New Zealand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RPS Research Norway AS</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Norway</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Panama Inc.</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Panama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ICON Clinical Research Perú S.A.</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Peru</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Perú S.A.C.</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Peru</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RPS Research Philippines, Inc.</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Philippines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Services Philippines, Inc.</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Philippines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Sp. z o.o.</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Symphony Clinical Research Sp z.o.o.</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ICON Clinical Research Poland Sp z o.o.</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Curandus Sp z o.o.</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KCR S.A.</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Placement Sp z o.o.</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PRA International Portugal, Unipessoal, Lda.</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Portugal</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Pharmaceutical Services Puerto Rico, Inc.</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Puerto Rico</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Romania S.R.L.</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Romania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S.R.L.</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Romania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Joint Stock Company IMP Logistics</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Russia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(Rus) LLC</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Russia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KCR LLC</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Russia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doo Beograd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Serbia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5040" w:type="dxa"/>
            <w:vAlign w:val="bottom"/>
          </w:tcPr>
          <w:p>
            <w:pPr>
              <w:ind w:left="320"/>
              <w:spacing w:after="0" w:line="197" w:lineRule="exact"/>
              <w:rPr>
                <w:sz w:val="20"/>
                <w:szCs w:val="20"/>
                <w:color w:val="auto"/>
              </w:rPr>
            </w:pPr>
            <w:r>
              <w:rPr>
                <w:rFonts w:ascii="Arial" w:cs="Arial" w:eastAsia="Arial" w:hAnsi="Arial"/>
                <w:sz w:val="15"/>
                <w:szCs w:val="15"/>
                <w:color w:val="auto"/>
              </w:rPr>
              <w:t>Pharmaceutical Research Associates doo Beograd</w:t>
            </w:r>
            <w:r>
              <w:rPr>
                <w:rFonts w:ascii="Arial" w:cs="Arial" w:eastAsia="Arial" w:hAnsi="Arial"/>
                <w:sz w:val="19"/>
                <w:szCs w:val="19"/>
                <w:color w:val="auto"/>
                <w:vertAlign w:val="superscript"/>
              </w:rPr>
              <w:t>2</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Serbia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Singapore Pte. Ltd.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Singapore</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ICON Clinical Research (Pte) Limited</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Singapore</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Mapi Life Sciences Singapore Pte. Ltd.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Singapore</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SK s.r.o.</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Slovakia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Slovakia, s.r.o.</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Slovakia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KCR s.r.o.</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Slovakia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Pharmaceutical S A (Proprietary) Limited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South Africa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RPS Research South Africa (Proprietary) Limited</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South Africa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South Africa (PTY) LTD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South Africa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Mapi Korea Yuhan Hoesa/ Mapi Korea LLC</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South Korea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Korea Limited</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South Korea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Pharmaceutical Research Associates Korea Limited</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South Korea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ReSearch Ibérica, S.L.U.</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5040" w:type="dxa"/>
            <w:vAlign w:val="bottom"/>
          </w:tcPr>
          <w:p>
            <w:pPr>
              <w:ind w:left="320"/>
              <w:spacing w:after="0"/>
              <w:rPr>
                <w:sz w:val="20"/>
                <w:szCs w:val="20"/>
                <w:color w:val="auto"/>
              </w:rPr>
            </w:pPr>
            <w:r>
              <w:rPr>
                <w:rFonts w:ascii="Arial" w:cs="Arial" w:eastAsia="Arial" w:hAnsi="Arial"/>
                <w:sz w:val="15"/>
                <w:szCs w:val="15"/>
                <w:color w:val="auto"/>
              </w:rPr>
              <w:t>Oncacare (Spain), S.L.</w:t>
            </w:r>
          </w:p>
        </w:tc>
        <w:tc>
          <w:tcPr>
            <w:tcW w:w="1140" w:type="dxa"/>
            <w:vAlign w:val="bottom"/>
          </w:tcPr>
          <w:p>
            <w:pPr>
              <w:spacing w:after="0"/>
              <w:rPr>
                <w:sz w:val="17"/>
                <w:szCs w:val="17"/>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Spain</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5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Spain, S.L.</w:t>
            </w:r>
          </w:p>
        </w:tc>
        <w:tc>
          <w:tcPr>
            <w:tcW w:w="1140" w:type="dxa"/>
            <w:vAlign w:val="bottom"/>
            <w:shd w:val="clear" w:color="auto" w:fill="CCEEFF"/>
          </w:tcPr>
          <w:p>
            <w:pPr>
              <w:spacing w:after="0"/>
              <w:rPr>
                <w:sz w:val="17"/>
                <w:szCs w:val="17"/>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4"/>
        </w:trPr>
        <w:tc>
          <w:tcPr>
            <w:tcW w:w="5040" w:type="dxa"/>
            <w:vAlign w:val="bottom"/>
          </w:tcPr>
          <w:p>
            <w:pPr>
              <w:ind w:left="320"/>
              <w:spacing w:after="0"/>
              <w:rPr>
                <w:sz w:val="20"/>
                <w:szCs w:val="20"/>
                <w:color w:val="auto"/>
              </w:rPr>
            </w:pPr>
            <w:r>
              <w:rPr>
                <w:rFonts w:ascii="Arial" w:cs="Arial" w:eastAsia="Arial" w:hAnsi="Arial"/>
                <w:sz w:val="15"/>
                <w:szCs w:val="15"/>
                <w:color w:val="auto"/>
              </w:rPr>
              <w:t>ICON Clinical Research España, S.L.</w:t>
            </w:r>
          </w:p>
        </w:tc>
        <w:tc>
          <w:tcPr>
            <w:tcW w:w="1140" w:type="dxa"/>
            <w:vAlign w:val="bottom"/>
          </w:tcPr>
          <w:p>
            <w:pPr>
              <w:spacing w:after="0"/>
              <w:rPr>
                <w:sz w:val="16"/>
                <w:szCs w:val="16"/>
                <w:color w:val="auto"/>
              </w:rPr>
            </w:pPr>
          </w:p>
        </w:tc>
        <w:tc>
          <w:tcPr>
            <w:tcW w:w="2200" w:type="dxa"/>
            <w:vAlign w:val="bottom"/>
          </w:tcPr>
          <w:p>
            <w:pPr>
              <w:ind w:left="200"/>
              <w:spacing w:after="0"/>
              <w:rPr>
                <w:sz w:val="20"/>
                <w:szCs w:val="20"/>
                <w:color w:val="auto"/>
              </w:rPr>
            </w:pPr>
            <w:r>
              <w:rPr>
                <w:rFonts w:ascii="Arial" w:cs="Arial" w:eastAsia="Arial" w:hAnsi="Arial"/>
                <w:sz w:val="15"/>
                <w:szCs w:val="15"/>
                <w:color w:val="auto"/>
              </w:rPr>
              <w:t>Spain</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89"/>
        </w:trPr>
        <w:tc>
          <w:tcPr>
            <w:tcW w:w="5040" w:type="dxa"/>
            <w:vAlign w:val="bottom"/>
          </w:tcPr>
          <w:p>
            <w:pPr>
              <w:spacing w:after="0"/>
              <w:rPr>
                <w:sz w:val="24"/>
                <w:szCs w:val="24"/>
                <w:color w:val="auto"/>
              </w:rPr>
            </w:pPr>
          </w:p>
        </w:tc>
        <w:tc>
          <w:tcPr>
            <w:tcW w:w="1140" w:type="dxa"/>
            <w:vAlign w:val="bottom"/>
          </w:tcPr>
          <w:p>
            <w:pPr>
              <w:jc w:val="right"/>
              <w:ind w:right="406"/>
              <w:spacing w:after="0"/>
              <w:rPr>
                <w:sz w:val="20"/>
                <w:szCs w:val="20"/>
                <w:color w:val="auto"/>
              </w:rPr>
            </w:pPr>
            <w:r>
              <w:rPr>
                <w:rFonts w:ascii="Arial" w:cs="Arial" w:eastAsia="Arial" w:hAnsi="Arial"/>
                <w:sz w:val="15"/>
                <w:szCs w:val="15"/>
                <w:color w:val="auto"/>
              </w:rPr>
              <w:t>54</w:t>
            </w:r>
          </w:p>
        </w:tc>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2"/>
        </w:trPr>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14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b w:val="1"/>
                <w:bCs w:val="1"/>
                <w:i w:val="1"/>
                <w:iCs w:val="1"/>
                <w:color w:val="auto"/>
              </w:rPr>
              <w:t>Country</w:t>
            </w:r>
          </w:p>
        </w:tc>
        <w:tc>
          <w:tcPr>
            <w:tcW w:w="2740" w:type="dxa"/>
            <w:vAlign w:val="bottom"/>
            <w:tcBorders>
              <w:bottom w:val="single" w:sz="8" w:color="auto"/>
            </w:tcBorders>
            <w:shd w:val="clear" w:color="auto" w:fill="CCEEFF"/>
          </w:tcPr>
          <w:p>
            <w:pPr>
              <w:jc w:val="center"/>
              <w:ind w:left="52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7"/>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España, S.A.U.</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Spain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KCR CRO, S.L.U.</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Spain</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España S.L.</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Spain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PRA International Sweden AB</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Sweden</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DOCS International Sweden AB</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Sweden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DOCS International Switzerland GmbH</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Switzerland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(Switzerland) GmbH</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Switzerland</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PRA Switzerland AG</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Switzerland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Taiwan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Taiwan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Pharmaceutical Research Associates Taiwan, Inc.</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Taiwan</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(Thailand)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Thailand</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RPS Research (Thailand) Co., Ltd.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Thailand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Ankara Klinik Arastirma Dis Ticaret Anonim Sirketi</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Turkey</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Pra Turkey Sağlik Araştirma Ve Geliştirme Limited Şirketi</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Turkey</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CRO Ltd.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LLC</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Ukraine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IMP-Logistics Ukraine LLC</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Ukraine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DOCS Ukraine LLC</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Ukraine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Ukraine LLC</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Ukraine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KCR Ukraine LLC</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Ukraine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(U.K.)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(U.K.) No. 4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(U.K.) No. 5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Holdings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MeDiNova Lakeside Clinical Research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MeDiNova Merc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VSK (Kenilworth)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Improving Treatments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Aptiv Solutions (UK) Ltd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DOCS International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(LR)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(U.K.) No. 2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(U.K.) No. 3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Development Solutions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Investments (UK) Ltd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 Logistics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Medeval Group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OncaCare (U.K.)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Pharm Research Associates (UK)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Sterling Synergy Systems Limited</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ICON Clinical Research (U.K.) No. 6 Limited</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Global S.A.</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Uruguay</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RPS Latin America S.A</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Uruguay</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KCR U.S., Inc.</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 Delaware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780" w:type="dxa"/>
            <w:vAlign w:val="bottom"/>
          </w:tcPr>
          <w:p>
            <w:pPr>
              <w:ind w:left="320"/>
              <w:spacing w:after="0"/>
              <w:rPr>
                <w:sz w:val="20"/>
                <w:szCs w:val="20"/>
                <w:color w:val="auto"/>
              </w:rPr>
            </w:pPr>
            <w:r>
              <w:rPr>
                <w:rFonts w:ascii="Arial" w:cs="Arial" w:eastAsia="Arial" w:hAnsi="Arial"/>
                <w:sz w:val="15"/>
                <w:szCs w:val="15"/>
                <w:color w:val="auto"/>
              </w:rPr>
              <w:t>Human Behind Every Number, Inc.</w:t>
            </w:r>
          </w:p>
        </w:tc>
        <w:tc>
          <w:tcPr>
            <w:tcW w:w="140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USA - MA</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Early Phase Services, LLC</w:t>
            </w:r>
          </w:p>
        </w:tc>
        <w:tc>
          <w:tcPr>
            <w:tcW w:w="1400" w:type="dxa"/>
            <w:vAlign w:val="bottom"/>
            <w:shd w:val="clear" w:color="auto" w:fill="CCEEFF"/>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 Texas</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4"/>
        </w:trPr>
        <w:tc>
          <w:tcPr>
            <w:tcW w:w="4780" w:type="dxa"/>
            <w:vAlign w:val="bottom"/>
          </w:tcPr>
          <w:p>
            <w:pPr>
              <w:ind w:left="320"/>
              <w:spacing w:after="0"/>
              <w:rPr>
                <w:sz w:val="20"/>
                <w:szCs w:val="20"/>
                <w:color w:val="auto"/>
              </w:rPr>
            </w:pPr>
            <w:r>
              <w:rPr>
                <w:rFonts w:ascii="Arial" w:cs="Arial" w:eastAsia="Arial" w:hAnsi="Arial"/>
                <w:sz w:val="15"/>
                <w:szCs w:val="15"/>
                <w:color w:val="auto"/>
              </w:rPr>
              <w:t>ClinStar LLC</w:t>
            </w:r>
          </w:p>
        </w:tc>
        <w:tc>
          <w:tcPr>
            <w:tcW w:w="1400" w:type="dxa"/>
            <w:vAlign w:val="bottom"/>
          </w:tcPr>
          <w:p>
            <w:pPr>
              <w:spacing w:after="0"/>
              <w:rPr>
                <w:sz w:val="16"/>
                <w:szCs w:val="16"/>
                <w:color w:val="auto"/>
              </w:rPr>
            </w:pPr>
          </w:p>
        </w:tc>
        <w:tc>
          <w:tcPr>
            <w:tcW w:w="2300" w:type="dxa"/>
            <w:vAlign w:val="bottom"/>
          </w:tcPr>
          <w:p>
            <w:pPr>
              <w:ind w:left="200"/>
              <w:spacing w:after="0"/>
              <w:rPr>
                <w:sz w:val="20"/>
                <w:szCs w:val="20"/>
                <w:color w:val="auto"/>
              </w:rPr>
            </w:pPr>
            <w:r>
              <w:rPr>
                <w:rFonts w:ascii="Arial" w:cs="Arial" w:eastAsia="Arial" w:hAnsi="Arial"/>
                <w:sz w:val="15"/>
                <w:szCs w:val="15"/>
                <w:color w:val="auto"/>
              </w:rPr>
              <w:t>USA- California</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89"/>
        </w:trPr>
        <w:tc>
          <w:tcPr>
            <w:tcW w:w="4780" w:type="dxa"/>
            <w:vAlign w:val="bottom"/>
          </w:tcPr>
          <w:p>
            <w:pPr>
              <w:spacing w:after="0"/>
              <w:rPr>
                <w:sz w:val="24"/>
                <w:szCs w:val="24"/>
                <w:color w:val="auto"/>
              </w:rPr>
            </w:pPr>
          </w:p>
        </w:tc>
        <w:tc>
          <w:tcPr>
            <w:tcW w:w="1400" w:type="dxa"/>
            <w:vAlign w:val="bottom"/>
          </w:tcPr>
          <w:p>
            <w:pPr>
              <w:jc w:val="right"/>
              <w:ind w:right="406"/>
              <w:spacing w:after="0"/>
              <w:rPr>
                <w:sz w:val="20"/>
                <w:szCs w:val="20"/>
                <w:color w:val="auto"/>
              </w:rPr>
            </w:pPr>
            <w:r>
              <w:rPr>
                <w:rFonts w:ascii="Arial" w:cs="Arial" w:eastAsia="Arial" w:hAnsi="Arial"/>
                <w:sz w:val="15"/>
                <w:szCs w:val="15"/>
                <w:color w:val="auto"/>
              </w:rPr>
              <w:t>55</w:t>
            </w:r>
          </w:p>
        </w:tc>
        <w:tc>
          <w:tcPr>
            <w:tcW w:w="2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2"/>
        </w:trPr>
        <w:tc>
          <w:tcPr>
            <w:tcW w:w="4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132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b w:val="1"/>
                <w:bCs w:val="1"/>
                <w:i w:val="1"/>
                <w:iCs w:val="1"/>
                <w:color w:val="auto"/>
              </w:rPr>
              <w:t>Country</w:t>
            </w:r>
          </w:p>
        </w:tc>
        <w:tc>
          <w:tcPr>
            <w:tcW w:w="260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7"/>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Nextrials,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California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Pharmaceutical Research Associates CIS,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California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Pharmaceutical Research Associates Eastern Europe,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California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Addplan, Inc.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Beacon Bioscience,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C4 MedSolutions,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Care Innovations,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Care Innovations,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CHC Group,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CRI NewCo, Inc.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CRI Worldwide,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CRN Holdings,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CRN NORTH AMERICA,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Global Pharmaceutical Strategies Group,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Investments,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ICON Clinical Research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Laboratory Services,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ICON Tennessee,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US Holdings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MMMM Consulting,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MMMM Group,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MolecularMD Corp.</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Parallel 6,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PRA Early Development Research, Inc.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Health Sciences,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PRA Holdings, Inc.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PRA Receivables,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PriceSpective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PubsHub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ReSearch Pharmaceutical Services, Inc.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Source Healthcare Analytics,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Symphony Health Solutions Corporation</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Clinical Research, LP</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International Medical Technical Consultants,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Oncacare,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PRA International,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Pharmaceutical Services,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Roy RPS Holdings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RPS Global Holdings,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RPS Parent Holding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Sunset Hills,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Clinical Resource Network,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Illinois</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of Christie Clinic, LLC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Illinois</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CRI International,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New Jersey</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DOCS Global,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New Jersey</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6"/>
        </w:trPr>
        <w:tc>
          <w:tcPr>
            <w:tcW w:w="4860" w:type="dxa"/>
            <w:vAlign w:val="bottom"/>
          </w:tcPr>
          <w:p>
            <w:pPr>
              <w:ind w:left="320"/>
              <w:spacing w:after="0"/>
              <w:rPr>
                <w:sz w:val="20"/>
                <w:szCs w:val="20"/>
                <w:color w:val="auto"/>
              </w:rPr>
            </w:pPr>
            <w:r>
              <w:rPr>
                <w:rFonts w:ascii="Arial" w:cs="Arial" w:eastAsia="Arial" w:hAnsi="Arial"/>
                <w:sz w:val="15"/>
                <w:szCs w:val="15"/>
                <w:color w:val="auto"/>
              </w:rPr>
              <w:t>Managed Care Strategic Solutions, L.L.C.</w:t>
            </w:r>
          </w:p>
        </w:tc>
        <w:tc>
          <w:tcPr>
            <w:tcW w:w="13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New Jersey</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9"/>
        </w:trPr>
        <w:tc>
          <w:tcPr>
            <w:tcW w:w="4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US Inc.</w:t>
            </w:r>
          </w:p>
        </w:tc>
        <w:tc>
          <w:tcPr>
            <w:tcW w:w="1320" w:type="dxa"/>
            <w:vAlign w:val="bottom"/>
            <w:shd w:val="clear" w:color="auto" w:fill="CCEEFF"/>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North Carolina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4"/>
        </w:trPr>
        <w:tc>
          <w:tcPr>
            <w:tcW w:w="4860" w:type="dxa"/>
            <w:vAlign w:val="bottom"/>
          </w:tcPr>
          <w:p>
            <w:pPr>
              <w:ind w:left="320"/>
              <w:spacing w:after="0"/>
              <w:rPr>
                <w:sz w:val="20"/>
                <w:szCs w:val="20"/>
                <w:color w:val="auto"/>
              </w:rPr>
            </w:pPr>
            <w:r>
              <w:rPr>
                <w:rFonts w:ascii="Arial" w:cs="Arial" w:eastAsia="Arial" w:hAnsi="Arial"/>
                <w:sz w:val="15"/>
                <w:szCs w:val="15"/>
                <w:color w:val="auto"/>
              </w:rPr>
              <w:t>Accellacare of Charlotte, LLC</w:t>
            </w:r>
          </w:p>
        </w:tc>
        <w:tc>
          <w:tcPr>
            <w:tcW w:w="1320" w:type="dxa"/>
            <w:vAlign w:val="bottom"/>
          </w:tcPr>
          <w:p>
            <w:pPr>
              <w:spacing w:after="0"/>
              <w:rPr>
                <w:sz w:val="16"/>
                <w:szCs w:val="16"/>
                <w:color w:val="auto"/>
              </w:rPr>
            </w:pPr>
          </w:p>
        </w:tc>
        <w:tc>
          <w:tcPr>
            <w:tcW w:w="2440" w:type="dxa"/>
            <w:vAlign w:val="bottom"/>
          </w:tcPr>
          <w:p>
            <w:pPr>
              <w:ind w:left="200"/>
              <w:spacing w:after="0"/>
              <w:rPr>
                <w:sz w:val="20"/>
                <w:szCs w:val="20"/>
                <w:color w:val="auto"/>
              </w:rPr>
            </w:pPr>
            <w:r>
              <w:rPr>
                <w:rFonts w:ascii="Arial" w:cs="Arial" w:eastAsia="Arial" w:hAnsi="Arial"/>
                <w:sz w:val="15"/>
                <w:szCs w:val="15"/>
                <w:color w:val="auto"/>
              </w:rPr>
              <w:t>USA- North Carolina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89"/>
        </w:trPr>
        <w:tc>
          <w:tcPr>
            <w:tcW w:w="4860" w:type="dxa"/>
            <w:vAlign w:val="bottom"/>
          </w:tcPr>
          <w:p>
            <w:pPr>
              <w:spacing w:after="0"/>
              <w:rPr>
                <w:sz w:val="24"/>
                <w:szCs w:val="24"/>
                <w:color w:val="auto"/>
              </w:rPr>
            </w:pPr>
          </w:p>
        </w:tc>
        <w:tc>
          <w:tcPr>
            <w:tcW w:w="1320" w:type="dxa"/>
            <w:vAlign w:val="bottom"/>
          </w:tcPr>
          <w:p>
            <w:pPr>
              <w:jc w:val="right"/>
              <w:ind w:right="406"/>
              <w:spacing w:after="0"/>
              <w:rPr>
                <w:sz w:val="20"/>
                <w:szCs w:val="20"/>
                <w:color w:val="auto"/>
              </w:rPr>
            </w:pPr>
            <w:r>
              <w:rPr>
                <w:rFonts w:ascii="Arial" w:cs="Arial" w:eastAsia="Arial" w:hAnsi="Arial"/>
                <w:sz w:val="15"/>
                <w:szCs w:val="15"/>
                <w:color w:val="auto"/>
              </w:rPr>
              <w:t>56</w:t>
            </w:r>
          </w:p>
        </w:tc>
        <w:tc>
          <w:tcPr>
            <w:tcW w:w="2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8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58" w:name="page59"/>
    <w:bookmarkEnd w:id="58"/>
    <w:tbl>
      <w:tblPr>
        <w:tblLayout w:type="fixed"/>
        <w:tblInd w:w="1" w:type="dxa"/>
        <w:tblCellMar>
          <w:top w:w="0" w:type="dxa"/>
          <w:left w:w="0" w:type="dxa"/>
          <w:bottom w:w="0" w:type="dxa"/>
          <w:right w:w="0" w:type="dxa"/>
        </w:tblCellMar>
      </w:tblPr>
      <w:tr>
        <w:trPr>
          <w:trHeight w:val="202"/>
        </w:trPr>
        <w:tc>
          <w:tcPr>
            <w:tcW w:w="6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i w:val="1"/>
                <w:iCs w:val="1"/>
                <w:color w:val="auto"/>
              </w:rPr>
              <w:t>Company</w:t>
            </w: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b w:val="1"/>
                <w:bCs w:val="1"/>
                <w:i w:val="1"/>
                <w:iCs w:val="1"/>
                <w:color w:val="auto"/>
              </w:rPr>
              <w:t>Country</w:t>
            </w:r>
          </w:p>
        </w:tc>
        <w:tc>
          <w:tcPr>
            <w:tcW w:w="2580" w:type="dxa"/>
            <w:vAlign w:val="bottom"/>
            <w:tcBorders>
              <w:bottom w:val="single" w:sz="8" w:color="auto"/>
            </w:tcBorders>
            <w:shd w:val="clear" w:color="auto" w:fill="CCEEFF"/>
          </w:tcPr>
          <w:p>
            <w:pPr>
              <w:jc w:val="center"/>
              <w:ind w:left="366"/>
              <w:spacing w:after="0"/>
              <w:rPr>
                <w:sz w:val="20"/>
                <w:szCs w:val="20"/>
                <w:color w:val="auto"/>
              </w:rPr>
            </w:pPr>
            <w:r>
              <w:rPr>
                <w:rFonts w:ascii="Arial" w:cs="Arial" w:eastAsia="Arial" w:hAnsi="Arial"/>
                <w:sz w:val="15"/>
                <w:szCs w:val="15"/>
                <w:b w:val="1"/>
                <w:bCs w:val="1"/>
                <w:i w:val="1"/>
                <w:iCs w:val="1"/>
                <w:color w:val="auto"/>
                <w:w w:val="98"/>
              </w:rPr>
              <w:t>Group ownership</w:t>
            </w:r>
          </w:p>
        </w:tc>
      </w:tr>
      <w:tr>
        <w:trPr>
          <w:trHeight w:val="197"/>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of Hickory, LLC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Accellacare of Raleigh, LLC</w:t>
            </w:r>
          </w:p>
        </w:tc>
        <w:tc>
          <w:tcPr>
            <w:tcW w:w="2460" w:type="dxa"/>
            <w:vAlign w:val="bottom"/>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of Rocky Mount, LLC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Accellacare of Salisbury, LLC</w:t>
            </w:r>
          </w:p>
        </w:tc>
        <w:tc>
          <w:tcPr>
            <w:tcW w:w="2460" w:type="dxa"/>
            <w:vAlign w:val="bottom"/>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of Wilmington, LLC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Accellacare of Winston-Salem, LLC</w:t>
            </w:r>
          </w:p>
        </w:tc>
        <w:tc>
          <w:tcPr>
            <w:tcW w:w="2460" w:type="dxa"/>
            <w:vAlign w:val="bottom"/>
          </w:tcPr>
          <w:p>
            <w:pPr>
              <w:ind w:left="200"/>
              <w:spacing w:after="0"/>
              <w:rPr>
                <w:sz w:val="20"/>
                <w:szCs w:val="20"/>
                <w:color w:val="auto"/>
              </w:rPr>
            </w:pPr>
            <w:r>
              <w:rPr>
                <w:rFonts w:ascii="Arial" w:cs="Arial" w:eastAsia="Arial" w:hAnsi="Arial"/>
                <w:sz w:val="15"/>
                <w:szCs w:val="15"/>
                <w:color w:val="auto"/>
              </w:rPr>
              <w:t>USA- North Carolina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Complete Healthcare Communications LLC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Pennsylvania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Complete Publication Solutions, LLC</w:t>
            </w:r>
          </w:p>
        </w:tc>
        <w:tc>
          <w:tcPr>
            <w:tcW w:w="2460" w:type="dxa"/>
            <w:vAlign w:val="bottom"/>
          </w:tcPr>
          <w:p>
            <w:pPr>
              <w:ind w:left="200"/>
              <w:spacing w:after="0"/>
              <w:rPr>
                <w:sz w:val="20"/>
                <w:szCs w:val="20"/>
                <w:color w:val="auto"/>
              </w:rPr>
            </w:pPr>
            <w:r>
              <w:rPr>
                <w:rFonts w:ascii="Arial" w:cs="Arial" w:eastAsia="Arial" w:hAnsi="Arial"/>
                <w:sz w:val="15"/>
                <w:szCs w:val="15"/>
                <w:color w:val="auto"/>
              </w:rPr>
              <w:t>USA- Pennsylvania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Accellacare of Charleston, LLC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South Carolina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Accellacare of Bristol, LLC</w:t>
            </w:r>
          </w:p>
        </w:tc>
        <w:tc>
          <w:tcPr>
            <w:tcW w:w="2460" w:type="dxa"/>
            <w:vAlign w:val="bottom"/>
          </w:tcPr>
          <w:p>
            <w:pPr>
              <w:ind w:left="200"/>
              <w:spacing w:after="0"/>
              <w:rPr>
                <w:sz w:val="20"/>
                <w:szCs w:val="20"/>
                <w:color w:val="auto"/>
              </w:rPr>
            </w:pPr>
            <w:r>
              <w:rPr>
                <w:rFonts w:ascii="Arial" w:cs="Arial" w:eastAsia="Arial" w:hAnsi="Arial"/>
                <w:sz w:val="15"/>
                <w:szCs w:val="15"/>
                <w:color w:val="auto"/>
              </w:rPr>
              <w:t>USA- Tennessee</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Lifetree Clinical Research, LC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Utah</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Pharmaceutical Research Associates, Inc.</w:t>
            </w:r>
          </w:p>
        </w:tc>
        <w:tc>
          <w:tcPr>
            <w:tcW w:w="2460" w:type="dxa"/>
            <w:vAlign w:val="bottom"/>
          </w:tcPr>
          <w:p>
            <w:pPr>
              <w:ind w:left="200"/>
              <w:spacing w:after="0"/>
              <w:rPr>
                <w:sz w:val="20"/>
                <w:szCs w:val="20"/>
                <w:color w:val="auto"/>
              </w:rPr>
            </w:pPr>
            <w:r>
              <w:rPr>
                <w:rFonts w:ascii="Arial" w:cs="Arial" w:eastAsia="Arial" w:hAnsi="Arial"/>
                <w:sz w:val="15"/>
                <w:szCs w:val="15"/>
                <w:color w:val="auto"/>
              </w:rPr>
              <w:t>USA- Virginia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9"/>
        </w:trPr>
        <w:tc>
          <w:tcPr>
            <w:tcW w:w="6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ICON Government and Public Health Solutions, Inc.</w:t>
            </w:r>
          </w:p>
        </w:tc>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USA- Virginia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6"/>
        </w:trPr>
        <w:tc>
          <w:tcPr>
            <w:tcW w:w="6180" w:type="dxa"/>
            <w:vAlign w:val="bottom"/>
          </w:tcPr>
          <w:p>
            <w:pPr>
              <w:ind w:left="320"/>
              <w:spacing w:after="0"/>
              <w:rPr>
                <w:sz w:val="20"/>
                <w:szCs w:val="20"/>
                <w:color w:val="auto"/>
              </w:rPr>
            </w:pPr>
            <w:r>
              <w:rPr>
                <w:rFonts w:ascii="Arial" w:cs="Arial" w:eastAsia="Arial" w:hAnsi="Arial"/>
                <w:sz w:val="15"/>
                <w:szCs w:val="15"/>
                <w:color w:val="auto"/>
              </w:rPr>
              <w:t>ICON Clinical Research Vietnam LLC</w:t>
            </w:r>
          </w:p>
        </w:tc>
        <w:tc>
          <w:tcPr>
            <w:tcW w:w="2460" w:type="dxa"/>
            <w:vAlign w:val="bottom"/>
          </w:tcPr>
          <w:p>
            <w:pPr>
              <w:ind w:left="200"/>
              <w:spacing w:after="0"/>
              <w:rPr>
                <w:sz w:val="20"/>
                <w:szCs w:val="20"/>
                <w:color w:val="auto"/>
              </w:rPr>
            </w:pPr>
            <w:r>
              <w:rPr>
                <w:rFonts w:ascii="Arial" w:cs="Arial" w:eastAsia="Arial" w:hAnsi="Arial"/>
                <w:sz w:val="15"/>
                <w:szCs w:val="15"/>
                <w:color w:val="auto"/>
              </w:rPr>
              <w:t>Vietnam</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236"/>
        </w:trPr>
        <w:tc>
          <w:tcPr>
            <w:tcW w:w="618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bl>
    <w:p>
      <w:pPr>
        <w:spacing w:after="0" w:line="123" w:lineRule="exact"/>
        <w:rPr>
          <w:sz w:val="20"/>
          <w:szCs w:val="20"/>
          <w:color w:val="auto"/>
        </w:rPr>
      </w:pPr>
    </w:p>
    <w:p>
      <w:pPr>
        <w:ind w:left="81" w:hanging="81"/>
        <w:spacing w:after="0"/>
        <w:tabs>
          <w:tab w:leader="none" w:pos="81"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Mapi Research Trust is an association, its members are ICON Subsidiary entities</w:t>
      </w:r>
    </w:p>
    <w:p>
      <w:pPr>
        <w:spacing w:after="0" w:line="40" w:lineRule="exact"/>
        <w:rPr>
          <w:sz w:val="20"/>
          <w:szCs w:val="20"/>
          <w:color w:val="auto"/>
        </w:rPr>
      </w:pPr>
    </w:p>
    <w:p>
      <w:pPr>
        <w:ind w:left="81" w:hanging="81"/>
        <w:spacing w:after="0"/>
        <w:tabs>
          <w:tab w:leader="none" w:pos="81"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Pharmaceutical Research Associates doo Belgrade changed its name to ICON Clinical doo Beograd, with effect from January 17, 2025.</w:t>
      </w:r>
    </w:p>
    <w:p>
      <w:pPr>
        <w:spacing w:after="0" w:line="373" w:lineRule="exact"/>
        <w:rPr>
          <w:sz w:val="20"/>
          <w:szCs w:val="20"/>
          <w:color w:val="auto"/>
        </w:rPr>
      </w:pPr>
    </w:p>
    <w:p>
      <w:pPr>
        <w:ind w:left="301"/>
        <w:spacing w:after="0"/>
        <w:rPr>
          <w:sz w:val="20"/>
          <w:szCs w:val="20"/>
          <w:color w:val="auto"/>
        </w:rPr>
      </w:pPr>
      <w:r>
        <w:rPr>
          <w:rFonts w:ascii="Arial" w:cs="Arial" w:eastAsia="Arial" w:hAnsi="Arial"/>
          <w:sz w:val="15"/>
          <w:szCs w:val="15"/>
          <w:b w:val="1"/>
          <w:bCs w:val="1"/>
          <w:color w:val="auto"/>
        </w:rPr>
        <w:t>D. Description of Property</w:t>
      </w:r>
    </w:p>
    <w:p>
      <w:pPr>
        <w:spacing w:after="0" w:line="222" w:lineRule="exact"/>
        <w:rPr>
          <w:sz w:val="20"/>
          <w:szCs w:val="20"/>
          <w:color w:val="auto"/>
        </w:rPr>
      </w:pPr>
    </w:p>
    <w:p>
      <w:pPr>
        <w:jc w:val="both"/>
        <w:ind w:left="1" w:firstLine="591"/>
        <w:spacing w:after="0" w:line="286" w:lineRule="auto"/>
        <w:rPr>
          <w:sz w:val="20"/>
          <w:szCs w:val="20"/>
          <w:color w:val="auto"/>
        </w:rPr>
      </w:pPr>
      <w:r>
        <w:rPr>
          <w:rFonts w:ascii="Arial" w:cs="Arial" w:eastAsia="Arial" w:hAnsi="Arial"/>
          <w:sz w:val="15"/>
          <w:szCs w:val="15"/>
          <w:color w:val="auto"/>
        </w:rPr>
        <w:t>Our principal executive offices are located in South County Business Park, Leopardstown, Dublin, Republic of Ireland, where we own an office facility of approximately 15,000 square meters. We lease all other properties.</w:t>
      </w:r>
    </w:p>
    <w:p>
      <w:pPr>
        <w:spacing w:after="0" w:line="168" w:lineRule="exact"/>
        <w:rPr>
          <w:sz w:val="20"/>
          <w:szCs w:val="20"/>
          <w:color w:val="auto"/>
        </w:rPr>
      </w:pPr>
    </w:p>
    <w:p>
      <w:pPr>
        <w:jc w:val="both"/>
        <w:ind w:left="1" w:firstLine="591"/>
        <w:spacing w:after="0" w:line="274" w:lineRule="auto"/>
        <w:rPr>
          <w:sz w:val="20"/>
          <w:szCs w:val="20"/>
          <w:color w:val="auto"/>
        </w:rPr>
      </w:pPr>
      <w:r>
        <w:rPr>
          <w:rFonts w:ascii="Arial" w:cs="Arial" w:eastAsia="Arial" w:hAnsi="Arial"/>
          <w:sz w:val="14"/>
          <w:szCs w:val="14"/>
          <w:color w:val="auto"/>
        </w:rPr>
        <w:t>We maintain forty-nine offices in Europe; nine of our offices are in the UK, five in Spain, three in each of the Netherlands, Germany, Poland and Ukraine, two in each of France, Hungary, Ireland, Russia, Sweden and Bulgaria and one in each of Turkey, Belarus, Belgium, Czech Republic, Georgia, Israel, Italy, Latvia, Romania, Estonia and Slovakia. We maintain thirty-two offices in North America; twenty-eight in the United States, two in Canada and two in Mexico. We have seventeen offices in Asia; six in China (including one in Hong Kong), three in India, two in each of Japan and Singapore, and one in each of South Korea, Taiwan, Thailand and the Philippines. We have two offices in Australia. We have five offices in South America: one in each of Argentina, Brazil, Chile, Colombia and Peru. We maintain one office in South Africa.</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 xml:space="preserve">Item 4A. </w:t>
      </w:r>
      <w:r>
        <w:rPr>
          <w:rFonts w:ascii="Arial" w:cs="Arial" w:eastAsia="Arial" w:hAnsi="Arial"/>
          <w:sz w:val="15"/>
          <w:szCs w:val="15"/>
          <w:b w:val="1"/>
          <w:bCs w:val="1"/>
          <w:i w:val="1"/>
          <w:iCs w:val="1"/>
          <w:color w:val="auto"/>
        </w:rPr>
        <w:t>Unresolved Staff Comments.</w:t>
      </w:r>
    </w:p>
    <w:p>
      <w:pPr>
        <w:spacing w:after="0" w:line="222" w:lineRule="exact"/>
        <w:rPr>
          <w:sz w:val="20"/>
          <w:szCs w:val="20"/>
          <w:color w:val="auto"/>
        </w:rPr>
      </w:pPr>
    </w:p>
    <w:p>
      <w:pPr>
        <w:ind w:left="601"/>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953"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Operating and Financial Review and Prospects.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36"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2024 and December 31, 2023. Information related to the year ended December 31, 2022 has not been included. It can be found in the Company's filing of the form 20-F for the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191"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December 31, 2024, we employed approximately 41,900 employees, in 106 locations in 55 countries. During the year ended December 31, 2024 we derived 36.0%, 52.6% and 11.4% of our revenue in the United States, Europe, and the rest of the world, respectively (During the year ended December 31, 2023</w:t>
      </w:r>
      <w:r>
        <w:rPr>
          <w:rFonts w:ascii="Arial" w:cs="Arial" w:eastAsia="Arial" w:hAnsi="Arial"/>
          <w:sz w:val="15"/>
          <w:szCs w:val="15"/>
          <w:i w:val="1"/>
          <w:iCs w:val="1"/>
          <w:color w:val="auto"/>
        </w:rPr>
        <w:t>:</w:t>
      </w:r>
      <w:r>
        <w:rPr>
          <w:rFonts w:ascii="Arial" w:cs="Arial" w:eastAsia="Arial" w:hAnsi="Arial"/>
          <w:sz w:val="15"/>
          <w:szCs w:val="15"/>
          <w:color w:val="auto"/>
        </w:rPr>
        <w:t xml:space="preserve"> 40.4%, 48.7% and 10.9% respectively).</w:t>
      </w:r>
    </w:p>
    <w:p>
      <w:pPr>
        <w:spacing w:after="0" w:line="203"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89"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December 31, 2024, we had unsatisfied performance obligations of $15.9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note 4. </w:t>
      </w:r>
      <w:r>
        <w:rPr>
          <w:rFonts w:ascii="Arial" w:cs="Arial" w:eastAsia="Arial" w:hAnsi="Arial"/>
          <w:sz w:val="15"/>
          <w:szCs w:val="15"/>
          <w:i w:val="1"/>
          <w:iCs w:val="1"/>
          <w:color w:val="auto"/>
        </w:rPr>
        <w:t>Accounts receivable, unbilled revenue (contract assets) and unearned revenue or 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on account (contract liabilities) </w:t>
      </w:r>
      <w:r>
        <w:rPr>
          <w:rFonts w:ascii="Arial" w:cs="Arial" w:eastAsia="Arial" w:hAnsi="Arial"/>
          <w:sz w:val="15"/>
          <w:szCs w:val="15"/>
          <w:color w:val="auto"/>
        </w:rPr>
        <w:t>for further details). We believe that our unsatisfied performance obligation as of any date is not necessarily a meaningful predictor of future</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89"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60" w:name="page61"/>
    <w:bookmarkEnd w:id="60"/>
    <w:p>
      <w:pPr>
        <w:jc w:val="both"/>
        <w:ind w:left="1" w:firstLine="591"/>
        <w:spacing w:after="0" w:line="250"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9"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85" w:lineRule="exact"/>
        <w:rPr>
          <w:sz w:val="20"/>
          <w:szCs w:val="20"/>
          <w:color w:val="auto"/>
        </w:rPr>
      </w:pPr>
    </w:p>
    <w:p>
      <w:pPr>
        <w:ind w:left="321" w:hanging="321"/>
        <w:spacing w:after="0"/>
        <w:tabs>
          <w:tab w:leader="none" w:pos="321"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Results</w:t>
      </w:r>
    </w:p>
    <w:p>
      <w:pPr>
        <w:spacing w:after="0" w:line="222" w:lineRule="exact"/>
        <w:rPr>
          <w:sz w:val="20"/>
          <w:szCs w:val="20"/>
          <w:color w:val="auto"/>
        </w:rPr>
      </w:pPr>
    </w:p>
    <w:p>
      <w:pPr>
        <w:jc w:val="both"/>
        <w:ind w:left="1" w:firstLine="591"/>
        <w:spacing w:after="0" w:line="286"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69"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7"/>
              </w:rPr>
              <w:t>Year Ended December 31,</w:t>
            </w:r>
          </w:p>
        </w:tc>
        <w:tc>
          <w:tcPr>
            <w:tcW w:w="1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2023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 to 2024</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146"/>
              <w:spacing w:after="0" w:line="141" w:lineRule="exact"/>
              <w:rPr>
                <w:sz w:val="20"/>
                <w:szCs w:val="20"/>
                <w:color w:val="auto"/>
              </w:rPr>
            </w:pPr>
            <w:r>
              <w:rPr>
                <w:rFonts w:ascii="Arial" w:cs="Arial" w:eastAsia="Arial" w:hAnsi="Arial"/>
                <w:sz w:val="15"/>
                <w:szCs w:val="15"/>
                <w:b w:val="1"/>
                <w:bCs w:val="1"/>
                <w:color w:val="auto"/>
              </w:rPr>
              <w:t>Percentage of Revenue</w:t>
            </w:r>
          </w:p>
        </w:tc>
        <w:tc>
          <w:tcPr>
            <w:tcW w:w="94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466"/>
              <w:spacing w:after="0" w:line="141" w:lineRule="exact"/>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Increase/(Decrease)</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Revenue</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100.0 %</w:t>
            </w:r>
          </w:p>
        </w:tc>
        <w:tc>
          <w:tcPr>
            <w:tcW w:w="100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100.0 %</w:t>
            </w:r>
          </w:p>
        </w:tc>
        <w:tc>
          <w:tcPr>
            <w:tcW w:w="1760" w:type="dxa"/>
            <w:vAlign w:val="bottom"/>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19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ind w:left="200"/>
              <w:spacing w:after="0"/>
              <w:rPr>
                <w:sz w:val="20"/>
                <w:szCs w:val="20"/>
                <w:color w:val="auto"/>
              </w:rPr>
            </w:pPr>
            <w:r>
              <w:rPr>
                <w:rFonts w:ascii="Arial" w:cs="Arial" w:eastAsia="Arial" w:hAnsi="Arial"/>
                <w:sz w:val="15"/>
                <w:szCs w:val="15"/>
                <w:color w:val="auto"/>
              </w:rPr>
              <w:t>Direct costs</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70.6 %</w:t>
            </w:r>
          </w:p>
        </w:tc>
        <w:tc>
          <w:tcPr>
            <w:tcW w:w="100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70.4 %</w:t>
            </w:r>
          </w:p>
        </w:tc>
        <w:tc>
          <w:tcPr>
            <w:tcW w:w="1760" w:type="dxa"/>
            <w:vAlign w:val="bottom"/>
          </w:tcPr>
          <w:p>
            <w:pPr>
              <w:jc w:val="right"/>
              <w:spacing w:after="0"/>
              <w:rPr>
                <w:sz w:val="20"/>
                <w:szCs w:val="20"/>
                <w:color w:val="auto"/>
              </w:rPr>
            </w:pPr>
            <w:r>
              <w:rPr>
                <w:rFonts w:ascii="Arial" w:cs="Arial" w:eastAsia="Arial" w:hAnsi="Arial"/>
                <w:sz w:val="15"/>
                <w:szCs w:val="15"/>
                <w:color w:val="auto"/>
              </w:rPr>
              <w:t>2.2 %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Selling, general and administrative expense</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8.8 %</w:t>
            </w: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9.4 %</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ind w:left="200"/>
              <w:spacing w:after="0"/>
              <w:rPr>
                <w:sz w:val="20"/>
                <w:szCs w:val="20"/>
                <w:color w:val="auto"/>
              </w:rPr>
            </w:pPr>
            <w:r>
              <w:rPr>
                <w:rFonts w:ascii="Arial" w:cs="Arial" w:eastAsia="Arial" w:hAnsi="Arial"/>
                <w:sz w:val="15"/>
                <w:szCs w:val="15"/>
                <w:color w:val="auto"/>
              </w:rPr>
              <w:t>Depreciation</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1.7 %</w:t>
            </w:r>
          </w:p>
        </w:tc>
        <w:tc>
          <w:tcPr>
            <w:tcW w:w="100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1.6 %</w:t>
            </w:r>
          </w:p>
        </w:tc>
        <w:tc>
          <w:tcPr>
            <w:tcW w:w="1760" w:type="dxa"/>
            <w:vAlign w:val="bottom"/>
          </w:tcPr>
          <w:p>
            <w:pPr>
              <w:jc w:val="right"/>
              <w:spacing w:after="0"/>
              <w:rPr>
                <w:sz w:val="20"/>
                <w:szCs w:val="20"/>
                <w:color w:val="auto"/>
              </w:rPr>
            </w:pPr>
            <w:r>
              <w:rPr>
                <w:rFonts w:ascii="Arial" w:cs="Arial" w:eastAsia="Arial" w:hAnsi="Arial"/>
                <w:sz w:val="15"/>
                <w:szCs w:val="15"/>
                <w:color w:val="auto"/>
              </w:rPr>
              <w:t>9.6 %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5.7 %</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ind w:left="200"/>
              <w:spacing w:after="0"/>
              <w:rPr>
                <w:sz w:val="20"/>
                <w:szCs w:val="20"/>
                <w:color w:val="auto"/>
              </w:rPr>
            </w:pPr>
            <w:r>
              <w:rPr>
                <w:rFonts w:ascii="Arial" w:cs="Arial" w:eastAsia="Arial" w:hAnsi="Arial"/>
                <w:sz w:val="15"/>
                <w:szCs w:val="15"/>
                <w:color w:val="auto"/>
              </w:rPr>
              <w:t>Transaction and integration related</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0.3 %</w:t>
            </w:r>
          </w:p>
        </w:tc>
        <w:tc>
          <w:tcPr>
            <w:tcW w:w="100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0.5 %</w:t>
            </w:r>
          </w:p>
        </w:tc>
        <w:tc>
          <w:tcPr>
            <w:tcW w:w="1760" w:type="dxa"/>
            <w:vAlign w:val="bottom"/>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Restructuring</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0.6 %</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103.0 %</w:t>
            </w:r>
          </w:p>
        </w:tc>
        <w:tc>
          <w:tcPr>
            <w:tcW w:w="0" w:type="dxa"/>
            <w:vAlign w:val="bottom"/>
          </w:tcPr>
          <w:p>
            <w:pPr>
              <w:spacing w:after="0"/>
              <w:rPr>
                <w:sz w:val="1"/>
                <w:szCs w:val="1"/>
                <w:color w:val="auto"/>
              </w:rPr>
            </w:pPr>
          </w:p>
        </w:tc>
      </w:tr>
      <w:tr>
        <w:trPr>
          <w:trHeight w:val="246"/>
        </w:trPr>
        <w:tc>
          <w:tcPr>
            <w:tcW w:w="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13.3 %</w:t>
            </w:r>
          </w:p>
        </w:tc>
        <w:tc>
          <w:tcPr>
            <w:tcW w:w="10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11.8 %</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640" w:type="dxa"/>
            <w:vAlign w:val="bottom"/>
            <w:tcBorders>
              <w:top w:val="single" w:sz="8" w:color="CCEEFF"/>
              <w:bottom w:val="single" w:sz="8" w:color="auto"/>
            </w:tcBorders>
            <w:gridSpan w:val="3"/>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00" w:type="dxa"/>
            <w:vAlign w:val="bottom"/>
            <w:gridSpan w:val="5"/>
          </w:tcPr>
          <w:p>
            <w:pPr>
              <w:spacing w:after="0"/>
              <w:rPr>
                <w:sz w:val="20"/>
                <w:szCs w:val="20"/>
                <w:color w:val="auto"/>
              </w:rPr>
            </w:pPr>
            <w:r>
              <w:rPr>
                <w:rFonts w:ascii="Arial" w:cs="Arial" w:eastAsia="Arial" w:hAnsi="Arial"/>
                <w:sz w:val="15"/>
                <w:szCs w:val="15"/>
                <w:b w:val="1"/>
                <w:bCs w:val="1"/>
                <w:i w:val="1"/>
                <w:iCs w:val="1"/>
                <w:color w:val="auto"/>
              </w:rPr>
              <w:t>Year ended December 31, 2024 compared to year ended December 31, 2023</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left="446"/>
              <w:spacing w:after="0" w:line="148" w:lineRule="exact"/>
              <w:rPr>
                <w:sz w:val="20"/>
                <w:szCs w:val="20"/>
                <w:color w:val="auto"/>
              </w:rPr>
            </w:pPr>
            <w:r>
              <w:rPr>
                <w:rFonts w:ascii="Arial" w:cs="Arial" w:eastAsia="Arial" w:hAnsi="Arial"/>
                <w:sz w:val="15"/>
                <w:szCs w:val="15"/>
                <w:b w:val="1"/>
                <w:bCs w:val="1"/>
                <w:color w:val="auto"/>
                <w:w w:val="96"/>
              </w:rPr>
              <w:t>Year Ended</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700" w:type="dxa"/>
            <w:vAlign w:val="bottom"/>
            <w:gridSpan w:val="2"/>
            <w:vMerge w:val="restart"/>
            <w:shd w:val="clear" w:color="auto" w:fill="CCEEFF"/>
          </w:tcPr>
          <w:p>
            <w:pPr>
              <w:jc w:val="right"/>
              <w:ind w:right="1486"/>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2"/>
            <w:shd w:val="clear" w:color="auto" w:fill="CCEEFF"/>
          </w:tcPr>
          <w:p>
            <w:pPr>
              <w:jc w:val="center"/>
              <w:ind w:left="446"/>
              <w:spacing w:after="0"/>
              <w:rPr>
                <w:sz w:val="20"/>
                <w:szCs w:val="20"/>
                <w:color w:val="auto"/>
              </w:rPr>
            </w:pPr>
            <w:r>
              <w:rPr>
                <w:rFonts w:ascii="Arial" w:cs="Arial" w:eastAsia="Arial" w:hAnsi="Arial"/>
                <w:sz w:val="15"/>
                <w:szCs w:val="15"/>
                <w:b w:val="1"/>
                <w:bCs w:val="1"/>
                <w:color w:val="auto"/>
                <w:w w:val="98"/>
              </w:rPr>
              <w:t>December 31,</w:t>
            </w:r>
          </w:p>
        </w:tc>
        <w:tc>
          <w:tcPr>
            <w:tcW w:w="10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5"/>
                <w:szCs w:val="15"/>
                <w:b w:val="1"/>
                <w:bCs w:val="1"/>
                <w:color w:val="auto"/>
              </w:rPr>
              <w:t>2024</w:t>
            </w:r>
          </w:p>
        </w:tc>
        <w:tc>
          <w:tcPr>
            <w:tcW w:w="2040" w:type="dxa"/>
            <w:vAlign w:val="bottom"/>
            <w:tcBorders>
              <w:bottom w:val="single" w:sz="8" w:color="auto"/>
            </w:tcBorders>
            <w:gridSpan w:val="2"/>
          </w:tcPr>
          <w:p>
            <w:pPr>
              <w:jc w:val="right"/>
              <w:ind w:right="906"/>
              <w:spacing w:after="0"/>
              <w:rPr>
                <w:sz w:val="20"/>
                <w:szCs w:val="20"/>
                <w:color w:val="auto"/>
              </w:rPr>
            </w:pPr>
            <w:r>
              <w:rPr>
                <w:rFonts w:ascii="Arial" w:cs="Arial" w:eastAsia="Arial" w:hAnsi="Arial"/>
                <w:sz w:val="15"/>
                <w:szCs w:val="15"/>
                <w:b w:val="1"/>
                <w:bCs w:val="1"/>
                <w:color w:val="auto"/>
              </w:rPr>
              <w:t>2023</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8,281,676 $</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8,120,176</w:t>
            </w:r>
          </w:p>
        </w:tc>
        <w:tc>
          <w:tcPr>
            <w:tcW w:w="100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161,500</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Revenue for the year ended December 31, 2024 increased by $161.5 million, or 2.0%, to $8,281.7 million, compared to $8,120.2 million for the year ended December 31, 2023. Revenue increased by 2.0% in constant currency terms. The increase in revenues in the year ended December 31, 2024 is due to the Company's acquisitions and continued organic growth.</w:t>
      </w:r>
    </w:p>
    <w:p>
      <w:pPr>
        <w:spacing w:after="0" w:line="148"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During the year ended December 31, 2024 the Company derived 36.0%, 52.6% and 11.4% of our revenue in the United States, Europe and Rest of World respectively. Revenues from our top five customers amounted to $2,071.4 million in the year ended December 31, 2024 compared to $2,174.8 million in the year ended December 31, 2023 or 25.0% and 26.8% respectively. New customer accounts are continually added across the full portfolio of large pharma customer, mid-tier pharma customers and biotech customers.</w:t>
      </w:r>
    </w:p>
    <w:p>
      <w:pPr>
        <w:spacing w:after="0" w:line="203" w:lineRule="exact"/>
        <w:rPr>
          <w:sz w:val="20"/>
          <w:szCs w:val="20"/>
          <w:color w:val="auto"/>
        </w:rPr>
      </w:pPr>
    </w:p>
    <w:p>
      <w:pPr>
        <w:jc w:val="both"/>
        <w:ind w:left="1" w:firstLine="591"/>
        <w:spacing w:after="0" w:line="269" w:lineRule="auto"/>
        <w:rPr>
          <w:sz w:val="20"/>
          <w:szCs w:val="20"/>
          <w:color w:val="auto"/>
        </w:rPr>
      </w:pPr>
      <w:r>
        <w:rPr>
          <w:rFonts w:ascii="Arial" w:cs="Arial" w:eastAsia="Arial" w:hAnsi="Arial"/>
          <w:sz w:val="15"/>
          <w:szCs w:val="15"/>
          <w:color w:val="auto"/>
        </w:rPr>
        <w:t>Revenue in Ireland increased by $415.9 million in the year ended December 31, 2024, to $2,793.0 million, compared to $2,377.1 million for the year ended December 31, 2023. Revenue in Ireland during the year ended December 31, 2024</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increased by 17.5% compared to an overall increase in Group revenue of 2.0%. Revenue in Ireland is principally a function of our global contracting model (see note 22.</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Business Segment and Geographical Information </w:t>
      </w:r>
      <w:r>
        <w:rPr>
          <w:rFonts w:ascii="Arial" w:cs="Arial" w:eastAsia="Arial" w:hAnsi="Arial"/>
          <w:sz w:val="15"/>
          <w:szCs w:val="15"/>
          <w:color w:val="auto"/>
        </w:rPr>
        <w:t>for further details).</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Revenue in the Rest of Europe decreased by $14.1 million or 0.9%, to $1,560.7 million in the year ended December 31, 2024, compared to $1,574.8 million for the year ended December 31, 2023. Revenue in the U.S. decreased by $298.5 million or 9.1%, to $2,985.3 million, compared to $3,283.8 million for the year ended December 31, 2023. Revenue in our Rest of World (‘Other’) region increased by $58.1 million or 6.6%, to $942.6 million, compared to $884.5 million for the year ended December 31, 2023.</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Refer to note 22.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which details the Company's Global transfer pricing model.</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costs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left="466"/>
              <w:spacing w:after="0"/>
              <w:rPr>
                <w:sz w:val="20"/>
                <w:szCs w:val="20"/>
                <w:color w:val="auto"/>
              </w:rPr>
            </w:pPr>
            <w:r>
              <w:rPr>
                <w:rFonts w:ascii="Arial" w:cs="Arial" w:eastAsia="Arial" w:hAnsi="Arial"/>
                <w:sz w:val="15"/>
                <w:szCs w:val="15"/>
                <w:b w:val="1"/>
                <w:bCs w:val="1"/>
                <w:color w:val="auto"/>
                <w:w w:val="96"/>
              </w:rPr>
              <w:t>Year Ended</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7"/>
        </w:trPr>
        <w:tc>
          <w:tcPr>
            <w:tcW w:w="55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jc w:val="center"/>
              <w:ind w:left="466"/>
              <w:spacing w:after="0"/>
              <w:rPr>
                <w:sz w:val="20"/>
                <w:szCs w:val="20"/>
                <w:color w:val="auto"/>
              </w:rPr>
            </w:pPr>
            <w:r>
              <w:rPr>
                <w:rFonts w:ascii="Arial" w:cs="Arial" w:eastAsia="Arial" w:hAnsi="Arial"/>
                <w:sz w:val="15"/>
                <w:szCs w:val="15"/>
                <w:b w:val="1"/>
                <w:bCs w:val="1"/>
                <w:color w:val="auto"/>
                <w:w w:val="98"/>
              </w:rPr>
              <w:t>December 31,</w:t>
            </w:r>
          </w:p>
        </w:tc>
        <w:tc>
          <w:tcPr>
            <w:tcW w:w="1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8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89"/>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 costs</w:t>
            </w: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5,845,319</w:t>
            </w:r>
          </w:p>
        </w:tc>
        <w:tc>
          <w:tcPr>
            <w:tcW w:w="76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5,719,949</w:t>
            </w:r>
          </w:p>
        </w:tc>
        <w:tc>
          <w:tcPr>
            <w:tcW w:w="60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125,370</w:t>
            </w:r>
          </w:p>
        </w:tc>
      </w:tr>
      <w:tr>
        <w:trPr>
          <w:trHeight w:val="194"/>
        </w:trPr>
        <w:tc>
          <w:tcPr>
            <w:tcW w:w="55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70.6 %</w:t>
            </w:r>
          </w:p>
        </w:tc>
        <w:tc>
          <w:tcPr>
            <w:tcW w:w="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70.4 %</w:t>
            </w: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2.2 %</w:t>
            </w:r>
          </w:p>
        </w:tc>
      </w:tr>
    </w:tbl>
    <w:p>
      <w:pPr>
        <w:spacing w:after="0" w:line="287"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Direct costs for the year ended December 31, 2024 increased by $125.4 million, or 2.2%, to $5,845.3 million, compared to $5,719.9 million for the year ended December 31, 2023. Direct costs consist primarily of investigator and other reimbursable costs, compensation, associated fringe benefits and share based compensation expense for project-related employees and other direct project driven costs. The increase in direct costs arose due to an increase in third party investigator/other reimbursable costs and laboratories partially offset by decreases in personnel related costs, travel and other direct project driven costs. As a percentage of revenue, direct costs have increased to 70.6% of revenue during the year ended December 31, 2024 compared to 70.4% for the year ended December 31, 2023.</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6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left="366"/>
              <w:spacing w:after="0"/>
              <w:rPr>
                <w:sz w:val="20"/>
                <w:szCs w:val="20"/>
                <w:color w:val="auto"/>
              </w:rPr>
            </w:pPr>
            <w:r>
              <w:rPr>
                <w:rFonts w:ascii="Arial" w:cs="Arial" w:eastAsia="Arial" w:hAnsi="Arial"/>
                <w:sz w:val="15"/>
                <w:szCs w:val="15"/>
                <w:b w:val="1"/>
                <w:bCs w:val="1"/>
                <w:color w:val="auto"/>
                <w:w w:val="96"/>
              </w:rPr>
              <w:t>Year Ended</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7"/>
        </w:trPr>
        <w:tc>
          <w:tcPr>
            <w:tcW w:w="56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2"/>
            <w:shd w:val="clear" w:color="auto" w:fill="CCEEFF"/>
          </w:tcPr>
          <w:p>
            <w:pPr>
              <w:jc w:val="center"/>
              <w:ind w:left="366"/>
              <w:spacing w:after="0"/>
              <w:rPr>
                <w:sz w:val="20"/>
                <w:szCs w:val="20"/>
                <w:color w:val="auto"/>
              </w:rPr>
            </w:pPr>
            <w:r>
              <w:rPr>
                <w:rFonts w:ascii="Arial" w:cs="Arial" w:eastAsia="Arial" w:hAnsi="Arial"/>
                <w:sz w:val="15"/>
                <w:szCs w:val="15"/>
                <w:b w:val="1"/>
                <w:bCs w:val="1"/>
                <w:color w:val="auto"/>
                <w:w w:val="98"/>
              </w:rPr>
              <w:t>December 31,</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r>
      <w:tr>
        <w:trPr>
          <w:trHeight w:val="189"/>
        </w:trPr>
        <w:tc>
          <w:tcPr>
            <w:tcW w:w="5600" w:type="dxa"/>
            <w:vAlign w:val="bottom"/>
            <w:tcBorders>
              <w:bottom w:val="single" w:sz="8" w:color="CCEEFF"/>
            </w:tcBorders>
          </w:tcPr>
          <w:p>
            <w:pPr>
              <w:spacing w:after="0"/>
              <w:rPr>
                <w:sz w:val="20"/>
                <w:szCs w:val="20"/>
                <w:color w:val="auto"/>
              </w:rPr>
            </w:pPr>
            <w:r>
              <w:rPr>
                <w:rFonts w:ascii="Arial" w:cs="Arial" w:eastAsia="Arial" w:hAnsi="Arial"/>
                <w:sz w:val="15"/>
                <w:szCs w:val="15"/>
                <w:i w:val="1"/>
                <w:iCs w:val="1"/>
                <w:color w:val="auto"/>
              </w:rPr>
              <w:t>(in thousands)</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728,348</w:t>
            </w:r>
          </w:p>
        </w:tc>
        <w:tc>
          <w:tcPr>
            <w:tcW w:w="80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768,559</w:t>
            </w:r>
          </w:p>
        </w:tc>
        <w:tc>
          <w:tcPr>
            <w:tcW w:w="64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(40,211)</w:t>
            </w:r>
          </w:p>
        </w:tc>
      </w:tr>
      <w:tr>
        <w:trPr>
          <w:trHeight w:val="194"/>
        </w:trPr>
        <w:tc>
          <w:tcPr>
            <w:tcW w:w="5600" w:type="dxa"/>
            <w:vAlign w:val="bottom"/>
          </w:tcPr>
          <w:p>
            <w:pPr>
              <w:spacing w:after="0"/>
              <w:rPr>
                <w:sz w:val="20"/>
                <w:szCs w:val="20"/>
                <w:color w:val="auto"/>
              </w:rPr>
            </w:pPr>
            <w:r>
              <w:rPr>
                <w:rFonts w:ascii="Arial" w:cs="Arial" w:eastAsia="Arial" w:hAnsi="Arial"/>
                <w:sz w:val="15"/>
                <w:szCs w:val="15"/>
                <w:color w:val="auto"/>
              </w:rPr>
              <w:t>% of revenue</w:t>
            </w:r>
          </w:p>
        </w:tc>
        <w:tc>
          <w:tcPr>
            <w:tcW w:w="6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8.8 %</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9.4 %</w:t>
            </w:r>
          </w:p>
        </w:tc>
        <w:tc>
          <w:tcPr>
            <w:tcW w:w="6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w:t>
            </w:r>
          </w:p>
        </w:tc>
      </w:tr>
    </w:tbl>
    <w:p>
      <w:pPr>
        <w:spacing w:after="0" w:line="29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Selling, general and administrative expenses for the year ended December 31, 2024 decreased by $40.2 million, or 5.2%, to $728.3 million, compared to $768.6 million for the year ended December 31, 2023. Selling, general and administrative expenses comprise primarily of compensation, related fringe benefits and routine share based compensation expense for non-project-related employees, recruitment expenditures, professional service costs, advertising costs and all costs related to facilities and information systems. As a percentage of revenue, selling, general and administrative expenses decreased to 8.8% of revenue during the year ended December 31, 2024, compared to 9.4% of revenue for the year ended December 31, 2023. The decrease in costs for the year ended December 31, 2024 primarily reflects decreases in personnel costs, facilities costs, favorable foreign exchange movements ($31.0 million) offset by increases in general overhead, professional fees and marketing costs.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5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Year Ended</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7"/>
        </w:trPr>
        <w:tc>
          <w:tcPr>
            <w:tcW w:w="55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December 31,</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8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138,209</w:t>
            </w:r>
          </w:p>
        </w:tc>
        <w:tc>
          <w:tcPr>
            <w:tcW w:w="82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126,096</w:t>
            </w:r>
          </w:p>
        </w:tc>
        <w:tc>
          <w:tcPr>
            <w:tcW w:w="60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12,113</w:t>
            </w:r>
          </w:p>
        </w:tc>
      </w:tr>
      <w:tr>
        <w:trPr>
          <w:trHeight w:val="196"/>
        </w:trPr>
        <w:tc>
          <w:tcPr>
            <w:tcW w:w="55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1.7 %</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1.6 %</w:t>
            </w:r>
          </w:p>
        </w:tc>
        <w:tc>
          <w:tcPr>
            <w:tcW w:w="6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9.6 %</w:t>
            </w:r>
          </w:p>
        </w:tc>
      </w:tr>
      <w:tr>
        <w:trPr>
          <w:trHeight w:val="199"/>
        </w:trPr>
        <w:tc>
          <w:tcPr>
            <w:tcW w:w="5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350,291</w:t>
            </w:r>
          </w:p>
        </w:tc>
        <w:tc>
          <w:tcPr>
            <w:tcW w:w="82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459,854</w:t>
            </w:r>
          </w:p>
        </w:tc>
        <w:tc>
          <w:tcPr>
            <w:tcW w:w="60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(109,563)</w:t>
            </w:r>
          </w:p>
        </w:tc>
      </w:tr>
      <w:tr>
        <w:trPr>
          <w:trHeight w:val="194"/>
        </w:trPr>
        <w:tc>
          <w:tcPr>
            <w:tcW w:w="55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4.2 %</w:t>
            </w:r>
          </w:p>
        </w:tc>
        <w:tc>
          <w:tcPr>
            <w:tcW w:w="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5.7 %</w:t>
            </w: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(23.8)%</w:t>
            </w:r>
          </w:p>
        </w:tc>
      </w:tr>
    </w:tbl>
    <w:p>
      <w:pPr>
        <w:spacing w:after="0" w:line="29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Depreciation expense for the year ended December 31, 2024 increased by $12.1 million or 9.6%, to $138.2 million, compared to $126.1 million for the year ended December 31, 2023. The depreciation charge reflects the investments in facilities, information systems and equipment. As a percentage of revenue, the depreciation expense increased to 1.7% of revenues, for the year ended December 31, 2024 compared to 1.6% for the year December 31, 2023. The depreciation charge has increased mainly due to additional investment in technology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62" w:name="page63"/>
    <w:bookmarkEnd w:id="62"/>
    <w:p>
      <w:pPr>
        <w:jc w:val="both"/>
        <w:ind w:firstLine="591"/>
        <w:spacing w:after="0" w:line="256" w:lineRule="auto"/>
        <w:rPr>
          <w:sz w:val="20"/>
          <w:szCs w:val="20"/>
          <w:color w:val="auto"/>
        </w:rPr>
      </w:pPr>
      <w:r>
        <w:rPr>
          <w:rFonts w:ascii="Arial" w:cs="Arial" w:eastAsia="Arial" w:hAnsi="Arial"/>
          <w:sz w:val="15"/>
          <w:szCs w:val="15"/>
          <w:color w:val="auto"/>
        </w:rPr>
        <w:t>Amortization expense for the year ended December 31, 2024 decreased by $109.6 million or 23.8%, to $350.3 million, compared to $459.9 million for the year ended December 31, 2023. The amortization expense represents the amortization of intangible assets acquired in connection with business combinations. As a percentage of revenue, the amortization expense decreased to 4.2% for the year ended December 31, 2024, compared to 5.7% of revenue for the year ended December 31, 2023. The decrease in amortization is due to the order backlog and trade name intangible assets recognized in connection with the PRA merger amounting to $500.0 million and $202.0 million respectively as of the date of acquisition, becoming fully amortized on July 1, 2024.</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Restructuring, transaction and integration related expenses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Year Ended</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7"/>
        </w:trPr>
        <w:tc>
          <w:tcPr>
            <w:tcW w:w="5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2"/>
            <w:shd w:val="clear" w:color="auto" w:fill="CCEEFF"/>
          </w:tcPr>
          <w:p>
            <w:pPr>
              <w:jc w:val="right"/>
              <w:ind w:right="286"/>
              <w:spacing w:after="0"/>
              <w:rPr>
                <w:sz w:val="20"/>
                <w:szCs w:val="20"/>
                <w:color w:val="auto"/>
              </w:rPr>
            </w:pPr>
            <w:r>
              <w:rPr>
                <w:rFonts w:ascii="Arial" w:cs="Arial" w:eastAsia="Arial" w:hAnsi="Arial"/>
                <w:sz w:val="15"/>
                <w:szCs w:val="15"/>
                <w:b w:val="1"/>
                <w:bCs w:val="1"/>
                <w:color w:val="auto"/>
              </w:rPr>
              <w:t>December 31,</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89"/>
        </w:trPr>
        <w:tc>
          <w:tcPr>
            <w:tcW w:w="5640" w:type="dxa"/>
            <w:vAlign w:val="bottom"/>
            <w:tcBorders>
              <w:bottom w:val="single" w:sz="8" w:color="CCEEFF"/>
            </w:tcBorders>
          </w:tcPr>
          <w:p>
            <w:pPr>
              <w:spacing w:after="0"/>
              <w:rPr>
                <w:sz w:val="20"/>
                <w:szCs w:val="20"/>
                <w:color w:val="auto"/>
              </w:rPr>
            </w:pPr>
            <w:r>
              <w:rPr>
                <w:rFonts w:ascii="Arial" w:cs="Arial" w:eastAsia="Arial" w:hAnsi="Arial"/>
                <w:sz w:val="15"/>
                <w:szCs w:val="15"/>
                <w:i w:val="1"/>
                <w:iCs w:val="1"/>
                <w:color w:val="auto"/>
              </w:rPr>
              <w:t>(in thousands)</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Transaction and integration related</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29,574</w:t>
            </w: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44,176</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(14,602)</w:t>
            </w:r>
          </w:p>
        </w:tc>
      </w:tr>
      <w:tr>
        <w:trPr>
          <w:trHeight w:val="196"/>
        </w:trPr>
        <w:tc>
          <w:tcPr>
            <w:tcW w:w="5640" w:type="dxa"/>
            <w:vAlign w:val="bottom"/>
          </w:tcPr>
          <w:p>
            <w:pPr>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0.3 %</w:t>
            </w: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0.5 %</w:t>
            </w:r>
          </w:p>
        </w:tc>
        <w:tc>
          <w:tcPr>
            <w:tcW w:w="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(33.1)%</w:t>
            </w:r>
          </w:p>
        </w:tc>
      </w:tr>
      <w:tr>
        <w:trPr>
          <w:trHeight w:val="199"/>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Restructuring</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92,123</w:t>
            </w: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45,390</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46,733</w:t>
            </w:r>
          </w:p>
        </w:tc>
      </w:tr>
      <w:tr>
        <w:trPr>
          <w:trHeight w:val="194"/>
        </w:trPr>
        <w:tc>
          <w:tcPr>
            <w:tcW w:w="5640" w:type="dxa"/>
            <w:vAlign w:val="bottom"/>
          </w:tcPr>
          <w:p>
            <w:pPr>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1.1 %</w:t>
            </w:r>
          </w:p>
        </w:tc>
        <w:tc>
          <w:tcPr>
            <w:tcW w:w="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0.6 %</w:t>
            </w:r>
          </w:p>
        </w:tc>
        <w:tc>
          <w:tcPr>
            <w:tcW w:w="6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103.0 %</w:t>
            </w:r>
          </w:p>
        </w:tc>
      </w:tr>
    </w:tbl>
    <w:p>
      <w:pPr>
        <w:spacing w:after="0" w:line="299"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During the year ended December 31, 2024, the Company incurred $29.6 million for transaction and integration related expenses. The charge includes costs associated with ongoing integration activities related to our recent acquisitions. Such costs include professional fees, legal costs and related integration costs offset by the remeasurement of liability-classified contingent consideration.</w:t>
      </w:r>
    </w:p>
    <w:p>
      <w:pPr>
        <w:spacing w:after="0" w:line="20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 has also undertaken a restructuring program aimed at realigning its workforce as well as reviewing its global office footprint and optimizing its locations to best fit the requirements of the Company. This program has resulted in a charge of $92.1 million in the year ended December 31, 2024. In the year ended December 31, 2023, a restructuring charge of $45.4 million was recognized. The restructuring plan reflects a workforce reduction of $74.5 million (December 31, 2023: $34.1 million) and an office consolidation program to optimize the Company's office footprint of $17.6 million (December 31, 2023: $11.3 million).</w:t>
      </w:r>
    </w:p>
    <w:p>
      <w:pPr>
        <w:spacing w:after="0" w:line="19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We expect to incur some additional expenses associated with the Merger; however, the timing and the amount of these expenses depends on various factors including the execution of integration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from operations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center"/>
              <w:ind w:left="426"/>
              <w:spacing w:after="0"/>
              <w:rPr>
                <w:sz w:val="20"/>
                <w:szCs w:val="20"/>
                <w:color w:val="auto"/>
              </w:rPr>
            </w:pPr>
            <w:r>
              <w:rPr>
                <w:rFonts w:ascii="Arial" w:cs="Arial" w:eastAsia="Arial" w:hAnsi="Arial"/>
                <w:sz w:val="15"/>
                <w:szCs w:val="15"/>
                <w:b w:val="1"/>
                <w:bCs w:val="1"/>
                <w:color w:val="auto"/>
                <w:w w:val="96"/>
              </w:rPr>
              <w:t>Year Ended</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7"/>
        </w:trPr>
        <w:tc>
          <w:tcPr>
            <w:tcW w:w="56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2"/>
            <w:shd w:val="clear" w:color="auto" w:fill="CCEEFF"/>
          </w:tcPr>
          <w:p>
            <w:pPr>
              <w:jc w:val="center"/>
              <w:ind w:left="426"/>
              <w:spacing w:after="0"/>
              <w:rPr>
                <w:sz w:val="20"/>
                <w:szCs w:val="20"/>
                <w:color w:val="auto"/>
              </w:rPr>
            </w:pPr>
            <w:r>
              <w:rPr>
                <w:rFonts w:ascii="Arial" w:cs="Arial" w:eastAsia="Arial" w:hAnsi="Arial"/>
                <w:sz w:val="15"/>
                <w:szCs w:val="15"/>
                <w:b w:val="1"/>
                <w:bCs w:val="1"/>
                <w:color w:val="auto"/>
                <w:w w:val="98"/>
              </w:rPr>
              <w:t>December 31,</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89"/>
        </w:trPr>
        <w:tc>
          <w:tcPr>
            <w:tcW w:w="5600" w:type="dxa"/>
            <w:vAlign w:val="bottom"/>
            <w:tcBorders>
              <w:bottom w:val="single" w:sz="8" w:color="CCEEFF"/>
            </w:tcBorders>
          </w:tcPr>
          <w:p>
            <w:pPr>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1,097,812</w:t>
            </w:r>
          </w:p>
        </w:tc>
        <w:tc>
          <w:tcPr>
            <w:tcW w:w="80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956,152</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141,660</w:t>
            </w:r>
          </w:p>
        </w:tc>
      </w:tr>
      <w:tr>
        <w:trPr>
          <w:trHeight w:val="194"/>
        </w:trPr>
        <w:tc>
          <w:tcPr>
            <w:tcW w:w="5600" w:type="dxa"/>
            <w:vAlign w:val="bottom"/>
          </w:tcPr>
          <w:p>
            <w:pPr>
              <w:spacing w:after="0"/>
              <w:rPr>
                <w:sz w:val="20"/>
                <w:szCs w:val="20"/>
                <w:color w:val="auto"/>
              </w:rPr>
            </w:pPr>
            <w:r>
              <w:rPr>
                <w:rFonts w:ascii="Arial" w:cs="Arial" w:eastAsia="Arial" w:hAnsi="Arial"/>
                <w:sz w:val="15"/>
                <w:szCs w:val="15"/>
                <w:color w:val="auto"/>
              </w:rPr>
              <w:t>% of revenue</w:t>
            </w:r>
          </w:p>
        </w:tc>
        <w:tc>
          <w:tcPr>
            <w:tcW w:w="5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13.3 %</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11.8 %</w:t>
            </w:r>
          </w:p>
        </w:tc>
        <w:tc>
          <w:tcPr>
            <w:tcW w:w="6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14.8 %</w:t>
            </w:r>
          </w:p>
        </w:tc>
      </w:tr>
    </w:tbl>
    <w:p>
      <w:pPr>
        <w:spacing w:after="0" w:line="29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Income from operations increased by $141.7 million, or 14.8%, to $1,097.8 million, compared to $956.2 million for the year ended December 31, 2023. As a percentage of revenue, income from operations increased to 13.3% of revenues compared to 11.8% of revenues for year ended December 31, 2023. Excluding amortization of intangible assets, Income from operations increased by $32.1 million, or 2.3%, to $1,448.1 million, compared to $1,416.0 million for the year ended December 31, 2023.</w:t>
      </w:r>
    </w:p>
    <w:p>
      <w:pPr>
        <w:spacing w:after="0" w:line="191"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Excluding amortization of intangible assets, Income from operations in Ireland increased to $919.1 million compared to $885.9 million for the year ended December 31, 2023.</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the Rest of Europe region, excluding amortization of intangible assets, income from operations increased to $216.8 million compared to $154.6 million for the year ended December 31, 2023. As a percentage of revenue, excluding amortization of intangible assets, income from operations in the Rest of Europe region increased to 13.9% compared to 9.8% for the year ended December 31, 2023.</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the U.S. region, excluding amortization of intangible assets, income from operations decreased by $73.5 million, to $241.5 million, compared to $315.0 million for the year ended December 31, 2023. As a percentage of revenue, excluding amortization of intangible assets, income from operations in the U.S. region decreased to 8.1% compared to 9.6% for the year ended December 31, 2023.</w:t>
      </w:r>
    </w:p>
    <w:p>
      <w:pPr>
        <w:spacing w:after="0" w:line="19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other regions, excluding amortization of intangible assets, income from operations increased by $10.2 million to $70.7 million compared to $60.5 million for the year ended December 31, 2023. As a percentage of revenue, excluding amortization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63" w:name="page64"/>
    <w:bookmarkEnd w:id="63"/>
    <w:p>
      <w:pPr>
        <w:ind w:left="1"/>
        <w:spacing w:after="0"/>
        <w:rPr>
          <w:sz w:val="20"/>
          <w:szCs w:val="20"/>
          <w:color w:val="auto"/>
        </w:rPr>
      </w:pPr>
      <w:r>
        <w:rPr>
          <w:rFonts w:ascii="Arial" w:cs="Arial" w:eastAsia="Arial" w:hAnsi="Arial"/>
          <w:sz w:val="15"/>
          <w:szCs w:val="15"/>
          <w:color w:val="auto"/>
        </w:rPr>
        <w:t>intangible assets, income from operations in the other regions increased to 7.5% compared to 6.8% for the year ended December 31, 2023.</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Interest income and expense</w:t>
      </w:r>
    </w:p>
    <w:p>
      <w:pPr>
        <w:spacing w:after="0" w:line="99" w:lineRule="exact"/>
        <w:rPr>
          <w:sz w:val="20"/>
          <w:szCs w:val="20"/>
          <w:color w:val="auto"/>
        </w:rPr>
      </w:pPr>
    </w:p>
    <w:tbl>
      <w:tblPr>
        <w:tblLayout w:type="fixed"/>
        <w:tblInd w:w="41" w:type="dxa"/>
        <w:tblCellMar>
          <w:top w:w="0" w:type="dxa"/>
          <w:left w:w="0" w:type="dxa"/>
          <w:bottom w:w="0" w:type="dxa"/>
          <w:right w:w="0" w:type="dxa"/>
        </w:tblCellMar>
      </w:tblPr>
      <w:tr>
        <w:trPr>
          <w:trHeight w:val="172"/>
        </w:trPr>
        <w:tc>
          <w:tcPr>
            <w:tcW w:w="3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Year Ended</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ind w:right="426"/>
              <w:spacing w:after="0"/>
              <w:rPr>
                <w:sz w:val="20"/>
                <w:szCs w:val="20"/>
                <w:color w:val="auto"/>
              </w:rPr>
            </w:pPr>
            <w:r>
              <w:rPr>
                <w:rFonts w:ascii="Arial" w:cs="Arial" w:eastAsia="Arial" w:hAnsi="Arial"/>
                <w:sz w:val="15"/>
                <w:szCs w:val="15"/>
                <w:b w:val="1"/>
                <w:bCs w:val="1"/>
                <w:color w:val="auto"/>
              </w:rPr>
              <w:t>Change</w:t>
            </w: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2"/>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December 31,</w:t>
            </w:r>
          </w:p>
        </w:tc>
        <w:tc>
          <w:tcPr>
            <w:tcW w:w="9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60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8,609</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5,014</w:t>
            </w:r>
          </w:p>
        </w:tc>
        <w:tc>
          <w:tcPr>
            <w:tcW w:w="68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192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rPr>
              <w:t>3,595</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71.7 %</w:t>
            </w:r>
          </w:p>
        </w:tc>
        <w:tc>
          <w:tcPr>
            <w:tcW w:w="0" w:type="dxa"/>
            <w:vAlign w:val="bottom"/>
          </w:tcPr>
          <w:p>
            <w:pPr>
              <w:spacing w:after="0"/>
              <w:rPr>
                <w:sz w:val="1"/>
                <w:szCs w:val="1"/>
                <w:color w:val="auto"/>
              </w:rPr>
            </w:pPr>
          </w:p>
        </w:tc>
      </w:tr>
      <w:tr>
        <w:trPr>
          <w:trHeight w:val="194"/>
        </w:trPr>
        <w:tc>
          <w:tcPr>
            <w:tcW w:w="39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(237,237)</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(336,699)</w:t>
            </w:r>
          </w:p>
        </w:tc>
        <w:tc>
          <w:tcPr>
            <w:tcW w:w="680" w:type="dxa"/>
            <w:vAlign w:val="bottom"/>
          </w:tcPr>
          <w:p>
            <w:pPr>
              <w:jc w:val="right"/>
              <w:ind w:right="506"/>
              <w:spacing w:after="0"/>
              <w:rPr>
                <w:sz w:val="20"/>
                <w:szCs w:val="20"/>
                <w:color w:val="auto"/>
              </w:rPr>
            </w:pPr>
            <w:r>
              <w:rPr>
                <w:rFonts w:ascii="Arial" w:cs="Arial" w:eastAsia="Arial" w:hAnsi="Arial"/>
                <w:sz w:val="15"/>
                <w:szCs w:val="15"/>
                <w:color w:val="auto"/>
                <w:w w:val="95"/>
              </w:rPr>
              <w:t>$</w:t>
            </w:r>
          </w:p>
        </w:tc>
        <w:tc>
          <w:tcPr>
            <w:tcW w:w="1920" w:type="dxa"/>
            <w:vAlign w:val="bottom"/>
          </w:tcPr>
          <w:p>
            <w:pPr>
              <w:jc w:val="right"/>
              <w:ind w:right="826"/>
              <w:spacing w:after="0"/>
              <w:rPr>
                <w:sz w:val="20"/>
                <w:szCs w:val="20"/>
                <w:color w:val="auto"/>
              </w:rPr>
            </w:pPr>
            <w:r>
              <w:rPr>
                <w:rFonts w:ascii="Arial" w:cs="Arial" w:eastAsia="Arial" w:hAnsi="Arial"/>
                <w:sz w:val="15"/>
                <w:szCs w:val="15"/>
                <w:color w:val="auto"/>
              </w:rPr>
              <w:t>99,462</w:t>
            </w:r>
          </w:p>
        </w:tc>
        <w:tc>
          <w:tcPr>
            <w:tcW w:w="1060" w:type="dxa"/>
            <w:vAlign w:val="bottom"/>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Interest expense decreased to $237.2 million compared to $336.7 million for the year ended December 31, 2023. The decrease in the period reflects significant repayments of the Company's loan facilities in 2023 and 2024, the repricing of the senior secured term loan facility and senior secured revolving credit facility in March 2024, the impact of reduced interest rates on the New Notes issued in May 2024 and the closure of the 2022 Swap and 2022 Caps. Interest income for the year ended December 31, 2024 increased to $8.6 million, compared to $5.0 million for the year ended December 31, 2023.</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99" w:lineRule="exact"/>
        <w:rPr>
          <w:sz w:val="20"/>
          <w:szCs w:val="20"/>
          <w:color w:val="auto"/>
        </w:rPr>
      </w:pPr>
    </w:p>
    <w:tbl>
      <w:tblPr>
        <w:tblLayout w:type="fixed"/>
        <w:tblInd w:w="41" w:type="dxa"/>
        <w:tblCellMar>
          <w:top w:w="0" w:type="dxa"/>
          <w:left w:w="0" w:type="dxa"/>
          <w:bottom w:w="0" w:type="dxa"/>
          <w:right w:w="0" w:type="dxa"/>
        </w:tblCellMar>
      </w:tblPr>
      <w:tr>
        <w:trPr>
          <w:trHeight w:val="172"/>
        </w:trPr>
        <w:tc>
          <w:tcPr>
            <w:tcW w:w="3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left="286"/>
              <w:spacing w:after="0"/>
              <w:rPr>
                <w:sz w:val="20"/>
                <w:szCs w:val="20"/>
                <w:color w:val="auto"/>
              </w:rPr>
            </w:pPr>
            <w:r>
              <w:rPr>
                <w:rFonts w:ascii="Arial" w:cs="Arial" w:eastAsia="Arial" w:hAnsi="Arial"/>
                <w:sz w:val="15"/>
                <w:szCs w:val="15"/>
                <w:b w:val="1"/>
                <w:bCs w:val="1"/>
                <w:color w:val="auto"/>
                <w:w w:val="96"/>
              </w:rPr>
              <w:t>Year Ended</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ind w:right="406"/>
              <w:spacing w:after="0"/>
              <w:rPr>
                <w:sz w:val="20"/>
                <w:szCs w:val="20"/>
                <w:color w:val="auto"/>
              </w:rPr>
            </w:pPr>
            <w:r>
              <w:rPr>
                <w:rFonts w:ascii="Arial" w:cs="Arial" w:eastAsia="Arial" w:hAnsi="Arial"/>
                <w:sz w:val="15"/>
                <w:szCs w:val="15"/>
                <w:b w:val="1"/>
                <w:bCs w:val="1"/>
                <w:color w:val="auto"/>
              </w:rPr>
              <w:t>Change</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2"/>
            <w:shd w:val="clear" w:color="auto" w:fill="CCEEFF"/>
          </w:tcPr>
          <w:p>
            <w:pPr>
              <w:jc w:val="center"/>
              <w:ind w:left="286"/>
              <w:spacing w:after="0"/>
              <w:rPr>
                <w:sz w:val="20"/>
                <w:szCs w:val="20"/>
                <w:color w:val="auto"/>
              </w:rPr>
            </w:pPr>
            <w:r>
              <w:rPr>
                <w:rFonts w:ascii="Arial" w:cs="Arial" w:eastAsia="Arial" w:hAnsi="Arial"/>
                <w:sz w:val="15"/>
                <w:szCs w:val="15"/>
                <w:b w:val="1"/>
                <w:bCs w:val="1"/>
                <w:color w:val="auto"/>
                <w:w w:val="98"/>
              </w:rPr>
              <w:t>December 31,</w:t>
            </w: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77,710</w:t>
            </w: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11,749</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rPr>
              <w:t>65,961</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561.4 %</w:t>
            </w:r>
          </w:p>
        </w:tc>
        <w:tc>
          <w:tcPr>
            <w:tcW w:w="0" w:type="dxa"/>
            <w:vAlign w:val="bottom"/>
          </w:tcPr>
          <w:p>
            <w:pPr>
              <w:spacing w:after="0"/>
              <w:rPr>
                <w:sz w:val="1"/>
                <w:szCs w:val="1"/>
                <w:color w:val="auto"/>
              </w:rPr>
            </w:pPr>
          </w:p>
        </w:tc>
      </w:tr>
      <w:tr>
        <w:trPr>
          <w:trHeight w:val="194"/>
        </w:trPr>
        <w:tc>
          <w:tcPr>
            <w:tcW w:w="388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6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8.9 %</w:t>
            </w:r>
          </w:p>
        </w:tc>
        <w:tc>
          <w:tcPr>
            <w:tcW w:w="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1.9 %</w:t>
            </w:r>
          </w:p>
        </w:tc>
        <w:tc>
          <w:tcPr>
            <w:tcW w:w="6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1" w:firstLine="591"/>
        <w:spacing w:after="0" w:line="246" w:lineRule="auto"/>
        <w:rPr>
          <w:sz w:val="20"/>
          <w:szCs w:val="20"/>
          <w:color w:val="auto"/>
        </w:rPr>
      </w:pPr>
      <w:r>
        <w:rPr>
          <w:rFonts w:ascii="Arial" w:cs="Arial" w:eastAsia="Arial" w:hAnsi="Arial"/>
          <w:sz w:val="15"/>
          <w:szCs w:val="15"/>
          <w:color w:val="auto"/>
        </w:rPr>
        <w:t>Income tax expense increased to $77.7 million compared to $11.7 million for the year ended December 31, 2023. The Company’s effective tax rate for the year ended December 31, 2024 was 8.9% compared to 1.9% for the year ended December 31, 2023 primarily due to changes in various tax laws and the level of deferred tax benefit associated with the amortization of intangible assets.</w:t>
      </w:r>
    </w:p>
    <w:p>
      <w:pPr>
        <w:spacing w:after="0" w:line="197" w:lineRule="exact"/>
        <w:rPr>
          <w:sz w:val="20"/>
          <w:szCs w:val="20"/>
          <w:color w:val="auto"/>
        </w:rPr>
      </w:pPr>
    </w:p>
    <w:p>
      <w:pPr>
        <w:jc w:val="both"/>
        <w:ind w:left="1" w:firstLine="591"/>
        <w:spacing w:after="0" w:line="252"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205" w:lineRule="exact"/>
        <w:rPr>
          <w:sz w:val="20"/>
          <w:szCs w:val="20"/>
          <w:color w:val="auto"/>
        </w:rPr>
      </w:pPr>
    </w:p>
    <w:p>
      <w:pPr>
        <w:ind w:left="361" w:hanging="361"/>
        <w:spacing w:after="0"/>
        <w:tabs>
          <w:tab w:leader="none" w:pos="361"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Capital Resources</w:t>
      </w:r>
    </w:p>
    <w:p>
      <w:pPr>
        <w:spacing w:after="0" w:line="222"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185" w:lineRule="exact"/>
        <w:rPr>
          <w:sz w:val="20"/>
          <w:szCs w:val="20"/>
          <w:color w:val="auto"/>
        </w:rPr>
      </w:pPr>
    </w:p>
    <w:p>
      <w:pPr>
        <w:jc w:val="both"/>
        <w:ind w:left="1" w:firstLine="591"/>
        <w:spacing w:after="0" w:line="256"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is sufficient to meet the Company's present requirements.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123" w:lineRule="exact"/>
        <w:rPr>
          <w:sz w:val="20"/>
          <w:szCs w:val="20"/>
          <w:color w:val="auto"/>
        </w:rPr>
      </w:pPr>
    </w:p>
    <w:tbl>
      <w:tblPr>
        <w:tblLayout w:type="fixed"/>
        <w:tblInd w:w="21" w:type="dxa"/>
        <w:tblCellMar>
          <w:top w:w="0" w:type="dxa"/>
          <w:left w:w="0" w:type="dxa"/>
          <w:bottom w:w="0" w:type="dxa"/>
          <w:right w:w="0" w:type="dxa"/>
        </w:tblCellMar>
      </w:tblPr>
      <w:tr>
        <w:trPr>
          <w:trHeight w:val="197"/>
        </w:trPr>
        <w:tc>
          <w:tcPr>
            <w:tcW w:w="270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Balance December</w:t>
            </w: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(Drawn</w:t>
            </w:r>
          </w:p>
        </w:tc>
        <w:tc>
          <w:tcPr>
            <w:tcW w:w="142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Net cash inflow/</w:t>
            </w:r>
          </w:p>
        </w:tc>
        <w:tc>
          <w:tcPr>
            <w:tcW w:w="40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 xml:space="preserve">Other non-cash Effect of exchange </w:t>
            </w:r>
            <w:r>
              <w:rPr>
                <w:rFonts w:ascii="Arial" w:cs="Arial" w:eastAsia="Arial" w:hAnsi="Arial"/>
                <w:sz w:val="29"/>
                <w:szCs w:val="29"/>
                <w:b w:val="1"/>
                <w:bCs w:val="1"/>
                <w:color w:val="auto"/>
                <w:w w:val="93"/>
                <w:vertAlign w:val="superscript"/>
              </w:rPr>
              <w:t>Balance December</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spacing w:after="0"/>
              <w:rPr>
                <w:sz w:val="16"/>
                <w:szCs w:val="16"/>
                <w:color w:val="auto"/>
              </w:rPr>
            </w:pPr>
          </w:p>
        </w:tc>
        <w:tc>
          <w:tcPr>
            <w:tcW w:w="194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down)/</w:t>
            </w:r>
          </w:p>
        </w:tc>
        <w:tc>
          <w:tcPr>
            <w:tcW w:w="1420" w:type="dxa"/>
            <w:vAlign w:val="bottom"/>
            <w:vMerge w:val="continue"/>
            <w:shd w:val="clear" w:color="auto" w:fill="CCEEFF"/>
          </w:tcPr>
          <w:p>
            <w:pPr>
              <w:spacing w:after="0"/>
              <w:rPr>
                <w:sz w:val="16"/>
                <w:szCs w:val="16"/>
                <w:color w:val="auto"/>
              </w:rPr>
            </w:pPr>
          </w:p>
        </w:tc>
        <w:tc>
          <w:tcPr>
            <w:tcW w:w="40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31, 2023</w:t>
            </w:r>
          </w:p>
        </w:tc>
        <w:tc>
          <w:tcPr>
            <w:tcW w:w="11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repaid</w:t>
            </w:r>
          </w:p>
        </w:tc>
        <w:tc>
          <w:tcPr>
            <w:tcW w:w="14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(outflow)</w:t>
            </w:r>
          </w:p>
        </w:tc>
        <w:tc>
          <w:tcPr>
            <w:tcW w:w="166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adjustments</w:t>
            </w: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rates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31, 2024</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jc w:val="right"/>
              <w:ind w:right="1206"/>
              <w:spacing w:after="0"/>
              <w:rPr>
                <w:sz w:val="20"/>
                <w:szCs w:val="20"/>
                <w:color w:val="auto"/>
              </w:rPr>
            </w:pPr>
            <w:r>
              <w:rPr>
                <w:rFonts w:ascii="Arial" w:cs="Arial" w:eastAsia="Arial" w:hAnsi="Arial"/>
                <w:sz w:val="15"/>
                <w:szCs w:val="15"/>
                <w:b w:val="1"/>
                <w:bCs w:val="1"/>
                <w:color w:val="auto"/>
              </w:rPr>
              <w:t>(in thousands)</w:t>
            </w: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94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378,102</w:t>
            </w:r>
          </w:p>
        </w:tc>
        <w:tc>
          <w:tcPr>
            <w:tcW w:w="11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182,679</w:t>
            </w:r>
          </w:p>
        </w:tc>
        <w:tc>
          <w:tcPr>
            <w:tcW w:w="16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(21,996)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0" w:type="dxa"/>
            <w:vAlign w:val="bottom"/>
          </w:tcPr>
          <w:p>
            <w:pPr>
              <w:spacing w:after="0"/>
              <w:rPr>
                <w:sz w:val="1"/>
                <w:szCs w:val="1"/>
                <w:color w:val="auto"/>
              </w:rPr>
            </w:pPr>
          </w:p>
        </w:tc>
      </w:tr>
      <w:tr>
        <w:trPr>
          <w:trHeight w:val="148"/>
        </w:trPr>
        <w:tc>
          <w:tcPr>
            <w:tcW w:w="2700" w:type="dxa"/>
            <w:vAlign w:val="bottom"/>
          </w:tcPr>
          <w:p>
            <w:pPr>
              <w:spacing w:after="0" w:line="148" w:lineRule="exact"/>
              <w:rPr>
                <w:sz w:val="20"/>
                <w:szCs w:val="20"/>
                <w:color w:val="auto"/>
              </w:rPr>
            </w:pPr>
            <w:r>
              <w:rPr>
                <w:rFonts w:ascii="Arial" w:cs="Arial" w:eastAsia="Arial" w:hAnsi="Arial"/>
                <w:sz w:val="15"/>
                <w:szCs w:val="15"/>
                <w:color w:val="auto"/>
              </w:rPr>
              <w:t>Senior Secured Credit Facilities, 2026</w:t>
            </w:r>
          </w:p>
        </w:tc>
        <w:tc>
          <w:tcPr>
            <w:tcW w:w="1940" w:type="dxa"/>
            <w:vAlign w:val="bottom"/>
            <w:vMerge w:val="restart"/>
          </w:tcPr>
          <w:p>
            <w:pPr>
              <w:jc w:val="right"/>
              <w:ind w:right="326"/>
              <w:spacing w:after="0"/>
              <w:rPr>
                <w:sz w:val="20"/>
                <w:szCs w:val="20"/>
                <w:color w:val="auto"/>
              </w:rPr>
            </w:pPr>
            <w:r>
              <w:rPr>
                <w:rFonts w:ascii="Arial" w:cs="Arial" w:eastAsia="Arial" w:hAnsi="Arial"/>
                <w:sz w:val="15"/>
                <w:szCs w:val="15"/>
                <w:color w:val="auto"/>
              </w:rPr>
              <w:t>(3,775,589)</w:t>
            </w:r>
          </w:p>
        </w:tc>
        <w:tc>
          <w:tcPr>
            <w:tcW w:w="1120" w:type="dxa"/>
            <w:vAlign w:val="bottom"/>
            <w:vMerge w:val="restart"/>
          </w:tcPr>
          <w:p>
            <w:pPr>
              <w:jc w:val="right"/>
              <w:ind w:right="106"/>
              <w:spacing w:after="0"/>
              <w:rPr>
                <w:sz w:val="20"/>
                <w:szCs w:val="20"/>
                <w:color w:val="auto"/>
              </w:rPr>
            </w:pPr>
            <w:r>
              <w:rPr>
                <w:rFonts w:ascii="Arial" w:cs="Arial" w:eastAsia="Arial" w:hAnsi="Arial"/>
                <w:sz w:val="15"/>
                <w:szCs w:val="15"/>
                <w:color w:val="auto"/>
              </w:rPr>
              <w:t>360,283</w:t>
            </w:r>
          </w:p>
        </w:tc>
        <w:tc>
          <w:tcPr>
            <w:tcW w:w="1420" w:type="dxa"/>
            <w:vAlign w:val="bottom"/>
            <w:vMerge w:val="restart"/>
          </w:tcPr>
          <w:p>
            <w:pPr>
              <w:jc w:val="right"/>
              <w:ind w:right="126"/>
              <w:spacing w:after="0"/>
              <w:rPr>
                <w:sz w:val="20"/>
                <w:szCs w:val="20"/>
                <w:color w:val="auto"/>
              </w:rPr>
            </w:pPr>
            <w:r>
              <w:rPr>
                <w:rFonts w:ascii="Arial" w:cs="Arial" w:eastAsia="Arial" w:hAnsi="Arial"/>
                <w:sz w:val="15"/>
                <w:szCs w:val="15"/>
                <w:color w:val="auto"/>
              </w:rPr>
              <w:t>12,679</w:t>
            </w:r>
          </w:p>
        </w:tc>
        <w:tc>
          <w:tcPr>
            <w:tcW w:w="1660" w:type="dxa"/>
            <w:vAlign w:val="bottom"/>
            <w:vMerge w:val="restart"/>
          </w:tcPr>
          <w:p>
            <w:pPr>
              <w:jc w:val="right"/>
              <w:ind w:right="366"/>
              <w:spacing w:after="0"/>
              <w:rPr>
                <w:sz w:val="20"/>
                <w:szCs w:val="20"/>
                <w:color w:val="auto"/>
              </w:rPr>
            </w:pPr>
            <w:r>
              <w:rPr>
                <w:rFonts w:ascii="Arial" w:cs="Arial" w:eastAsia="Arial" w:hAnsi="Arial"/>
                <w:sz w:val="15"/>
                <w:szCs w:val="15"/>
                <w:color w:val="auto"/>
              </w:rPr>
              <w:t>(23,533)</w:t>
            </w:r>
          </w:p>
        </w:tc>
        <w:tc>
          <w:tcPr>
            <w:tcW w:w="1280" w:type="dxa"/>
            <w:vAlign w:val="bottom"/>
            <w:vMerge w:val="restart"/>
          </w:tcPr>
          <w:p>
            <w:pPr>
              <w:jc w:val="right"/>
              <w:ind w:right="28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(3,426,160)</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Notes &amp; New Notes</w:t>
            </w:r>
          </w:p>
        </w:tc>
        <w:tc>
          <w:tcPr>
            <w:tcW w:w="19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Net cash and cash equivalents and</w:t>
            </w:r>
          </w:p>
        </w:tc>
        <w:tc>
          <w:tcPr>
            <w:tcW w:w="1940" w:type="dxa"/>
            <w:vAlign w:val="bottom"/>
            <w:vMerge w:val="restart"/>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(3,397,487)</w:t>
            </w:r>
          </w:p>
        </w:tc>
        <w:tc>
          <w:tcPr>
            <w:tcW w:w="112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360,283</w:t>
            </w:r>
          </w:p>
        </w:tc>
        <w:tc>
          <w:tcPr>
            <w:tcW w:w="142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195,358</w:t>
            </w:r>
          </w:p>
        </w:tc>
        <w:tc>
          <w:tcPr>
            <w:tcW w:w="1660" w:type="dxa"/>
            <w:vAlign w:val="bottom"/>
            <w:vMerge w:val="restart"/>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(23,533)</w:t>
            </w:r>
          </w:p>
        </w:tc>
        <w:tc>
          <w:tcPr>
            <w:tcW w:w="1280" w:type="dxa"/>
            <w:vAlign w:val="bottom"/>
            <w:vMerge w:val="restart"/>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(21,996)</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(2,887,375)</w:t>
            </w:r>
          </w:p>
        </w:tc>
        <w:tc>
          <w:tcPr>
            <w:tcW w:w="0" w:type="dxa"/>
            <w:vAlign w:val="bottom"/>
          </w:tcPr>
          <w:p>
            <w:pPr>
              <w:spacing w:after="0"/>
              <w:rPr>
                <w:sz w:val="1"/>
                <w:szCs w:val="1"/>
                <w:color w:val="auto"/>
              </w:rPr>
            </w:pPr>
          </w:p>
        </w:tc>
      </w:tr>
      <w:tr>
        <w:trPr>
          <w:trHeight w:val="217"/>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borrowings</w:t>
            </w:r>
          </w:p>
        </w:tc>
        <w:tc>
          <w:tcPr>
            <w:tcW w:w="19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1" w:firstLine="591"/>
        <w:spacing w:after="0" w:line="287" w:lineRule="auto"/>
        <w:rPr>
          <w:sz w:val="20"/>
          <w:szCs w:val="20"/>
          <w:color w:val="auto"/>
        </w:rPr>
      </w:pPr>
      <w:r>
        <w:rPr>
          <w:rFonts w:ascii="Arial" w:cs="Arial" w:eastAsia="Arial" w:hAnsi="Arial"/>
          <w:sz w:val="14"/>
          <w:szCs w:val="14"/>
          <w:color w:val="auto"/>
        </w:rPr>
        <w:t>Net cash and cash equivalents and borrowings is a useful measure that assists understanding of the Company’s liquidity and capital resources, which is relevant to the Company’s strategy. The Company’s cash and cash equivalents at December 31, 2024 amounted to $538.8 million compared $378.1 million at December 31, 2023.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9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64" w:name="page65"/>
    <w:bookmarkEnd w:id="64"/>
    <w:p>
      <w:pPr>
        <w:jc w:val="both"/>
        <w:ind w:left="1" w:firstLine="591"/>
        <w:spacing w:after="0" w:line="269" w:lineRule="auto"/>
        <w:rPr>
          <w:sz w:val="20"/>
          <w:szCs w:val="20"/>
          <w:color w:val="auto"/>
        </w:rPr>
      </w:pPr>
      <w:r>
        <w:rPr>
          <w:rFonts w:ascii="Arial" w:cs="Arial" w:eastAsia="Arial" w:hAnsi="Arial"/>
          <w:sz w:val="15"/>
          <w:szCs w:val="15"/>
          <w:color w:val="auto"/>
        </w:rPr>
        <w:t xml:space="preserve">Refer to note 13. </w:t>
      </w:r>
      <w:r>
        <w:rPr>
          <w:rFonts w:ascii="Arial" w:cs="Arial" w:eastAsia="Arial" w:hAnsi="Arial"/>
          <w:sz w:val="15"/>
          <w:szCs w:val="15"/>
          <w:i w:val="1"/>
          <w:iCs w:val="1"/>
          <w:color w:val="auto"/>
        </w:rPr>
        <w:t>Bank credit lines, loan facilities</w:t>
      </w:r>
      <w:r>
        <w:rPr>
          <w:rFonts w:ascii="Arial" w:cs="Arial" w:eastAsia="Arial" w:hAnsi="Arial"/>
          <w:sz w:val="15"/>
          <w:szCs w:val="15"/>
          <w:color w:val="auto"/>
        </w:rPr>
        <w:t xml:space="preserve"> and notes for details on the Company's outstanding debt. Refer to note 15.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further details on the Company's contractual liabilities for lease arrangements.</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Cash flows</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Net cash from operating activities</w:t>
      </w:r>
    </w:p>
    <w:p>
      <w:pPr>
        <w:spacing w:after="0" w:line="220" w:lineRule="exact"/>
        <w:rPr>
          <w:sz w:val="20"/>
          <w:szCs w:val="20"/>
          <w:color w:val="auto"/>
        </w:rPr>
      </w:pPr>
    </w:p>
    <w:p>
      <w:pPr>
        <w:jc w:val="both"/>
        <w:ind w:left="1" w:firstLine="591"/>
        <w:spacing w:after="0"/>
        <w:rPr>
          <w:sz w:val="20"/>
          <w:szCs w:val="20"/>
          <w:color w:val="auto"/>
        </w:rPr>
      </w:pPr>
      <w:r>
        <w:rPr>
          <w:rFonts w:ascii="Arial" w:cs="Arial" w:eastAsia="Arial" w:hAnsi="Arial"/>
          <w:sz w:val="14"/>
          <w:szCs w:val="14"/>
          <w:color w:val="auto"/>
        </w:rPr>
        <w:t>Net cash provided by operating activities increased by $125.7 million to $1,286.7 million for the year ended December 31, 2024 as compared to net cash provided by operating activities of $1,161.0 million for the year ended December 31, 2023. The increase in net cash provided by operating activities of $125.7 million is primarily due</w:t>
      </w:r>
    </w:p>
    <w:p>
      <w:pPr>
        <w:ind w:left="1"/>
        <w:spacing w:after="0"/>
        <w:rPr>
          <w:sz w:val="20"/>
          <w:szCs w:val="20"/>
          <w:color w:val="auto"/>
        </w:rPr>
      </w:pPr>
      <w:r>
        <w:rPr>
          <w:rFonts w:ascii="Arial" w:cs="Arial" w:eastAsia="Arial" w:hAnsi="Arial"/>
          <w:sz w:val="15"/>
          <w:szCs w:val="15"/>
          <w:color w:val="auto"/>
        </w:rPr>
        <w:t>to changes in working capital, which is discussed further below, in addition to reduced interest, changes in timing of income tax payments offset by restructuring outflows.</w:t>
      </w:r>
    </w:p>
    <w:p>
      <w:pPr>
        <w:spacing w:after="0" w:line="196" w:lineRule="exact"/>
        <w:rPr>
          <w:sz w:val="20"/>
          <w:szCs w:val="20"/>
          <w:color w:val="auto"/>
        </w:rPr>
      </w:pPr>
    </w:p>
    <w:p>
      <w:pPr>
        <w:jc w:val="both"/>
        <w:ind w:left="1" w:firstLine="591"/>
        <w:spacing w:after="0" w:line="243" w:lineRule="auto"/>
        <w:rPr>
          <w:sz w:val="20"/>
          <w:szCs w:val="20"/>
          <w:color w:val="auto"/>
        </w:rPr>
      </w:pPr>
      <w:r>
        <w:rPr>
          <w:rFonts w:ascii="Arial" w:cs="Arial" w:eastAsia="Arial" w:hAnsi="Arial"/>
          <w:sz w:val="15"/>
          <w:szCs w:val="15"/>
          <w:color w:val="auto"/>
        </w:rPr>
        <w:t>The change in working capital is primarily attributable to an increase in cash inflows from accounts receivable of $432.6 million, a decrease in cash inflows from unbilled revenue of $344.6 million and a decrease in cash inflows from unearned revenue of $172.3 million. These changes result from differences in timing of revenue recognition, cash collection and billing on clinical trials. The number of days’ revenue outstanding at December 31, 2024 was 47 days (September 30, 2024: 52 days, June 30, 2024: 51 days, March 31, 2024: 49 days, December 31, 2023: 47 days, September 30, 2023: 49 days, June 30, 2023: 52 days). A decrease in the number of days’ revenue outstanding during a period will result in cash inflows to the Company while an increase in days revenue outstanding will lead to cash outflows.</w:t>
      </w:r>
    </w:p>
    <w:p>
      <w:pPr>
        <w:spacing w:after="0" w:line="199" w:lineRule="exact"/>
        <w:rPr>
          <w:sz w:val="20"/>
          <w:szCs w:val="20"/>
          <w:color w:val="auto"/>
        </w:rPr>
      </w:pPr>
    </w:p>
    <w:p>
      <w:pPr>
        <w:jc w:val="both"/>
        <w:ind w:left="1" w:firstLine="591"/>
        <w:spacing w:after="0" w:line="242" w:lineRule="auto"/>
        <w:rPr>
          <w:sz w:val="20"/>
          <w:szCs w:val="20"/>
          <w:color w:val="auto"/>
        </w:rPr>
      </w:pPr>
      <w:r>
        <w:rPr>
          <w:rFonts w:ascii="Arial" w:cs="Arial" w:eastAsia="Arial" w:hAnsi="Arial"/>
          <w:sz w:val="15"/>
          <w:szCs w:val="15"/>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Net cash used in investing activities</w:t>
      </w:r>
    </w:p>
    <w:p>
      <w:pPr>
        <w:spacing w:after="0" w:line="208" w:lineRule="exact"/>
        <w:rPr>
          <w:sz w:val="20"/>
          <w:szCs w:val="20"/>
          <w:color w:val="auto"/>
        </w:rPr>
      </w:pPr>
    </w:p>
    <w:p>
      <w:pPr>
        <w:jc w:val="both"/>
        <w:ind w:left="1" w:firstLine="591"/>
        <w:spacing w:after="0" w:line="244" w:lineRule="auto"/>
        <w:rPr>
          <w:sz w:val="20"/>
          <w:szCs w:val="20"/>
          <w:color w:val="auto"/>
        </w:rPr>
      </w:pPr>
      <w:r>
        <w:rPr>
          <w:rFonts w:ascii="Arial" w:cs="Arial" w:eastAsia="Arial" w:hAnsi="Arial"/>
          <w:sz w:val="15"/>
          <w:szCs w:val="15"/>
          <w:color w:val="auto"/>
        </w:rPr>
        <w:t>Net cash used in investing activities was $266.8 million for the year ended December 31, 2024 compared to net cash used in investing activities of $226.7 million for the year ended December 31, 2023. Net cash used in investing activities for the year ended December 31, 2024 was primarily related to cash outflows of $168.1 million for capital expenditures made mainly relating to investment in facilities and IT infrastructure, $84.2 million in relation to the acquisitions of HumanFirst and KCR Group and $14.5 million in relation to investments in equity.</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Net cash used in financing activities</w:t>
      </w:r>
    </w:p>
    <w:p>
      <w:pPr>
        <w:spacing w:after="0" w:line="208" w:lineRule="exact"/>
        <w:rPr>
          <w:sz w:val="20"/>
          <w:szCs w:val="20"/>
          <w:color w:val="auto"/>
        </w:rPr>
      </w:pPr>
    </w:p>
    <w:p>
      <w:pPr>
        <w:jc w:val="both"/>
        <w:ind w:left="1" w:firstLine="591"/>
        <w:spacing w:after="0" w:line="261" w:lineRule="auto"/>
        <w:rPr>
          <w:sz w:val="20"/>
          <w:szCs w:val="20"/>
          <w:color w:val="auto"/>
        </w:rPr>
      </w:pPr>
      <w:r>
        <w:rPr>
          <w:rFonts w:ascii="Arial" w:cs="Arial" w:eastAsia="Arial" w:hAnsi="Arial"/>
          <w:sz w:val="14"/>
          <w:szCs w:val="14"/>
          <w:color w:val="auto"/>
        </w:rPr>
        <w:t xml:space="preserve">Net cash used in financing activities amounted to $837.2 million for the year ended December 31, 2024 compared with net cash used in financing activities of $844.0 million for the year ended December 31, 2023. In the year ended December 31, 2024, the Company made a net repayment of $360.3 million on external financing (See the </w:t>
      </w:r>
      <w:r>
        <w:rPr>
          <w:rFonts w:ascii="Arial" w:cs="Arial" w:eastAsia="Arial" w:hAnsi="Arial"/>
          <w:sz w:val="14"/>
          <w:szCs w:val="14"/>
          <w:i w:val="1"/>
          <w:iCs w:val="1"/>
          <w:color w:val="auto"/>
        </w:rPr>
        <w:t>Consolidated Statements of Cash Flows</w:t>
      </w:r>
      <w:r>
        <w:rPr>
          <w:rFonts w:ascii="Arial" w:cs="Arial" w:eastAsia="Arial" w:hAnsi="Arial"/>
          <w:sz w:val="14"/>
          <w:szCs w:val="14"/>
          <w:color w:val="auto"/>
        </w:rPr>
        <w:t xml:space="preserve"> for further details). In addition, see note 13. </w:t>
      </w:r>
      <w:r>
        <w:rPr>
          <w:rFonts w:ascii="Arial" w:cs="Arial" w:eastAsia="Arial" w:hAnsi="Arial"/>
          <w:sz w:val="14"/>
          <w:szCs w:val="14"/>
          <w:i w:val="1"/>
          <w:iCs w:val="1"/>
          <w:color w:val="auto"/>
        </w:rPr>
        <w:t>Bank credit lines, loan facilities and notes</w:t>
      </w:r>
      <w:r>
        <w:rPr>
          <w:rFonts w:ascii="Arial" w:cs="Arial" w:eastAsia="Arial" w:hAnsi="Arial"/>
          <w:sz w:val="14"/>
          <w:szCs w:val="14"/>
          <w:color w:val="auto"/>
        </w:rPr>
        <w:t xml:space="preserve"> for further details on the New Notes</w:t>
      </w:r>
    </w:p>
    <w:p>
      <w:pPr>
        <w:spacing w:after="0" w:line="1" w:lineRule="exact"/>
        <w:rPr>
          <w:sz w:val="20"/>
          <w:szCs w:val="20"/>
          <w:color w:val="auto"/>
        </w:rPr>
      </w:pPr>
    </w:p>
    <w:p>
      <w:pPr>
        <w:jc w:val="both"/>
        <w:ind w:left="1"/>
        <w:spacing w:after="0" w:line="257" w:lineRule="auto"/>
        <w:rPr>
          <w:sz w:val="20"/>
          <w:szCs w:val="20"/>
          <w:color w:val="auto"/>
        </w:rPr>
      </w:pPr>
      <w:r>
        <w:rPr>
          <w:rFonts w:ascii="Arial" w:cs="Arial" w:eastAsia="Arial" w:hAnsi="Arial"/>
          <w:sz w:val="15"/>
          <w:szCs w:val="15"/>
          <w:color w:val="auto"/>
        </w:rPr>
        <w:t>issued in May 2024 and the use of proceeds. Further, the Company repurchased 2,179,699 ordinary shares for a total consideration of $500.0 million. These outflows were offset by $36.2 million received by the Company from the exercise of equity options issued as compensation.</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Net cash inflow</w:t>
      </w:r>
    </w:p>
    <w:p>
      <w:pPr>
        <w:spacing w:after="0" w:line="220" w:lineRule="exact"/>
        <w:rPr>
          <w:sz w:val="20"/>
          <w:szCs w:val="20"/>
          <w:color w:val="auto"/>
        </w:rPr>
      </w:pPr>
    </w:p>
    <w:p>
      <w:pPr>
        <w:jc w:val="both"/>
        <w:ind w:left="1" w:firstLine="591"/>
        <w:spacing w:after="0" w:line="286" w:lineRule="auto"/>
        <w:rPr>
          <w:sz w:val="20"/>
          <w:szCs w:val="20"/>
          <w:color w:val="auto"/>
        </w:rPr>
      </w:pPr>
      <w:r>
        <w:rPr>
          <w:rFonts w:ascii="Arial" w:cs="Arial" w:eastAsia="Arial" w:hAnsi="Arial"/>
          <w:sz w:val="15"/>
          <w:szCs w:val="15"/>
          <w:color w:val="auto"/>
        </w:rPr>
        <w:t>As a result of these cash flows, cash and cash equivalents increased by $160.7 million for the year ended December 31, 2024 compared to an increase of $89.3 million for the year ended December 31, 2023.</w:t>
      </w:r>
    </w:p>
    <w:p>
      <w:pPr>
        <w:spacing w:after="0" w:line="390" w:lineRule="exact"/>
        <w:rPr>
          <w:sz w:val="20"/>
          <w:szCs w:val="20"/>
          <w:color w:val="auto"/>
        </w:rPr>
      </w:pPr>
    </w:p>
    <w:p>
      <w:pPr>
        <w:ind w:left="361" w:hanging="361"/>
        <w:spacing w:after="0"/>
        <w:tabs>
          <w:tab w:leader="none" w:pos="361"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Research and development, patents and licenses</w:t>
      </w:r>
    </w:p>
    <w:p>
      <w:pPr>
        <w:spacing w:after="0" w:line="185" w:lineRule="exact"/>
        <w:rPr>
          <w:sz w:val="20"/>
          <w:szCs w:val="20"/>
          <w:color w:val="auto"/>
        </w:rPr>
      </w:pPr>
    </w:p>
    <w:p>
      <w:pPr>
        <w:jc w:val="both"/>
        <w:ind w:left="1" w:firstLine="591"/>
        <w:spacing w:after="0" w:line="250" w:lineRule="auto"/>
        <w:rPr>
          <w:sz w:val="20"/>
          <w:szCs w:val="20"/>
          <w:color w:val="auto"/>
        </w:rPr>
      </w:pPr>
      <w:r>
        <w:rPr>
          <w:rFonts w:ascii="Arial" w:cs="Arial" w:eastAsia="Arial" w:hAnsi="Arial"/>
          <w:sz w:val="15"/>
          <w:szCs w:val="15"/>
          <w:color w:val="auto"/>
        </w:rPr>
        <w:t>ICON plays a critical role in new drug development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9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52" w:right="339" w:bottom="1440" w:gutter="0" w:footer="0" w:header="0"/>
        </w:sectPr>
      </w:pPr>
    </w:p>
    <w:bookmarkStart w:id="65" w:name="page66"/>
    <w:bookmarkEnd w:id="65"/>
    <w:p>
      <w:pPr>
        <w:ind w:left="361" w:hanging="361"/>
        <w:spacing w:after="0"/>
        <w:tabs>
          <w:tab w:leader="none" w:pos="361"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Trend information</w:t>
      </w:r>
    </w:p>
    <w:p>
      <w:pPr>
        <w:spacing w:after="0" w:line="222"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Other than as disclosed elsewhere in this annual report, we are not aware of any trends, uncertainties, demands, or commitments or events since December 31, 2024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200" w:lineRule="exact"/>
        <w:rPr>
          <w:sz w:val="20"/>
          <w:szCs w:val="20"/>
          <w:color w:val="auto"/>
        </w:rPr>
      </w:pPr>
    </w:p>
    <w:p>
      <w:pPr>
        <w:spacing w:after="0" w:line="219" w:lineRule="exact"/>
        <w:rPr>
          <w:sz w:val="20"/>
          <w:szCs w:val="20"/>
          <w:color w:val="auto"/>
        </w:rPr>
      </w:pPr>
    </w:p>
    <w:p>
      <w:pPr>
        <w:ind w:left="341" w:hanging="341"/>
        <w:spacing w:after="0"/>
        <w:tabs>
          <w:tab w:leader="none" w:pos="341"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Critical Accounting Estimates</w:t>
      </w:r>
    </w:p>
    <w:p>
      <w:pPr>
        <w:spacing w:after="0" w:line="222" w:lineRule="exact"/>
        <w:rPr>
          <w:sz w:val="20"/>
          <w:szCs w:val="20"/>
          <w:color w:val="auto"/>
        </w:rPr>
      </w:pPr>
    </w:p>
    <w:p>
      <w:pPr>
        <w:jc w:val="both"/>
        <w:ind w:left="1" w:firstLine="591"/>
        <w:spacing w:after="0" w:line="250" w:lineRule="auto"/>
        <w:rPr>
          <w:sz w:val="20"/>
          <w:szCs w:val="20"/>
          <w:color w:val="auto"/>
        </w:rPr>
      </w:pPr>
      <w:r>
        <w:rPr>
          <w:rFonts w:ascii="Arial" w:cs="Arial" w:eastAsia="Arial" w:hAnsi="Arial"/>
          <w:sz w:val="15"/>
          <w:szCs w:val="15"/>
          <w:color w:val="auto"/>
        </w:rPr>
        <w:t>Note 2 to the audited consolidated financial statements provided elsewhere in this Form 20-F describes the significant accounting policies used in the preparation of the consolidated financial statements. The preparation of our consolidated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critical accounting estimates and judgments used by management. The application of these critical accounting estimates is discussed with the Audit Committee of the Board of Directors.</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Revenue Recognition - Clinical Trial Services</w:t>
      </w:r>
    </w:p>
    <w:p>
      <w:pPr>
        <w:spacing w:after="0" w:line="222" w:lineRule="exact"/>
        <w:rPr>
          <w:sz w:val="20"/>
          <w:szCs w:val="20"/>
          <w:color w:val="auto"/>
        </w:rPr>
      </w:pPr>
    </w:p>
    <w:p>
      <w:pPr>
        <w:jc w:val="both"/>
        <w:ind w:left="1" w:firstLine="591"/>
        <w:spacing w:after="0" w:line="252" w:lineRule="auto"/>
        <w:rPr>
          <w:sz w:val="20"/>
          <w:szCs w:val="20"/>
          <w:color w:val="auto"/>
        </w:rPr>
      </w:pPr>
      <w:r>
        <w:rPr>
          <w:rFonts w:ascii="Arial" w:cs="Arial" w:eastAsia="Arial" w:hAnsi="Arial"/>
          <w:sz w:val="15"/>
          <w:szCs w:val="15"/>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195" w:lineRule="exact"/>
        <w:rPr>
          <w:sz w:val="20"/>
          <w:szCs w:val="20"/>
          <w:color w:val="auto"/>
        </w:rPr>
      </w:pPr>
    </w:p>
    <w:p>
      <w:pPr>
        <w:jc w:val="both"/>
        <w:ind w:left="1" w:firstLine="591"/>
        <w:spacing w:after="0" w:line="252" w:lineRule="auto"/>
        <w:rPr>
          <w:sz w:val="20"/>
          <w:szCs w:val="20"/>
          <w:color w:val="auto"/>
        </w:rPr>
      </w:pPr>
      <w:r>
        <w:rPr>
          <w:rFonts w:ascii="Arial" w:cs="Arial" w:eastAsia="Arial" w:hAnsi="Arial"/>
          <w:sz w:val="15"/>
          <w:szCs w:val="15"/>
          <w:color w:val="auto"/>
        </w:rPr>
        <w:t>Revenue is recognized on a percentage completion basis as the single performance obligation is satisfied. The progress towards completion for clinical service contracts is measured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07"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Recoverability of Goodwill and Long-Lived Assets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Goodwill</w:t>
      </w:r>
    </w:p>
    <w:p>
      <w:pPr>
        <w:spacing w:after="0" w:line="220" w:lineRule="exact"/>
        <w:rPr>
          <w:sz w:val="20"/>
          <w:szCs w:val="20"/>
          <w:color w:val="auto"/>
        </w:rPr>
      </w:pPr>
    </w:p>
    <w:p>
      <w:pPr>
        <w:jc w:val="both"/>
        <w:ind w:left="1" w:firstLine="591"/>
        <w:spacing w:after="0" w:line="250" w:lineRule="auto"/>
        <w:rPr>
          <w:sz w:val="20"/>
          <w:szCs w:val="20"/>
          <w:color w:val="auto"/>
        </w:rPr>
      </w:pPr>
      <w:r>
        <w:rPr>
          <w:rFonts w:ascii="Arial" w:cs="Arial" w:eastAsia="Arial" w:hAnsi="Arial"/>
          <w:sz w:val="15"/>
          <w:szCs w:val="15"/>
          <w:color w:val="auto"/>
        </w:rPr>
        <w:t>The Company assesses its goodwill for impairment annually or when events or circumstances indicate a possible impairment.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w:t>
      </w:r>
    </w:p>
    <w:p>
      <w:pPr>
        <w:spacing w:after="0" w:line="3" w:lineRule="exact"/>
        <w:rPr>
          <w:sz w:val="20"/>
          <w:szCs w:val="20"/>
          <w:color w:val="auto"/>
        </w:rPr>
      </w:pPr>
    </w:p>
    <w:p>
      <w:pPr>
        <w:jc w:val="both"/>
        <w:ind w:left="1" w:firstLine="591"/>
        <w:spacing w:after="0" w:line="251" w:lineRule="auto"/>
        <w:rPr>
          <w:sz w:val="20"/>
          <w:szCs w:val="20"/>
          <w:color w:val="auto"/>
        </w:rPr>
      </w:pPr>
      <w:r>
        <w:rPr>
          <w:rFonts w:ascii="Arial" w:cs="Arial" w:eastAsia="Arial" w:hAnsi="Arial"/>
          <w:sz w:val="15"/>
          <w:szCs w:val="15"/>
          <w:color w:val="auto"/>
        </w:rPr>
        <w:t>If the Company elects to perform a qualitative assessment, events and circumstances considered for each reporting unit may include: (i) current year results, (ii) financial performance versus management’s annual and multi-year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66" w:name="page67"/>
    <w:bookmarkEnd w:id="66"/>
    <w:p>
      <w:pPr>
        <w:jc w:val="both"/>
        <w:ind w:left="1" w:firstLine="591"/>
        <w:spacing w:after="0" w:line="250" w:lineRule="auto"/>
        <w:rPr>
          <w:sz w:val="20"/>
          <w:szCs w:val="20"/>
          <w:color w:val="auto"/>
        </w:rPr>
      </w:pPr>
      <w:r>
        <w:rPr>
          <w:rFonts w:ascii="Arial" w:cs="Arial" w:eastAsia="Arial" w:hAnsi="Arial"/>
          <w:sz w:val="15"/>
          <w:szCs w:val="15"/>
          <w:color w:val="auto"/>
        </w:rPr>
        <w:t>A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may utilize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209" w:lineRule="exact"/>
        <w:rPr>
          <w:sz w:val="20"/>
          <w:szCs w:val="20"/>
          <w:color w:val="auto"/>
        </w:rPr>
      </w:pPr>
    </w:p>
    <w:p>
      <w:pPr>
        <w:jc w:val="both"/>
        <w:ind w:left="1" w:firstLine="591"/>
        <w:spacing w:after="0" w:line="255" w:lineRule="auto"/>
        <w:rPr>
          <w:sz w:val="20"/>
          <w:szCs w:val="20"/>
          <w:color w:val="auto"/>
        </w:rPr>
      </w:pPr>
      <w:r>
        <w:rPr>
          <w:rFonts w:ascii="Arial" w:cs="Arial" w:eastAsia="Arial" w:hAnsi="Arial"/>
          <w:sz w:val="15"/>
          <w:szCs w:val="15"/>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terminal growth rates and discount rates.</w:t>
      </w:r>
    </w:p>
    <w:p>
      <w:pPr>
        <w:spacing w:after="0" w:line="191" w:lineRule="exact"/>
        <w:rPr>
          <w:sz w:val="20"/>
          <w:szCs w:val="20"/>
          <w:color w:val="auto"/>
        </w:rPr>
      </w:pPr>
    </w:p>
    <w:p>
      <w:pPr>
        <w:ind w:left="601"/>
        <w:spacing w:after="0"/>
        <w:rPr>
          <w:sz w:val="20"/>
          <w:szCs w:val="20"/>
          <w:color w:val="auto"/>
        </w:rPr>
      </w:pPr>
      <w:r>
        <w:rPr>
          <w:rFonts w:ascii="Arial" w:cs="Arial" w:eastAsia="Arial" w:hAnsi="Arial"/>
          <w:sz w:val="15"/>
          <w:szCs w:val="15"/>
          <w:color w:val="auto"/>
        </w:rPr>
        <w:t>Under the market-based fair value methodology, judgment may be required in evaluating market multiples and recent transactions.</w:t>
      </w:r>
    </w:p>
    <w:p>
      <w:pPr>
        <w:spacing w:after="0" w:line="234" w:lineRule="exact"/>
        <w:rPr>
          <w:sz w:val="20"/>
          <w:szCs w:val="20"/>
          <w:color w:val="auto"/>
        </w:rPr>
      </w:pPr>
    </w:p>
    <w:p>
      <w:pPr>
        <w:jc w:val="both"/>
        <w:ind w:left="1" w:firstLine="591"/>
        <w:spacing w:after="0" w:line="269" w:lineRule="auto"/>
        <w:rPr>
          <w:sz w:val="20"/>
          <w:szCs w:val="20"/>
          <w:color w:val="auto"/>
        </w:rPr>
      </w:pPr>
      <w:r>
        <w:rPr>
          <w:rFonts w:ascii="Arial" w:cs="Arial" w:eastAsia="Arial" w:hAnsi="Arial"/>
          <w:sz w:val="15"/>
          <w:szCs w:val="15"/>
          <w:color w:val="auto"/>
        </w:rPr>
        <w:t>The Company completed its most recent annual goodwill impairment testing as of September 30, 2024, a date which is consistent with the prior year. For the years ended December 31, 2024 and 2023, the Company determined that there was no impairment of goodwill.</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Other long lived assets</w:t>
      </w:r>
    </w:p>
    <w:p>
      <w:pPr>
        <w:spacing w:after="0" w:line="232"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The Company assesses long-lived assets (such as intangible assets) for impairment whenever events or changes in circumstances indicate that the carrying amount of the asset group might not be recoverable. If indicators of impairment are present, we evaluate the carrying value of long-lived asset in relation to estimates of future undiscounted cash flows.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5"/>
          <w:szCs w:val="15"/>
          <w:b w:val="1"/>
          <w:bCs w:val="1"/>
          <w:i w:val="1"/>
          <w:iCs w:val="1"/>
          <w:color w:val="auto"/>
        </w:rPr>
        <w:t>Taxation</w:t>
      </w:r>
    </w:p>
    <w:p>
      <w:pPr>
        <w:spacing w:after="0" w:line="222"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97" w:lineRule="exact"/>
        <w:rPr>
          <w:sz w:val="20"/>
          <w:szCs w:val="20"/>
          <w:color w:val="auto"/>
        </w:rPr>
      </w:pPr>
    </w:p>
    <w:p>
      <w:pPr>
        <w:jc w:val="both"/>
        <w:ind w:left="1" w:firstLine="591"/>
        <w:spacing w:after="0" w:line="249" w:lineRule="auto"/>
        <w:rPr>
          <w:sz w:val="20"/>
          <w:szCs w:val="20"/>
          <w:color w:val="auto"/>
        </w:rPr>
      </w:pPr>
      <w:r>
        <w:rPr>
          <w:rFonts w:ascii="Arial" w:cs="Arial" w:eastAsia="Arial" w:hAnsi="Arial"/>
          <w:sz w:val="15"/>
          <w:szCs w:val="15"/>
          <w:color w:val="auto"/>
        </w:rPr>
        <w:t>The provision for income taxes includes federal, state, local and foreign taxes. We apply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We account for the impact of Global Intangible Low-Taxed Income ("GILTI") in the period it arises and therefore have not provided for deferred taxes in respect of this item. Recognition of deferred income tax assets is based on management’s belief that it is more likely than not that the income tax benefit associated with certain temporary differences, income tax operating loss, capital loss carryforwards, and income tax credits, would be realized. Deferred tax assets are reduced by a valuation allowance to the amount that is more likely than not to be realized. We recognize the effect of income tax positions only if those positions will more likely than not be sustained. We determined the amount of the valuation allowance based, in part, on our assessment of future taxable income and in light of our ongoing income tax strategies. If our estimate of future taxable income or tax strategies changes at any time in the future, we would record an adjustment to our valuation allowance. Recording such an adjustment could have a material effect on our financial condition or results of operations.</w:t>
      </w:r>
    </w:p>
    <w:p>
      <w:pPr>
        <w:spacing w:after="0" w:line="200" w:lineRule="exact"/>
        <w:rPr>
          <w:sz w:val="20"/>
          <w:szCs w:val="20"/>
          <w:color w:val="auto"/>
        </w:rPr>
      </w:pPr>
    </w:p>
    <w:p>
      <w:pPr>
        <w:ind w:left="321" w:hanging="321"/>
        <w:spacing w:after="0"/>
        <w:tabs>
          <w:tab w:leader="none" w:pos="321"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Summarized financial information of issuers and guarantors</w:t>
      </w:r>
    </w:p>
    <w:p>
      <w:pPr>
        <w:spacing w:after="0" w:line="222" w:lineRule="exact"/>
        <w:rPr>
          <w:sz w:val="20"/>
          <w:szCs w:val="20"/>
          <w:color w:val="auto"/>
        </w:rPr>
      </w:pPr>
    </w:p>
    <w:p>
      <w:pPr>
        <w:jc w:val="both"/>
        <w:ind w:left="1" w:firstLine="591"/>
        <w:spacing w:after="0" w:line="286" w:lineRule="auto"/>
        <w:rPr>
          <w:sz w:val="20"/>
          <w:szCs w:val="20"/>
          <w:color w:val="auto"/>
        </w:rPr>
      </w:pPr>
      <w:r>
        <w:rPr>
          <w:rFonts w:ascii="Arial" w:cs="Arial" w:eastAsia="Arial" w:hAnsi="Arial"/>
          <w:sz w:val="15"/>
          <w:szCs w:val="15"/>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68"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85" w:lineRule="exact"/>
        <w:rPr>
          <w:sz w:val="20"/>
          <w:szCs w:val="20"/>
          <w:color w:val="auto"/>
        </w:rPr>
      </w:pPr>
    </w:p>
    <w:p>
      <w:pPr>
        <w:jc w:val="both"/>
        <w:ind w:left="1" w:firstLine="591"/>
        <w:spacing w:after="0" w:line="263" w:lineRule="auto"/>
        <w:rPr>
          <w:sz w:val="20"/>
          <w:szCs w:val="20"/>
          <w:color w:val="auto"/>
        </w:rPr>
      </w:pPr>
      <w:r>
        <w:rPr>
          <w:rFonts w:ascii="Arial" w:cs="Arial" w:eastAsia="Arial" w:hAnsi="Arial"/>
          <w:sz w:val="15"/>
          <w:szCs w:val="15"/>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52" w:right="339" w:bottom="1440" w:gutter="0" w:footer="0" w:header="0"/>
        </w:sectPr>
      </w:pPr>
    </w:p>
    <w:bookmarkStart w:id="67" w:name="page68"/>
    <w:bookmarkEnd w:id="67"/>
    <w:p>
      <w:pPr>
        <w:jc w:val="both"/>
        <w:spacing w:after="0" w:line="251" w:lineRule="auto"/>
        <w:rPr>
          <w:sz w:val="20"/>
          <w:szCs w:val="20"/>
          <w:color w:val="auto"/>
        </w:rPr>
      </w:pPr>
      <w:r>
        <w:rPr>
          <w:rFonts w:ascii="Arial" w:cs="Arial" w:eastAsia="Arial" w:hAnsi="Arial"/>
          <w:sz w:val="15"/>
          <w:szCs w:val="15"/>
          <w:color w:val="auto"/>
        </w:rPr>
        <w:t>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196"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196"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Any Guarantor will be automatically and unconditionally released from all obligations under its note guarantee, and such note guarantee shall thereupon terminate and be discharged and of no further force and effect:</w:t>
      </w:r>
    </w:p>
    <w:p>
      <w:pPr>
        <w:spacing w:after="0" w:line="192" w:lineRule="exact"/>
        <w:rPr>
          <w:sz w:val="20"/>
          <w:szCs w:val="20"/>
          <w:color w:val="auto"/>
        </w:rPr>
      </w:pPr>
    </w:p>
    <w:p>
      <w:pPr>
        <w:jc w:val="both"/>
        <w:ind w:left="600" w:hanging="306"/>
        <w:spacing w:after="0" w:line="235" w:lineRule="auto"/>
        <w:tabs>
          <w:tab w:leader="none" w:pos="59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ind w:left="580" w:hanging="286"/>
        <w:spacing w:after="0" w:line="222"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to all Guarantors (other than ICON), at the time of any collateral release event;</w:t>
      </w:r>
    </w:p>
    <w:p>
      <w:pPr>
        <w:ind w:left="580" w:hanging="286"/>
        <w:spacing w:after="0"/>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legal defeasance, covenant defeasance or satisfaction and discharge of the indenture governing the New Notes;</w:t>
      </w:r>
    </w:p>
    <w:p>
      <w:pPr>
        <w:ind w:left="600" w:hanging="306"/>
        <w:spacing w:after="0" w:line="231" w:lineRule="auto"/>
        <w:tabs>
          <w:tab w:leader="none" w:pos="59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the merger, amalgamation or consolidation of any Guarantor into ICON, the Issuer or another Guarantor or upon the liquidation, dissolution or winding up of such Guarantor;</w:t>
      </w:r>
    </w:p>
    <w:p>
      <w:pPr>
        <w:ind w:left="600" w:hanging="306"/>
        <w:spacing w:after="0" w:line="231" w:lineRule="auto"/>
        <w:tabs>
          <w:tab w:leader="none" w:pos="59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release of such Guarantor from its guarantee under the Senior Secured Credit Facilities (except in the case of a release from the repayment in full of the Senior Secured Credit Facilities); or</w:t>
      </w:r>
    </w:p>
    <w:p>
      <w:pPr>
        <w:ind w:left="580" w:hanging="286"/>
        <w:spacing w:after="0"/>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such Guarantor becoming an excluded subsidiary.</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Summarized Combined Financial Information</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Summarized financial information (the "SFI"), as defined under Rule 1-02 (bb) of Regulation S-X, is provided below for the Issuer and Guarantor entities, collectively, the "Obligor Group" as of December 31, 2024 and December 31, 2023, and for the year ended December 31, 2024 and December 31, 2023. The SFI is presented on a combined basis with intercompany transactions and balances among the entities included in the Obligor Group eliminated. The Obligor Group SFI excludes investments in non-guarantor entities.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197"/>
        </w:trPr>
        <w:tc>
          <w:tcPr>
            <w:tcW w:w="74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r>
      <w:tr>
        <w:trPr>
          <w:trHeight w:val="140"/>
        </w:trPr>
        <w:tc>
          <w:tcPr>
            <w:tcW w:w="7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74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7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1180" w:type="dxa"/>
            <w:vAlign w:val="bottom"/>
            <w:tcBorders>
              <w:bottom w:val="single" w:sz="8" w:color="auto"/>
            </w:tcBorders>
          </w:tcPr>
          <w:p>
            <w:pPr>
              <w:spacing w:after="0"/>
              <w:rPr>
                <w:sz w:val="16"/>
                <w:szCs w:val="16"/>
                <w:color w:val="auto"/>
              </w:rPr>
            </w:pP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7,474,880</w:t>
            </w: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7,444,520</w:t>
            </w:r>
          </w:p>
        </w:tc>
      </w:tr>
      <w:tr>
        <w:trPr>
          <w:trHeight w:val="196"/>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costs and expenses (a)</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6,647,712</w:t>
            </w: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6,683,520</w:t>
            </w:r>
          </w:p>
        </w:tc>
      </w:tr>
      <w:tr>
        <w:trPr>
          <w:trHeight w:val="214"/>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 (a)</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827,168</w:t>
            </w: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761,000</w:t>
            </w:r>
          </w:p>
        </w:tc>
      </w:tr>
      <w:tr>
        <w:trPr>
          <w:trHeight w:val="20"/>
        </w:trPr>
        <w:tc>
          <w:tcPr>
            <w:tcW w:w="7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460" w:type="dxa"/>
            <w:vAlign w:val="bottom"/>
            <w:tcBorders>
              <w:bottom w:val="single" w:sz="8" w:color="auto"/>
            </w:tcBorders>
          </w:tcPr>
          <w:p>
            <w:pPr>
              <w:ind w:left="20"/>
              <w:spacing w:after="0" w:line="167" w:lineRule="exact"/>
              <w:rPr>
                <w:sz w:val="20"/>
                <w:szCs w:val="20"/>
                <w:color w:val="auto"/>
              </w:rPr>
            </w:pPr>
            <w:r>
              <w:rPr>
                <w:rFonts w:ascii="Arial" w:cs="Arial" w:eastAsia="Arial" w:hAnsi="Arial"/>
                <w:sz w:val="15"/>
                <w:szCs w:val="15"/>
                <w:color w:val="auto"/>
              </w:rPr>
              <w:t>Net income (a) (b)</w:t>
            </w:r>
          </w:p>
        </w:tc>
        <w:tc>
          <w:tcPr>
            <w:tcW w:w="500" w:type="dxa"/>
            <w:vAlign w:val="bottom"/>
            <w:tcBorders>
              <w:bottom w:val="single" w:sz="8" w:color="auto"/>
            </w:tcBorders>
          </w:tcPr>
          <w:p>
            <w:pPr>
              <w:jc w:val="right"/>
              <w:ind w:right="326"/>
              <w:spacing w:after="0" w:line="167"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699,018</w:t>
            </w:r>
          </w:p>
        </w:tc>
        <w:tc>
          <w:tcPr>
            <w:tcW w:w="700" w:type="dxa"/>
            <w:vAlign w:val="bottom"/>
            <w:tcBorders>
              <w:bottom w:val="single" w:sz="8" w:color="auto"/>
            </w:tcBorders>
          </w:tcPr>
          <w:p>
            <w:pPr>
              <w:jc w:val="right"/>
              <w:ind w:right="526"/>
              <w:spacing w:after="0" w:line="167"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356,467</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20" w:hanging="226"/>
        <w:spacing w:after="0"/>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amortization of intangible assets of $344.4 million for the year ended December 31, 2024 and $452.8 million for the year ended December 31, 2023.</w:t>
      </w:r>
    </w:p>
    <w:p>
      <w:pPr>
        <w:spacing w:after="0" w:line="14" w:lineRule="exact"/>
        <w:rPr>
          <w:rFonts w:ascii="Arial" w:cs="Arial" w:eastAsia="Arial" w:hAnsi="Arial"/>
          <w:sz w:val="15"/>
          <w:szCs w:val="15"/>
          <w:color w:val="auto"/>
        </w:rPr>
      </w:pPr>
    </w:p>
    <w:p>
      <w:pPr>
        <w:ind w:left="520" w:hanging="226"/>
        <w:spacing w:after="0"/>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net intercompany interest expense of $144.4 million for the year ended December 31, 2024 and $130.0 million for the year ended December 31,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7"/>
        </w:trPr>
        <w:tc>
          <w:tcPr>
            <w:tcW w:w="74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7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140"/>
        </w:trPr>
        <w:tc>
          <w:tcPr>
            <w:tcW w:w="7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70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7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7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1180" w:type="dxa"/>
            <w:vAlign w:val="bottom"/>
            <w:shd w:val="clear" w:color="auto" w:fill="CCEEFF"/>
          </w:tcPr>
          <w:p>
            <w:pPr>
              <w:spacing w:after="0"/>
              <w:rPr>
                <w:sz w:val="16"/>
                <w:szCs w:val="16"/>
                <w:color w:val="auto"/>
              </w:rPr>
            </w:pPr>
          </w:p>
        </w:tc>
      </w:tr>
      <w:tr>
        <w:trPr>
          <w:trHeight w:val="196"/>
        </w:trPr>
        <w:tc>
          <w:tcPr>
            <w:tcW w:w="74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3,207,524</w:t>
            </w:r>
          </w:p>
        </w:tc>
        <w:tc>
          <w:tcPr>
            <w:tcW w:w="700" w:type="dxa"/>
            <w:vAlign w:val="bottom"/>
          </w:tcPr>
          <w:p>
            <w:pPr>
              <w:jc w:val="right"/>
              <w:ind w:right="52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2,941,492</w:t>
            </w:r>
          </w:p>
        </w:tc>
      </w:tr>
      <w:tr>
        <w:trPr>
          <w:trHeight w:val="19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 (c)</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62,996,507</w:t>
            </w: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61,347,045</w:t>
            </w:r>
          </w:p>
        </w:tc>
      </w:tr>
      <w:tr>
        <w:trPr>
          <w:trHeight w:val="196"/>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Intercompany receivables</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1,309,276</w:t>
            </w: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1,052,855</w:t>
            </w:r>
          </w:p>
        </w:tc>
      </w:tr>
      <w:tr>
        <w:trPr>
          <w:trHeight w:val="216"/>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67,513,307</w:t>
            </w:r>
          </w:p>
        </w:tc>
        <w:tc>
          <w:tcPr>
            <w:tcW w:w="70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65,341,392</w:t>
            </w:r>
          </w:p>
        </w:tc>
      </w:tr>
      <w:tr>
        <w:trPr>
          <w:trHeight w:val="20"/>
        </w:trPr>
        <w:tc>
          <w:tcPr>
            <w:tcW w:w="7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2,561,140</w:t>
            </w: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2,514,633</w:t>
            </w:r>
          </w:p>
        </w:tc>
      </w:tr>
      <w:tr>
        <w:trPr>
          <w:trHeight w:val="196"/>
        </w:trPr>
        <w:tc>
          <w:tcPr>
            <w:tcW w:w="746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50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4,380,570</w:t>
            </w:r>
          </w:p>
        </w:tc>
        <w:tc>
          <w:tcPr>
            <w:tcW w:w="7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4,799,554</w:t>
            </w:r>
          </w:p>
        </w:tc>
      </w:tr>
      <w:tr>
        <w:trPr>
          <w:trHeight w:val="197"/>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Intercompany payables</w:t>
            </w: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5,029,580</w:t>
            </w:r>
          </w:p>
        </w:tc>
        <w:tc>
          <w:tcPr>
            <w:tcW w:w="7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4,618,868</w:t>
            </w:r>
          </w:p>
        </w:tc>
      </w:tr>
      <w:tr>
        <w:trPr>
          <w:trHeight w:val="191"/>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11,971,290</w:t>
            </w:r>
          </w:p>
        </w:tc>
        <w:tc>
          <w:tcPr>
            <w:tcW w:w="7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11,933,055</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 Non-current assets include each Guarantor's investment in obligor subsidiaries, on a combined aggregated basis.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Item 6. Directors, Senior Management and Employees.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  Directors and Senior Management</w:t>
      </w:r>
    </w:p>
    <w:p>
      <w:pPr>
        <w:spacing w:after="0" w:line="234"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The following table and accompanying biographies set forth certain information concerning each of ICON plc’s Directors, officers and other key employees as of February 21,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Name</w:t>
            </w:r>
          </w:p>
        </w:tc>
        <w:tc>
          <w:tcPr>
            <w:tcW w:w="17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5"/>
                <w:szCs w:val="15"/>
                <w:b w:val="1"/>
                <w:bCs w:val="1"/>
                <w:color w:val="auto"/>
              </w:rPr>
              <w:t>Age</w:t>
            </w:r>
          </w:p>
        </w:tc>
        <w:tc>
          <w:tcPr>
            <w:tcW w:w="6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Position</w:t>
            </w:r>
          </w:p>
        </w:tc>
      </w:tr>
      <w:tr>
        <w:trPr>
          <w:trHeight w:val="196"/>
        </w:trPr>
        <w:tc>
          <w:tcPr>
            <w:tcW w:w="2740" w:type="dxa"/>
            <w:vAlign w:val="bottom"/>
          </w:tcPr>
          <w:p>
            <w:pPr>
              <w:ind w:left="20"/>
              <w:spacing w:after="0"/>
              <w:rPr>
                <w:sz w:val="20"/>
                <w:szCs w:val="20"/>
                <w:color w:val="auto"/>
              </w:rPr>
            </w:pPr>
            <w:r>
              <w:rPr>
                <w:rFonts w:ascii="Arial" w:cs="Arial" w:eastAsia="Arial" w:hAnsi="Arial"/>
                <w:sz w:val="15"/>
                <w:szCs w:val="15"/>
                <w:color w:val="auto"/>
              </w:rPr>
              <w:t>Ciaran Murray</w:t>
            </w:r>
          </w:p>
        </w:tc>
        <w:tc>
          <w:tcPr>
            <w:tcW w:w="1780" w:type="dxa"/>
            <w:vAlign w:val="bottom"/>
          </w:tcPr>
          <w:p>
            <w:pPr>
              <w:ind w:left="1140"/>
              <w:spacing w:after="0"/>
              <w:rPr>
                <w:sz w:val="20"/>
                <w:szCs w:val="20"/>
                <w:color w:val="auto"/>
              </w:rPr>
            </w:pPr>
            <w:r>
              <w:rPr>
                <w:rFonts w:ascii="Arial" w:cs="Arial" w:eastAsia="Arial" w:hAnsi="Arial"/>
                <w:sz w:val="15"/>
                <w:szCs w:val="15"/>
                <w:color w:val="auto"/>
              </w:rPr>
              <w:t>62</w:t>
            </w:r>
          </w:p>
        </w:tc>
        <w:tc>
          <w:tcPr>
            <w:tcW w:w="6700" w:type="dxa"/>
            <w:vAlign w:val="bottom"/>
          </w:tcPr>
          <w:p>
            <w:pPr>
              <w:ind w:left="380"/>
              <w:spacing w:after="0"/>
              <w:rPr>
                <w:sz w:val="20"/>
                <w:szCs w:val="20"/>
                <w:color w:val="auto"/>
              </w:rPr>
            </w:pPr>
            <w:r>
              <w:rPr>
                <w:rFonts w:ascii="Arial" w:cs="Arial" w:eastAsia="Arial" w:hAnsi="Arial"/>
                <w:sz w:val="15"/>
                <w:szCs w:val="15"/>
                <w:color w:val="auto"/>
              </w:rPr>
              <w:t>Chair and Director</w:t>
            </w: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Dr. Steve Cutler (1)(5)</w:t>
            </w:r>
          </w:p>
        </w:tc>
        <w:tc>
          <w:tcPr>
            <w:tcW w:w="17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64</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Chief Executive Officer and Director</w:t>
            </w:r>
          </w:p>
        </w:tc>
      </w:tr>
      <w:tr>
        <w:trPr>
          <w:trHeight w:val="196"/>
        </w:trPr>
        <w:tc>
          <w:tcPr>
            <w:tcW w:w="2740" w:type="dxa"/>
            <w:vAlign w:val="bottom"/>
          </w:tcPr>
          <w:p>
            <w:pPr>
              <w:ind w:left="20"/>
              <w:spacing w:after="0"/>
              <w:rPr>
                <w:sz w:val="20"/>
                <w:szCs w:val="20"/>
                <w:color w:val="auto"/>
              </w:rPr>
            </w:pPr>
            <w:r>
              <w:rPr>
                <w:rFonts w:ascii="Arial" w:cs="Arial" w:eastAsia="Arial" w:hAnsi="Arial"/>
                <w:sz w:val="15"/>
                <w:szCs w:val="15"/>
                <w:color w:val="auto"/>
              </w:rPr>
              <w:t>Nigel Clerkin (1)(5)</w:t>
            </w:r>
          </w:p>
        </w:tc>
        <w:tc>
          <w:tcPr>
            <w:tcW w:w="1780" w:type="dxa"/>
            <w:vAlign w:val="bottom"/>
          </w:tcPr>
          <w:p>
            <w:pPr>
              <w:ind w:left="1140"/>
              <w:spacing w:after="0"/>
              <w:rPr>
                <w:sz w:val="20"/>
                <w:szCs w:val="20"/>
                <w:color w:val="auto"/>
              </w:rPr>
            </w:pPr>
            <w:r>
              <w:rPr>
                <w:rFonts w:ascii="Arial" w:cs="Arial" w:eastAsia="Arial" w:hAnsi="Arial"/>
                <w:sz w:val="15"/>
                <w:szCs w:val="15"/>
                <w:color w:val="auto"/>
              </w:rPr>
              <w:t>51</w:t>
            </w:r>
          </w:p>
        </w:tc>
        <w:tc>
          <w:tcPr>
            <w:tcW w:w="6700" w:type="dxa"/>
            <w:vAlign w:val="bottom"/>
          </w:tcPr>
          <w:p>
            <w:pPr>
              <w:ind w:left="380"/>
              <w:spacing w:after="0"/>
              <w:rPr>
                <w:sz w:val="20"/>
                <w:szCs w:val="20"/>
                <w:color w:val="auto"/>
              </w:rPr>
            </w:pPr>
            <w:r>
              <w:rPr>
                <w:rFonts w:ascii="Arial" w:cs="Arial" w:eastAsia="Arial" w:hAnsi="Arial"/>
                <w:sz w:val="15"/>
                <w:szCs w:val="15"/>
                <w:color w:val="auto"/>
              </w:rPr>
              <w:t>Chief Financial Officer</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Barry Balfe (6)</w:t>
            </w:r>
          </w:p>
        </w:tc>
        <w:tc>
          <w:tcPr>
            <w:tcW w:w="17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46</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Chief Operating Officer</w:t>
            </w:r>
          </w:p>
        </w:tc>
      </w:tr>
      <w:tr>
        <w:trPr>
          <w:trHeight w:val="196"/>
        </w:trPr>
        <w:tc>
          <w:tcPr>
            <w:tcW w:w="2740" w:type="dxa"/>
            <w:vAlign w:val="bottom"/>
          </w:tcPr>
          <w:p>
            <w:pPr>
              <w:ind w:left="20"/>
              <w:spacing w:after="0"/>
              <w:rPr>
                <w:sz w:val="20"/>
                <w:szCs w:val="20"/>
                <w:color w:val="auto"/>
              </w:rPr>
            </w:pPr>
            <w:r>
              <w:rPr>
                <w:rFonts w:ascii="Arial" w:cs="Arial" w:eastAsia="Arial" w:hAnsi="Arial"/>
                <w:sz w:val="15"/>
                <w:szCs w:val="15"/>
                <w:color w:val="auto"/>
              </w:rPr>
              <w:t>Rónán Murphy (2)(3)(5)</w:t>
            </w:r>
          </w:p>
        </w:tc>
        <w:tc>
          <w:tcPr>
            <w:tcW w:w="1780" w:type="dxa"/>
            <w:vAlign w:val="bottom"/>
          </w:tcPr>
          <w:p>
            <w:pPr>
              <w:ind w:left="1140"/>
              <w:spacing w:after="0"/>
              <w:rPr>
                <w:sz w:val="20"/>
                <w:szCs w:val="20"/>
                <w:color w:val="auto"/>
              </w:rPr>
            </w:pPr>
            <w:r>
              <w:rPr>
                <w:rFonts w:ascii="Arial" w:cs="Arial" w:eastAsia="Arial" w:hAnsi="Arial"/>
                <w:sz w:val="15"/>
                <w:szCs w:val="15"/>
                <w:color w:val="auto"/>
              </w:rPr>
              <w:t>67</w:t>
            </w:r>
          </w:p>
        </w:tc>
        <w:tc>
          <w:tcPr>
            <w:tcW w:w="6700" w:type="dxa"/>
            <w:vAlign w:val="bottom"/>
          </w:tcPr>
          <w:p>
            <w:pPr>
              <w:ind w:left="380"/>
              <w:spacing w:after="0"/>
              <w:rPr>
                <w:sz w:val="20"/>
                <w:szCs w:val="20"/>
                <w:color w:val="auto"/>
              </w:rPr>
            </w:pPr>
            <w:r>
              <w:rPr>
                <w:rFonts w:ascii="Arial" w:cs="Arial" w:eastAsia="Arial" w:hAnsi="Arial"/>
                <w:sz w:val="15"/>
                <w:szCs w:val="15"/>
                <w:color w:val="auto"/>
              </w:rPr>
              <w:t>Lead Independent Director</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Dr. John Climax</w:t>
            </w:r>
          </w:p>
        </w:tc>
        <w:tc>
          <w:tcPr>
            <w:tcW w:w="17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72</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Director</w:t>
            </w:r>
          </w:p>
        </w:tc>
      </w:tr>
      <w:tr>
        <w:trPr>
          <w:trHeight w:val="196"/>
        </w:trPr>
        <w:tc>
          <w:tcPr>
            <w:tcW w:w="2740" w:type="dxa"/>
            <w:vAlign w:val="bottom"/>
          </w:tcPr>
          <w:p>
            <w:pPr>
              <w:ind w:left="20"/>
              <w:spacing w:after="0"/>
              <w:rPr>
                <w:sz w:val="20"/>
                <w:szCs w:val="20"/>
                <w:color w:val="auto"/>
              </w:rPr>
            </w:pPr>
            <w:r>
              <w:rPr>
                <w:rFonts w:ascii="Arial" w:cs="Arial" w:eastAsia="Arial" w:hAnsi="Arial"/>
                <w:sz w:val="15"/>
                <w:szCs w:val="15"/>
                <w:color w:val="auto"/>
              </w:rPr>
              <w:t>Eugene McCague (3)(4)</w:t>
            </w:r>
          </w:p>
        </w:tc>
        <w:tc>
          <w:tcPr>
            <w:tcW w:w="1780" w:type="dxa"/>
            <w:vAlign w:val="bottom"/>
          </w:tcPr>
          <w:p>
            <w:pPr>
              <w:ind w:left="1140"/>
              <w:spacing w:after="0"/>
              <w:rPr>
                <w:sz w:val="20"/>
                <w:szCs w:val="20"/>
                <w:color w:val="auto"/>
              </w:rPr>
            </w:pPr>
            <w:r>
              <w:rPr>
                <w:rFonts w:ascii="Arial" w:cs="Arial" w:eastAsia="Arial" w:hAnsi="Arial"/>
                <w:sz w:val="15"/>
                <w:szCs w:val="15"/>
                <w:color w:val="auto"/>
              </w:rPr>
              <w:t>66</w:t>
            </w:r>
          </w:p>
        </w:tc>
        <w:tc>
          <w:tcPr>
            <w:tcW w:w="6700" w:type="dxa"/>
            <w:vAlign w:val="bottom"/>
          </w:tcPr>
          <w:p>
            <w:pPr>
              <w:ind w:left="380"/>
              <w:spacing w:after="0"/>
              <w:rPr>
                <w:sz w:val="20"/>
                <w:szCs w:val="20"/>
                <w:color w:val="auto"/>
              </w:rPr>
            </w:pPr>
            <w:r>
              <w:rPr>
                <w:rFonts w:ascii="Arial" w:cs="Arial" w:eastAsia="Arial" w:hAnsi="Arial"/>
                <w:sz w:val="15"/>
                <w:szCs w:val="15"/>
                <w:color w:val="auto"/>
              </w:rPr>
              <w:t>Director</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Julie O'Neill (2)(3)</w:t>
            </w:r>
          </w:p>
        </w:tc>
        <w:tc>
          <w:tcPr>
            <w:tcW w:w="17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58</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Director</w:t>
            </w:r>
          </w:p>
        </w:tc>
      </w:tr>
      <w:tr>
        <w:trPr>
          <w:trHeight w:val="220"/>
        </w:trPr>
        <w:tc>
          <w:tcPr>
            <w:tcW w:w="2740" w:type="dxa"/>
            <w:vAlign w:val="bottom"/>
          </w:tcPr>
          <w:p>
            <w:pPr>
              <w:ind w:left="20"/>
              <w:spacing w:after="0"/>
              <w:rPr>
                <w:sz w:val="20"/>
                <w:szCs w:val="20"/>
                <w:color w:val="auto"/>
              </w:rPr>
            </w:pPr>
            <w:r>
              <w:rPr>
                <w:rFonts w:ascii="Arial" w:cs="Arial" w:eastAsia="Arial" w:hAnsi="Arial"/>
                <w:sz w:val="15"/>
                <w:szCs w:val="15"/>
                <w:color w:val="auto"/>
              </w:rPr>
              <w:t>Dr. Linda Grais (2)(4)</w:t>
            </w:r>
          </w:p>
        </w:tc>
        <w:tc>
          <w:tcPr>
            <w:tcW w:w="1780" w:type="dxa"/>
            <w:vAlign w:val="bottom"/>
          </w:tcPr>
          <w:p>
            <w:pPr>
              <w:ind w:left="1140"/>
              <w:spacing w:after="0"/>
              <w:rPr>
                <w:sz w:val="20"/>
                <w:szCs w:val="20"/>
                <w:color w:val="auto"/>
              </w:rPr>
            </w:pPr>
            <w:r>
              <w:rPr>
                <w:rFonts w:ascii="Arial" w:cs="Arial" w:eastAsia="Arial" w:hAnsi="Arial"/>
                <w:sz w:val="15"/>
                <w:szCs w:val="15"/>
                <w:color w:val="auto"/>
              </w:rPr>
              <w:t>68</w:t>
            </w:r>
          </w:p>
        </w:tc>
        <w:tc>
          <w:tcPr>
            <w:tcW w:w="6700" w:type="dxa"/>
            <w:vAlign w:val="bottom"/>
          </w:tcPr>
          <w:p>
            <w:pPr>
              <w:ind w:left="380"/>
              <w:spacing w:after="0"/>
              <w:rPr>
                <w:sz w:val="20"/>
                <w:szCs w:val="20"/>
                <w:color w:val="auto"/>
              </w:rPr>
            </w:pPr>
            <w:r>
              <w:rPr>
                <w:rFonts w:ascii="Arial" w:cs="Arial" w:eastAsia="Arial" w:hAnsi="Arial"/>
                <w:sz w:val="15"/>
                <w:szCs w:val="15"/>
                <w:color w:val="auto"/>
              </w:rPr>
              <w:t>Director</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Anne Whitaker (4)</w:t>
            </w:r>
          </w:p>
        </w:tc>
        <w:tc>
          <w:tcPr>
            <w:tcW w:w="17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57</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Director</w:t>
            </w:r>
          </w:p>
        </w:tc>
      </w:tr>
      <w:tr>
        <w:trPr>
          <w:trHeight w:val="194"/>
        </w:trPr>
        <w:tc>
          <w:tcPr>
            <w:tcW w:w="2740" w:type="dxa"/>
            <w:vAlign w:val="bottom"/>
          </w:tcPr>
          <w:p>
            <w:pPr>
              <w:ind w:left="20"/>
              <w:spacing w:after="0"/>
              <w:rPr>
                <w:sz w:val="20"/>
                <w:szCs w:val="20"/>
                <w:color w:val="auto"/>
              </w:rPr>
            </w:pPr>
            <w:r>
              <w:rPr>
                <w:rFonts w:ascii="Arial" w:cs="Arial" w:eastAsia="Arial" w:hAnsi="Arial"/>
                <w:sz w:val="15"/>
                <w:szCs w:val="15"/>
                <w:color w:val="auto"/>
              </w:rPr>
              <w:t>Diarmaid Cunningham</w:t>
            </w:r>
          </w:p>
        </w:tc>
        <w:tc>
          <w:tcPr>
            <w:tcW w:w="1780" w:type="dxa"/>
            <w:vAlign w:val="bottom"/>
          </w:tcPr>
          <w:p>
            <w:pPr>
              <w:ind w:left="1140"/>
              <w:spacing w:after="0"/>
              <w:rPr>
                <w:sz w:val="20"/>
                <w:szCs w:val="20"/>
                <w:color w:val="auto"/>
              </w:rPr>
            </w:pPr>
            <w:r>
              <w:rPr>
                <w:rFonts w:ascii="Arial" w:cs="Arial" w:eastAsia="Arial" w:hAnsi="Arial"/>
                <w:sz w:val="15"/>
                <w:szCs w:val="15"/>
                <w:color w:val="auto"/>
              </w:rPr>
              <w:t>50</w:t>
            </w:r>
          </w:p>
        </w:tc>
        <w:tc>
          <w:tcPr>
            <w:tcW w:w="6700" w:type="dxa"/>
            <w:vAlign w:val="bottom"/>
          </w:tcPr>
          <w:p>
            <w:pPr>
              <w:ind w:left="380"/>
              <w:spacing w:after="0"/>
              <w:rPr>
                <w:sz w:val="20"/>
                <w:szCs w:val="20"/>
                <w:color w:val="auto"/>
              </w:rPr>
            </w:pPr>
            <w:r>
              <w:rPr>
                <w:rFonts w:ascii="Arial" w:cs="Arial" w:eastAsia="Arial" w:hAnsi="Arial"/>
                <w:sz w:val="15"/>
                <w:szCs w:val="15"/>
                <w:color w:val="auto"/>
              </w:rPr>
              <w:t>Chief Administrative Officer, General Counsel &amp; Company Secretary</w:t>
            </w:r>
          </w:p>
        </w:tc>
      </w:tr>
    </w:tbl>
    <w:p>
      <w:pPr>
        <w:spacing w:after="0" w:line="299" w:lineRule="exact"/>
        <w:rPr>
          <w:sz w:val="20"/>
          <w:szCs w:val="20"/>
          <w:color w:val="auto"/>
        </w:rPr>
      </w:pP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Named Executive Officer of the Company.</w:t>
      </w:r>
    </w:p>
    <w:p>
      <w:pPr>
        <w:spacing w:after="0" w:line="21" w:lineRule="exact"/>
        <w:rPr>
          <w:rFonts w:ascii="Arial" w:cs="Arial" w:eastAsia="Arial" w:hAnsi="Arial"/>
          <w:sz w:val="15"/>
          <w:szCs w:val="15"/>
          <w:color w:val="auto"/>
        </w:rPr>
      </w:pP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Member of Compensation and Organization Committee.</w:t>
      </w:r>
    </w:p>
    <w:p>
      <w:pPr>
        <w:spacing w:after="0" w:line="5" w:lineRule="exact"/>
        <w:rPr>
          <w:rFonts w:ascii="Arial" w:cs="Arial" w:eastAsia="Arial" w:hAnsi="Arial"/>
          <w:sz w:val="15"/>
          <w:szCs w:val="15"/>
          <w:color w:val="auto"/>
        </w:rPr>
      </w:pP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Member of Audit Committee.</w:t>
      </w: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Member of Nominating, Sustainability and Governance Committee.</w:t>
      </w:r>
    </w:p>
    <w:p>
      <w:pPr>
        <w:spacing w:after="0" w:line="7" w:lineRule="exact"/>
        <w:rPr>
          <w:rFonts w:ascii="Arial" w:cs="Arial" w:eastAsia="Arial" w:hAnsi="Arial"/>
          <w:sz w:val="15"/>
          <w:szCs w:val="15"/>
          <w:color w:val="auto"/>
        </w:rPr>
      </w:pP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Member of Execution Committee.</w:t>
      </w:r>
    </w:p>
    <w:p>
      <w:pPr>
        <w:spacing w:after="0" w:line="5" w:lineRule="exact"/>
        <w:rPr>
          <w:rFonts w:ascii="Arial" w:cs="Arial" w:eastAsia="Arial" w:hAnsi="Arial"/>
          <w:sz w:val="15"/>
          <w:szCs w:val="15"/>
          <w:color w:val="auto"/>
        </w:rPr>
      </w:pPr>
    </w:p>
    <w:p>
      <w:pPr>
        <w:ind w:left="440" w:hanging="294"/>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Named Executive Officer of the Company following his appointment as Chief Operating Officer, effective January 1, 2025.</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Ciaran Murray</w:t>
      </w:r>
    </w:p>
    <w:p>
      <w:pPr>
        <w:spacing w:after="0" w:line="158"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 Mr. Murray has been the Chair of ICON plc since March 2017 and an outside Director since May 2018. Mr. Murray served as Chief Executive Officer from October 2011 until March 2017 and was Chief Financial Officer from joining ICON plc in 2005 until his appointment as Chief Executive Officer in 2011. During his time with ICON plc, Mr. Murray was recognized for his leadership of ICON and the CRO industry. Mr. Murray served as Chair of the Association of Clinical Research Organizations (ACRO) which represents the CRO industry globally. In addition, Mr. Murray was named as a leader in CRO Innovation by PharmaVOICE100, a listing of the most influential people in the bio pharma industry. 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Dr. Steve Cutler</w:t>
      </w:r>
    </w:p>
    <w:p>
      <w:pPr>
        <w:spacing w:after="0" w:line="220"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Dr. Steve Cutler was appointed Chief Executive Officer of ICON plc in March 2017, having previously served as Chief Operating Officer from January 2014. Dr. Cutler served as Group President of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in Australia and Europe. Dr. Cutler holds a B.Sc. and a Ph.D. from the University of Sydney and a Masters of Business Administration from the University of Birmingham (UK).</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Nigel Clerkin</w:t>
      </w:r>
    </w:p>
    <w:p>
      <w:pPr>
        <w:spacing w:after="0" w:line="17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Mr. Nigel Clerkin was appointed as Chief Financial Officer of the Company in October 2024. Mr. Clerkin commenced his career with KPMG Dublin, before joining Elan Corporation where he held a number of roles of increasing responsibility over a fifteen-year career, culminating in the role of Group Chief Financial Officer in 2011, which he held until 2014. Mr. Clerkin then moved to be Chief Financial Officer at ConvaTec, a global medical and technologies company, before becoming UDG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5"/>
          <w:szCs w:val="15"/>
          <w:color w:val="auto"/>
        </w:rPr>
        <w:t>Healthcare’s Chief Financial Officer in 2018. During his tenure with UDG Healthcare, Mr. Clerkin led substantial change and improvement programs and oversaw strong financial growth across multiple business lines. Most recently, Mr. Clerkin was Chief Financial Officer at LetsGetChecked, a global provider of at-home healthcare services. Mr. Clerkin holds a Bachelor of Science (Accounting) degree and a Master of Accounting degree from Queen’s University Belfast and is also a qualified chartered accountant and a fellow of Chartered Accountants Ireland.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Barry Balfe</w:t>
      </w:r>
    </w:p>
    <w:p>
      <w:pPr>
        <w:spacing w:after="0" w:line="208" w:lineRule="exact"/>
        <w:rPr>
          <w:sz w:val="20"/>
          <w:szCs w:val="20"/>
          <w:color w:val="auto"/>
        </w:rPr>
      </w:pPr>
    </w:p>
    <w:p>
      <w:pPr>
        <w:jc w:val="both"/>
        <w:ind w:firstLine="591"/>
        <w:spacing w:after="0" w:line="233" w:lineRule="auto"/>
        <w:rPr>
          <w:sz w:val="20"/>
          <w:szCs w:val="20"/>
          <w:color w:val="auto"/>
        </w:rPr>
      </w:pPr>
      <w:r>
        <w:rPr>
          <w:rFonts w:ascii="Arial" w:cs="Arial" w:eastAsia="Arial" w:hAnsi="Arial"/>
          <w:sz w:val="15"/>
          <w:szCs w:val="15"/>
          <w:color w:val="auto"/>
        </w:rPr>
        <w:t>Mr. Barry Balfe was appointed Chief Operating Officer effective January 2025. Mr. Balfe previously served as President of ICON Pharma Development Solutions. Mr. Balfe has been with ICON for over 20 years and has held a number of leadership roles across both full service and functional solutions at ICON where he has successfully grown business and has developed and led a number of new strategic partnerships with some of the world's largest pharmaceutical companies. Earlier roles have included EVP, Global Business Development. As part of the FSP leadership team, Mr. Balfe served as Senior Vice-President, Global Program Management where he oversaw operational design, planning &amp; delivery within the resourcing &amp; FSP businesses. Mr. Balfe initially joined ICON’s Business Development team in 2003, before taking on the leadership of ICON's U.S. FSP business in early 2007 and subsequently overseeing European FSP operations. Mr. Balfe holds a Bachelor of Science degree in chemistry, having studied at Dublin City University and Ecole Nationale Supérieure de Chimie de Toulouse. Mr. Balfe subsequently studied pharmacoepidemiology and pharmacovigilance at London School of Hygiene and Tropical Medicine, the University of London; and completed the Stanford Executive Program, Stanford Graduate School of Business in 2023.</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Rónán Murphy</w:t>
      </w:r>
    </w:p>
    <w:p>
      <w:pPr>
        <w:spacing w:after="0" w:line="171"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Mr. Rónán Murphy has served as an outside Director of the Company since October 2016. He was appointed as Lead Independent Director in January 2019. Mr. Murphy is the former Senior Partner of PwC Ireland. He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Mr. Murphy is presently Chairman of Greencoat Renewables PLC and a non-executive director of Norbrook Holdings Limited. Mr. Murphy previously served as a council member of the ESRI, as Chair of Business in the Community Ireland and as a non-executive Director of Davy Stockbrokers. He is also a founding Board Member of the British Irish Chamber of Commerce. Mr. Murphy completed a Bachelor of Commerce and Masters in Business Studies at University College Dublin before qualifying as a chartered accountant in 1982.</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Dr. John Climax</w:t>
      </w:r>
    </w:p>
    <w:p>
      <w:pPr>
        <w:spacing w:after="0" w:line="158"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Dr. John Climax, one of the Company’s co-founders, served as Chairman of the Board of the Company from November 2002 to December 2009 and as Chief Executive Officer from June 1990 to October 2002. Since January 2010 he has held a position as an outside Director and Emeritus Chair of the Company. In 2004 he established the Human Dignity Foundation, a Swiss charity dedicated to protecting vulnerable children from sexual exploitation and abuse. Dr. Climax has over 30 years of experience in the clinical research industry. Dr. Climax received his primary degree in Pharmacy from the University of Singapore, his Masters in Applied Pharmacology from the University of Wales and his Doctorate in Clinical Pharmacology from the National University of Ireland. He has authored a significant number of papers and presentations and is a holder of numerous active patents. Dr. Climax is an adjunct Professor at the Royal College of Surgeons in Ireland. He is currently Executive Chairman of DS Biopharma and Chairman and CEO of Afimmune, both of which are private companies.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Eugene McCague</w:t>
      </w:r>
    </w:p>
    <w:p>
      <w:pPr>
        <w:spacing w:after="0" w:line="158"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the Irish branch of AON Insurance. Mr. McCague’s previous board roles include the Health Service Executive, the Irish state body which administers public health service in Ireland, chairman of the governing body of the Dublin Institute of Technology, chairman of the Dublin Institute of Technology Foundation, chairman of the governing authority of University College Dublin, director of Fly Leasing Limited and chairman of Ibec, Ireland’s leading business representative association. Mr. McCague was also president of the Dublin Chamber of Commerce in 2006. Mr. McCague holds a Bachelor of Civil Law degree and a diploma in European Law from University College Dublin.</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Julie O’Neill</w:t>
      </w:r>
    </w:p>
    <w:p>
      <w:pPr>
        <w:spacing w:after="0" w:line="171"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Ms. Julie O’Neill has served as an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Hookipa Pharma Inc., and Advancion (formerly Angus Chemical Company). Ms. O’Neill also chairs the board of Ireland’s National Institute for Bioprocessing Research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5"/>
          <w:szCs w:val="15"/>
          <w:color w:val="auto"/>
        </w:rPr>
        <w:t>Training ('NIBRT'). Ms. O’Neill holds a Bachelor of Science in Pharmacy from Trinity College Dublin, a Masters of Business Administration from University College Dublin and is a Chartered Director of The Institute of Directors in Ireland.</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Dr. Linda Grais</w:t>
      </w:r>
    </w:p>
    <w:p>
      <w:pPr>
        <w:spacing w:after="0" w:line="220"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Dr. Linda Grais has served as an outside Director of ICON plc since July 2021 having previously served as a member of the PRA Health Sciences board from October 2015 to July 2021. Dr. Grais served as a member of the board of directors of Ocera Therapeutics, Inc. from January 2008 through December 2017, as President and Chief Executive Officer of Ocera Therapeutics, Inc. from June 2012 to December 2017 and as member of the board of directors of Arca Biopharma, Inc from 2007 to 2024.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Dr. Linda Grais currently serves on the board of directors of Corvus Pharmaceuticals and is a member of its audit committee. Dr. Grais received a B.A. from Yale University, an M.D. from Yale Medical School and a J.D. from Stanford Law School.</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Anne Whitaker</w:t>
      </w:r>
    </w:p>
    <w:p>
      <w:pPr>
        <w:spacing w:after="0" w:line="220"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Ms. Anne Whitaker was appointed as an outside Director of ICON plc in July 2024. Ms. Whitaker is an experienced executive with more than 30 years of experience in the life sciences industry across large pharmaceutical, biotech, and specialty pharmaceutical companies. Ms. Whitaker has extensive leadership experience, having been a CEO for three clinical-stage biotech businesses (Aerami Therapeutics, Synta Pharmaceuticals and Novoclem Therapeutics) complemented by substantial bigger pharma - most notably Bausch Health, Sanofi, and GSK. Ms. Whitaker held senior executive commercial roles with GSK at local US and global levels and was responsible for running Sanofi’s North America operations. Ms.Whitaker serves as the Chair of QurAlis and as a non-executive director of Nykode Therapeutics, Trinity Life Sciences, Byrn Pharma, Bespak, and is a Member of the Board of Trustees of the University of North Alabama. Ms. Whitaker previously served on the boards of Curio Digital Therapeutics, Ergomed plc, UDG Healthcare, Cree, Mallinckrodt, KNOW Bio, Novoclem Therapeutics, Vectura Group and Synta Pharmaceuticals. Ms. Whitaker holds a BSc in Chemistry and Business from the University of North Alabama.</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Diarmaid Cunningham</w:t>
      </w:r>
    </w:p>
    <w:p>
      <w:pPr>
        <w:spacing w:after="0" w:line="232"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Mr. Diarmaid Cunningham is Chief Administrative Officer, General Counsel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which added responsibility for the Company’s Quality Assurance, Client Contracts Services, Facilities and Procurement groups in addition to his responsibility for the Company’s Legal group. In 2023, Symphony Health (ICON's data business) moved to report to Mr. Cunningham and was also added to his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2014, 2020 and 2021.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 In January 2021, Mr. Cunningham was appointed as a non-executive director of the Irish charity The Jack &amp; Jill Foundation.</w:t>
      </w:r>
    </w:p>
    <w:p>
      <w:pPr>
        <w:spacing w:after="0" w:line="200" w:lineRule="exact"/>
        <w:rPr>
          <w:sz w:val="20"/>
          <w:szCs w:val="20"/>
          <w:color w:val="auto"/>
        </w:rPr>
      </w:pPr>
    </w:p>
    <w:p>
      <w:pPr>
        <w:spacing w:after="0" w:line="222" w:lineRule="exact"/>
        <w:rPr>
          <w:sz w:val="20"/>
          <w:szCs w:val="20"/>
          <w:color w:val="auto"/>
        </w:rPr>
      </w:pPr>
    </w:p>
    <w:p>
      <w:pPr>
        <w:ind w:right="8580" w:firstLine="294"/>
        <w:spacing w:after="0" w:line="598" w:lineRule="auto"/>
        <w:tabs>
          <w:tab w:leader="none" w:pos="591"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Compensation Discussion &amp; Analysis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Remuneration policy</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203"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and the CEO makes recommendations to the Committee regarding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5"/>
          <w:szCs w:val="15"/>
          <w:color w:val="auto"/>
        </w:rPr>
        <w:t>performance assessment and the compensation package of the other key executives. Base salary, bonus awards and Directors’ fees were determined by the Compensation and Organization Committee in U.S. dollars, euro or British pound sterling.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Outside Directors’ remuneration</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Outside Directors are remunerated by way of Directors’ fees and are also eligible for participation in the share equity incentive schemes. Up to April 1, 2024, each outside Director (excluding the Board Chairman) was paid an annual retainer of $90,000 and additional fees for Board Committee service. With effect from April 1, 2024, the annual retainer was increased to $100,000.</w:t>
      </w:r>
    </w:p>
    <w:p>
      <w:pPr>
        <w:spacing w:after="0" w:line="18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Mr. Murray’s Executive Chairman term expired on May 12, 2018 and he transitioned to the outside Director role of Chair. The current arrangement with the Chair provides for payment of €330,000 (translated at average rate for the year: $358,182) annually.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Mr. Rónán Murphy was appointed as Lead Independent Director with effect from January 1, 2019 and receives an additional annual fee of $40,000 for this role.</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Outside Directors are not eligible for performance related bonuses and no pension contributions are made on their behalf. The Compensation and Organization Committee sets outside Directors' remuneration.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Directors’ and Key Executive Officers’ remuneration</w:t>
      </w:r>
    </w:p>
    <w:p>
      <w:pPr>
        <w:spacing w:after="0" w:line="232"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Total cash compensation comprised of a base salary and a bonus incentive.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85% and 135% of salary, based on Group and individual performance.</w:t>
      </w:r>
    </w:p>
    <w:p>
      <w:pPr>
        <w:spacing w:after="0" w:line="20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No bonus was awarded to Dr. Steve Cutler, Chief Executive Officer, Mr. Nigel Clerkin, Chief Financial Officer or Mr. Brendan Brennan, former Chief Financial Officer, for the year ended December 31, 2024. This was approved by the Compensation and Organization Committee.</w:t>
      </w:r>
    </w:p>
    <w:p>
      <w:pPr>
        <w:spacing w:after="0" w:line="168" w:lineRule="exact"/>
        <w:rPr>
          <w:sz w:val="20"/>
          <w:szCs w:val="20"/>
          <w:color w:val="auto"/>
        </w:rPr>
      </w:pPr>
    </w:p>
    <w:p>
      <w:pPr>
        <w:jc w:val="both"/>
        <w:ind w:firstLine="591"/>
        <w:spacing w:after="0" w:line="230" w:lineRule="auto"/>
        <w:rPr>
          <w:sz w:val="20"/>
          <w:szCs w:val="20"/>
          <w:color w:val="auto"/>
        </w:rPr>
      </w:pPr>
      <w:r>
        <w:rPr>
          <w:rFonts w:ascii="Arial" w:cs="Arial" w:eastAsia="Arial" w:hAnsi="Arial"/>
          <w:sz w:val="15"/>
          <w:szCs w:val="15"/>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During 2024, Performance Share Units (“PSUs”) which were awarded in 2021, subject to vesting, vested for Dr. Steve Cutler, Chief Executive Officer, in the amount of 4,452 from a potential grant of 20,708. The percentage granted reflects service and the Company's achievements of diluted non-GAAP specified EPS targets over the three year period from 2021 - 2023.</w:t>
      </w:r>
    </w:p>
    <w:p>
      <w:pPr>
        <w:spacing w:after="0" w:line="19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During 2024, Performance Share Units (“PSUs”) which were awarded in 2021, subject to vesting, vested for Brendan Brennan, then Chief Financial Officer, in the amount of 1,050 from a potential grant of 4,888. The percentage granted reflects service and the Company's achievements of diluted non-GAAP specified EPS targets over the three year period from 2021 - 2023.</w:t>
      </w:r>
    </w:p>
    <w:p>
      <w:pPr>
        <w:spacing w:after="0" w:line="20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Third party Agreements and Arrangements</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15"/>
          <w:szCs w:val="15"/>
          <w:b w:val="1"/>
          <w:bCs w:val="1"/>
          <w:color w:val="auto"/>
        </w:rPr>
        <w:t>Executive Compensation</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2024</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Name &amp; principal</w:t>
            </w:r>
          </w:p>
        </w:tc>
        <w:tc>
          <w:tcPr>
            <w:tcW w:w="700" w:type="dxa"/>
            <w:vAlign w:val="bottom"/>
            <w:tcBorders>
              <w:top w:val="single" w:sz="8" w:color="auto"/>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b w:val="1"/>
                <w:bCs w:val="1"/>
                <w:color w:val="auto"/>
              </w:rPr>
              <w:t>Year</w:t>
            </w:r>
          </w:p>
        </w:tc>
        <w:tc>
          <w:tcPr>
            <w:tcW w:w="1100" w:type="dxa"/>
            <w:vAlign w:val="bottom"/>
            <w:tcBorders>
              <w:top w:val="single" w:sz="8" w:color="auto"/>
            </w:tcBorders>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Salary</w:t>
            </w:r>
          </w:p>
        </w:tc>
        <w:tc>
          <w:tcPr>
            <w:tcW w:w="88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Bonus</w:t>
            </w:r>
          </w:p>
        </w:tc>
        <w:tc>
          <w:tcPr>
            <w:tcW w:w="1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Pension</w:t>
            </w:r>
          </w:p>
        </w:tc>
        <w:tc>
          <w:tcPr>
            <w:tcW w:w="8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0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2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Share-based</w:t>
            </w:r>
          </w:p>
        </w:tc>
        <w:tc>
          <w:tcPr>
            <w:tcW w:w="9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Director’s</w:t>
            </w:r>
          </w:p>
        </w:tc>
        <w:tc>
          <w:tcPr>
            <w:tcW w:w="11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position</w:t>
            </w: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contribution compensation</w:t>
            </w:r>
          </w:p>
        </w:tc>
        <w:tc>
          <w:tcPr>
            <w:tcW w:w="10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compensation</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Fees</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compensation</w:t>
            </w: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880" w:type="dxa"/>
            <w:vAlign w:val="bottom"/>
          </w:tcPr>
          <w:p>
            <w:pPr>
              <w:jc w:val="right"/>
              <w:ind w:right="126"/>
              <w:spacing w:after="0"/>
              <w:rPr>
                <w:sz w:val="20"/>
                <w:szCs w:val="20"/>
                <w:color w:val="auto"/>
              </w:rPr>
            </w:pPr>
            <w:r>
              <w:rPr>
                <w:rFonts w:ascii="Arial" w:cs="Arial" w:eastAsia="Arial" w:hAnsi="Arial"/>
                <w:sz w:val="15"/>
                <w:szCs w:val="15"/>
                <w:b w:val="1"/>
                <w:bCs w:val="1"/>
                <w:color w:val="auto"/>
              </w:rPr>
              <w:t>$’000</w:t>
            </w: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220" w:type="dxa"/>
            <w:vAlign w:val="bottom"/>
          </w:tcPr>
          <w:p>
            <w:pPr>
              <w:jc w:val="right"/>
              <w:ind w:right="106"/>
              <w:spacing w:after="0"/>
              <w:rPr>
                <w:sz w:val="20"/>
                <w:szCs w:val="20"/>
                <w:color w:val="auto"/>
              </w:rPr>
            </w:pPr>
            <w:r>
              <w:rPr>
                <w:rFonts w:ascii="Arial" w:cs="Arial" w:eastAsia="Arial" w:hAnsi="Arial"/>
                <w:sz w:val="15"/>
                <w:szCs w:val="15"/>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Dr. Steve Cutler</w:t>
            </w:r>
          </w:p>
        </w:tc>
        <w:tc>
          <w:tcPr>
            <w:tcW w:w="70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color w:val="auto"/>
              </w:rPr>
              <w:t>2024</w:t>
            </w:r>
          </w:p>
        </w:tc>
        <w:tc>
          <w:tcPr>
            <w:tcW w:w="11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1,234</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28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130</w:t>
            </w:r>
          </w:p>
        </w:tc>
        <w:tc>
          <w:tcPr>
            <w:tcW w:w="88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31</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1,395</w:t>
            </w:r>
          </w:p>
        </w:tc>
        <w:tc>
          <w:tcPr>
            <w:tcW w:w="12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3,082</w:t>
            </w:r>
          </w:p>
        </w:tc>
        <w:tc>
          <w:tcPr>
            <w:tcW w:w="9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44</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4,521</w:t>
            </w: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Chief Executive Officer</w:t>
            </w: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880" w:type="dxa"/>
            <w:vAlign w:val="bottom"/>
            <w:tcBorders>
              <w:right w:val="single" w:sz="8" w:color="auto"/>
            </w:tcBorders>
            <w:vMerge w:val="continue"/>
            <w:shd w:val="clear" w:color="auto" w:fill="CCEEFF"/>
          </w:tcPr>
          <w:p>
            <w:pPr>
              <w:spacing w:after="0"/>
              <w:rPr>
                <w:sz w:val="17"/>
                <w:szCs w:val="17"/>
                <w:color w:val="auto"/>
              </w:rPr>
            </w:pPr>
          </w:p>
        </w:tc>
        <w:tc>
          <w:tcPr>
            <w:tcW w:w="1000" w:type="dxa"/>
            <w:vAlign w:val="bottom"/>
            <w:tcBorders>
              <w:right w:val="single" w:sz="8" w:color="auto"/>
            </w:tcBorders>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92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120" w:type="dxa"/>
            <w:vAlign w:val="bottom"/>
            <w:tcBorders>
              <w:left w:val="single" w:sz="8" w:color="auto"/>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Nigel Clerkin,</w:t>
            </w:r>
          </w:p>
        </w:tc>
        <w:tc>
          <w:tcPr>
            <w:tcW w:w="70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color w:val="auto"/>
              </w:rPr>
              <w:t>2024</w:t>
            </w:r>
          </w:p>
        </w:tc>
        <w:tc>
          <w:tcPr>
            <w:tcW w:w="11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124</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28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18</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142</w:t>
            </w:r>
          </w:p>
        </w:tc>
        <w:tc>
          <w:tcPr>
            <w:tcW w:w="12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105</w:t>
            </w:r>
          </w:p>
        </w:tc>
        <w:tc>
          <w:tcPr>
            <w:tcW w:w="9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Chief Financial Officer*</w:t>
            </w: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880" w:type="dxa"/>
            <w:vAlign w:val="bottom"/>
            <w:tcBorders>
              <w:right w:val="single" w:sz="8" w:color="auto"/>
            </w:tcBorders>
            <w:vMerge w:val="continue"/>
            <w:shd w:val="clear" w:color="auto" w:fill="CCEEFF"/>
          </w:tcPr>
          <w:p>
            <w:pPr>
              <w:spacing w:after="0"/>
              <w:rPr>
                <w:sz w:val="17"/>
                <w:szCs w:val="17"/>
                <w:color w:val="auto"/>
              </w:rPr>
            </w:pPr>
          </w:p>
        </w:tc>
        <w:tc>
          <w:tcPr>
            <w:tcW w:w="1000" w:type="dxa"/>
            <w:vAlign w:val="bottom"/>
            <w:tcBorders>
              <w:right w:val="single" w:sz="8" w:color="auto"/>
            </w:tcBorders>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92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Brendan Brennan,</w:t>
            </w:r>
          </w:p>
        </w:tc>
        <w:tc>
          <w:tcPr>
            <w:tcW w:w="700" w:type="dxa"/>
            <w:vAlign w:val="bottom"/>
            <w:tcBorders>
              <w:right w:val="single" w:sz="8" w:color="auto"/>
            </w:tcBorders>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Former Chief Financial</w:t>
            </w:r>
          </w:p>
        </w:tc>
        <w:tc>
          <w:tcPr>
            <w:tcW w:w="70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color w:val="auto"/>
              </w:rPr>
              <w:t>2024</w:t>
            </w:r>
          </w:p>
        </w:tc>
        <w:tc>
          <w:tcPr>
            <w:tcW w:w="11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619</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28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77</w:t>
            </w:r>
          </w:p>
        </w:tc>
        <w:tc>
          <w:tcPr>
            <w:tcW w:w="88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27</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723</w:t>
            </w:r>
          </w:p>
        </w:tc>
        <w:tc>
          <w:tcPr>
            <w:tcW w:w="122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(586)</w:t>
            </w:r>
          </w:p>
        </w:tc>
        <w:tc>
          <w:tcPr>
            <w:tcW w:w="9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Officer**</w:t>
            </w: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2024</w:t>
            </w:r>
          </w:p>
        </w:tc>
        <w:tc>
          <w:tcPr>
            <w:tcW w:w="11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1,977</w:t>
            </w: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207</w:t>
            </w:r>
          </w:p>
        </w:tc>
        <w:tc>
          <w:tcPr>
            <w:tcW w:w="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76</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2,260</w:t>
            </w: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2,601</w:t>
            </w:r>
          </w:p>
        </w:tc>
        <w:tc>
          <w:tcPr>
            <w:tcW w:w="9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44</w:t>
            </w:r>
          </w:p>
        </w:tc>
        <w:tc>
          <w:tcPr>
            <w:tcW w:w="11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4,905</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Mr. Nigel Clerkin commenced employment with the Company in October 2024 and effective October 31, 2024 took over from Mr. Brendan Brennan as CFO.</w:t>
      </w:r>
    </w:p>
    <w:p>
      <w:pPr>
        <w:spacing w:after="0" w:line="62" w:lineRule="exact"/>
        <w:rPr>
          <w:sz w:val="20"/>
          <w:szCs w:val="20"/>
          <w:color w:val="auto"/>
        </w:rPr>
      </w:pPr>
    </w:p>
    <w:p>
      <w:pPr>
        <w:ind w:left="240" w:hanging="221"/>
        <w:spacing w:after="0" w:line="263" w:lineRule="auto"/>
        <w:tabs>
          <w:tab w:leader="none" w:pos="174" w:val="left"/>
        </w:tabs>
        <w:numPr>
          <w:ilvl w:val="0"/>
          <w:numId w:val="53"/>
        </w:numPr>
        <w:rPr>
          <w:rFonts w:ascii="Arial" w:cs="Arial" w:eastAsia="Arial" w:hAnsi="Arial"/>
          <w:sz w:val="15"/>
          <w:szCs w:val="15"/>
          <w:color w:val="auto"/>
        </w:rPr>
      </w:pPr>
      <w:r>
        <w:rPr>
          <w:rFonts w:ascii="Arial" w:cs="Arial" w:eastAsia="Arial" w:hAnsi="Arial"/>
          <w:sz w:val="15"/>
          <w:szCs w:val="15"/>
          <w:color w:val="auto"/>
        </w:rPr>
        <w:t>Mr. Brendan Brennan resigned on October 31, 2024. All unvested options, Restricted Share Units and Performance Share Units were forfeited on Mr. Brennan ceasing to be an ICON plc employee on October 31, 2024 resulting in a credit to share based compensation of $0.6 million. Included within this credit, is a charge of $0.2 million related to awards which vested during the period.</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2023</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Name &amp; principal</w:t>
            </w:r>
          </w:p>
        </w:tc>
        <w:tc>
          <w:tcPr>
            <w:tcW w:w="740" w:type="dxa"/>
            <w:vAlign w:val="bottom"/>
            <w:tcBorders>
              <w:top w:val="single" w:sz="8" w:color="auto"/>
              <w:right w:val="single" w:sz="8" w:color="auto"/>
            </w:tcBorders>
            <w:vMerge w:val="restart"/>
            <w:shd w:val="clear" w:color="auto" w:fill="CCEEFF"/>
          </w:tcPr>
          <w:p>
            <w:pPr>
              <w:ind w:left="200"/>
              <w:spacing w:after="0"/>
              <w:rPr>
                <w:sz w:val="20"/>
                <w:szCs w:val="20"/>
                <w:color w:val="auto"/>
              </w:rPr>
            </w:pPr>
            <w:r>
              <w:rPr>
                <w:rFonts w:ascii="Arial" w:cs="Arial" w:eastAsia="Arial" w:hAnsi="Arial"/>
                <w:sz w:val="15"/>
                <w:szCs w:val="15"/>
                <w:b w:val="1"/>
                <w:bCs w:val="1"/>
                <w:color w:val="auto"/>
              </w:rPr>
              <w:t>Year</w:t>
            </w:r>
          </w:p>
        </w:tc>
        <w:tc>
          <w:tcPr>
            <w:tcW w:w="1080" w:type="dxa"/>
            <w:vAlign w:val="bottom"/>
            <w:tcBorders>
              <w:top w:val="single" w:sz="8" w:color="auto"/>
            </w:tcBorders>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Salary</w:t>
            </w:r>
          </w:p>
        </w:tc>
        <w:tc>
          <w:tcPr>
            <w:tcW w:w="88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Bonus</w:t>
            </w:r>
          </w:p>
        </w:tc>
        <w:tc>
          <w:tcPr>
            <w:tcW w:w="130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Pension</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0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2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Share-based</w:t>
            </w:r>
          </w:p>
        </w:tc>
        <w:tc>
          <w:tcPr>
            <w:tcW w:w="9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Director’s</w:t>
            </w:r>
          </w:p>
        </w:tc>
        <w:tc>
          <w:tcPr>
            <w:tcW w:w="10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position</w:t>
            </w: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contribution compensation</w:t>
            </w:r>
          </w:p>
        </w:tc>
        <w:tc>
          <w:tcPr>
            <w:tcW w:w="10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98"/>
              </w:rPr>
              <w:t>compensation</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Fees</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compensation</w:t>
            </w: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8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880" w:type="dxa"/>
            <w:vAlign w:val="bottom"/>
          </w:tcPr>
          <w:p>
            <w:pPr>
              <w:jc w:val="right"/>
              <w:ind w:right="126"/>
              <w:spacing w:after="0"/>
              <w:rPr>
                <w:sz w:val="20"/>
                <w:szCs w:val="20"/>
                <w:color w:val="auto"/>
              </w:rPr>
            </w:pPr>
            <w:r>
              <w:rPr>
                <w:rFonts w:ascii="Arial" w:cs="Arial" w:eastAsia="Arial" w:hAnsi="Arial"/>
                <w:sz w:val="15"/>
                <w:szCs w:val="15"/>
                <w:b w:val="1"/>
                <w:bCs w:val="1"/>
                <w:color w:val="auto"/>
              </w:rPr>
              <w:t>$’000</w:t>
            </w:r>
          </w:p>
        </w:tc>
        <w:tc>
          <w:tcPr>
            <w:tcW w:w="1300" w:type="dxa"/>
            <w:vAlign w:val="bottom"/>
          </w:tcPr>
          <w:p>
            <w:pPr>
              <w:jc w:val="right"/>
              <w:ind w:right="166"/>
              <w:spacing w:after="0"/>
              <w:rPr>
                <w:sz w:val="20"/>
                <w:szCs w:val="20"/>
                <w:color w:val="auto"/>
              </w:rPr>
            </w:pPr>
            <w:r>
              <w:rPr>
                <w:rFonts w:ascii="Arial" w:cs="Arial" w:eastAsia="Arial" w:hAnsi="Arial"/>
                <w:sz w:val="15"/>
                <w:szCs w:val="15"/>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200" w:type="dxa"/>
            <w:vAlign w:val="bottom"/>
          </w:tcPr>
          <w:p>
            <w:pPr>
              <w:jc w:val="right"/>
              <w:ind w:right="106"/>
              <w:spacing w:after="0"/>
              <w:rPr>
                <w:sz w:val="20"/>
                <w:szCs w:val="20"/>
                <w:color w:val="auto"/>
              </w:rPr>
            </w:pPr>
            <w:r>
              <w:rPr>
                <w:rFonts w:ascii="Arial" w:cs="Arial" w:eastAsia="Arial" w:hAnsi="Arial"/>
                <w:sz w:val="15"/>
                <w:szCs w:val="15"/>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Dr. Steve Cutler</w:t>
            </w:r>
          </w:p>
        </w:tc>
        <w:tc>
          <w:tcPr>
            <w:tcW w:w="74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color w:val="auto"/>
              </w:rPr>
              <w:t>2023</w:t>
            </w:r>
          </w:p>
        </w:tc>
        <w:tc>
          <w:tcPr>
            <w:tcW w:w="1080" w:type="dxa"/>
            <w:vAlign w:val="bottom"/>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1,191</w:t>
            </w:r>
          </w:p>
        </w:tc>
        <w:tc>
          <w:tcPr>
            <w:tcW w:w="88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1,197</w:t>
            </w:r>
          </w:p>
        </w:tc>
        <w:tc>
          <w:tcPr>
            <w:tcW w:w="13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125</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31</w:t>
            </w:r>
          </w:p>
        </w:tc>
        <w:tc>
          <w:tcPr>
            <w:tcW w:w="10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2,544</w:t>
            </w:r>
          </w:p>
        </w:tc>
        <w:tc>
          <w:tcPr>
            <w:tcW w:w="12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4,656</w:t>
            </w:r>
          </w:p>
        </w:tc>
        <w:tc>
          <w:tcPr>
            <w:tcW w:w="9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44</w:t>
            </w:r>
          </w:p>
        </w:tc>
        <w:tc>
          <w:tcPr>
            <w:tcW w:w="10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7,244</w:t>
            </w: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Chief Executive Officer</w:t>
            </w:r>
          </w:p>
        </w:tc>
        <w:tc>
          <w:tcPr>
            <w:tcW w:w="740" w:type="dxa"/>
            <w:vAlign w:val="bottom"/>
            <w:tcBorders>
              <w:right w:val="single" w:sz="8" w:color="auto"/>
            </w:tcBorders>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vMerge w:val="continue"/>
            <w:shd w:val="clear" w:color="auto" w:fill="CCEEFF"/>
          </w:tcPr>
          <w:p>
            <w:pPr>
              <w:spacing w:after="0"/>
              <w:rPr>
                <w:sz w:val="17"/>
                <w:szCs w:val="17"/>
                <w:color w:val="auto"/>
              </w:rPr>
            </w:pPr>
          </w:p>
        </w:tc>
        <w:tc>
          <w:tcPr>
            <w:tcW w:w="1020" w:type="dxa"/>
            <w:vAlign w:val="bottom"/>
            <w:tcBorders>
              <w:right w:val="single" w:sz="8" w:color="auto"/>
            </w:tcBorders>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920" w:type="dxa"/>
            <w:vAlign w:val="bottom"/>
            <w:tcBorders>
              <w:right w:val="single" w:sz="8" w:color="auto"/>
            </w:tcBorders>
            <w:vMerge w:val="continue"/>
            <w:shd w:val="clear" w:color="auto" w:fill="CCEEFF"/>
          </w:tcPr>
          <w:p>
            <w:pPr>
              <w:spacing w:after="0"/>
              <w:rPr>
                <w:sz w:val="17"/>
                <w:szCs w:val="17"/>
                <w:color w:val="auto"/>
              </w:rPr>
            </w:pPr>
          </w:p>
        </w:tc>
        <w:tc>
          <w:tcPr>
            <w:tcW w:w="10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2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Brendan Brennan,</w:t>
            </w:r>
          </w:p>
        </w:tc>
        <w:tc>
          <w:tcPr>
            <w:tcW w:w="74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5"/>
                <w:szCs w:val="15"/>
                <w:color w:val="auto"/>
              </w:rPr>
              <w:t>2023</w:t>
            </w:r>
          </w:p>
        </w:tc>
        <w:tc>
          <w:tcPr>
            <w:tcW w:w="1080" w:type="dxa"/>
            <w:vAlign w:val="bottom"/>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587</w:t>
            </w:r>
          </w:p>
        </w:tc>
        <w:tc>
          <w:tcPr>
            <w:tcW w:w="88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381</w:t>
            </w:r>
          </w:p>
        </w:tc>
        <w:tc>
          <w:tcPr>
            <w:tcW w:w="13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73</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31</w:t>
            </w:r>
          </w:p>
        </w:tc>
        <w:tc>
          <w:tcPr>
            <w:tcW w:w="102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1,072</w:t>
            </w:r>
          </w:p>
        </w:tc>
        <w:tc>
          <w:tcPr>
            <w:tcW w:w="12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990</w:t>
            </w:r>
          </w:p>
        </w:tc>
        <w:tc>
          <w:tcPr>
            <w:tcW w:w="9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8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Chief Financial Officer</w:t>
            </w: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7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2023</w:t>
            </w:r>
          </w:p>
        </w:tc>
        <w:tc>
          <w:tcPr>
            <w:tcW w:w="10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1,778</w:t>
            </w:r>
          </w:p>
        </w:tc>
        <w:tc>
          <w:tcPr>
            <w:tcW w:w="8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1,578</w:t>
            </w:r>
          </w:p>
        </w:tc>
        <w:tc>
          <w:tcPr>
            <w:tcW w:w="13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198</w:t>
            </w: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62</w:t>
            </w:r>
          </w:p>
        </w:tc>
        <w:tc>
          <w:tcPr>
            <w:tcW w:w="10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3,616</w:t>
            </w:r>
          </w:p>
        </w:tc>
        <w:tc>
          <w:tcPr>
            <w:tcW w:w="12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5,646</w:t>
            </w:r>
          </w:p>
        </w:tc>
        <w:tc>
          <w:tcPr>
            <w:tcW w:w="9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44</w:t>
            </w:r>
          </w:p>
        </w:tc>
        <w:tc>
          <w:tcPr>
            <w:tcW w:w="10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9,306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697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60"/>
          </w:cols>
          <w:pgMar w:left="300" w:top="830" w:right="339" w:bottom="1440" w:gutter="0" w:footer="0" w:header="0"/>
        </w:sectPr>
      </w:pPr>
    </w:p>
    <w:bookmarkStart w:id="74" w:name="page75"/>
    <w:bookmarkEnd w:id="74"/>
    <w:p>
      <w:pPr>
        <w:ind w:left="20"/>
        <w:spacing w:after="0"/>
        <w:rPr>
          <w:sz w:val="20"/>
          <w:szCs w:val="20"/>
          <w:color w:val="auto"/>
        </w:rPr>
      </w:pPr>
      <w:r>
        <w:rPr>
          <w:rFonts w:ascii="Arial" w:cs="Arial" w:eastAsia="Arial" w:hAnsi="Arial"/>
          <w:sz w:val="15"/>
          <w:szCs w:val="15"/>
          <w:b w:val="1"/>
          <w:bCs w:val="1"/>
          <w:color w:val="auto"/>
        </w:rPr>
        <w:t>Director Compensation</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2024</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22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Name</w:t>
            </w:r>
          </w:p>
        </w:tc>
        <w:tc>
          <w:tcPr>
            <w:tcW w:w="840" w:type="dxa"/>
            <w:vAlign w:val="bottom"/>
            <w:tcBorders>
              <w:top w:val="single" w:sz="8" w:color="auto"/>
              <w:right w:val="single" w:sz="8" w:color="auto"/>
            </w:tcBorders>
            <w:vMerge w:val="restart"/>
            <w:shd w:val="clear" w:color="auto" w:fill="CCEEFF"/>
          </w:tcPr>
          <w:p>
            <w:pPr>
              <w:ind w:left="260"/>
              <w:spacing w:after="0"/>
              <w:rPr>
                <w:sz w:val="20"/>
                <w:szCs w:val="20"/>
                <w:color w:val="auto"/>
              </w:rPr>
            </w:pPr>
            <w:r>
              <w:rPr>
                <w:rFonts w:ascii="Arial" w:cs="Arial" w:eastAsia="Arial" w:hAnsi="Arial"/>
                <w:sz w:val="15"/>
                <w:szCs w:val="15"/>
                <w:b w:val="1"/>
                <w:bCs w:val="1"/>
                <w:color w:val="auto"/>
              </w:rPr>
              <w:t>Year</w:t>
            </w:r>
          </w:p>
        </w:tc>
        <w:tc>
          <w:tcPr>
            <w:tcW w:w="1320" w:type="dxa"/>
            <w:vAlign w:val="bottom"/>
            <w:tcBorders>
              <w:top w:val="single" w:sz="8" w:color="auto"/>
            </w:tcBorders>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Salary</w:t>
            </w:r>
          </w:p>
        </w:tc>
        <w:tc>
          <w:tcPr>
            <w:tcW w:w="1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Company</w:t>
            </w:r>
          </w:p>
        </w:tc>
        <w:tc>
          <w:tcPr>
            <w:tcW w:w="11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1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Share-based</w:t>
            </w:r>
          </w:p>
        </w:tc>
        <w:tc>
          <w:tcPr>
            <w:tcW w:w="11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Director’s fees</w:t>
            </w:r>
          </w:p>
        </w:tc>
        <w:tc>
          <w:tcPr>
            <w:tcW w:w="11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22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840" w:type="dxa"/>
            <w:vAlign w:val="bottom"/>
            <w:tcBorders>
              <w:right w:val="single" w:sz="8" w:color="auto"/>
            </w:tcBorders>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140" w:type="dxa"/>
            <w:vAlign w:val="bottom"/>
            <w:shd w:val="clear" w:color="auto" w:fill="CCEEFF"/>
          </w:tcPr>
          <w:p>
            <w:pPr>
              <w:jc w:val="right"/>
              <w:ind w:right="46"/>
              <w:spacing w:after="0" w:line="148" w:lineRule="exact"/>
              <w:rPr>
                <w:sz w:val="20"/>
                <w:szCs w:val="20"/>
                <w:color w:val="auto"/>
              </w:rPr>
            </w:pPr>
            <w:r>
              <w:rPr>
                <w:rFonts w:ascii="Arial" w:cs="Arial" w:eastAsia="Arial" w:hAnsi="Arial"/>
                <w:sz w:val="15"/>
                <w:szCs w:val="15"/>
                <w:b w:val="1"/>
                <w:bCs w:val="1"/>
                <w:color w:val="auto"/>
              </w:rPr>
              <w:t>pension</w:t>
            </w:r>
          </w:p>
        </w:tc>
        <w:tc>
          <w:tcPr>
            <w:tcW w:w="1120" w:type="dxa"/>
            <w:vAlign w:val="bottom"/>
            <w:tcBorders>
              <w:right w:val="single" w:sz="8" w:color="auto"/>
            </w:tcBorders>
            <w:vMerge w:val="continue"/>
            <w:shd w:val="clear" w:color="auto" w:fill="CCEEFF"/>
          </w:tcPr>
          <w:p>
            <w:pPr>
              <w:spacing w:after="0"/>
              <w:rPr>
                <w:sz w:val="12"/>
                <w:szCs w:val="12"/>
                <w:color w:val="auto"/>
              </w:rPr>
            </w:pPr>
          </w:p>
        </w:tc>
        <w:tc>
          <w:tcPr>
            <w:tcW w:w="1140" w:type="dxa"/>
            <w:vAlign w:val="bottom"/>
            <w:tcBorders>
              <w:right w:val="single" w:sz="8" w:color="auto"/>
            </w:tcBorders>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120" w:type="dxa"/>
            <w:vAlign w:val="bottom"/>
            <w:tcBorders>
              <w:right w:val="single" w:sz="8" w:color="auto"/>
            </w:tcBorders>
            <w:vMerge w:val="continue"/>
            <w:shd w:val="clear" w:color="auto" w:fill="CCEEFF"/>
          </w:tcPr>
          <w:p>
            <w:pPr>
              <w:spacing w:after="0"/>
              <w:rPr>
                <w:sz w:val="12"/>
                <w:szCs w:val="12"/>
                <w:color w:val="auto"/>
              </w:rPr>
            </w:pPr>
          </w:p>
        </w:tc>
        <w:tc>
          <w:tcPr>
            <w:tcW w:w="110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contribution</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compensation</w:t>
            </w:r>
          </w:p>
        </w:tc>
        <w:tc>
          <w:tcPr>
            <w:tcW w:w="1140" w:type="dxa"/>
            <w:vAlign w:val="bottom"/>
            <w:tcBorders>
              <w:bottom w:val="single" w:sz="8" w:color="auto"/>
              <w:right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compensation</w:t>
            </w:r>
          </w:p>
        </w:tc>
        <w:tc>
          <w:tcPr>
            <w:tcW w:w="1120" w:type="dxa"/>
            <w:vAlign w:val="bottom"/>
            <w:tcBorders>
              <w:bottom w:val="single" w:sz="8" w:color="auto"/>
              <w:right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Compensation</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2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1140" w:type="dxa"/>
            <w:vAlign w:val="bottom"/>
          </w:tcPr>
          <w:p>
            <w:pPr>
              <w:jc w:val="right"/>
              <w:ind w:right="6"/>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Ciaran Murray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358</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658</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Steve Cutler</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1,234</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130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31</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1,395</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3,082</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44</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4,521</w:t>
            </w:r>
          </w:p>
        </w:tc>
        <w:tc>
          <w:tcPr>
            <w:tcW w:w="0" w:type="dxa"/>
            <w:vAlign w:val="bottom"/>
          </w:tcPr>
          <w:p>
            <w:pPr>
              <w:spacing w:after="0"/>
              <w:rPr>
                <w:sz w:val="1"/>
                <w:szCs w:val="1"/>
                <w:color w:val="auto"/>
              </w:rPr>
            </w:pPr>
          </w:p>
        </w:tc>
      </w:tr>
      <w:tr>
        <w:trPr>
          <w:trHeight w:val="199"/>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Rónán Murphy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213</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174</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John Climax</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213</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98</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99"/>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Joan Garahy*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78</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72</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Eugene McCague</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213</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130</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99"/>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Julie O'Neill</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213</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123</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Linda Grais</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213</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119</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Anne Whitaker**</w:t>
            </w:r>
          </w:p>
        </w:tc>
        <w:tc>
          <w:tcPr>
            <w:tcW w:w="84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2024</w:t>
            </w:r>
          </w:p>
        </w:tc>
        <w:tc>
          <w:tcPr>
            <w:tcW w:w="13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50</w:t>
            </w:r>
          </w:p>
        </w:tc>
        <w:tc>
          <w:tcPr>
            <w:tcW w:w="110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1"/>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8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2024</w:t>
            </w:r>
          </w:p>
        </w:tc>
        <w:tc>
          <w:tcPr>
            <w:tcW w:w="13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1,234</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130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31</w:t>
            </w: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1,395</w:t>
            </w: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4,525</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1,168</w:t>
            </w:r>
          </w:p>
        </w:tc>
        <w:tc>
          <w:tcPr>
            <w:tcW w:w="11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7,088</w:t>
            </w:r>
          </w:p>
        </w:tc>
        <w:tc>
          <w:tcPr>
            <w:tcW w:w="0" w:type="dxa"/>
            <w:vAlign w:val="bottom"/>
          </w:tcPr>
          <w:p>
            <w:pPr>
              <w:spacing w:after="0"/>
              <w:rPr>
                <w:sz w:val="1"/>
                <w:szCs w:val="1"/>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Ms. Joan Garahy retired from the Board on July 23, 2024.</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Ms. Anne Whitaker was appointed to the Board on July 23, 2024.</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2023</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Borders>
              <w:top w:val="single" w:sz="8" w:color="auto"/>
              <w:right w:val="single" w:sz="8" w:color="auto"/>
            </w:tcBorders>
            <w:shd w:val="clear" w:color="auto" w:fill="000000"/>
          </w:tcPr>
          <w:p>
            <w:pPr>
              <w:spacing w:after="0"/>
              <w:rPr>
                <w:sz w:val="15"/>
                <w:szCs w:val="15"/>
                <w:color w:val="auto"/>
              </w:rPr>
            </w:pPr>
          </w:p>
        </w:tc>
        <w:tc>
          <w:tcPr>
            <w:tcW w:w="2180" w:type="dxa"/>
            <w:vAlign w:val="bottom"/>
            <w:tcBorders>
              <w:top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Company</w:t>
            </w:r>
          </w:p>
        </w:tc>
        <w:tc>
          <w:tcPr>
            <w:tcW w:w="11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140" w:type="dxa"/>
            <w:vAlign w:val="bottom"/>
            <w:tcBorders>
              <w:top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Share-based</w:t>
            </w:r>
          </w:p>
        </w:tc>
        <w:tc>
          <w:tcPr>
            <w:tcW w:w="1120" w:type="dxa"/>
            <w:vAlign w:val="bottom"/>
            <w:tcBorders>
              <w:top w:val="single" w:sz="8" w:color="auto"/>
              <w:right w:val="single" w:sz="8" w:color="auto"/>
            </w:tcBorders>
            <w:shd w:val="clear" w:color="auto" w:fill="CCEEFF"/>
          </w:tcPr>
          <w:p>
            <w:pPr>
              <w:spacing w:after="0"/>
              <w:rPr>
                <w:sz w:val="15"/>
                <w:szCs w:val="15"/>
                <w:color w:val="auto"/>
              </w:rPr>
            </w:pPr>
          </w:p>
        </w:tc>
        <w:tc>
          <w:tcPr>
            <w:tcW w:w="11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shd w:val="clear" w:color="auto" w:fill="000000"/>
          </w:tcPr>
          <w:p>
            <w:pPr>
              <w:spacing w:after="0"/>
              <w:rPr>
                <w:sz w:val="6"/>
                <w:szCs w:val="6"/>
                <w:color w:val="auto"/>
              </w:rPr>
            </w:pPr>
          </w:p>
        </w:tc>
        <w:tc>
          <w:tcPr>
            <w:tcW w:w="21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Name</w:t>
            </w:r>
          </w:p>
        </w:tc>
        <w:tc>
          <w:tcPr>
            <w:tcW w:w="840" w:type="dxa"/>
            <w:vAlign w:val="bottom"/>
            <w:tcBorders>
              <w:right w:val="single" w:sz="8" w:color="auto"/>
            </w:tcBorders>
            <w:vMerge w:val="restart"/>
            <w:shd w:val="clear" w:color="auto" w:fill="CCEEFF"/>
          </w:tcPr>
          <w:p>
            <w:pPr>
              <w:ind w:left="240"/>
              <w:spacing w:after="0"/>
              <w:rPr>
                <w:sz w:val="20"/>
                <w:szCs w:val="20"/>
                <w:color w:val="auto"/>
              </w:rPr>
            </w:pPr>
            <w:r>
              <w:rPr>
                <w:rFonts w:ascii="Arial" w:cs="Arial" w:eastAsia="Arial" w:hAnsi="Arial"/>
                <w:sz w:val="15"/>
                <w:szCs w:val="15"/>
                <w:b w:val="1"/>
                <w:bCs w:val="1"/>
                <w:color w:val="auto"/>
              </w:rPr>
              <w:t>Year</w:t>
            </w:r>
          </w:p>
        </w:tc>
        <w:tc>
          <w:tcPr>
            <w:tcW w:w="132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Salary</w:t>
            </w: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pension</w:t>
            </w:r>
          </w:p>
        </w:tc>
        <w:tc>
          <w:tcPr>
            <w:tcW w:w="1120" w:type="dxa"/>
            <w:vAlign w:val="bottom"/>
            <w:tcBorders>
              <w:right w:val="single" w:sz="8" w:color="auto"/>
            </w:tcBorders>
            <w:vMerge w:val="continue"/>
            <w:shd w:val="clear" w:color="auto" w:fill="CCEEFF"/>
          </w:tcPr>
          <w:p>
            <w:pPr>
              <w:spacing w:after="0"/>
              <w:rPr>
                <w:sz w:val="6"/>
                <w:szCs w:val="6"/>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180" w:type="dxa"/>
            <w:vAlign w:val="bottom"/>
            <w:vMerge w:val="continue"/>
            <w:shd w:val="clear" w:color="auto" w:fill="CCEEFF"/>
          </w:tcPr>
          <w:p>
            <w:pPr>
              <w:spacing w:after="0"/>
              <w:rPr>
                <w:sz w:val="6"/>
                <w:szCs w:val="6"/>
                <w:color w:val="auto"/>
              </w:rPr>
            </w:pP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Director’s fees</w:t>
            </w:r>
          </w:p>
        </w:tc>
        <w:tc>
          <w:tcPr>
            <w:tcW w:w="11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2180" w:type="dxa"/>
            <w:vAlign w:val="bottom"/>
            <w:tcBorders>
              <w:right w:val="single" w:sz="8" w:color="auto"/>
            </w:tcBorders>
            <w:vMerge w:val="continue"/>
            <w:shd w:val="clear" w:color="auto" w:fill="CCEEFF"/>
          </w:tcPr>
          <w:p>
            <w:pPr>
              <w:spacing w:after="0"/>
              <w:rPr>
                <w:sz w:val="12"/>
                <w:szCs w:val="12"/>
                <w:color w:val="auto"/>
              </w:rPr>
            </w:pPr>
          </w:p>
        </w:tc>
        <w:tc>
          <w:tcPr>
            <w:tcW w:w="840" w:type="dxa"/>
            <w:vAlign w:val="bottom"/>
            <w:tcBorders>
              <w:right w:val="single" w:sz="8" w:color="auto"/>
            </w:tcBorders>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compensation</w:t>
            </w:r>
          </w:p>
        </w:tc>
        <w:tc>
          <w:tcPr>
            <w:tcW w:w="1140" w:type="dxa"/>
            <w:vAlign w:val="bottom"/>
            <w:tcBorders>
              <w:right w:val="single" w:sz="8" w:color="auto"/>
            </w:tcBorders>
            <w:vMerge w:val="continue"/>
            <w:shd w:val="clear" w:color="auto" w:fill="CCEEFF"/>
          </w:tcPr>
          <w:p>
            <w:pPr>
              <w:spacing w:after="0"/>
              <w:rPr>
                <w:sz w:val="12"/>
                <w:szCs w:val="12"/>
                <w:color w:val="auto"/>
              </w:rPr>
            </w:pP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compensation</w:t>
            </w:r>
          </w:p>
        </w:tc>
        <w:tc>
          <w:tcPr>
            <w:tcW w:w="1120" w:type="dxa"/>
            <w:vAlign w:val="bottom"/>
            <w:tcBorders>
              <w:right w:val="single" w:sz="8" w:color="auto"/>
            </w:tcBorders>
            <w:vMerge w:val="continue"/>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w w:val="99"/>
              </w:rPr>
              <w:t>Compensation</w:t>
            </w:r>
          </w:p>
        </w:tc>
        <w:tc>
          <w:tcPr>
            <w:tcW w:w="0" w:type="dxa"/>
            <w:vAlign w:val="bottom"/>
          </w:tcPr>
          <w:p>
            <w:pPr>
              <w:spacing w:after="0"/>
              <w:rPr>
                <w:sz w:val="1"/>
                <w:szCs w:val="1"/>
                <w:color w:val="auto"/>
              </w:rPr>
            </w:pPr>
          </w:p>
        </w:tc>
      </w:tr>
      <w:tr>
        <w:trPr>
          <w:trHeight w:val="128"/>
        </w:trPr>
        <w:tc>
          <w:tcPr>
            <w:tcW w:w="40" w:type="dxa"/>
            <w:vAlign w:val="bottom"/>
            <w:tcBorders>
              <w:bottom w:val="single" w:sz="8" w:color="auto"/>
              <w:right w:val="single" w:sz="8" w:color="auto"/>
            </w:tcBorders>
            <w:shd w:val="clear" w:color="auto" w:fill="000000"/>
          </w:tcPr>
          <w:p>
            <w:pPr>
              <w:spacing w:after="0"/>
              <w:rPr>
                <w:sz w:val="11"/>
                <w:szCs w:val="11"/>
                <w:color w:val="auto"/>
              </w:rPr>
            </w:pPr>
          </w:p>
        </w:tc>
        <w:tc>
          <w:tcPr>
            <w:tcW w:w="2180" w:type="dxa"/>
            <w:vAlign w:val="bottom"/>
            <w:tcBorders>
              <w:bottom w:val="single" w:sz="8" w:color="auto"/>
              <w:right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6"/>
              <w:spacing w:after="0" w:line="123" w:lineRule="exact"/>
              <w:rPr>
                <w:sz w:val="20"/>
                <w:szCs w:val="20"/>
                <w:color w:val="auto"/>
              </w:rPr>
            </w:pPr>
            <w:r>
              <w:rPr>
                <w:rFonts w:ascii="Arial" w:cs="Arial" w:eastAsia="Arial" w:hAnsi="Arial"/>
                <w:sz w:val="14"/>
                <w:szCs w:val="14"/>
                <w:b w:val="1"/>
                <w:bCs w:val="1"/>
                <w:color w:val="auto"/>
              </w:rPr>
              <w:t>contribution</w:t>
            </w:r>
          </w:p>
        </w:tc>
        <w:tc>
          <w:tcPr>
            <w:tcW w:w="1120" w:type="dxa"/>
            <w:vAlign w:val="bottom"/>
            <w:tcBorders>
              <w:bottom w:val="single" w:sz="8" w:color="auto"/>
              <w:right w:val="single" w:sz="8" w:color="auto"/>
            </w:tcBorders>
            <w:shd w:val="clear" w:color="auto" w:fill="CCEEFF"/>
          </w:tcPr>
          <w:p>
            <w:pPr>
              <w:spacing w:after="0"/>
              <w:rPr>
                <w:sz w:val="11"/>
                <w:szCs w:val="11"/>
                <w:color w:val="auto"/>
              </w:rPr>
            </w:pPr>
          </w:p>
        </w:tc>
        <w:tc>
          <w:tcPr>
            <w:tcW w:w="1140" w:type="dxa"/>
            <w:vAlign w:val="bottom"/>
            <w:tcBorders>
              <w:bottom w:val="single" w:sz="8" w:color="auto"/>
              <w:right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right w:val="single" w:sz="8" w:color="auto"/>
            </w:tcBorders>
            <w:shd w:val="clear" w:color="auto" w:fill="CCEEFF"/>
          </w:tcPr>
          <w:p>
            <w:pPr>
              <w:spacing w:after="0"/>
              <w:rPr>
                <w:sz w:val="11"/>
                <w:szCs w:val="11"/>
                <w:color w:val="auto"/>
              </w:rPr>
            </w:pPr>
          </w:p>
        </w:tc>
        <w:tc>
          <w:tcPr>
            <w:tcW w:w="110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2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1140" w:type="dxa"/>
            <w:vAlign w:val="bottom"/>
          </w:tcPr>
          <w:p>
            <w:pPr>
              <w:jc w:val="right"/>
              <w:ind w:right="6"/>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Ciaran Murray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356</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Dr. Steve Cutler</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1,191</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125</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1,228</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2,544</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4,656</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44</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7,244</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Rónán Murphy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159</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Dr. John Climax</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90</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Joan Garahy</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123</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Eugene McCague</w:t>
            </w:r>
          </w:p>
        </w:tc>
        <w:tc>
          <w:tcPr>
            <w:tcW w:w="840" w:type="dxa"/>
            <w:vAlign w:val="bottom"/>
            <w:tcBorders>
              <w:right w:val="single" w:sz="8" w:color="auto"/>
            </w:tcBorders>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123</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shd w:val="clear" w:color="auto" w:fill="000000"/>
          </w:tcPr>
          <w:p>
            <w:pPr>
              <w:spacing w:after="0"/>
              <w:rPr>
                <w:sz w:val="17"/>
                <w:szCs w:val="17"/>
                <w:color w:val="auto"/>
              </w:rPr>
            </w:pPr>
          </w:p>
        </w:tc>
        <w:tc>
          <w:tcPr>
            <w:tcW w:w="21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Julie O'Neill</w:t>
            </w:r>
          </w:p>
        </w:tc>
        <w:tc>
          <w:tcPr>
            <w:tcW w:w="8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115</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Dr. Linda Grais</w:t>
            </w:r>
          </w:p>
        </w:tc>
        <w:tc>
          <w:tcPr>
            <w:tcW w:w="8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2023</w:t>
            </w:r>
          </w:p>
        </w:tc>
        <w:tc>
          <w:tcPr>
            <w:tcW w:w="13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200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color w:val="auto"/>
              </w:rPr>
              <w:t>103</w:t>
            </w:r>
          </w:p>
        </w:tc>
        <w:tc>
          <w:tcPr>
            <w:tcW w:w="11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1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84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b w:val="1"/>
                <w:bCs w:val="1"/>
                <w:color w:val="auto"/>
              </w:rPr>
              <w:t>2023</w:t>
            </w:r>
          </w:p>
        </w:tc>
        <w:tc>
          <w:tcPr>
            <w:tcW w:w="13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rPr>
              <w:t>1,191</w:t>
            </w:r>
          </w:p>
        </w:tc>
        <w:tc>
          <w:tcPr>
            <w:tcW w:w="11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125</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1,228</w:t>
            </w:r>
          </w:p>
        </w:tc>
        <w:tc>
          <w:tcPr>
            <w:tcW w:w="114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2,544</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6,156</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1,113</w:t>
            </w:r>
          </w:p>
        </w:tc>
        <w:tc>
          <w:tcPr>
            <w:tcW w:w="110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9,813</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Disclosure of Compensation Agreements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Employment Contracts, Termination of Employment and Change in Control Arrangements</w:t>
      </w:r>
    </w:p>
    <w:p>
      <w:pPr>
        <w:spacing w:after="0" w:line="220" w:lineRule="exact"/>
        <w:rPr>
          <w:sz w:val="20"/>
          <w:szCs w:val="20"/>
          <w:color w:val="auto"/>
        </w:rPr>
      </w:pPr>
    </w:p>
    <w:p>
      <w:pPr>
        <w:ind w:left="20" w:firstLine="591"/>
        <w:spacing w:after="0" w:line="269" w:lineRule="auto"/>
        <w:rPr>
          <w:sz w:val="20"/>
          <w:szCs w:val="20"/>
          <w:color w:val="auto"/>
        </w:rPr>
      </w:pPr>
      <w:r>
        <w:rPr>
          <w:rFonts w:ascii="Arial" w:cs="Arial" w:eastAsia="Arial" w:hAnsi="Arial"/>
          <w:sz w:val="15"/>
          <w:szCs w:val="15"/>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Directors’ and Executive Officers’ service agreements and letters of engagement</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information reflects the agreements in effect as of December 31, 2024 or date of resignation / retirement if earlier.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1697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60"/>
          </w:cols>
          <w:pgMar w:left="300" w:top="830" w:right="339" w:bottom="1440" w:gutter="0" w:footer="0" w:header="0"/>
        </w:sectPr>
      </w:pPr>
    </w:p>
    <w:bookmarkStart w:id="75" w:name="page76"/>
    <w:bookmarkEnd w:id="75"/>
    <w:p>
      <w:pPr>
        <w:ind w:left="600"/>
        <w:spacing w:after="0"/>
        <w:rPr>
          <w:sz w:val="20"/>
          <w:szCs w:val="20"/>
          <w:color w:val="auto"/>
        </w:rPr>
      </w:pPr>
      <w:r>
        <w:rPr>
          <w:rFonts w:ascii="Arial" w:cs="Arial" w:eastAsia="Arial" w:hAnsi="Arial"/>
          <w:sz w:val="15"/>
          <w:szCs w:val="15"/>
          <w:i w:val="1"/>
          <w:iCs w:val="1"/>
          <w:color w:val="auto"/>
        </w:rPr>
        <w:t>Ciaran Murray</w:t>
      </w:r>
    </w:p>
    <w:p>
      <w:pPr>
        <w:spacing w:after="0" w:line="220"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Mr. Ciaran Murray has served as Chair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 The current arrangement with Mr. Murray provides for the payment to him of fees of €330,000 (translated at average rate for the year: $358,182) per annum in respect of his position as Chairman. His previous service agreement as Executive Chairman included termination provisions and also includes certain post-termination clauses including non-disclosure, non-competition and non-solicitation provisions which still apply. He was previously granted and held at February 21, 2025 946 Restricted Share Units, which vest in May 2025.</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Dr. Steve Cutler</w:t>
      </w:r>
    </w:p>
    <w:p>
      <w:pPr>
        <w:spacing w:after="0" w:line="22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4"/>
          <w:szCs w:val="14"/>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$1,247,000 effective from April 1, 2024 and a bonus to be agreed by the Compensation and Organization Committee. He is also entitled to receive a pension contribution, a car allowance of $12,000 and medical insurance coverage for himself and his dependents. He was previously granted and held at February 21, 2025 239,822 ordinary share options at exercise prices ranging from $83.47 to $325.51 per share, 22,037 Restricted Share Units which vest on various dates between March 2025 and March 2027 and 32,022 (up to a maximum of 64,044) Performance Share Units which vest between March 2025 and March 2027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Nigel Clerkin</w:t>
      </w:r>
    </w:p>
    <w:p>
      <w:pPr>
        <w:spacing w:after="0" w:line="220"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Mr. Nigel Clerkin commenced employment with the Company in October 2024 and effective October 31, 2024 took over as Chief Financial Officer. The service agreement with Mr. Clerkin is terminable on 12 months' notice by either party. Under the terms of this agreement Mr. Clerkin is entitled to receive an annual salary of $618,678 (€570,000) and a bonus to be agreed by the Compensation and Organization Committee. He is also entitled to receive a car allowance of €15,000, medical insurance coverage for himself and his dependents and in lieu of the Company's pension contribution an allowance equal to 12.5% of his annual salary. On appointment, he was granted, and held at February 21, 2025 8,336 Restricted Share Units, which vest on various dates between October 2025 and October 2027. His service agreement requires him to devote his full time and attention to his duties for the Company except where the Company confirms in writing that engagement or interest in another business or occupation will not prevent him from properly performing his duties. The agreement with Mr. Clerkin includes termination and change of control provisions and also includes certain post-termination clauses including non-disclosure, non-competition and non-solicitation provisions.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Brendan Brennan</w:t>
      </w:r>
    </w:p>
    <w:p>
      <w:pPr>
        <w:spacing w:after="0" w:line="220"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Mr. Brendan Brennan served as Chief Financial Officer from February 2012 to October 2024, having previously served as acting Chief Financial Officer since October 2011. Mr. Brennan resigned as Chief Financial Officer effective as at October 31, 2024. The service agreement with Mr. Brennan was terminable on 12 months’ notice by either party. Under the terms of this agreement Mr. Brennan was entitled to receive an annual salary of $618,584 (€569,913) effective from April 1, 2024 and a bonus to be agreed by the Compensation and Organization Committee. He was also entitled to receive a pension contribution, a car allowance of €20,000 and medical insurance coverage for himself and his dependents. All unvested options, Restricted Share Units and Performance Share Units were forfeited on Mr. Brennan ceasing to be an ICON plc employee on October 31, 2024. The agreement with Mr. Brennan included termination and change of control provisions and also includes certain post-termination clauses including non-disclosure, non-competition and non-solicitation provisions.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Rónán Murphy</w:t>
      </w:r>
    </w:p>
    <w:p>
      <w:pPr>
        <w:spacing w:after="0" w:line="232"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Mr. Rónán Murphy has served as Lead Independent Director from January 2019 having served as an outside Director of the Company since October 2016. The current arrangements with Mr. Murphy provide for the payment to him of Directors fees of $177,500 per annum. He was previously granted and held at February 21, 2025 8,084 ordinary share options at an exercise prices ranging from $90.03 to $125.74 and 694 Restricted Share Units, which vest in May 2025.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76" w:name="page77"/>
    <w:bookmarkEnd w:id="76"/>
    <w:p>
      <w:pPr>
        <w:ind w:left="600"/>
        <w:spacing w:after="0"/>
        <w:rPr>
          <w:sz w:val="20"/>
          <w:szCs w:val="20"/>
          <w:color w:val="auto"/>
        </w:rPr>
      </w:pPr>
      <w:r>
        <w:rPr>
          <w:rFonts w:ascii="Arial" w:cs="Arial" w:eastAsia="Arial" w:hAnsi="Arial"/>
          <w:sz w:val="15"/>
          <w:szCs w:val="15"/>
          <w:i w:val="1"/>
          <w:iCs w:val="1"/>
          <w:color w:val="auto"/>
        </w:rPr>
        <w:t>Dr. John Climax</w:t>
      </w:r>
    </w:p>
    <w:p>
      <w:pPr>
        <w:spacing w:after="0" w:line="22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current arrangements with Dr. Climax provide for the payment to him of Directors fees of $100,000 per annum. He was previously granted and held at February 21, 2025 12,698 ordinary share options at exercise prices ranging from $90.03 to $125.74 per share and 694 Restricted Share Units, which vest in May 2025.</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Eugene McCague</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Mr. Eugene McCague has served as an outside Director of the Company since October 2017. The current arrangements with Mr. McCague provide for the payment to him of Directors fees of $132,500 per annum. He was previously granted and held at February 21, 2025 3,255 ordinary share options at an exercise price of $125.74 and 694 Restricted Share Units, which vest in May 2025.</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Julie O'Neill</w:t>
      </w:r>
    </w:p>
    <w:p>
      <w:pPr>
        <w:spacing w:after="0" w:line="22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Ms. Julie O'Neill has served as an outside Director of the Company since July 2019. The current arrangements with Ms. O'Neill provide for the payment to her of Directors fees of $125,000 per annum. She was previously granted and held at February 21, 2025 694 Restricted Share Units, which vest in May 2025.</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Dr. Linda Grais</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Dr. Linda Grais has served as an outside Director of the Company since July 2021 having served as a member of the PRA Health Sciences, Inc. board since October 2015. The current arrangements with Dr. Grais provide for the payment to her of Director fees of $132,500 per annum. She was previously granted and held at February 21, 2025 694 Restricted Share Units, which vest in May 2025.</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Anne Whitaker</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Ms. Anne Whitaker has served as an outside Director of the Company since July 2024. The arrangements with Ms. Whitaker provide for the payment to her of Directors fees of $112,500 per annum effective from July 23, 2024.</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Joan Garahy</w:t>
      </w:r>
    </w:p>
    <w:p>
      <w:pPr>
        <w:spacing w:after="0" w:line="23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Ms. Joan Garahy served as an outside Director of the Company from November 2017 until July 23, 2024 when she retired from the Board of Directors at the AGM. She was previously granted and held on her retirement on July 23, 2024 5,005 ordinary share options at an exercise price of $125.74 and has 18 months from her retirement date to exercise her outstanding options in accordance with the terms and conditions of the grant. All unvested Restricted Share Units were forfeited on retirement from the Board of Directors.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  Board Practices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of Directors</w:t>
      </w:r>
    </w:p>
    <w:p>
      <w:pPr>
        <w:spacing w:after="0" w:line="22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07"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The Board comprises one executive and seven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(8 Directors) to be adequate but continues to look for suitable qualified potential candidates to join the Board.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7" w:name="page78"/>
    <w:bookmarkEnd w:id="77"/>
    <w:p>
      <w:pPr>
        <w:jc w:val="both"/>
        <w:ind w:firstLine="591"/>
        <w:spacing w:after="0" w:line="252" w:lineRule="auto"/>
        <w:rPr>
          <w:sz w:val="20"/>
          <w:szCs w:val="20"/>
          <w:color w:val="auto"/>
        </w:rPr>
      </w:pPr>
      <w:r>
        <w:rPr>
          <w:rFonts w:ascii="Arial" w:cs="Arial" w:eastAsia="Arial" w:hAnsi="Arial"/>
          <w:sz w:val="15"/>
          <w:szCs w:val="15"/>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Sustainability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2024 the Board held five board meetings. All Directors allocated sufficient time to the Company during the year ended December 31, 2024 to effectively discharge their responsibilities to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Governance Guidelines</w:t>
      </w:r>
    </w:p>
    <w:p>
      <w:pPr>
        <w:spacing w:after="0" w:line="23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Board of Directors adopted Corporate Governance Guidelines ("the Guidelines") on October 22, 2024 as a flexible framework for the conduct of the Board's business. The Guidelines reflect the Board's commitment to a system of governance that enhances corporate responsibility and accountability. The Guidelines cover the role of the Board, role of the Chair, the composition of the Board, the structure, operations, duties and responsibilities of the Board. The Nominating, Sustainability and Governance Committee will review the Guidelines annually and recommend any changes for approval by the Board.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Directors’ retirement and re-election</w:t>
      </w:r>
    </w:p>
    <w:p>
      <w:pPr>
        <w:spacing w:after="0" w:line="22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The Company’s Constitution provides that, unless otherwise determined by the Company at a general meeting, the number of Directors shall not be more than 15 nor less than 3. The Constitution also provides that one third of the Directors who are subject to retirement by rotation, rounded down to the next whole number if it is a fractional number, shall retire from office at each annual general meeting.</w:t>
      </w:r>
    </w:p>
    <w:p>
      <w:pPr>
        <w:spacing w:after="0" w:line="184"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The Board of Directors adopted a Non-Executive Director Policy for Service on April 24, 2018, amended it on April 21, 2020 and terminated it, effective October 22, 2024, on the adoption of the Guidelines. The Non-Executive Director Policy for Service provided that, subject to individual waiver by the Board, an outside Director of ICON plc shall serve on the Board of the Directors for an initial term which expired at the fourth annual general meeting after their appointment. Each outside director could serve a further term of 3 years, subject to the Board’s approval. After the second 3 year term the Board could request that the outside Director serve up to 3 further terms of 1 year each. After a third 1 year term the Board could request that the outside director serve for further 1 year terms in the event that the Board has particular requirement or desire for the outside director’s skill, knowledge or experience. For an outside Director who previously served as an executive of the Company, the initial 3 year term referred to in this policy was deemed to commence on the date that he/she is determined to be independent as per the NASDAQ Rules. This policy did not apply to Dr. John Climax as he is a founder of the Company. As each director is currently subject to annual election by shareholders, as detailed below, the Non-Executive Director Policy for Service was terminated and there are no term limits for the Board.</w:t>
      </w:r>
    </w:p>
    <w:p>
      <w:pPr>
        <w:spacing w:after="0" w:line="193"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Notwithstanding the Company’s Constitution, the Board has a current policy, since July 2022 and as reflected in the Guidelines, that all Directors shall seek re-election by the shareholders on an annual basis and if a director fails to obtain the requisite shareholder votes to be re-elected in accordance with the Constitution, their appointment shall terminate automatically and with immediate effect. The Nominating, Sustainability and Governance Committee, in its annual review of Board composition, shall consider the issue of continuing director tenure and take appropriate steps to ensure that the membership of the Board contains the skills, knowledge and experience of Directors needed at that time, is periodically refreshed and takes those matters into account when recommending nominees to the Board for re-election to the Board at the annual meetings of shareholders. The Board decides whether or not to recommend for re-election each Director standing for re-election by the shareholders. At the AGM of the Company held in 2024, Ms. Joan Garahy, an independent outside director, decided not to stand for re-election and retired from the Board at the AGM, all other Directors offered themselves for re-election and the same approach will be followed for 2025.</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Lead Independent Director</w:t>
      </w:r>
    </w:p>
    <w:p>
      <w:pPr>
        <w:spacing w:after="0" w:line="220"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The Board of Directors adopted a Lead Independent Director Charter on February 14, 2017 and terminated it, effective October 22, 2024, on the adoption of the Guidelines which contain similar provisions to the charter. The Guidelines provide that when considered desirable by the Board, including when the Chairperson is not an independent Director or may not be considered independent by the Company’s stakeholders, the Board will elect one of the Board’s independent Directors to serve as the Lead Independent Director. Where the Chairperson is not independent, the Lead Independent Director is responsible for coordinating the activities of the independent Directors and shall perform such other duties as described in the Guidelines. Mr. Rónán Murphy was appointed as Lead Independent Director with effect from January 1, 2019.</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Committees</w:t>
      </w:r>
    </w:p>
    <w:p>
      <w:pPr>
        <w:spacing w:after="0" w:line="208" w:lineRule="exact"/>
        <w:rPr>
          <w:sz w:val="20"/>
          <w:szCs w:val="20"/>
          <w:color w:val="auto"/>
        </w:rPr>
      </w:pPr>
    </w:p>
    <w:p>
      <w:pPr>
        <w:jc w:val="both"/>
        <w:ind w:firstLine="591"/>
        <w:spacing w:after="0" w:line="242" w:lineRule="auto"/>
        <w:rPr>
          <w:sz w:val="20"/>
          <w:szCs w:val="20"/>
          <w:color w:val="auto"/>
        </w:rPr>
      </w:pPr>
      <w:r>
        <w:rPr>
          <w:rFonts w:ascii="Arial" w:cs="Arial" w:eastAsia="Arial" w:hAnsi="Arial"/>
          <w:sz w:val="15"/>
          <w:szCs w:val="15"/>
          <w:color w:val="auto"/>
        </w:rPr>
        <w:t>The Board has delegated some of its responsibilities to Board Committees. There are currently four Committees. These are the Audit Committee, the Compensation and Organization Committee, the Nominating, Sustainability and Governance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During 2024, the Audit Committee, Compensation and Organization Committee and Nominating, Sustainability and Governance Committee each completed a self-evaluation of the performance of the Committee and each Committee was satisfied with their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8" w:name="page79"/>
    <w:bookmarkEnd w:id="78"/>
    <w:p>
      <w:pPr>
        <w:spacing w:after="0"/>
        <w:rPr>
          <w:sz w:val="20"/>
          <w:szCs w:val="20"/>
          <w:color w:val="auto"/>
        </w:rPr>
      </w:pPr>
      <w:r>
        <w:rPr>
          <w:rFonts w:ascii="Arial" w:cs="Arial" w:eastAsia="Arial" w:hAnsi="Arial"/>
          <w:sz w:val="15"/>
          <w:szCs w:val="15"/>
          <w:i w:val="1"/>
          <w:iCs w:val="1"/>
          <w:color w:val="auto"/>
        </w:rPr>
        <w:t>Audit Committee</w:t>
      </w:r>
    </w:p>
    <w:p>
      <w:pPr>
        <w:spacing w:after="0" w:line="220"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Charter was updated in February 2024 to include specific responsibilities in respect to the oversight and monitoring of the external reporting on environmental, social and governance (ESG) matters included in the financial statements and data quality related to such reporting in coordination with the Nominating, Sustainability and Governance Committee. The Audit Committee is currently comprised of three independent Directors: Mr. Rónán Murphy (Chairperson), Mr. Eugene McCague and Ms. Julie O'Neill.</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Compensation and Organization Committee</w:t>
      </w:r>
    </w:p>
    <w:p>
      <w:pPr>
        <w:spacing w:after="0" w:line="208"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and also oversees the Company’s overall compensation strategy and programs which management approve and implement. The Compensation and Organization Committee is currently comprised of the following independent Directors: Dr. Linda Grais (Chairperson), Mr. Rónán Murphy and Ms. Julie O'Neill. On July 23, 2024, Ms. Joan Garahy, on her retirement from the Board, stepped down as a member of the Committee, Dr. Linda Grais was appointed Chairperson and Ms. Julie O'Neill joined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Nominating, Sustainability and Governance Committee</w:t>
      </w:r>
    </w:p>
    <w:p>
      <w:pPr>
        <w:spacing w:after="0" w:line="220" w:lineRule="exact"/>
        <w:rPr>
          <w:sz w:val="20"/>
          <w:szCs w:val="20"/>
          <w:color w:val="auto"/>
        </w:rPr>
      </w:pPr>
    </w:p>
    <w:p>
      <w:pPr>
        <w:jc w:val="both"/>
        <w:ind w:firstLine="591"/>
        <w:spacing w:after="0" w:line="232" w:lineRule="auto"/>
        <w:rPr>
          <w:sz w:val="20"/>
          <w:szCs w:val="20"/>
          <w:color w:val="auto"/>
        </w:rPr>
      </w:pPr>
      <w:r>
        <w:rPr>
          <w:rFonts w:ascii="Arial" w:cs="Arial" w:eastAsia="Arial" w:hAnsi="Arial"/>
          <w:sz w:val="15"/>
          <w:szCs w:val="15"/>
          <w:color w:val="auto"/>
        </w:rPr>
        <w:t>The Nominating, Sustainability and Governance Committee is responsible for Board succession, oversight of the Board and committee composition and performance and oversight of the Company's corporate governance and business ethics initiatives and strategies and activities in respect to environmental, social and governance (ESG) matters. The Committee reviews the membership of the Board of the Company and Board Committees on an ongoing basis. As part of this, it regularly evaluates the balance of skills, knowledge, experience on the Board and then, based on this evaluation, identifies and, if appropriate, recommends individuals to join the Board of the Company. In selecting candidates for recommendation to the Board, the Committee makes proposals based on merit while seeking to achieve a mix of Board members that enhances the skills and experience on the Board, including with respect to professional skills, relevant industry experience, specialized expertise, and international experience. When conducting a formal search for new director candidates, the Committee endeavors to include candidates with a broad range of backgrounds, skills, experiences and perspectives on the initial list of candidates from which new director nominees are chosen. The Committee uses external search consultants as needed to assist it in identifying potential new outside Directors. Any external search consultants engaged to assist in the search shall also be instructed to endeavor to include such candidates on the initial list. Once potential suitable candidates are identified either by the external search consultants or by members of the Nominating, Sustainability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Nominating, Sustainability and Governance Committee currently comprises the following independent Directors: Mr. Eugene McCague (Chairperson), Dr. Linda Grais and Ms. Anne Whitaker. On July 23, 2024, Ms. Joan Garahy and Ms. Julie O'Neill stepped down as members of the Committee and Dr. Linda Grais and Ms. Anne Whitaker joined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Execution Committee</w:t>
      </w:r>
    </w:p>
    <w:p>
      <w:pPr>
        <w:spacing w:after="0" w:line="171"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The primary function of the Execution Committee is to exercise the powers and authority of the Board in intervals between meetings of the Board only on matters that are not delegated to another committee of the Board or otherwise reserved to the full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appropriate.The Execution Committee is currently comprised of the following Directors and Officers: Dr. Steve Cutler (Chairperson), Mr. Rónán Murphy and Mr. Nigel Clerkin. On July 23, 2024, Mr. Brendan Brennan stepped down as a member of the Committee and Mr. Diarmaid Cunningham joined the Committee. On February 18, 2025, Mr. Diarmaid Cunningham stepped down as a member of the Committee and Mr. Nigel Clerkin joined the Committee.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color w:val="auto"/>
        </w:rPr>
        <w:t>Attendance at Board and Committee meetings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Attendance at Board and Committee meetings by the Directors who held office during 2024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28510"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8510" cy="13271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Directors’ Attendance Table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8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tcPr>
          <w:p>
            <w:pPr>
              <w:jc w:val="center"/>
              <w:ind w:left="506"/>
              <w:spacing w:after="0" w:line="141" w:lineRule="exact"/>
              <w:rPr>
                <w:sz w:val="20"/>
                <w:szCs w:val="20"/>
                <w:color w:val="auto"/>
              </w:rPr>
            </w:pPr>
            <w:r>
              <w:rPr>
                <w:rFonts w:ascii="Arial" w:cs="Arial" w:eastAsia="Arial" w:hAnsi="Arial"/>
                <w:sz w:val="15"/>
                <w:szCs w:val="15"/>
                <w:b w:val="1"/>
                <w:bCs w:val="1"/>
                <w:color w:val="auto"/>
                <w:w w:val="96"/>
              </w:rPr>
              <w:t>Board</w:t>
            </w:r>
          </w:p>
        </w:tc>
        <w:tc>
          <w:tcPr>
            <w:tcW w:w="1480" w:type="dxa"/>
            <w:vAlign w:val="bottom"/>
            <w:tcBorders>
              <w:top w:val="single" w:sz="8" w:color="auto"/>
            </w:tcBorders>
          </w:tcPr>
          <w:p>
            <w:pPr>
              <w:ind w:left="700"/>
              <w:spacing w:after="0" w:line="141" w:lineRule="exact"/>
              <w:rPr>
                <w:sz w:val="20"/>
                <w:szCs w:val="20"/>
                <w:color w:val="auto"/>
              </w:rPr>
            </w:pPr>
            <w:r>
              <w:rPr>
                <w:rFonts w:ascii="Arial" w:cs="Arial" w:eastAsia="Arial" w:hAnsi="Arial"/>
                <w:sz w:val="15"/>
                <w:szCs w:val="15"/>
                <w:b w:val="1"/>
                <w:bCs w:val="1"/>
                <w:color w:val="auto"/>
              </w:rPr>
              <w:t>Audit</w:t>
            </w:r>
          </w:p>
        </w:tc>
        <w:tc>
          <w:tcPr>
            <w:tcW w:w="1680" w:type="dxa"/>
            <w:vAlign w:val="bottom"/>
            <w:tcBorders>
              <w:top w:val="single" w:sz="8" w:color="auto"/>
            </w:tcBorders>
          </w:tcPr>
          <w:p>
            <w:pPr>
              <w:jc w:val="center"/>
              <w:ind w:left="66"/>
              <w:spacing w:after="0" w:line="141" w:lineRule="exact"/>
              <w:rPr>
                <w:sz w:val="20"/>
                <w:szCs w:val="20"/>
                <w:color w:val="auto"/>
              </w:rPr>
            </w:pPr>
            <w:r>
              <w:rPr>
                <w:rFonts w:ascii="Arial" w:cs="Arial" w:eastAsia="Arial" w:hAnsi="Arial"/>
                <w:sz w:val="15"/>
                <w:szCs w:val="15"/>
                <w:b w:val="1"/>
                <w:bCs w:val="1"/>
                <w:color w:val="auto"/>
                <w:w w:val="97"/>
              </w:rPr>
              <w:t>Compensation</w:t>
            </w:r>
          </w:p>
        </w:tc>
        <w:tc>
          <w:tcPr>
            <w:tcW w:w="15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9"/>
              </w:rPr>
              <w:t>Nominating,</w:t>
            </w:r>
          </w:p>
        </w:tc>
        <w:tc>
          <w:tcPr>
            <w:tcW w:w="14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7"/>
              </w:rPr>
              <w:t>Execution</w:t>
            </w:r>
          </w:p>
        </w:tc>
      </w:tr>
      <w:tr>
        <w:trPr>
          <w:trHeight w:val="148"/>
        </w:trPr>
        <w:tc>
          <w:tcPr>
            <w:tcW w:w="2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80" w:type="dxa"/>
            <w:vAlign w:val="bottom"/>
          </w:tcPr>
          <w:p>
            <w:pPr>
              <w:jc w:val="center"/>
              <w:ind w:left="66"/>
              <w:spacing w:after="0" w:line="148" w:lineRule="exact"/>
              <w:rPr>
                <w:sz w:val="20"/>
                <w:szCs w:val="20"/>
                <w:color w:val="auto"/>
              </w:rPr>
            </w:pPr>
            <w:r>
              <w:rPr>
                <w:rFonts w:ascii="Arial" w:cs="Arial" w:eastAsia="Arial" w:hAnsi="Arial"/>
                <w:sz w:val="15"/>
                <w:szCs w:val="15"/>
                <w:b w:val="1"/>
                <w:bCs w:val="1"/>
                <w:color w:val="auto"/>
                <w:w w:val="97"/>
              </w:rPr>
              <w:t>and</w:t>
            </w:r>
          </w:p>
        </w:tc>
        <w:tc>
          <w:tcPr>
            <w:tcW w:w="154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8"/>
              </w:rPr>
              <w:t>Sustainability</w:t>
            </w:r>
          </w:p>
        </w:tc>
        <w:tc>
          <w:tcPr>
            <w:tcW w:w="1480" w:type="dxa"/>
            <w:vAlign w:val="bottom"/>
          </w:tcPr>
          <w:p>
            <w:pPr>
              <w:jc w:val="center"/>
              <w:ind w:right="6"/>
              <w:spacing w:after="0" w:line="148" w:lineRule="exact"/>
              <w:rPr>
                <w:sz w:val="20"/>
                <w:szCs w:val="20"/>
                <w:color w:val="auto"/>
              </w:rPr>
            </w:pPr>
            <w:r>
              <w:rPr>
                <w:rFonts w:ascii="Arial" w:cs="Arial" w:eastAsia="Arial" w:hAnsi="Arial"/>
                <w:sz w:val="15"/>
                <w:szCs w:val="15"/>
                <w:b w:val="1"/>
                <w:bCs w:val="1"/>
                <w:color w:val="auto"/>
                <w:w w:val="97"/>
              </w:rPr>
              <w:t>Committee</w:t>
            </w:r>
          </w:p>
        </w:tc>
      </w:tr>
      <w:tr>
        <w:trPr>
          <w:trHeight w:val="148"/>
        </w:trPr>
        <w:tc>
          <w:tcPr>
            <w:tcW w:w="2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80" w:type="dxa"/>
            <w:vAlign w:val="bottom"/>
          </w:tcPr>
          <w:p>
            <w:pPr>
              <w:jc w:val="center"/>
              <w:ind w:left="66"/>
              <w:spacing w:after="0" w:line="148" w:lineRule="exact"/>
              <w:rPr>
                <w:sz w:val="20"/>
                <w:szCs w:val="20"/>
                <w:color w:val="auto"/>
              </w:rPr>
            </w:pPr>
            <w:r>
              <w:rPr>
                <w:rFonts w:ascii="Arial" w:cs="Arial" w:eastAsia="Arial" w:hAnsi="Arial"/>
                <w:sz w:val="15"/>
                <w:szCs w:val="15"/>
                <w:b w:val="1"/>
                <w:bCs w:val="1"/>
                <w:color w:val="auto"/>
                <w:w w:val="98"/>
              </w:rPr>
              <w:t>Organization</w:t>
            </w:r>
          </w:p>
        </w:tc>
        <w:tc>
          <w:tcPr>
            <w:tcW w:w="154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7"/>
              </w:rPr>
              <w:t>and</w:t>
            </w:r>
          </w:p>
        </w:tc>
        <w:tc>
          <w:tcPr>
            <w:tcW w:w="148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7"/>
              </w:rPr>
              <w:t>(2)</w:t>
            </w:r>
          </w:p>
        </w:tc>
      </w:tr>
      <w:tr>
        <w:trPr>
          <w:trHeight w:val="197"/>
        </w:trPr>
        <w:tc>
          <w:tcPr>
            <w:tcW w:w="26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Governance</w:t>
            </w:r>
          </w:p>
        </w:tc>
        <w:tc>
          <w:tcPr>
            <w:tcW w:w="1480" w:type="dxa"/>
            <w:vAlign w:val="bottom"/>
            <w:tcBorders>
              <w:bottom w:val="single" w:sz="8" w:color="auto"/>
            </w:tcBorders>
          </w:tcPr>
          <w:p>
            <w:pPr>
              <w:spacing w:after="0"/>
              <w:rPr>
                <w:sz w:val="17"/>
                <w:szCs w:val="17"/>
                <w:color w:val="auto"/>
              </w:rPr>
            </w:pPr>
          </w:p>
        </w:tc>
      </w:tr>
      <w:tr>
        <w:trPr>
          <w:trHeight w:val="189"/>
        </w:trPr>
        <w:tc>
          <w:tcPr>
            <w:tcW w:w="268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Director</w:t>
            </w:r>
          </w:p>
        </w:tc>
        <w:tc>
          <w:tcPr>
            <w:tcW w:w="8540" w:type="dxa"/>
            <w:vAlign w:val="bottom"/>
            <w:tcBorders>
              <w:bottom w:val="single" w:sz="8" w:color="auto"/>
            </w:tcBorders>
            <w:gridSpan w:val="5"/>
          </w:tcPr>
          <w:p>
            <w:pPr>
              <w:ind w:left="1620"/>
              <w:spacing w:after="0"/>
              <w:rPr>
                <w:sz w:val="20"/>
                <w:szCs w:val="20"/>
                <w:color w:val="auto"/>
              </w:rPr>
            </w:pPr>
            <w:r>
              <w:rPr>
                <w:rFonts w:ascii="Arial" w:cs="Arial" w:eastAsia="Arial" w:hAnsi="Arial"/>
                <w:sz w:val="15"/>
                <w:szCs w:val="15"/>
                <w:b w:val="1"/>
                <w:bCs w:val="1"/>
                <w:color w:val="auto"/>
              </w:rPr>
              <w:t>Number of meetings attended / number of meetings eligible to attend as a Director</w:t>
            </w:r>
          </w:p>
        </w:tc>
      </w:tr>
      <w:tr>
        <w:trPr>
          <w:trHeight w:val="188"/>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Ciaran Murray (1)</w:t>
            </w:r>
          </w:p>
        </w:tc>
        <w:tc>
          <w:tcPr>
            <w:tcW w:w="236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center"/>
              <w:ind w:left="66"/>
              <w:spacing w:after="0"/>
              <w:rPr>
                <w:sz w:val="20"/>
                <w:szCs w:val="20"/>
                <w:color w:val="auto"/>
              </w:rPr>
            </w:pPr>
            <w:r>
              <w:rPr>
                <w:rFonts w:ascii="Arial" w:cs="Arial" w:eastAsia="Arial" w:hAnsi="Arial"/>
                <w:sz w:val="15"/>
                <w:szCs w:val="15"/>
                <w:color w:val="auto"/>
                <w:w w:val="93"/>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Dr. Steve Cutler</w:t>
            </w:r>
          </w:p>
        </w:tc>
        <w:tc>
          <w:tcPr>
            <w:tcW w:w="2360" w:type="dxa"/>
            <w:vAlign w:val="bottom"/>
            <w:tcBorders>
              <w:bottom w:val="single" w:sz="8" w:color="auto"/>
            </w:tcBorders>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center"/>
              <w:ind w:left="66"/>
              <w:spacing w:after="0"/>
              <w:rPr>
                <w:sz w:val="20"/>
                <w:szCs w:val="20"/>
                <w:color w:val="auto"/>
              </w:rPr>
            </w:pPr>
            <w:r>
              <w:rPr>
                <w:rFonts w:ascii="Arial" w:cs="Arial" w:eastAsia="Arial" w:hAnsi="Arial"/>
                <w:sz w:val="15"/>
                <w:szCs w:val="15"/>
                <w:color w:val="auto"/>
                <w:w w:val="93"/>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Rónán Murphy (1)</w:t>
            </w:r>
          </w:p>
        </w:tc>
        <w:tc>
          <w:tcPr>
            <w:tcW w:w="236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5"/>
                <w:szCs w:val="15"/>
                <w:color w:val="auto"/>
                <w:w w:val="95"/>
              </w:rPr>
              <w:t>4/4</w:t>
            </w:r>
          </w:p>
        </w:tc>
        <w:tc>
          <w:tcPr>
            <w:tcW w:w="1680" w:type="dxa"/>
            <w:vAlign w:val="bottom"/>
            <w:tcBorders>
              <w:bottom w:val="single" w:sz="8" w:color="auto"/>
            </w:tcBorders>
            <w:shd w:val="clear" w:color="auto" w:fill="CCEEFF"/>
          </w:tcPr>
          <w:p>
            <w:pPr>
              <w:jc w:val="center"/>
              <w:ind w:left="86"/>
              <w:spacing w:after="0"/>
              <w:rPr>
                <w:sz w:val="20"/>
                <w:szCs w:val="20"/>
                <w:color w:val="auto"/>
              </w:rPr>
            </w:pPr>
            <w:r>
              <w:rPr>
                <w:rFonts w:ascii="Arial" w:cs="Arial" w:eastAsia="Arial" w:hAnsi="Arial"/>
                <w:sz w:val="15"/>
                <w:szCs w:val="15"/>
                <w:color w:val="auto"/>
                <w:w w:val="95"/>
              </w:rPr>
              <w:t>4/4</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Dr. John Climax (1)</w:t>
            </w:r>
          </w:p>
        </w:tc>
        <w:tc>
          <w:tcPr>
            <w:tcW w:w="2360" w:type="dxa"/>
            <w:vAlign w:val="bottom"/>
            <w:tcBorders>
              <w:bottom w:val="single" w:sz="8" w:color="auto"/>
            </w:tcBorders>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center"/>
              <w:ind w:left="66"/>
              <w:spacing w:after="0"/>
              <w:rPr>
                <w:sz w:val="20"/>
                <w:szCs w:val="20"/>
                <w:color w:val="auto"/>
              </w:rPr>
            </w:pPr>
            <w:r>
              <w:rPr>
                <w:rFonts w:ascii="Arial" w:cs="Arial" w:eastAsia="Arial" w:hAnsi="Arial"/>
                <w:sz w:val="15"/>
                <w:szCs w:val="15"/>
                <w:color w:val="auto"/>
                <w:w w:val="93"/>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Joan Garahy (1) (3)</w:t>
            </w:r>
          </w:p>
        </w:tc>
        <w:tc>
          <w:tcPr>
            <w:tcW w:w="236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rPr>
              <w:t>2/2</w:t>
            </w:r>
          </w:p>
        </w:tc>
        <w:tc>
          <w:tcPr>
            <w:tcW w:w="148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center"/>
              <w:ind w:left="86"/>
              <w:spacing w:after="0"/>
              <w:rPr>
                <w:sz w:val="20"/>
                <w:szCs w:val="20"/>
                <w:color w:val="auto"/>
              </w:rPr>
            </w:pPr>
            <w:r>
              <w:rPr>
                <w:rFonts w:ascii="Arial" w:cs="Arial" w:eastAsia="Arial" w:hAnsi="Arial"/>
                <w:sz w:val="15"/>
                <w:szCs w:val="15"/>
                <w:color w:val="auto"/>
                <w:w w:val="95"/>
              </w:rPr>
              <w:t>2/3</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2/3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Eugene McCague (1)</w:t>
            </w:r>
          </w:p>
        </w:tc>
        <w:tc>
          <w:tcPr>
            <w:tcW w:w="2360" w:type="dxa"/>
            <w:vAlign w:val="bottom"/>
            <w:tcBorders>
              <w:bottom w:val="single" w:sz="8" w:color="auto"/>
            </w:tcBorders>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tcPr>
          <w:p>
            <w:pPr>
              <w:jc w:val="center"/>
              <w:ind w:left="206"/>
              <w:spacing w:after="0"/>
              <w:rPr>
                <w:sz w:val="20"/>
                <w:szCs w:val="20"/>
                <w:color w:val="auto"/>
              </w:rPr>
            </w:pPr>
            <w:r>
              <w:rPr>
                <w:rFonts w:ascii="Arial" w:cs="Arial" w:eastAsia="Arial" w:hAnsi="Arial"/>
                <w:sz w:val="15"/>
                <w:szCs w:val="15"/>
                <w:color w:val="auto"/>
                <w:w w:val="95"/>
              </w:rPr>
              <w:t>4/4</w:t>
            </w:r>
          </w:p>
        </w:tc>
        <w:tc>
          <w:tcPr>
            <w:tcW w:w="1680" w:type="dxa"/>
            <w:vAlign w:val="bottom"/>
            <w:tcBorders>
              <w:bottom w:val="single" w:sz="8" w:color="auto"/>
            </w:tcBorders>
          </w:tcPr>
          <w:p>
            <w:pPr>
              <w:jc w:val="center"/>
              <w:ind w:left="66"/>
              <w:spacing w:after="0"/>
              <w:rPr>
                <w:sz w:val="20"/>
                <w:szCs w:val="20"/>
                <w:color w:val="auto"/>
              </w:rPr>
            </w:pPr>
            <w:r>
              <w:rPr>
                <w:rFonts w:ascii="Arial" w:cs="Arial" w:eastAsia="Arial" w:hAnsi="Arial"/>
                <w:sz w:val="15"/>
                <w:szCs w:val="15"/>
                <w:color w:val="auto"/>
                <w:w w:val="93"/>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4/4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Julie O'Neill (1)</w:t>
            </w:r>
          </w:p>
        </w:tc>
        <w:tc>
          <w:tcPr>
            <w:tcW w:w="236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5"/>
                <w:szCs w:val="15"/>
                <w:color w:val="auto"/>
                <w:w w:val="95"/>
              </w:rPr>
              <w:t>4/4</w:t>
            </w:r>
          </w:p>
        </w:tc>
        <w:tc>
          <w:tcPr>
            <w:tcW w:w="1680" w:type="dxa"/>
            <w:vAlign w:val="bottom"/>
            <w:tcBorders>
              <w:bottom w:val="single" w:sz="8" w:color="auto"/>
            </w:tcBorders>
            <w:shd w:val="clear" w:color="auto" w:fill="CCEEFF"/>
          </w:tcPr>
          <w:p>
            <w:pPr>
              <w:jc w:val="center"/>
              <w:ind w:left="86"/>
              <w:spacing w:after="0"/>
              <w:rPr>
                <w:sz w:val="20"/>
                <w:szCs w:val="20"/>
                <w:color w:val="auto"/>
              </w:rPr>
            </w:pPr>
            <w:r>
              <w:rPr>
                <w:rFonts w:ascii="Arial" w:cs="Arial" w:eastAsia="Arial" w:hAnsi="Arial"/>
                <w:sz w:val="15"/>
                <w:szCs w:val="15"/>
                <w:color w:val="auto"/>
                <w:w w:val="95"/>
              </w:rPr>
              <w:t>1/1</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3/3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Dr. Linda Grais (1)</w:t>
            </w:r>
          </w:p>
        </w:tc>
        <w:tc>
          <w:tcPr>
            <w:tcW w:w="2360" w:type="dxa"/>
            <w:vAlign w:val="bottom"/>
            <w:tcBorders>
              <w:bottom w:val="single" w:sz="8" w:color="auto"/>
            </w:tcBorders>
          </w:tcPr>
          <w:p>
            <w:pPr>
              <w:jc w:val="center"/>
              <w:ind w:left="506"/>
              <w:spacing w:after="0"/>
              <w:rPr>
                <w:sz w:val="20"/>
                <w:szCs w:val="20"/>
                <w:color w:val="auto"/>
              </w:rPr>
            </w:pPr>
            <w:r>
              <w:rPr>
                <w:rFonts w:ascii="Arial" w:cs="Arial" w:eastAsia="Arial" w:hAnsi="Arial"/>
                <w:sz w:val="15"/>
                <w:szCs w:val="15"/>
                <w:color w:val="auto"/>
              </w:rPr>
              <w:t>5/5</w:t>
            </w:r>
          </w:p>
        </w:tc>
        <w:tc>
          <w:tcPr>
            <w:tcW w:w="1480" w:type="dxa"/>
            <w:vAlign w:val="bottom"/>
            <w:tcBorders>
              <w:bottom w:val="single" w:sz="8" w:color="auto"/>
            </w:tcBorders>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95"/>
              </w:rPr>
              <w:t>4/4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t>
            </w:r>
          </w:p>
        </w:tc>
      </w:tr>
      <w:tr>
        <w:trPr>
          <w:trHeight w:val="189"/>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Anne Whitaker (1) (4)</w:t>
            </w:r>
          </w:p>
        </w:tc>
        <w:tc>
          <w:tcPr>
            <w:tcW w:w="236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5"/>
                <w:szCs w:val="15"/>
                <w:color w:val="auto"/>
              </w:rPr>
              <w:t>3/3</w:t>
            </w:r>
          </w:p>
        </w:tc>
        <w:tc>
          <w:tcPr>
            <w:tcW w:w="148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center"/>
              <w:ind w:left="66"/>
              <w:spacing w:after="0"/>
              <w:rPr>
                <w:sz w:val="20"/>
                <w:szCs w:val="20"/>
                <w:color w:val="auto"/>
              </w:rPr>
            </w:pPr>
            <w:r>
              <w:rPr>
                <w:rFonts w:ascii="Arial" w:cs="Arial" w:eastAsia="Arial" w:hAnsi="Arial"/>
                <w:sz w:val="15"/>
                <w:szCs w:val="15"/>
                <w:color w:val="auto"/>
                <w:w w:val="93"/>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1/1</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bl>
    <w:p>
      <w:pPr>
        <w:spacing w:after="0" w:line="136" w:lineRule="exact"/>
        <w:rPr>
          <w:sz w:val="20"/>
          <w:szCs w:val="20"/>
          <w:color w:val="auto"/>
        </w:rPr>
      </w:pPr>
    </w:p>
    <w:p>
      <w:pPr>
        <w:ind w:left="580" w:hanging="286"/>
        <w:spacing w:after="0"/>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Independent Director as defined under NASDAQ Rule 5605(a)(2).</w:t>
      </w:r>
    </w:p>
    <w:p>
      <w:pPr>
        <w:spacing w:after="0" w:line="14" w:lineRule="exact"/>
        <w:rPr>
          <w:rFonts w:ascii="Arial" w:cs="Arial" w:eastAsia="Arial" w:hAnsi="Arial"/>
          <w:sz w:val="15"/>
          <w:szCs w:val="15"/>
          <w:color w:val="auto"/>
        </w:rPr>
      </w:pPr>
    </w:p>
    <w:p>
      <w:pPr>
        <w:ind w:left="580" w:hanging="286"/>
        <w:spacing w:after="0"/>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decisions by the Execution Committee were made by written resolution and therefore no meetings were held.</w:t>
      </w:r>
    </w:p>
    <w:p>
      <w:pPr>
        <w:spacing w:after="0" w:line="7" w:lineRule="exact"/>
        <w:rPr>
          <w:rFonts w:ascii="Arial" w:cs="Arial" w:eastAsia="Arial" w:hAnsi="Arial"/>
          <w:sz w:val="15"/>
          <w:szCs w:val="15"/>
          <w:color w:val="auto"/>
        </w:rPr>
      </w:pPr>
    </w:p>
    <w:p>
      <w:pPr>
        <w:ind w:left="580" w:hanging="286"/>
        <w:spacing w:after="0"/>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Ms. Joan Garahy retired from the Board on July 23, 2024.</w:t>
      </w:r>
    </w:p>
    <w:p>
      <w:pPr>
        <w:spacing w:after="0" w:line="5" w:lineRule="exact"/>
        <w:rPr>
          <w:rFonts w:ascii="Arial" w:cs="Arial" w:eastAsia="Arial" w:hAnsi="Arial"/>
          <w:sz w:val="15"/>
          <w:szCs w:val="15"/>
          <w:color w:val="auto"/>
        </w:rPr>
      </w:pPr>
    </w:p>
    <w:p>
      <w:pPr>
        <w:ind w:left="580" w:hanging="286"/>
        <w:spacing w:after="0"/>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Ms. Anne Whitaker was appointed to the Board on July 23, 2024.</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D.  Employees</w:t>
      </w:r>
    </w:p>
    <w:p>
      <w:pPr>
        <w:spacing w:after="0" w:line="271" w:lineRule="exact"/>
        <w:rPr>
          <w:sz w:val="20"/>
          <w:szCs w:val="20"/>
          <w:color w:val="auto"/>
        </w:rPr>
      </w:pPr>
    </w:p>
    <w:p>
      <w:pPr>
        <w:ind w:firstLine="591"/>
        <w:spacing w:after="0" w:line="286" w:lineRule="auto"/>
        <w:rPr>
          <w:sz w:val="20"/>
          <w:szCs w:val="20"/>
          <w:color w:val="auto"/>
        </w:rPr>
      </w:pPr>
      <w:r>
        <w:rPr>
          <w:rFonts w:ascii="Arial" w:cs="Arial" w:eastAsia="Arial" w:hAnsi="Arial"/>
          <w:sz w:val="15"/>
          <w:szCs w:val="15"/>
          <w:color w:val="auto"/>
        </w:rPr>
        <w:t>At December 31, 2024, December 31, 2023 and December 31, 2022, we employed approximately 41,900, 41,100 and 41,100 people, respectively. Our employees are not unionized and we believe we have a satisfactory relationship with our employees.</w:t>
      </w:r>
    </w:p>
    <w:p>
      <w:pPr>
        <w:spacing w:after="0" w:line="168" w:lineRule="exact"/>
        <w:rPr>
          <w:sz w:val="20"/>
          <w:szCs w:val="20"/>
          <w:color w:val="auto"/>
        </w:rPr>
      </w:pPr>
    </w:p>
    <w:p>
      <w:pPr>
        <w:ind w:left="600" w:right="9440" w:hanging="306"/>
        <w:spacing w:after="0" w:line="560" w:lineRule="auto"/>
        <w:tabs>
          <w:tab w:leader="none" w:pos="592"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Share Ownership Shares</w:t>
      </w:r>
    </w:p>
    <w:p>
      <w:pPr>
        <w:jc w:val="both"/>
        <w:ind w:firstLine="591"/>
        <w:spacing w:after="0" w:line="263" w:lineRule="auto"/>
        <w:rPr>
          <w:sz w:val="20"/>
          <w:szCs w:val="20"/>
          <w:color w:val="auto"/>
        </w:rPr>
      </w:pPr>
      <w:r>
        <w:rPr>
          <w:rFonts w:ascii="Arial" w:cs="Arial" w:eastAsia="Arial" w:hAnsi="Arial"/>
          <w:sz w:val="15"/>
          <w:szCs w:val="15"/>
          <w:color w:val="auto"/>
        </w:rPr>
        <w:t>The following table sets forth certain information as of February 21, 2025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498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No. of</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of total</w:t>
            </w:r>
          </w:p>
        </w:tc>
      </w:tr>
      <w:tr>
        <w:trPr>
          <w:trHeight w:val="19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498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Shares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r>
      <w:tr>
        <w:trPr>
          <w:trHeight w:val="188"/>
        </w:trPr>
        <w:tc>
          <w:tcPr>
            <w:tcW w:w="5120" w:type="dxa"/>
            <w:vAlign w:val="bottom"/>
          </w:tcPr>
          <w:p>
            <w:pPr>
              <w:ind w:left="20"/>
              <w:spacing w:after="0"/>
              <w:rPr>
                <w:sz w:val="20"/>
                <w:szCs w:val="20"/>
                <w:color w:val="auto"/>
              </w:rPr>
            </w:pPr>
            <w:r>
              <w:rPr>
                <w:rFonts w:ascii="Arial" w:cs="Arial" w:eastAsia="Arial" w:hAnsi="Arial"/>
                <w:sz w:val="15"/>
                <w:szCs w:val="15"/>
                <w:color w:val="auto"/>
              </w:rPr>
              <w:t>Ciaran Murray</w:t>
            </w:r>
          </w:p>
        </w:tc>
        <w:tc>
          <w:tcPr>
            <w:tcW w:w="4980" w:type="dxa"/>
            <w:vAlign w:val="bottom"/>
          </w:tcPr>
          <w:p>
            <w:pPr>
              <w:jc w:val="right"/>
              <w:ind w:right="426"/>
              <w:spacing w:after="0"/>
              <w:rPr>
                <w:sz w:val="20"/>
                <w:szCs w:val="20"/>
                <w:color w:val="auto"/>
              </w:rPr>
            </w:pPr>
            <w:r>
              <w:rPr>
                <w:rFonts w:ascii="Arial" w:cs="Arial" w:eastAsia="Arial" w:hAnsi="Arial"/>
                <w:sz w:val="15"/>
                <w:szCs w:val="15"/>
                <w:color w:val="auto"/>
              </w:rPr>
              <w:t>20,000</w:t>
            </w:r>
          </w:p>
        </w:tc>
        <w:tc>
          <w:tcPr>
            <w:tcW w:w="1120" w:type="dxa"/>
            <w:vAlign w:val="bottom"/>
          </w:tcPr>
          <w:p>
            <w:pPr>
              <w:jc w:val="right"/>
              <w:spacing w:after="0"/>
              <w:rPr>
                <w:sz w:val="20"/>
                <w:szCs w:val="20"/>
                <w:color w:val="auto"/>
              </w:rPr>
            </w:pPr>
            <w:r>
              <w:rPr>
                <w:rFonts w:ascii="Arial" w:cs="Arial" w:eastAsia="Arial" w:hAnsi="Arial"/>
                <w:sz w:val="15"/>
                <w:szCs w:val="15"/>
                <w:color w:val="auto"/>
              </w:rPr>
              <w:t>0.02 %</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Dr. Steve Cutler</w:t>
            </w:r>
          </w:p>
        </w:tc>
        <w:tc>
          <w:tcPr>
            <w:tcW w:w="49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44,128</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0.05 %</w:t>
            </w:r>
          </w:p>
        </w:tc>
      </w:tr>
      <w:tr>
        <w:trPr>
          <w:trHeight w:val="196"/>
        </w:trPr>
        <w:tc>
          <w:tcPr>
            <w:tcW w:w="5120" w:type="dxa"/>
            <w:vAlign w:val="bottom"/>
          </w:tcPr>
          <w:p>
            <w:pPr>
              <w:ind w:left="20"/>
              <w:spacing w:after="0"/>
              <w:rPr>
                <w:sz w:val="20"/>
                <w:szCs w:val="20"/>
                <w:color w:val="auto"/>
              </w:rPr>
            </w:pPr>
            <w:r>
              <w:rPr>
                <w:rFonts w:ascii="Arial" w:cs="Arial" w:eastAsia="Arial" w:hAnsi="Arial"/>
                <w:sz w:val="15"/>
                <w:szCs w:val="15"/>
                <w:color w:val="auto"/>
              </w:rPr>
              <w:t>Nigel Clerkin</w:t>
            </w:r>
          </w:p>
        </w:tc>
        <w:tc>
          <w:tcPr>
            <w:tcW w:w="498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Rónán Murphy</w:t>
            </w:r>
          </w:p>
        </w:tc>
        <w:tc>
          <w:tcPr>
            <w:tcW w:w="49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2,596</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6"/>
        </w:trPr>
        <w:tc>
          <w:tcPr>
            <w:tcW w:w="5120" w:type="dxa"/>
            <w:vAlign w:val="bottom"/>
          </w:tcPr>
          <w:p>
            <w:pPr>
              <w:ind w:left="20"/>
              <w:spacing w:after="0"/>
              <w:rPr>
                <w:sz w:val="20"/>
                <w:szCs w:val="20"/>
                <w:color w:val="auto"/>
              </w:rPr>
            </w:pPr>
            <w:r>
              <w:rPr>
                <w:rFonts w:ascii="Arial" w:cs="Arial" w:eastAsia="Arial" w:hAnsi="Arial"/>
                <w:sz w:val="15"/>
                <w:szCs w:val="15"/>
                <w:color w:val="auto"/>
              </w:rPr>
              <w:t>Dr. John Climax</w:t>
            </w:r>
          </w:p>
        </w:tc>
        <w:tc>
          <w:tcPr>
            <w:tcW w:w="4980" w:type="dxa"/>
            <w:vAlign w:val="bottom"/>
          </w:tcPr>
          <w:p>
            <w:pPr>
              <w:jc w:val="right"/>
              <w:ind w:right="426"/>
              <w:spacing w:after="0"/>
              <w:rPr>
                <w:sz w:val="20"/>
                <w:szCs w:val="20"/>
                <w:color w:val="auto"/>
              </w:rPr>
            </w:pPr>
            <w:r>
              <w:rPr>
                <w:rFonts w:ascii="Arial" w:cs="Arial" w:eastAsia="Arial" w:hAnsi="Arial"/>
                <w:sz w:val="15"/>
                <w:szCs w:val="15"/>
                <w:color w:val="auto"/>
              </w:rPr>
              <w:t>427,297</w:t>
            </w:r>
          </w:p>
        </w:tc>
        <w:tc>
          <w:tcPr>
            <w:tcW w:w="1120" w:type="dxa"/>
            <w:vAlign w:val="bottom"/>
          </w:tcPr>
          <w:p>
            <w:pPr>
              <w:jc w:val="right"/>
              <w:spacing w:after="0"/>
              <w:rPr>
                <w:sz w:val="20"/>
                <w:szCs w:val="20"/>
                <w:color w:val="auto"/>
              </w:rPr>
            </w:pPr>
            <w:r>
              <w:rPr>
                <w:rFonts w:ascii="Arial" w:cs="Arial" w:eastAsia="Arial" w:hAnsi="Arial"/>
                <w:sz w:val="15"/>
                <w:szCs w:val="15"/>
                <w:color w:val="auto"/>
              </w:rPr>
              <w:t>0.53 %</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Eugene McCague</w:t>
            </w:r>
          </w:p>
        </w:tc>
        <w:tc>
          <w:tcPr>
            <w:tcW w:w="49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2,560</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6"/>
        </w:trPr>
        <w:tc>
          <w:tcPr>
            <w:tcW w:w="5120" w:type="dxa"/>
            <w:vAlign w:val="bottom"/>
          </w:tcPr>
          <w:p>
            <w:pPr>
              <w:ind w:left="20"/>
              <w:spacing w:after="0"/>
              <w:rPr>
                <w:sz w:val="20"/>
                <w:szCs w:val="20"/>
                <w:color w:val="auto"/>
              </w:rPr>
            </w:pPr>
            <w:r>
              <w:rPr>
                <w:rFonts w:ascii="Arial" w:cs="Arial" w:eastAsia="Arial" w:hAnsi="Arial"/>
                <w:sz w:val="15"/>
                <w:szCs w:val="15"/>
                <w:color w:val="auto"/>
              </w:rPr>
              <w:t>Julie O'Neill</w:t>
            </w:r>
          </w:p>
        </w:tc>
        <w:tc>
          <w:tcPr>
            <w:tcW w:w="4980" w:type="dxa"/>
            <w:vAlign w:val="bottom"/>
          </w:tcPr>
          <w:p>
            <w:pPr>
              <w:jc w:val="right"/>
              <w:ind w:right="426"/>
              <w:spacing w:after="0"/>
              <w:rPr>
                <w:sz w:val="20"/>
                <w:szCs w:val="20"/>
                <w:color w:val="auto"/>
              </w:rPr>
            </w:pPr>
            <w:r>
              <w:rPr>
                <w:rFonts w:ascii="Arial" w:cs="Arial" w:eastAsia="Arial" w:hAnsi="Arial"/>
                <w:sz w:val="15"/>
                <w:szCs w:val="15"/>
                <w:color w:val="auto"/>
              </w:rPr>
              <w:t>2,367</w:t>
            </w: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Dr. Linda Grais</w:t>
            </w:r>
          </w:p>
        </w:tc>
        <w:tc>
          <w:tcPr>
            <w:tcW w:w="49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4,911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0.01 %</w:t>
            </w:r>
          </w:p>
        </w:tc>
      </w:tr>
      <w:tr>
        <w:trPr>
          <w:trHeight w:val="194"/>
        </w:trPr>
        <w:tc>
          <w:tcPr>
            <w:tcW w:w="5120" w:type="dxa"/>
            <w:vAlign w:val="bottom"/>
          </w:tcPr>
          <w:p>
            <w:pPr>
              <w:ind w:left="20"/>
              <w:spacing w:after="0"/>
              <w:rPr>
                <w:sz w:val="20"/>
                <w:szCs w:val="20"/>
                <w:color w:val="auto"/>
              </w:rPr>
            </w:pPr>
            <w:r>
              <w:rPr>
                <w:rFonts w:ascii="Arial" w:cs="Arial" w:eastAsia="Arial" w:hAnsi="Arial"/>
                <w:sz w:val="15"/>
                <w:szCs w:val="15"/>
                <w:color w:val="auto"/>
              </w:rPr>
              <w:t>Anne Whitaker</w:t>
            </w:r>
          </w:p>
        </w:tc>
        <w:tc>
          <w:tcPr>
            <w:tcW w:w="498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299" w:lineRule="exact"/>
        <w:rPr>
          <w:sz w:val="20"/>
          <w:szCs w:val="20"/>
          <w:color w:val="auto"/>
        </w:rPr>
      </w:pPr>
    </w:p>
    <w:p>
      <w:pPr>
        <w:jc w:val="both"/>
        <w:ind w:left="440" w:hanging="294"/>
        <w:spacing w:after="0" w:line="254" w:lineRule="auto"/>
        <w:tabs>
          <w:tab w:leader="none" w:pos="436" w:val="left"/>
        </w:tabs>
        <w:numPr>
          <w:ilvl w:val="0"/>
          <w:numId w:val="56"/>
        </w:numPr>
        <w:rPr>
          <w:rFonts w:ascii="Arial" w:cs="Arial" w:eastAsia="Arial" w:hAnsi="Arial"/>
          <w:sz w:val="15"/>
          <w:szCs w:val="15"/>
          <w:color w:val="auto"/>
        </w:rPr>
      </w:pPr>
      <w:r>
        <w:rPr>
          <w:rFonts w:ascii="Arial" w:cs="Arial" w:eastAsia="Arial" w:hAnsi="Arial"/>
          <w:sz w:val="15"/>
          <w:szCs w:val="15"/>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color w:val="auto"/>
        </w:rPr>
        <w:t>Restricted Share Units and Performance Share Units</w:t>
      </w:r>
    </w:p>
    <w:p>
      <w:pPr>
        <w:spacing w:after="0" w:line="222" w:lineRule="exact"/>
        <w:rPr>
          <w:sz w:val="20"/>
          <w:szCs w:val="20"/>
          <w:color w:val="auto"/>
        </w:rPr>
      </w:pPr>
    </w:p>
    <w:p>
      <w:pPr>
        <w:ind w:firstLine="591"/>
        <w:spacing w:after="0" w:line="286" w:lineRule="auto"/>
        <w:rPr>
          <w:sz w:val="20"/>
          <w:szCs w:val="20"/>
          <w:color w:val="auto"/>
        </w:rPr>
      </w:pPr>
      <w:r>
        <w:rPr>
          <w:rFonts w:ascii="Arial" w:cs="Arial" w:eastAsia="Arial" w:hAnsi="Arial"/>
          <w:sz w:val="15"/>
          <w:szCs w:val="15"/>
          <w:color w:val="auto"/>
        </w:rPr>
        <w:t>The following table sets forth certain information as of February 21, 2025 regarding beneficial ownership of Restricted Share Units (“RSUs”) and Performance Share Units (“PSUs”) which have been issued to our current Directors and executive officers.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2760" w:type="dxa"/>
            <w:vAlign w:val="bottom"/>
            <w:shd w:val="clear" w:color="auto" w:fill="CCEEFF"/>
          </w:tcPr>
          <w:p>
            <w:pPr>
              <w:ind w:left="1800"/>
              <w:spacing w:after="0"/>
              <w:rPr>
                <w:sz w:val="20"/>
                <w:szCs w:val="20"/>
                <w:color w:val="auto"/>
              </w:rPr>
            </w:pPr>
            <w:r>
              <w:rPr>
                <w:rFonts w:ascii="Arial" w:cs="Arial" w:eastAsia="Arial" w:hAnsi="Arial"/>
                <w:sz w:val="15"/>
                <w:szCs w:val="15"/>
                <w:b w:val="1"/>
                <w:bCs w:val="1"/>
                <w:color w:val="auto"/>
              </w:rPr>
              <w:t>No. of</w:t>
            </w:r>
          </w:p>
        </w:tc>
        <w:tc>
          <w:tcPr>
            <w:tcW w:w="2540" w:type="dxa"/>
            <w:vAlign w:val="bottom"/>
            <w:shd w:val="clear" w:color="auto" w:fill="CCEEFF"/>
          </w:tcPr>
          <w:p>
            <w:pPr>
              <w:jc w:val="right"/>
              <w:ind w:right="766"/>
              <w:spacing w:after="0"/>
              <w:rPr>
                <w:sz w:val="20"/>
                <w:szCs w:val="20"/>
                <w:color w:val="auto"/>
              </w:rPr>
            </w:pPr>
            <w:r>
              <w:rPr>
                <w:rFonts w:ascii="Arial" w:cs="Arial" w:eastAsia="Arial" w:hAnsi="Arial"/>
                <w:sz w:val="15"/>
                <w:szCs w:val="15"/>
                <w:b w:val="1"/>
                <w:bCs w:val="1"/>
                <w:color w:val="auto"/>
              </w:rPr>
              <w:t>Vesting Date</w:t>
            </w:r>
          </w:p>
        </w:tc>
        <w:tc>
          <w:tcPr>
            <w:tcW w:w="2040" w:type="dxa"/>
            <w:vAlign w:val="bottom"/>
            <w:shd w:val="clear" w:color="auto" w:fill="CCEEFF"/>
          </w:tcPr>
          <w:p>
            <w:pPr>
              <w:ind w:left="980"/>
              <w:spacing w:after="0"/>
              <w:rPr>
                <w:sz w:val="20"/>
                <w:szCs w:val="20"/>
                <w:color w:val="auto"/>
              </w:rPr>
            </w:pPr>
            <w:r>
              <w:rPr>
                <w:rFonts w:ascii="Arial" w:cs="Arial" w:eastAsia="Arial" w:hAnsi="Arial"/>
                <w:sz w:val="15"/>
                <w:szCs w:val="15"/>
                <w:b w:val="1"/>
                <w:bCs w:val="1"/>
                <w:color w:val="auto"/>
              </w:rPr>
              <w:t>No. of</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Vesting Date</w:t>
            </w:r>
          </w:p>
        </w:tc>
      </w:tr>
      <w:tr>
        <w:trPr>
          <w:trHeight w:val="197"/>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27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b w:val="1"/>
                <w:bCs w:val="1"/>
                <w:color w:val="auto"/>
              </w:rPr>
              <w:t>RSUs</w:t>
            </w:r>
          </w:p>
        </w:tc>
        <w:tc>
          <w:tcPr>
            <w:tcW w:w="25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center"/>
              <w:ind w:left="146"/>
              <w:spacing w:after="0" w:line="197" w:lineRule="exact"/>
              <w:rPr>
                <w:sz w:val="20"/>
                <w:szCs w:val="20"/>
                <w:color w:val="auto"/>
              </w:rPr>
            </w:pPr>
            <w:r>
              <w:rPr>
                <w:rFonts w:ascii="Arial" w:cs="Arial" w:eastAsia="Arial" w:hAnsi="Arial"/>
                <w:sz w:val="15"/>
                <w:szCs w:val="15"/>
                <w:b w:val="1"/>
                <w:bCs w:val="1"/>
                <w:color w:val="auto"/>
                <w:w w:val="91"/>
              </w:rPr>
              <w:t xml:space="preserve">PSUs </w:t>
            </w:r>
            <w:r>
              <w:rPr>
                <w:rFonts w:ascii="Arial" w:cs="Arial" w:eastAsia="Arial" w:hAnsi="Arial"/>
                <w:sz w:val="19"/>
                <w:szCs w:val="19"/>
                <w:b w:val="1"/>
                <w:bCs w:val="1"/>
                <w:color w:val="auto"/>
                <w:w w:val="91"/>
                <w:vertAlign w:val="superscript"/>
              </w:rPr>
              <w:t>(1)</w:t>
            </w:r>
          </w:p>
        </w:tc>
        <w:tc>
          <w:tcPr>
            <w:tcW w:w="1620" w:type="dxa"/>
            <w:vAlign w:val="bottom"/>
            <w:tcBorders>
              <w:bottom w:val="single" w:sz="8" w:color="auto"/>
            </w:tcBorders>
            <w:shd w:val="clear" w:color="auto" w:fill="CCEEFF"/>
          </w:tcPr>
          <w:p>
            <w:pPr>
              <w:spacing w:after="0"/>
              <w:rPr>
                <w:sz w:val="17"/>
                <w:szCs w:val="17"/>
                <w:color w:val="auto"/>
              </w:rPr>
            </w:pPr>
          </w:p>
        </w:tc>
      </w:tr>
      <w:tr>
        <w:trPr>
          <w:trHeight w:val="18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Ciaran Murray</w:t>
            </w:r>
          </w:p>
        </w:tc>
        <w:tc>
          <w:tcPr>
            <w:tcW w:w="27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946</w:t>
            </w:r>
          </w:p>
        </w:tc>
        <w:tc>
          <w:tcPr>
            <w:tcW w:w="25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28"/>
        </w:trPr>
        <w:tc>
          <w:tcPr>
            <w:tcW w:w="2220" w:type="dxa"/>
            <w:vAlign w:val="bottom"/>
          </w:tcPr>
          <w:p>
            <w:pPr>
              <w:ind w:left="20"/>
              <w:spacing w:after="0"/>
              <w:rPr>
                <w:sz w:val="20"/>
                <w:szCs w:val="20"/>
                <w:color w:val="auto"/>
              </w:rPr>
            </w:pPr>
            <w:r>
              <w:rPr>
                <w:rFonts w:ascii="Arial" w:cs="Arial" w:eastAsia="Arial" w:hAnsi="Arial"/>
                <w:sz w:val="15"/>
                <w:szCs w:val="15"/>
                <w:color w:val="auto"/>
              </w:rPr>
              <w:t>Dr. Steve Cutler</w:t>
            </w:r>
          </w:p>
        </w:tc>
        <w:tc>
          <w:tcPr>
            <w:tcW w:w="2760" w:type="dxa"/>
            <w:vAlign w:val="bottom"/>
            <w:shd w:val="clear" w:color="auto" w:fill="CCEEFF"/>
          </w:tcPr>
          <w:p>
            <w:pPr>
              <w:ind w:left="1800"/>
              <w:spacing w:after="0"/>
              <w:rPr>
                <w:sz w:val="20"/>
                <w:szCs w:val="20"/>
                <w:color w:val="auto"/>
              </w:rPr>
            </w:pPr>
            <w:r>
              <w:rPr>
                <w:rFonts w:ascii="Arial" w:cs="Arial" w:eastAsia="Arial" w:hAnsi="Arial"/>
                <w:sz w:val="15"/>
                <w:szCs w:val="15"/>
                <w:color w:val="auto"/>
              </w:rPr>
              <w:t>3,019</w:t>
            </w:r>
          </w:p>
        </w:tc>
        <w:tc>
          <w:tcPr>
            <w:tcW w:w="254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March 3, 2025</w:t>
            </w:r>
          </w:p>
        </w:tc>
        <w:tc>
          <w:tcPr>
            <w:tcW w:w="2040" w:type="dxa"/>
            <w:vAlign w:val="bottom"/>
            <w:shd w:val="clear" w:color="auto" w:fill="CCEEFF"/>
          </w:tcPr>
          <w:p>
            <w:pPr>
              <w:jc w:val="center"/>
              <w:ind w:left="126"/>
              <w:spacing w:after="0"/>
              <w:rPr>
                <w:sz w:val="20"/>
                <w:szCs w:val="20"/>
                <w:color w:val="auto"/>
              </w:rPr>
            </w:pPr>
            <w:r>
              <w:rPr>
                <w:rFonts w:ascii="Arial" w:cs="Arial" w:eastAsia="Arial" w:hAnsi="Arial"/>
                <w:sz w:val="15"/>
                <w:szCs w:val="15"/>
                <w:color w:val="auto"/>
                <w:w w:val="95"/>
              </w:rPr>
              <w:t>10,565</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March 3, 2025</w:t>
            </w:r>
          </w:p>
        </w:tc>
      </w:tr>
      <w:tr>
        <w:trPr>
          <w:trHeight w:val="245"/>
        </w:trPr>
        <w:tc>
          <w:tcPr>
            <w:tcW w:w="2220" w:type="dxa"/>
            <w:vAlign w:val="bottom"/>
          </w:tcPr>
          <w:p>
            <w:pPr>
              <w:spacing w:after="0"/>
              <w:rPr>
                <w:sz w:val="21"/>
                <w:szCs w:val="21"/>
                <w:color w:val="auto"/>
              </w:rPr>
            </w:pPr>
          </w:p>
        </w:tc>
        <w:tc>
          <w:tcPr>
            <w:tcW w:w="2760" w:type="dxa"/>
            <w:vAlign w:val="bottom"/>
          </w:tcPr>
          <w:p>
            <w:pPr>
              <w:ind w:left="1800"/>
              <w:spacing w:after="0"/>
              <w:rPr>
                <w:sz w:val="20"/>
                <w:szCs w:val="20"/>
                <w:color w:val="auto"/>
              </w:rPr>
            </w:pPr>
            <w:r>
              <w:rPr>
                <w:rFonts w:ascii="Arial" w:cs="Arial" w:eastAsia="Arial" w:hAnsi="Arial"/>
                <w:sz w:val="15"/>
                <w:szCs w:val="15"/>
                <w:color w:val="auto"/>
              </w:rPr>
              <w:t>3,050</w:t>
            </w:r>
          </w:p>
        </w:tc>
        <w:tc>
          <w:tcPr>
            <w:tcW w:w="2540" w:type="dxa"/>
            <w:vAlign w:val="bottom"/>
          </w:tcPr>
          <w:p>
            <w:pPr>
              <w:jc w:val="right"/>
              <w:ind w:right="766"/>
              <w:spacing w:after="0"/>
              <w:rPr>
                <w:sz w:val="20"/>
                <w:szCs w:val="20"/>
                <w:color w:val="auto"/>
              </w:rPr>
            </w:pPr>
            <w:r>
              <w:rPr>
                <w:rFonts w:ascii="Arial" w:cs="Arial" w:eastAsia="Arial" w:hAnsi="Arial"/>
                <w:sz w:val="15"/>
                <w:szCs w:val="15"/>
                <w:color w:val="auto"/>
              </w:rPr>
              <w:t>March 3, 2025</w:t>
            </w:r>
          </w:p>
        </w:tc>
        <w:tc>
          <w:tcPr>
            <w:tcW w:w="2040" w:type="dxa"/>
            <w:vAlign w:val="bottom"/>
          </w:tcPr>
          <w:p>
            <w:pPr>
              <w:jc w:val="center"/>
              <w:ind w:left="126"/>
              <w:spacing w:after="0"/>
              <w:rPr>
                <w:sz w:val="20"/>
                <w:szCs w:val="20"/>
                <w:color w:val="auto"/>
              </w:rPr>
            </w:pPr>
            <w:r>
              <w:rPr>
                <w:rFonts w:ascii="Arial" w:cs="Arial" w:eastAsia="Arial" w:hAnsi="Arial"/>
                <w:sz w:val="15"/>
                <w:szCs w:val="15"/>
                <w:color w:val="auto"/>
                <w:w w:val="95"/>
              </w:rPr>
              <w:t>10,675</w:t>
            </w:r>
          </w:p>
        </w:tc>
        <w:tc>
          <w:tcPr>
            <w:tcW w:w="1620" w:type="dxa"/>
            <w:vAlign w:val="bottom"/>
          </w:tcPr>
          <w:p>
            <w:pPr>
              <w:jc w:val="right"/>
              <w:spacing w:after="0"/>
              <w:rPr>
                <w:sz w:val="20"/>
                <w:szCs w:val="20"/>
                <w:color w:val="auto"/>
              </w:rPr>
            </w:pPr>
            <w:r>
              <w:rPr>
                <w:rFonts w:ascii="Arial" w:cs="Arial" w:eastAsia="Arial" w:hAnsi="Arial"/>
                <w:sz w:val="15"/>
                <w:szCs w:val="15"/>
                <w:color w:val="auto"/>
              </w:rPr>
              <w:t>March 3, 2026</w:t>
            </w:r>
          </w:p>
        </w:tc>
      </w:tr>
      <w:tr>
        <w:trPr>
          <w:trHeight w:val="248"/>
        </w:trPr>
        <w:tc>
          <w:tcPr>
            <w:tcW w:w="2220" w:type="dxa"/>
            <w:vAlign w:val="bottom"/>
          </w:tcPr>
          <w:p>
            <w:pPr>
              <w:spacing w:after="0"/>
              <w:rPr>
                <w:sz w:val="21"/>
                <w:szCs w:val="21"/>
                <w:color w:val="auto"/>
              </w:rPr>
            </w:pPr>
          </w:p>
        </w:tc>
        <w:tc>
          <w:tcPr>
            <w:tcW w:w="2760" w:type="dxa"/>
            <w:vAlign w:val="bottom"/>
            <w:shd w:val="clear" w:color="auto" w:fill="CCEEFF"/>
          </w:tcPr>
          <w:p>
            <w:pPr>
              <w:ind w:left="1800"/>
              <w:spacing w:after="0"/>
              <w:rPr>
                <w:sz w:val="20"/>
                <w:szCs w:val="20"/>
                <w:color w:val="auto"/>
              </w:rPr>
            </w:pPr>
            <w:r>
              <w:rPr>
                <w:rFonts w:ascii="Arial" w:cs="Arial" w:eastAsia="Arial" w:hAnsi="Arial"/>
                <w:sz w:val="15"/>
                <w:szCs w:val="15"/>
                <w:color w:val="auto"/>
              </w:rPr>
              <w:t>3,080</w:t>
            </w:r>
          </w:p>
        </w:tc>
        <w:tc>
          <w:tcPr>
            <w:tcW w:w="254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March 3, 2025</w:t>
            </w:r>
          </w:p>
        </w:tc>
        <w:tc>
          <w:tcPr>
            <w:tcW w:w="2040" w:type="dxa"/>
            <w:vAlign w:val="bottom"/>
            <w:shd w:val="clear" w:color="auto" w:fill="CCEEFF"/>
          </w:tcPr>
          <w:p>
            <w:pPr>
              <w:jc w:val="center"/>
              <w:ind w:left="126"/>
              <w:spacing w:after="0"/>
              <w:rPr>
                <w:sz w:val="20"/>
                <w:szCs w:val="20"/>
                <w:color w:val="auto"/>
              </w:rPr>
            </w:pPr>
            <w:r>
              <w:rPr>
                <w:rFonts w:ascii="Arial" w:cs="Arial" w:eastAsia="Arial" w:hAnsi="Arial"/>
                <w:sz w:val="15"/>
                <w:szCs w:val="15"/>
                <w:color w:val="auto"/>
                <w:w w:val="95"/>
              </w:rPr>
              <w:t>10,782</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March 3, 2027</w:t>
            </w:r>
          </w:p>
        </w:tc>
      </w:tr>
      <w:tr>
        <w:trPr>
          <w:trHeight w:val="245"/>
        </w:trPr>
        <w:tc>
          <w:tcPr>
            <w:tcW w:w="2220" w:type="dxa"/>
            <w:vAlign w:val="bottom"/>
          </w:tcPr>
          <w:p>
            <w:pPr>
              <w:spacing w:after="0"/>
              <w:rPr>
                <w:sz w:val="21"/>
                <w:szCs w:val="21"/>
                <w:color w:val="auto"/>
              </w:rPr>
            </w:pPr>
          </w:p>
        </w:tc>
        <w:tc>
          <w:tcPr>
            <w:tcW w:w="2760" w:type="dxa"/>
            <w:vAlign w:val="bottom"/>
          </w:tcPr>
          <w:p>
            <w:pPr>
              <w:ind w:left="1800"/>
              <w:spacing w:after="0"/>
              <w:rPr>
                <w:sz w:val="20"/>
                <w:szCs w:val="20"/>
                <w:color w:val="auto"/>
              </w:rPr>
            </w:pPr>
            <w:r>
              <w:rPr>
                <w:rFonts w:ascii="Arial" w:cs="Arial" w:eastAsia="Arial" w:hAnsi="Arial"/>
                <w:sz w:val="15"/>
                <w:szCs w:val="15"/>
                <w:color w:val="auto"/>
              </w:rPr>
              <w:t>3,050</w:t>
            </w:r>
          </w:p>
        </w:tc>
        <w:tc>
          <w:tcPr>
            <w:tcW w:w="2540" w:type="dxa"/>
            <w:vAlign w:val="bottom"/>
          </w:tcPr>
          <w:p>
            <w:pPr>
              <w:jc w:val="right"/>
              <w:ind w:right="766"/>
              <w:spacing w:after="0"/>
              <w:rPr>
                <w:sz w:val="20"/>
                <w:szCs w:val="20"/>
                <w:color w:val="auto"/>
              </w:rPr>
            </w:pPr>
            <w:r>
              <w:rPr>
                <w:rFonts w:ascii="Arial" w:cs="Arial" w:eastAsia="Arial" w:hAnsi="Arial"/>
                <w:sz w:val="15"/>
                <w:szCs w:val="15"/>
                <w:color w:val="auto"/>
              </w:rPr>
              <w:t>March 3, 2026</w:t>
            </w:r>
          </w:p>
        </w:tc>
        <w:tc>
          <w:tcPr>
            <w:tcW w:w="20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8"/>
        </w:trPr>
        <w:tc>
          <w:tcPr>
            <w:tcW w:w="2220" w:type="dxa"/>
            <w:vAlign w:val="bottom"/>
          </w:tcPr>
          <w:p>
            <w:pPr>
              <w:spacing w:after="0"/>
              <w:rPr>
                <w:sz w:val="21"/>
                <w:szCs w:val="21"/>
                <w:color w:val="auto"/>
              </w:rPr>
            </w:pPr>
          </w:p>
        </w:tc>
        <w:tc>
          <w:tcPr>
            <w:tcW w:w="2760" w:type="dxa"/>
            <w:vAlign w:val="bottom"/>
            <w:shd w:val="clear" w:color="auto" w:fill="CCEEFF"/>
          </w:tcPr>
          <w:p>
            <w:pPr>
              <w:ind w:left="1800"/>
              <w:spacing w:after="0"/>
              <w:rPr>
                <w:sz w:val="20"/>
                <w:szCs w:val="20"/>
                <w:color w:val="auto"/>
              </w:rPr>
            </w:pPr>
            <w:r>
              <w:rPr>
                <w:rFonts w:ascii="Arial" w:cs="Arial" w:eastAsia="Arial" w:hAnsi="Arial"/>
                <w:sz w:val="15"/>
                <w:szCs w:val="15"/>
                <w:color w:val="auto"/>
              </w:rPr>
              <w:t>3,080</w:t>
            </w:r>
          </w:p>
        </w:tc>
        <w:tc>
          <w:tcPr>
            <w:tcW w:w="254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March 3, 2026</w:t>
            </w:r>
          </w:p>
        </w:tc>
        <w:tc>
          <w:tcPr>
            <w:tcW w:w="20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45"/>
        </w:trPr>
        <w:tc>
          <w:tcPr>
            <w:tcW w:w="2220" w:type="dxa"/>
            <w:vAlign w:val="bottom"/>
          </w:tcPr>
          <w:p>
            <w:pPr>
              <w:spacing w:after="0"/>
              <w:rPr>
                <w:sz w:val="21"/>
                <w:szCs w:val="21"/>
                <w:color w:val="auto"/>
              </w:rPr>
            </w:pPr>
          </w:p>
        </w:tc>
        <w:tc>
          <w:tcPr>
            <w:tcW w:w="2760" w:type="dxa"/>
            <w:vAlign w:val="bottom"/>
          </w:tcPr>
          <w:p>
            <w:pPr>
              <w:ind w:left="1800"/>
              <w:spacing w:after="0"/>
              <w:rPr>
                <w:sz w:val="20"/>
                <w:szCs w:val="20"/>
                <w:color w:val="auto"/>
              </w:rPr>
            </w:pPr>
            <w:r>
              <w:rPr>
                <w:rFonts w:ascii="Arial" w:cs="Arial" w:eastAsia="Arial" w:hAnsi="Arial"/>
                <w:sz w:val="15"/>
                <w:szCs w:val="15"/>
                <w:color w:val="auto"/>
              </w:rPr>
              <w:t>3,676</w:t>
            </w:r>
          </w:p>
        </w:tc>
        <w:tc>
          <w:tcPr>
            <w:tcW w:w="2540" w:type="dxa"/>
            <w:vAlign w:val="bottom"/>
          </w:tcPr>
          <w:p>
            <w:pPr>
              <w:jc w:val="right"/>
              <w:ind w:right="766"/>
              <w:spacing w:after="0"/>
              <w:rPr>
                <w:sz w:val="20"/>
                <w:szCs w:val="20"/>
                <w:color w:val="auto"/>
              </w:rPr>
            </w:pPr>
            <w:r>
              <w:rPr>
                <w:rFonts w:ascii="Arial" w:cs="Arial" w:eastAsia="Arial" w:hAnsi="Arial"/>
                <w:sz w:val="15"/>
                <w:szCs w:val="15"/>
                <w:color w:val="auto"/>
              </w:rPr>
              <w:t>March 3, 2027</w:t>
            </w:r>
          </w:p>
        </w:tc>
        <w:tc>
          <w:tcPr>
            <w:tcW w:w="20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97"/>
        </w:trPr>
        <w:tc>
          <w:tcPr>
            <w:tcW w:w="2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5"/>
                <w:szCs w:val="15"/>
                <w:color w:val="auto"/>
              </w:rPr>
              <w:t>3,082</w:t>
            </w:r>
          </w:p>
        </w:tc>
        <w:tc>
          <w:tcPr>
            <w:tcW w:w="25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March 3, 2027</w:t>
            </w:r>
          </w:p>
        </w:tc>
        <w:tc>
          <w:tcPr>
            <w:tcW w:w="20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5"/>
                <w:szCs w:val="15"/>
                <w:color w:val="auto"/>
              </w:rPr>
              <w:t>Nigel Clerkin</w:t>
            </w:r>
          </w:p>
        </w:tc>
        <w:tc>
          <w:tcPr>
            <w:tcW w:w="2760" w:type="dxa"/>
            <w:vAlign w:val="bottom"/>
          </w:tcPr>
          <w:p>
            <w:pPr>
              <w:jc w:val="right"/>
              <w:ind w:right="466"/>
              <w:spacing w:after="0"/>
              <w:rPr>
                <w:sz w:val="20"/>
                <w:szCs w:val="20"/>
                <w:color w:val="auto"/>
              </w:rPr>
            </w:pPr>
            <w:r>
              <w:rPr>
                <w:rFonts w:ascii="Arial" w:cs="Arial" w:eastAsia="Arial" w:hAnsi="Arial"/>
                <w:sz w:val="15"/>
                <w:szCs w:val="15"/>
                <w:color w:val="auto"/>
              </w:rPr>
              <w:t>2,778</w:t>
            </w:r>
          </w:p>
        </w:tc>
        <w:tc>
          <w:tcPr>
            <w:tcW w:w="2540" w:type="dxa"/>
            <w:vAlign w:val="bottom"/>
          </w:tcPr>
          <w:p>
            <w:pPr>
              <w:jc w:val="right"/>
              <w:ind w:right="766"/>
              <w:spacing w:after="0"/>
              <w:rPr>
                <w:sz w:val="20"/>
                <w:szCs w:val="20"/>
                <w:color w:val="auto"/>
              </w:rPr>
            </w:pPr>
            <w:r>
              <w:rPr>
                <w:rFonts w:ascii="Arial" w:cs="Arial" w:eastAsia="Arial" w:hAnsi="Arial"/>
                <w:sz w:val="15"/>
                <w:szCs w:val="15"/>
                <w:color w:val="auto"/>
              </w:rPr>
              <w:t>October 31, 2025</w:t>
            </w:r>
          </w:p>
        </w:tc>
        <w:tc>
          <w:tcPr>
            <w:tcW w:w="20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9"/>
        </w:trPr>
        <w:tc>
          <w:tcPr>
            <w:tcW w:w="2220" w:type="dxa"/>
            <w:vAlign w:val="bottom"/>
          </w:tcPr>
          <w:p>
            <w:pPr>
              <w:spacing w:after="0"/>
              <w:rPr>
                <w:sz w:val="17"/>
                <w:szCs w:val="17"/>
                <w:color w:val="auto"/>
              </w:rPr>
            </w:pPr>
          </w:p>
        </w:tc>
        <w:tc>
          <w:tcPr>
            <w:tcW w:w="27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2,778</w:t>
            </w:r>
          </w:p>
        </w:tc>
        <w:tc>
          <w:tcPr>
            <w:tcW w:w="254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October 31, 2026</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6"/>
        </w:trPr>
        <w:tc>
          <w:tcPr>
            <w:tcW w:w="2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2,780</w:t>
            </w:r>
          </w:p>
        </w:tc>
        <w:tc>
          <w:tcPr>
            <w:tcW w:w="25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October 31, 2027</w:t>
            </w:r>
          </w:p>
        </w:tc>
        <w:tc>
          <w:tcPr>
            <w:tcW w:w="2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Rónán Murphy</w:t>
            </w:r>
          </w:p>
        </w:tc>
        <w:tc>
          <w:tcPr>
            <w:tcW w:w="27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694</w:t>
            </w:r>
          </w:p>
        </w:tc>
        <w:tc>
          <w:tcPr>
            <w:tcW w:w="25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spacing w:after="0"/>
              <w:rPr>
                <w:sz w:val="16"/>
                <w:szCs w:val="16"/>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Dr. John Climax</w:t>
            </w:r>
          </w:p>
        </w:tc>
        <w:tc>
          <w:tcPr>
            <w:tcW w:w="27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694</w:t>
            </w:r>
          </w:p>
        </w:tc>
        <w:tc>
          <w:tcPr>
            <w:tcW w:w="25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Eugene McCague</w:t>
            </w:r>
          </w:p>
        </w:tc>
        <w:tc>
          <w:tcPr>
            <w:tcW w:w="27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694</w:t>
            </w:r>
          </w:p>
        </w:tc>
        <w:tc>
          <w:tcPr>
            <w:tcW w:w="25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spacing w:after="0"/>
              <w:rPr>
                <w:sz w:val="16"/>
                <w:szCs w:val="16"/>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Julie O'Neill</w:t>
            </w:r>
          </w:p>
        </w:tc>
        <w:tc>
          <w:tcPr>
            <w:tcW w:w="27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694</w:t>
            </w:r>
          </w:p>
        </w:tc>
        <w:tc>
          <w:tcPr>
            <w:tcW w:w="25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Dr. Linda Grais</w:t>
            </w:r>
          </w:p>
        </w:tc>
        <w:tc>
          <w:tcPr>
            <w:tcW w:w="27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694</w:t>
            </w:r>
          </w:p>
        </w:tc>
        <w:tc>
          <w:tcPr>
            <w:tcW w:w="25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May 22, 2025</w:t>
            </w:r>
          </w:p>
        </w:tc>
        <w:tc>
          <w:tcPr>
            <w:tcW w:w="20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spacing w:after="0"/>
              <w:rPr>
                <w:sz w:val="16"/>
                <w:szCs w:val="16"/>
                <w:color w:val="auto"/>
              </w:rPr>
            </w:pPr>
          </w:p>
        </w:tc>
      </w:tr>
    </w:tbl>
    <w:p>
      <w:pPr>
        <w:spacing w:after="0" w:line="234" w:lineRule="exact"/>
        <w:rPr>
          <w:sz w:val="20"/>
          <w:szCs w:val="20"/>
          <w:color w:val="auto"/>
        </w:rPr>
      </w:pPr>
    </w:p>
    <w:p>
      <w:pPr>
        <w:jc w:val="both"/>
        <w:ind w:left="440" w:hanging="294"/>
        <w:spacing w:after="0" w:line="246" w:lineRule="auto"/>
        <w:tabs>
          <w:tab w:leader="none" w:pos="436" w:val="left"/>
        </w:tabs>
        <w:numPr>
          <w:ilvl w:val="0"/>
          <w:numId w:val="57"/>
        </w:numPr>
        <w:rPr>
          <w:rFonts w:ascii="Arial" w:cs="Arial" w:eastAsia="Arial" w:hAnsi="Arial"/>
          <w:sz w:val="15"/>
          <w:szCs w:val="15"/>
          <w:color w:val="auto"/>
        </w:rPr>
      </w:pPr>
      <w:r>
        <w:rPr>
          <w:rFonts w:ascii="Arial" w:cs="Arial" w:eastAsia="Arial" w:hAnsi="Arial"/>
          <w:sz w:val="15"/>
          <w:szCs w:val="15"/>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2022 – 2024, 2023 – 2025 and 2024 - 2026. Depending on the actual amount of EPS from 2022 to 2026, up to a maximum of 32,022 additional PSUs may also be granted to Dr. Steve Cutler.</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Options</w:t>
      </w:r>
    </w:p>
    <w:p>
      <w:pPr>
        <w:spacing w:after="0" w:line="234"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The following table sets forth certain information as of February 21, 2025 regarding options to acquire ordinary shares of the Company by all of our current Directors and executive officers.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3780" w:type="dxa"/>
            <w:vAlign w:val="bottom"/>
            <w:shd w:val="clear" w:color="auto" w:fill="CCEEFF"/>
          </w:tcPr>
          <w:p>
            <w:pPr>
              <w:jc w:val="right"/>
              <w:ind w:right="726"/>
              <w:spacing w:after="0"/>
              <w:rPr>
                <w:sz w:val="20"/>
                <w:szCs w:val="20"/>
                <w:color w:val="auto"/>
              </w:rPr>
            </w:pPr>
            <w:r>
              <w:rPr>
                <w:rFonts w:ascii="Arial" w:cs="Arial" w:eastAsia="Arial" w:hAnsi="Arial"/>
                <w:sz w:val="15"/>
                <w:szCs w:val="15"/>
                <w:b w:val="1"/>
                <w:bCs w:val="1"/>
                <w:color w:val="auto"/>
              </w:rPr>
              <w:t>No. of</w:t>
            </w:r>
          </w:p>
        </w:tc>
        <w:tc>
          <w:tcPr>
            <w:tcW w:w="5220" w:type="dxa"/>
            <w:vAlign w:val="bottom"/>
            <w:gridSpan w:val="2"/>
            <w:shd w:val="clear" w:color="auto" w:fill="CCEEFF"/>
          </w:tcPr>
          <w:p>
            <w:pPr>
              <w:ind w:left="780"/>
              <w:spacing w:after="0"/>
              <w:rPr>
                <w:sz w:val="20"/>
                <w:szCs w:val="20"/>
                <w:color w:val="auto"/>
              </w:rPr>
            </w:pPr>
            <w:r>
              <w:rPr>
                <w:rFonts w:ascii="Arial" w:cs="Arial" w:eastAsia="Arial" w:hAnsi="Arial"/>
                <w:sz w:val="15"/>
                <w:szCs w:val="15"/>
                <w:b w:val="1"/>
                <w:bCs w:val="1"/>
                <w:color w:val="auto"/>
              </w:rPr>
              <w:t>Exercise price Expiration Date</w:t>
            </w:r>
          </w:p>
        </w:tc>
      </w:tr>
      <w:tr>
        <w:trPr>
          <w:trHeight w:val="197"/>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3780" w:type="dxa"/>
            <w:vAlign w:val="bottom"/>
            <w:tcBorders>
              <w:bottom w:val="single" w:sz="8" w:color="auto"/>
            </w:tcBorders>
            <w:shd w:val="clear" w:color="auto" w:fill="CCEEFF"/>
          </w:tcPr>
          <w:p>
            <w:pPr>
              <w:jc w:val="right"/>
              <w:ind w:right="726"/>
              <w:spacing w:after="0" w:line="197" w:lineRule="exact"/>
              <w:rPr>
                <w:sz w:val="20"/>
                <w:szCs w:val="20"/>
                <w:color w:val="auto"/>
              </w:rPr>
            </w:pPr>
            <w:r>
              <w:rPr>
                <w:rFonts w:ascii="Arial" w:cs="Arial" w:eastAsia="Arial" w:hAnsi="Arial"/>
                <w:sz w:val="15"/>
                <w:szCs w:val="15"/>
                <w:b w:val="1"/>
                <w:bCs w:val="1"/>
                <w:color w:val="auto"/>
              </w:rPr>
              <w:t xml:space="preserve">Options </w:t>
            </w:r>
            <w:r>
              <w:rPr>
                <w:rFonts w:ascii="Arial" w:cs="Arial" w:eastAsia="Arial" w:hAnsi="Arial"/>
                <w:sz w:val="19"/>
                <w:szCs w:val="19"/>
                <w:b w:val="1"/>
                <w:bCs w:val="1"/>
                <w:color w:val="auto"/>
                <w:vertAlign w:val="superscript"/>
              </w:rPr>
              <w:t>(1)</w:t>
            </w:r>
          </w:p>
        </w:tc>
        <w:tc>
          <w:tcPr>
            <w:tcW w:w="1780" w:type="dxa"/>
            <w:vAlign w:val="bottom"/>
            <w:tcBorders>
              <w:bottom w:val="single" w:sz="8" w:color="auto"/>
            </w:tcBorders>
            <w:shd w:val="clear" w:color="auto" w:fill="CCEEFF"/>
          </w:tcPr>
          <w:p>
            <w:pPr>
              <w:spacing w:after="0"/>
              <w:rPr>
                <w:sz w:val="17"/>
                <w:szCs w:val="17"/>
                <w:color w:val="auto"/>
              </w:rPr>
            </w:pPr>
          </w:p>
        </w:tc>
        <w:tc>
          <w:tcPr>
            <w:tcW w:w="3440" w:type="dxa"/>
            <w:vAlign w:val="bottom"/>
            <w:tcBorders>
              <w:bottom w:val="single" w:sz="8" w:color="auto"/>
            </w:tcBorders>
            <w:shd w:val="clear" w:color="auto" w:fill="CCEEFF"/>
          </w:tcPr>
          <w:p>
            <w:pPr>
              <w:spacing w:after="0"/>
              <w:rPr>
                <w:sz w:val="17"/>
                <w:szCs w:val="17"/>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5"/>
                <w:szCs w:val="15"/>
                <w:color w:val="auto"/>
              </w:rPr>
              <w:t>Dr. Steve Cutler</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2,784</w:t>
            </w:r>
          </w:p>
        </w:tc>
        <w:tc>
          <w:tcPr>
            <w:tcW w:w="1780" w:type="dxa"/>
            <w:vAlign w:val="bottom"/>
          </w:tcPr>
          <w:p>
            <w:pPr>
              <w:jc w:val="right"/>
              <w:spacing w:after="0"/>
              <w:rPr>
                <w:sz w:val="20"/>
                <w:szCs w:val="20"/>
                <w:color w:val="auto"/>
              </w:rPr>
            </w:pPr>
            <w:r>
              <w:rPr>
                <w:rFonts w:ascii="Arial" w:cs="Arial" w:eastAsia="Arial" w:hAnsi="Arial"/>
                <w:sz w:val="15"/>
                <w:szCs w:val="15"/>
                <w:color w:val="auto"/>
              </w:rPr>
              <w:t>$83.47</w:t>
            </w:r>
          </w:p>
        </w:tc>
        <w:tc>
          <w:tcPr>
            <w:tcW w:w="3440" w:type="dxa"/>
            <w:vAlign w:val="bottom"/>
          </w:tcPr>
          <w:p>
            <w:pPr>
              <w:ind w:left="40"/>
              <w:spacing w:after="0"/>
              <w:rPr>
                <w:sz w:val="20"/>
                <w:szCs w:val="20"/>
                <w:color w:val="auto"/>
              </w:rPr>
            </w:pPr>
            <w:r>
              <w:rPr>
                <w:rFonts w:ascii="Arial" w:cs="Arial" w:eastAsia="Arial" w:hAnsi="Arial"/>
                <w:sz w:val="15"/>
                <w:szCs w:val="15"/>
                <w:color w:val="auto"/>
              </w:rPr>
              <w:t>March 3, 2025</w:t>
            </w:r>
          </w:p>
        </w:tc>
      </w:tr>
      <w:tr>
        <w:trPr>
          <w:trHeight w:val="236"/>
        </w:trPr>
        <w:tc>
          <w:tcPr>
            <w:tcW w:w="2220" w:type="dxa"/>
            <w:vAlign w:val="bottom"/>
          </w:tcPr>
          <w:p>
            <w:pPr>
              <w:spacing w:after="0"/>
              <w:rPr>
                <w:sz w:val="20"/>
                <w:szCs w:val="20"/>
                <w:color w:val="auto"/>
              </w:rPr>
            </w:pPr>
          </w:p>
        </w:tc>
        <w:tc>
          <w:tcPr>
            <w:tcW w:w="378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29,613</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$115.11</w:t>
            </w:r>
          </w:p>
        </w:tc>
        <w:tc>
          <w:tcPr>
            <w:tcW w:w="3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March 3, 2026</w:t>
            </w:r>
          </w:p>
        </w:tc>
      </w:tr>
      <w:tr>
        <w:trPr>
          <w:trHeight w:val="232"/>
        </w:trPr>
        <w:tc>
          <w:tcPr>
            <w:tcW w:w="2220" w:type="dxa"/>
            <w:vAlign w:val="bottom"/>
          </w:tcPr>
          <w:p>
            <w:pPr>
              <w:spacing w:after="0"/>
              <w:rPr>
                <w:sz w:val="20"/>
                <w:szCs w:val="20"/>
                <w:color w:val="auto"/>
              </w:rPr>
            </w:pP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32,272</w:t>
            </w:r>
          </w:p>
        </w:tc>
        <w:tc>
          <w:tcPr>
            <w:tcW w:w="1780" w:type="dxa"/>
            <w:vAlign w:val="bottom"/>
          </w:tcPr>
          <w:p>
            <w:pPr>
              <w:jc w:val="right"/>
              <w:spacing w:after="0"/>
              <w:rPr>
                <w:sz w:val="20"/>
                <w:szCs w:val="20"/>
                <w:color w:val="auto"/>
              </w:rPr>
            </w:pPr>
            <w:r>
              <w:rPr>
                <w:rFonts w:ascii="Arial" w:cs="Arial" w:eastAsia="Arial" w:hAnsi="Arial"/>
                <w:sz w:val="15"/>
                <w:szCs w:val="15"/>
                <w:color w:val="auto"/>
              </w:rPr>
              <w:t>$140.38</w:t>
            </w:r>
          </w:p>
        </w:tc>
        <w:tc>
          <w:tcPr>
            <w:tcW w:w="3440" w:type="dxa"/>
            <w:vAlign w:val="bottom"/>
          </w:tcPr>
          <w:p>
            <w:pPr>
              <w:ind w:left="40"/>
              <w:spacing w:after="0"/>
              <w:rPr>
                <w:sz w:val="20"/>
                <w:szCs w:val="20"/>
                <w:color w:val="auto"/>
              </w:rPr>
            </w:pPr>
            <w:r>
              <w:rPr>
                <w:rFonts w:ascii="Arial" w:cs="Arial" w:eastAsia="Arial" w:hAnsi="Arial"/>
                <w:sz w:val="15"/>
                <w:szCs w:val="15"/>
                <w:color w:val="auto"/>
              </w:rPr>
              <w:t>March 3, 2027</w:t>
            </w:r>
          </w:p>
        </w:tc>
      </w:tr>
      <w:tr>
        <w:trPr>
          <w:trHeight w:val="236"/>
        </w:trPr>
        <w:tc>
          <w:tcPr>
            <w:tcW w:w="2220" w:type="dxa"/>
            <w:vAlign w:val="bottom"/>
          </w:tcPr>
          <w:p>
            <w:pPr>
              <w:spacing w:after="0"/>
              <w:rPr>
                <w:sz w:val="20"/>
                <w:szCs w:val="20"/>
                <w:color w:val="auto"/>
              </w:rPr>
            </w:pPr>
          </w:p>
        </w:tc>
        <w:tc>
          <w:tcPr>
            <w:tcW w:w="378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42,386</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$159.33</w:t>
            </w:r>
          </w:p>
        </w:tc>
        <w:tc>
          <w:tcPr>
            <w:tcW w:w="3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March 3, 2028</w:t>
            </w:r>
          </w:p>
        </w:tc>
      </w:tr>
      <w:tr>
        <w:trPr>
          <w:trHeight w:val="232"/>
        </w:trPr>
        <w:tc>
          <w:tcPr>
            <w:tcW w:w="2220" w:type="dxa"/>
            <w:vAlign w:val="bottom"/>
          </w:tcPr>
          <w:p>
            <w:pPr>
              <w:spacing w:after="0"/>
              <w:rPr>
                <w:sz w:val="20"/>
                <w:szCs w:val="20"/>
                <w:color w:val="auto"/>
              </w:rPr>
            </w:pP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37,461</w:t>
            </w:r>
          </w:p>
        </w:tc>
        <w:tc>
          <w:tcPr>
            <w:tcW w:w="1780" w:type="dxa"/>
            <w:vAlign w:val="bottom"/>
          </w:tcPr>
          <w:p>
            <w:pPr>
              <w:jc w:val="right"/>
              <w:spacing w:after="0"/>
              <w:rPr>
                <w:sz w:val="20"/>
                <w:szCs w:val="20"/>
                <w:color w:val="auto"/>
              </w:rPr>
            </w:pPr>
            <w:r>
              <w:rPr>
                <w:rFonts w:ascii="Arial" w:cs="Arial" w:eastAsia="Arial" w:hAnsi="Arial"/>
                <w:sz w:val="15"/>
                <w:szCs w:val="15"/>
                <w:color w:val="auto"/>
              </w:rPr>
              <w:t>$174.96</w:t>
            </w:r>
          </w:p>
        </w:tc>
        <w:tc>
          <w:tcPr>
            <w:tcW w:w="3440" w:type="dxa"/>
            <w:vAlign w:val="bottom"/>
          </w:tcPr>
          <w:p>
            <w:pPr>
              <w:ind w:left="40"/>
              <w:spacing w:after="0"/>
              <w:rPr>
                <w:sz w:val="20"/>
                <w:szCs w:val="20"/>
                <w:color w:val="auto"/>
              </w:rPr>
            </w:pPr>
            <w:r>
              <w:rPr>
                <w:rFonts w:ascii="Arial" w:cs="Arial" w:eastAsia="Arial" w:hAnsi="Arial"/>
                <w:sz w:val="15"/>
                <w:szCs w:val="15"/>
                <w:color w:val="auto"/>
              </w:rPr>
              <w:t>March 3, 2029</w:t>
            </w:r>
          </w:p>
        </w:tc>
      </w:tr>
      <w:tr>
        <w:trPr>
          <w:trHeight w:val="236"/>
        </w:trPr>
        <w:tc>
          <w:tcPr>
            <w:tcW w:w="2220" w:type="dxa"/>
            <w:vAlign w:val="bottom"/>
          </w:tcPr>
          <w:p>
            <w:pPr>
              <w:spacing w:after="0"/>
              <w:rPr>
                <w:sz w:val="20"/>
                <w:szCs w:val="20"/>
                <w:color w:val="auto"/>
              </w:rPr>
            </w:pPr>
          </w:p>
        </w:tc>
        <w:tc>
          <w:tcPr>
            <w:tcW w:w="378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35,869</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$231.68</w:t>
            </w:r>
          </w:p>
        </w:tc>
        <w:tc>
          <w:tcPr>
            <w:tcW w:w="3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March 3, 2030</w:t>
            </w:r>
          </w:p>
        </w:tc>
      </w:tr>
      <w:tr>
        <w:trPr>
          <w:trHeight w:val="232"/>
        </w:trPr>
        <w:tc>
          <w:tcPr>
            <w:tcW w:w="2220" w:type="dxa"/>
            <w:vAlign w:val="bottom"/>
          </w:tcPr>
          <w:p>
            <w:pPr>
              <w:spacing w:after="0"/>
              <w:rPr>
                <w:sz w:val="20"/>
                <w:szCs w:val="20"/>
                <w:color w:val="auto"/>
              </w:rPr>
            </w:pP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29,116</w:t>
            </w:r>
          </w:p>
        </w:tc>
        <w:tc>
          <w:tcPr>
            <w:tcW w:w="1780" w:type="dxa"/>
            <w:vAlign w:val="bottom"/>
          </w:tcPr>
          <w:p>
            <w:pPr>
              <w:jc w:val="right"/>
              <w:spacing w:after="0"/>
              <w:rPr>
                <w:sz w:val="20"/>
                <w:szCs w:val="20"/>
                <w:color w:val="auto"/>
              </w:rPr>
            </w:pPr>
            <w:r>
              <w:rPr>
                <w:rFonts w:ascii="Arial" w:cs="Arial" w:eastAsia="Arial" w:hAnsi="Arial"/>
                <w:sz w:val="15"/>
                <w:szCs w:val="15"/>
                <w:color w:val="auto"/>
              </w:rPr>
              <w:t>$233.88</w:t>
            </w:r>
          </w:p>
        </w:tc>
        <w:tc>
          <w:tcPr>
            <w:tcW w:w="3440" w:type="dxa"/>
            <w:vAlign w:val="bottom"/>
          </w:tcPr>
          <w:p>
            <w:pPr>
              <w:ind w:left="40"/>
              <w:spacing w:after="0"/>
              <w:rPr>
                <w:sz w:val="20"/>
                <w:szCs w:val="20"/>
                <w:color w:val="auto"/>
              </w:rPr>
            </w:pPr>
            <w:r>
              <w:rPr>
                <w:rFonts w:ascii="Arial" w:cs="Arial" w:eastAsia="Arial" w:hAnsi="Arial"/>
                <w:sz w:val="15"/>
                <w:szCs w:val="15"/>
                <w:color w:val="auto"/>
              </w:rPr>
              <w:t>March 3, 2031</w:t>
            </w:r>
          </w:p>
        </w:tc>
      </w:tr>
      <w:tr>
        <w:trPr>
          <w:trHeight w:val="197"/>
        </w:trPr>
        <w:tc>
          <w:tcPr>
            <w:tcW w:w="22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30,321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$325.51</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March 3, 2032</w:t>
            </w:r>
          </w:p>
        </w:tc>
      </w:tr>
      <w:tr>
        <w:trPr>
          <w:trHeight w:val="214"/>
        </w:trPr>
        <w:tc>
          <w:tcPr>
            <w:tcW w:w="2220" w:type="dxa"/>
            <w:vAlign w:val="bottom"/>
          </w:tcPr>
          <w:p>
            <w:pPr>
              <w:ind w:left="20"/>
              <w:spacing w:after="0"/>
              <w:rPr>
                <w:sz w:val="20"/>
                <w:szCs w:val="20"/>
                <w:color w:val="auto"/>
              </w:rPr>
            </w:pPr>
            <w:r>
              <w:rPr>
                <w:rFonts w:ascii="Arial" w:cs="Arial" w:eastAsia="Arial" w:hAnsi="Arial"/>
                <w:sz w:val="15"/>
                <w:szCs w:val="15"/>
                <w:color w:val="auto"/>
              </w:rPr>
              <w:t>Rónán Murphy</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3,079</w:t>
            </w:r>
          </w:p>
        </w:tc>
        <w:tc>
          <w:tcPr>
            <w:tcW w:w="1780" w:type="dxa"/>
            <w:vAlign w:val="bottom"/>
          </w:tcPr>
          <w:p>
            <w:pPr>
              <w:jc w:val="right"/>
              <w:spacing w:after="0"/>
              <w:rPr>
                <w:sz w:val="20"/>
                <w:szCs w:val="20"/>
                <w:color w:val="auto"/>
              </w:rPr>
            </w:pPr>
            <w:r>
              <w:rPr>
                <w:rFonts w:ascii="Arial" w:cs="Arial" w:eastAsia="Arial" w:hAnsi="Arial"/>
                <w:sz w:val="15"/>
                <w:szCs w:val="15"/>
                <w:color w:val="auto"/>
              </w:rPr>
              <w:t>$90.03</w:t>
            </w:r>
          </w:p>
        </w:tc>
        <w:tc>
          <w:tcPr>
            <w:tcW w:w="3440" w:type="dxa"/>
            <w:vAlign w:val="bottom"/>
          </w:tcPr>
          <w:p>
            <w:pPr>
              <w:ind w:left="40"/>
              <w:spacing w:after="0"/>
              <w:rPr>
                <w:sz w:val="20"/>
                <w:szCs w:val="20"/>
                <w:color w:val="auto"/>
              </w:rPr>
            </w:pPr>
            <w:r>
              <w:rPr>
                <w:rFonts w:ascii="Arial" w:cs="Arial" w:eastAsia="Arial" w:hAnsi="Arial"/>
                <w:sz w:val="15"/>
                <w:szCs w:val="15"/>
                <w:color w:val="auto"/>
              </w:rPr>
              <w:t>May 19, 2025</w:t>
            </w:r>
          </w:p>
        </w:tc>
      </w:tr>
      <w:tr>
        <w:trPr>
          <w:trHeight w:val="234"/>
        </w:trPr>
        <w:tc>
          <w:tcPr>
            <w:tcW w:w="2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5,005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May 18, 2026</w:t>
            </w:r>
          </w:p>
        </w:tc>
      </w:tr>
      <w:tr>
        <w:trPr>
          <w:trHeight w:val="214"/>
        </w:trPr>
        <w:tc>
          <w:tcPr>
            <w:tcW w:w="2220" w:type="dxa"/>
            <w:vAlign w:val="bottom"/>
          </w:tcPr>
          <w:p>
            <w:pPr>
              <w:ind w:left="20"/>
              <w:spacing w:after="0"/>
              <w:rPr>
                <w:sz w:val="20"/>
                <w:szCs w:val="20"/>
                <w:color w:val="auto"/>
              </w:rPr>
            </w:pPr>
            <w:r>
              <w:rPr>
                <w:rFonts w:ascii="Arial" w:cs="Arial" w:eastAsia="Arial" w:hAnsi="Arial"/>
                <w:sz w:val="15"/>
                <w:szCs w:val="15"/>
                <w:color w:val="auto"/>
              </w:rPr>
              <w:t>Dr. John Climax</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7,693</w:t>
            </w:r>
          </w:p>
        </w:tc>
        <w:tc>
          <w:tcPr>
            <w:tcW w:w="1780" w:type="dxa"/>
            <w:vAlign w:val="bottom"/>
          </w:tcPr>
          <w:p>
            <w:pPr>
              <w:jc w:val="right"/>
              <w:spacing w:after="0"/>
              <w:rPr>
                <w:sz w:val="20"/>
                <w:szCs w:val="20"/>
                <w:color w:val="auto"/>
              </w:rPr>
            </w:pPr>
            <w:r>
              <w:rPr>
                <w:rFonts w:ascii="Arial" w:cs="Arial" w:eastAsia="Arial" w:hAnsi="Arial"/>
                <w:sz w:val="15"/>
                <w:szCs w:val="15"/>
                <w:color w:val="auto"/>
              </w:rPr>
              <w:t>$90.03</w:t>
            </w:r>
          </w:p>
        </w:tc>
        <w:tc>
          <w:tcPr>
            <w:tcW w:w="3440" w:type="dxa"/>
            <w:vAlign w:val="bottom"/>
          </w:tcPr>
          <w:p>
            <w:pPr>
              <w:ind w:left="40"/>
              <w:spacing w:after="0"/>
              <w:rPr>
                <w:sz w:val="20"/>
                <w:szCs w:val="20"/>
                <w:color w:val="auto"/>
              </w:rPr>
            </w:pPr>
            <w:r>
              <w:rPr>
                <w:rFonts w:ascii="Arial" w:cs="Arial" w:eastAsia="Arial" w:hAnsi="Arial"/>
                <w:sz w:val="15"/>
                <w:szCs w:val="15"/>
                <w:color w:val="auto"/>
              </w:rPr>
              <w:t>May 19, 2025</w:t>
            </w:r>
          </w:p>
        </w:tc>
      </w:tr>
      <w:tr>
        <w:trPr>
          <w:trHeight w:val="234"/>
        </w:trPr>
        <w:tc>
          <w:tcPr>
            <w:tcW w:w="2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5,005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May 18, 2026</w:t>
            </w: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Eugene McCague</w:t>
            </w:r>
          </w:p>
        </w:tc>
        <w:tc>
          <w:tcPr>
            <w:tcW w:w="378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3,255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$125.74</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May 18, 2026</w:t>
            </w:r>
          </w:p>
        </w:tc>
      </w:tr>
    </w:tbl>
    <w:p>
      <w:pPr>
        <w:spacing w:after="0" w:line="111" w:lineRule="exact"/>
        <w:rPr>
          <w:sz w:val="20"/>
          <w:szCs w:val="20"/>
          <w:color w:val="auto"/>
        </w:rPr>
      </w:pPr>
    </w:p>
    <w:p>
      <w:pPr>
        <w:ind w:left="820" w:hanging="230"/>
        <w:spacing w:after="0"/>
        <w:tabs>
          <w:tab w:leader="none" w:pos="8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title of securities covered by all of the above options are non-qualified.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1"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1" w:name="page82"/>
    <w:bookmarkEnd w:id="81"/>
    <w:p>
      <w:pPr>
        <w:spacing w:after="0"/>
        <w:rPr>
          <w:sz w:val="20"/>
          <w:szCs w:val="20"/>
          <w:color w:val="auto"/>
        </w:rPr>
      </w:pPr>
      <w:r>
        <w:rPr>
          <w:rFonts w:ascii="Arial" w:cs="Arial" w:eastAsia="Arial" w:hAnsi="Arial"/>
          <w:sz w:val="15"/>
          <w:szCs w:val="15"/>
          <w:b w:val="1"/>
          <w:bCs w:val="1"/>
          <w:color w:val="auto"/>
        </w:rPr>
        <w:t>Equity Incentive Plans</w:t>
      </w:r>
    </w:p>
    <w:p>
      <w:pPr>
        <w:spacing w:after="0" w:line="222"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On April 23, 2013, the Company adopted the 2013 Employees Restricted Share Unit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could be issued under the RSU Plan by 2.5 million shares and on November 6, 2024 the 2013 RSU Plan was amended and restated in order to increase the number of ordinary shares that can be issued under the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4"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4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58"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Share option awards are granted with an exercise price equal to the market price of the Company’s shares at date of grant. Share options typically vest over a period of four to five years from date of grant and expire eight years from date of grant. Share options granted to Non-Executive Directors during 2018 vest over 12 months and expire eight years from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Legacy PRA Equity Incentive Plans</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following represent the legacy PRA equity incentive plans, which still have equity outstanding but have been terminated as of July 1, 2021 as to grants of future awards.</w:t>
      </w:r>
    </w:p>
    <w:p>
      <w:pPr>
        <w:spacing w:after="0" w:line="180"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86"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PRA Health Sciences, Inc. 2020 Stock Incentive Plan was amended and restated and assumed by the Company effective as of July 1, 2021. The 2020 Stock Incentive Plan (“the 2020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2" w:name="page83"/>
    <w:bookmarkEnd w:id="82"/>
    <w:p>
      <w:pPr>
        <w:jc w:val="both"/>
        <w:ind w:firstLine="591"/>
        <w:spacing w:after="0" w:line="256" w:lineRule="auto"/>
        <w:rPr>
          <w:sz w:val="20"/>
          <w:szCs w:val="20"/>
          <w:color w:val="auto"/>
        </w:rPr>
      </w:pPr>
      <w:r>
        <w:rPr>
          <w:rFonts w:ascii="Arial" w:cs="Arial" w:eastAsia="Arial" w:hAnsi="Arial"/>
          <w:sz w:val="15"/>
          <w:szCs w:val="15"/>
          <w:color w:val="auto"/>
        </w:rPr>
        <w:t>The PRA Health Sciences, Inc. 2018 Stock Incentive Plan was amended and restated and assumed by the Company effective as of July 1, 2021. 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 million shares of common stock plus all shares that remained available under the 2014 Plan on May 31, 2018 (which included shares carried over from the 2013 Plan).</w:t>
      </w:r>
    </w:p>
    <w:p>
      <w:pPr>
        <w:spacing w:after="0" w:line="189"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PRA Health Sciences, Inc. 2014 Omnibus Incentive Plan was amended and restated and assumed by the Company effective as of July 1, 2021 (the “2014 Plan”). 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03" w:lineRule="exact"/>
        <w:rPr>
          <w:sz w:val="20"/>
          <w:szCs w:val="20"/>
          <w:color w:val="auto"/>
        </w:rPr>
      </w:pPr>
    </w:p>
    <w:p>
      <w:pPr>
        <w:ind w:left="600" w:right="4960" w:hanging="306"/>
        <w:spacing w:after="0" w:line="269" w:lineRule="auto"/>
        <w:tabs>
          <w:tab w:leader="none" w:pos="579"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Disclosure of a registrant's action to recover erroneously awarded compensation </w:t>
      </w:r>
      <w:r>
        <w:rPr>
          <w:rFonts w:ascii="Arial" w:cs="Arial" w:eastAsia="Arial" w:hAnsi="Arial"/>
          <w:sz w:val="15"/>
          <w:szCs w:val="15"/>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Major Shareholders and Related Party Transactions.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  Major Shareholders</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following table sets forth certain information regarding beneficial ownership of ICON's ordinary shares as of February 21, 2025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0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b w:val="1"/>
                <w:bCs w:val="1"/>
                <w:color w:val="auto"/>
              </w:rPr>
              <w:t>2024 (4)</w:t>
            </w:r>
          </w:p>
        </w:tc>
        <w:tc>
          <w:tcPr>
            <w:tcW w:w="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2023 (5)</w:t>
            </w:r>
          </w:p>
        </w:tc>
        <w:tc>
          <w:tcPr>
            <w:tcW w:w="10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2022 (6)</w:t>
            </w: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Name of Owner or Identity of Group</w:t>
            </w:r>
          </w:p>
        </w:tc>
        <w:tc>
          <w:tcPr>
            <w:tcW w:w="4180" w:type="dxa"/>
            <w:vAlign w:val="bottom"/>
            <w:gridSpan w:val="3"/>
            <w:vMerge w:val="restart"/>
          </w:tcPr>
          <w:p>
            <w:pPr>
              <w:jc w:val="right"/>
              <w:ind w:right="226"/>
              <w:spacing w:after="0"/>
              <w:rPr>
                <w:sz w:val="20"/>
                <w:szCs w:val="20"/>
                <w:color w:val="auto"/>
              </w:rPr>
            </w:pPr>
            <w:r>
              <w:rPr>
                <w:rFonts w:ascii="Arial" w:cs="Arial" w:eastAsia="Arial" w:hAnsi="Arial"/>
                <w:sz w:val="15"/>
                <w:szCs w:val="15"/>
                <w:b w:val="1"/>
                <w:bCs w:val="1"/>
                <w:color w:val="auto"/>
              </w:rPr>
              <w:t>No. of Shares (1)  Percent of Class No. of Shares (1)</w:t>
            </w:r>
          </w:p>
        </w:tc>
        <w:tc>
          <w:tcPr>
            <w:tcW w:w="1080" w:type="dxa"/>
            <w:vAlign w:val="bottom"/>
          </w:tcPr>
          <w:p>
            <w:pPr>
              <w:jc w:val="right"/>
              <w:ind w:right="206"/>
              <w:spacing w:after="0" w:line="148" w:lineRule="exact"/>
              <w:rPr>
                <w:sz w:val="20"/>
                <w:szCs w:val="20"/>
                <w:color w:val="auto"/>
              </w:rPr>
            </w:pPr>
            <w:r>
              <w:rPr>
                <w:rFonts w:ascii="Arial" w:cs="Arial" w:eastAsia="Arial" w:hAnsi="Arial"/>
                <w:sz w:val="15"/>
                <w:szCs w:val="15"/>
                <w:b w:val="1"/>
                <w:bCs w:val="1"/>
                <w:color w:val="auto"/>
              </w:rPr>
              <w:t>Percent of</w:t>
            </w:r>
          </w:p>
        </w:tc>
        <w:tc>
          <w:tcPr>
            <w:tcW w:w="126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Percent of</w:t>
            </w: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4180" w:type="dxa"/>
            <w:vAlign w:val="bottom"/>
            <w:gridSpan w:val="3"/>
            <w:vMerge w:val="continue"/>
          </w:tcPr>
          <w:p>
            <w:pPr>
              <w:spacing w:after="0"/>
              <w:rPr>
                <w:sz w:val="17"/>
                <w:szCs w:val="17"/>
                <w:color w:val="auto"/>
              </w:rPr>
            </w:pPr>
          </w:p>
        </w:tc>
        <w:tc>
          <w:tcPr>
            <w:tcW w:w="234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Class No. of Shares (1)</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Class</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WCM Investment Management (2)</w:t>
            </w:r>
          </w:p>
        </w:tc>
        <w:tc>
          <w:tcPr>
            <w:tcW w:w="192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rPr>
              <w:t>6,334,890</w:t>
            </w:r>
          </w:p>
        </w:tc>
        <w:tc>
          <w:tcPr>
            <w:tcW w:w="9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7.8 %</w:t>
            </w:r>
          </w:p>
        </w:tc>
        <w:tc>
          <w:tcPr>
            <w:tcW w:w="12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6,869,881</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8.3 %</w:t>
            </w:r>
          </w:p>
        </w:tc>
        <w:tc>
          <w:tcPr>
            <w:tcW w:w="12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5,885,414</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7.2 %</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line="148" w:lineRule="exact"/>
              <w:rPr>
                <w:sz w:val="20"/>
                <w:szCs w:val="20"/>
                <w:color w:val="auto"/>
              </w:rPr>
            </w:pPr>
            <w:r>
              <w:rPr>
                <w:rFonts w:ascii="Arial" w:cs="Arial" w:eastAsia="Arial" w:hAnsi="Arial"/>
                <w:sz w:val="15"/>
                <w:szCs w:val="15"/>
                <w:color w:val="auto"/>
              </w:rPr>
              <w:t>All Directors, officers and other key employees as a group</w:t>
            </w:r>
          </w:p>
        </w:tc>
        <w:tc>
          <w:tcPr>
            <w:tcW w:w="1920" w:type="dxa"/>
            <w:vAlign w:val="bottom"/>
            <w:vMerge w:val="restart"/>
          </w:tcPr>
          <w:p>
            <w:pPr>
              <w:jc w:val="right"/>
              <w:ind w:right="646"/>
              <w:spacing w:after="0"/>
              <w:rPr>
                <w:sz w:val="20"/>
                <w:szCs w:val="20"/>
                <w:color w:val="auto"/>
              </w:rPr>
            </w:pPr>
            <w:r>
              <w:rPr>
                <w:rFonts w:ascii="Arial" w:cs="Arial" w:eastAsia="Arial" w:hAnsi="Arial"/>
                <w:sz w:val="15"/>
                <w:szCs w:val="15"/>
                <w:color w:val="auto"/>
              </w:rPr>
              <w:t>935,499</w:t>
            </w:r>
          </w:p>
        </w:tc>
        <w:tc>
          <w:tcPr>
            <w:tcW w:w="980" w:type="dxa"/>
            <w:vAlign w:val="bottom"/>
            <w:vMerge w:val="restart"/>
          </w:tcPr>
          <w:p>
            <w:pPr>
              <w:jc w:val="right"/>
              <w:ind w:right="206"/>
              <w:spacing w:after="0"/>
              <w:rPr>
                <w:sz w:val="20"/>
                <w:szCs w:val="20"/>
                <w:color w:val="auto"/>
              </w:rPr>
            </w:pPr>
            <w:r>
              <w:rPr>
                <w:rFonts w:ascii="Arial" w:cs="Arial" w:eastAsia="Arial" w:hAnsi="Arial"/>
                <w:sz w:val="15"/>
                <w:szCs w:val="15"/>
                <w:color w:val="auto"/>
              </w:rPr>
              <w:t>1.2 %</w:t>
            </w:r>
          </w:p>
        </w:tc>
        <w:tc>
          <w:tcPr>
            <w:tcW w:w="1280" w:type="dxa"/>
            <w:vAlign w:val="bottom"/>
            <w:vMerge w:val="restart"/>
          </w:tcPr>
          <w:p>
            <w:pPr>
              <w:jc w:val="right"/>
              <w:ind w:right="266"/>
              <w:spacing w:after="0"/>
              <w:rPr>
                <w:sz w:val="20"/>
                <w:szCs w:val="20"/>
                <w:color w:val="auto"/>
              </w:rPr>
            </w:pPr>
            <w:r>
              <w:rPr>
                <w:rFonts w:ascii="Arial" w:cs="Arial" w:eastAsia="Arial" w:hAnsi="Arial"/>
                <w:sz w:val="15"/>
                <w:szCs w:val="15"/>
                <w:color w:val="auto"/>
              </w:rPr>
              <w:t>987,551</w:t>
            </w:r>
          </w:p>
        </w:tc>
        <w:tc>
          <w:tcPr>
            <w:tcW w:w="1080" w:type="dxa"/>
            <w:vAlign w:val="bottom"/>
            <w:vMerge w:val="restart"/>
          </w:tcPr>
          <w:p>
            <w:pPr>
              <w:jc w:val="right"/>
              <w:ind w:right="206"/>
              <w:spacing w:after="0"/>
              <w:rPr>
                <w:sz w:val="20"/>
                <w:szCs w:val="20"/>
                <w:color w:val="auto"/>
              </w:rPr>
            </w:pPr>
            <w:r>
              <w:rPr>
                <w:rFonts w:ascii="Arial" w:cs="Arial" w:eastAsia="Arial" w:hAnsi="Arial"/>
                <w:sz w:val="15"/>
                <w:szCs w:val="15"/>
                <w:color w:val="auto"/>
              </w:rPr>
              <w:t>1.2 %</w:t>
            </w:r>
          </w:p>
        </w:tc>
        <w:tc>
          <w:tcPr>
            <w:tcW w:w="1260" w:type="dxa"/>
            <w:vAlign w:val="bottom"/>
            <w:vMerge w:val="restart"/>
          </w:tcPr>
          <w:p>
            <w:pPr>
              <w:jc w:val="right"/>
              <w:ind w:right="266"/>
              <w:spacing w:after="0"/>
              <w:rPr>
                <w:sz w:val="20"/>
                <w:szCs w:val="20"/>
                <w:color w:val="auto"/>
              </w:rPr>
            </w:pPr>
            <w:r>
              <w:rPr>
                <w:rFonts w:ascii="Arial" w:cs="Arial" w:eastAsia="Arial" w:hAnsi="Arial"/>
                <w:sz w:val="15"/>
                <w:szCs w:val="15"/>
                <w:color w:val="auto"/>
              </w:rPr>
              <w:t>1,116,311</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(3)</w:t>
            </w:r>
          </w:p>
        </w:tc>
        <w:tc>
          <w:tcPr>
            <w:tcW w:w="19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440" w:hanging="294"/>
        <w:spacing w:after="0" w:line="263" w:lineRule="auto"/>
        <w:tabs>
          <w:tab w:leader="none" w:pos="436" w:val="left"/>
        </w:tabs>
        <w:numPr>
          <w:ilvl w:val="0"/>
          <w:numId w:val="60"/>
        </w:numPr>
        <w:rPr>
          <w:rFonts w:ascii="Arial" w:cs="Arial" w:eastAsia="Arial" w:hAnsi="Arial"/>
          <w:sz w:val="15"/>
          <w:szCs w:val="15"/>
          <w:color w:val="auto"/>
        </w:rPr>
      </w:pPr>
      <w:r>
        <w:rPr>
          <w:rFonts w:ascii="Arial" w:cs="Arial" w:eastAsia="Arial" w:hAnsi="Arial"/>
          <w:sz w:val="15"/>
          <w:szCs w:val="15"/>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73" w:lineRule="exact"/>
        <w:rPr>
          <w:rFonts w:ascii="Arial" w:cs="Arial" w:eastAsia="Arial" w:hAnsi="Arial"/>
          <w:sz w:val="15"/>
          <w:szCs w:val="15"/>
          <w:color w:val="auto"/>
        </w:rPr>
      </w:pPr>
    </w:p>
    <w:p>
      <w:pPr>
        <w:ind w:left="440" w:hanging="294"/>
        <w:spacing w:after="0"/>
        <w:tabs>
          <w:tab w:leader="none" w:pos="4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Neither the Company nor any of its officers, Directors or affiliates holds any voting power in this entity.</w:t>
      </w:r>
    </w:p>
    <w:p>
      <w:pPr>
        <w:spacing w:after="0" w:line="98" w:lineRule="exact"/>
        <w:rPr>
          <w:rFonts w:ascii="Arial" w:cs="Arial" w:eastAsia="Arial" w:hAnsi="Arial"/>
          <w:sz w:val="15"/>
          <w:szCs w:val="15"/>
          <w:color w:val="auto"/>
        </w:rPr>
      </w:pPr>
    </w:p>
    <w:p>
      <w:pPr>
        <w:jc w:val="both"/>
        <w:ind w:left="440" w:hanging="294"/>
        <w:spacing w:after="0" w:line="255" w:lineRule="auto"/>
        <w:tabs>
          <w:tab w:leader="none" w:pos="436"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Includes 298,120 ordinary shares issuable upon the exercise of stock options granted by the Company, 45,458 RSUs awarded by the Company to Directors, officers and other key employees and 85,062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80" w:lineRule="exact"/>
        <w:rPr>
          <w:rFonts w:ascii="Arial" w:cs="Arial" w:eastAsia="Arial" w:hAnsi="Arial"/>
          <w:sz w:val="15"/>
          <w:szCs w:val="15"/>
          <w:color w:val="auto"/>
        </w:rPr>
      </w:pPr>
    </w:p>
    <w:p>
      <w:pPr>
        <w:ind w:left="440" w:hanging="294"/>
        <w:spacing w:after="0" w:line="269" w:lineRule="auto"/>
        <w:tabs>
          <w:tab w:leader="none" w:pos="436"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information is based on the Schedule 13F-HR/A filed with the SEC by WCM Investment Management on February 11, 2025 for shares held on December 31, 2024.</w:t>
      </w:r>
    </w:p>
    <w:p>
      <w:pPr>
        <w:spacing w:after="0" w:line="56" w:lineRule="exact"/>
        <w:rPr>
          <w:rFonts w:ascii="Arial" w:cs="Arial" w:eastAsia="Arial" w:hAnsi="Arial"/>
          <w:sz w:val="15"/>
          <w:szCs w:val="15"/>
          <w:color w:val="auto"/>
        </w:rPr>
      </w:pPr>
    </w:p>
    <w:p>
      <w:pPr>
        <w:ind w:left="440" w:hanging="294"/>
        <w:spacing w:after="0" w:line="286" w:lineRule="auto"/>
        <w:tabs>
          <w:tab w:leader="none" w:pos="436"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information is based on the Schedule 13G, Amendment No. 9 filed with the SEC by WCM Investment Management on January 30, 2024 for shares held on December 31, 2023.</w:t>
      </w:r>
    </w:p>
    <w:p>
      <w:pPr>
        <w:spacing w:after="0" w:line="44" w:lineRule="exact"/>
        <w:rPr>
          <w:rFonts w:ascii="Arial" w:cs="Arial" w:eastAsia="Arial" w:hAnsi="Arial"/>
          <w:sz w:val="15"/>
          <w:szCs w:val="15"/>
          <w:color w:val="auto"/>
        </w:rPr>
      </w:pPr>
    </w:p>
    <w:p>
      <w:pPr>
        <w:ind w:left="440" w:hanging="294"/>
        <w:spacing w:after="0" w:line="286" w:lineRule="auto"/>
        <w:tabs>
          <w:tab w:leader="none" w:pos="436"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information is based on the Schedule 13G, Amendment No. 8 filed with the SEC by WCM Investment Management on February 10, 2023 for shares held on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ICON plc, is not directly or indirectly, owned or controlled by another corporation or by any government.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3" w:name="page84"/>
    <w:bookmarkEnd w:id="83"/>
    <w:p>
      <w:pPr>
        <w:ind w:left="300"/>
        <w:spacing w:after="0"/>
        <w:rPr>
          <w:sz w:val="20"/>
          <w:szCs w:val="20"/>
          <w:color w:val="auto"/>
        </w:rPr>
      </w:pPr>
      <w:r>
        <w:rPr>
          <w:rFonts w:ascii="Arial" w:cs="Arial" w:eastAsia="Arial" w:hAnsi="Arial"/>
          <w:sz w:val="15"/>
          <w:szCs w:val="15"/>
          <w:b w:val="1"/>
          <w:bCs w:val="1"/>
          <w:color w:val="auto"/>
        </w:rPr>
        <w:t>B.  Related Party Transactions</w:t>
      </w:r>
    </w:p>
    <w:p>
      <w:pPr>
        <w:spacing w:after="0" w:line="21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During the year, subsidiaries of the Company earned revenue of $0.3 million (December 31, 2023: $0.2 million) from Corvus Pharmaceuticals. Dr. Linda Grais serves as a Director and shareholder of Corvus Pharmaceuticals. At December 31, 2024, $0.1 million (December 31, 2023: $0.1 million) was noted as due from Corvus Pharmaceuticals.</w:t>
      </w:r>
    </w:p>
    <w:p>
      <w:pPr>
        <w:spacing w:after="0" w:line="197"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During the year, subsidiaries of the Company earned revenue of $nil (December 31, 2023: $0.05 million) from Afimmune Limited. Dr. John Climax is Chief Executive Officer and a Director and shareholder of Afimmune Limited. At December 31, 2024, $0.1 million was noted as due from Afimmune Limited (December 31, 2023: $0.05 million).</w:t>
      </w:r>
    </w:p>
    <w:p>
      <w:pPr>
        <w:spacing w:after="0" w:line="184"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and $3.1 million representing its pro rata share of the losses in Oncacare during the year ended December 31, 2023 and December 31, 2022, respectively. The Oncacare acquisition also resulted in goodwill of $13.4 million and gave rise to an acquisition-related gain of $6.2 million.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 Interests of experts and counsel</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8. </w:t>
      </w:r>
      <w:r>
        <w:rPr>
          <w:rFonts w:ascii="Arial" w:cs="Arial" w:eastAsia="Arial" w:hAnsi="Arial"/>
          <w:sz w:val="15"/>
          <w:szCs w:val="15"/>
          <w:b w:val="1"/>
          <w:bCs w:val="1"/>
          <w:i w:val="1"/>
          <w:iCs w:val="1"/>
          <w:color w:val="auto"/>
        </w:rPr>
        <w:t>Financial Information.</w:t>
      </w:r>
    </w:p>
    <w:p>
      <w:pPr>
        <w:spacing w:after="0" w:line="185" w:lineRule="exact"/>
        <w:rPr>
          <w:sz w:val="20"/>
          <w:szCs w:val="20"/>
          <w:color w:val="auto"/>
        </w:rPr>
      </w:pPr>
    </w:p>
    <w:p>
      <w:pPr>
        <w:ind w:left="600" w:right="6600" w:hanging="306"/>
        <w:spacing w:after="0" w:line="548" w:lineRule="auto"/>
        <w:tabs>
          <w:tab w:leader="none" w:pos="60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Consolidated Statements and Other Financial Information </w:t>
      </w:r>
      <w:r>
        <w:rPr>
          <w:rFonts w:ascii="Arial" w:cs="Arial" w:eastAsia="Arial" w:hAnsi="Arial"/>
          <w:sz w:val="15"/>
          <w:szCs w:val="15"/>
          <w:color w:val="auto"/>
        </w:rPr>
        <w:t>See Item 18.</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18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On February 10, 2025, a shareholder of the Company filed a purported class action litigation against the Company, its Chief Executive Officer and its former Chief Financial Officer in the United States District Court for the Eastern District of New York. The shareholder purports to bring claims on behalf of all purchasers of ordinary shares of the Company during the period July 27, 2023, through October 23, 2024, pursuant to Sections 10(b) and 20(a) of the Securities Exchange Act of 1934, alleging misleading statements regarding the Company’s financial performance and future business prospects. The Company intends to defend the litigation vigorously.</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have not paid cash dividends on our ordinary shares and do not currently intend to pay cash dividends on our ordinary shares in the foreseeable future.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B.  Significant Changes</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There have been no significant changes to our business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b w:val="1"/>
          <w:bCs w:val="1"/>
          <w:i w:val="1"/>
          <w:iCs w:val="1"/>
          <w:color w:val="auto"/>
        </w:rPr>
        <w:t>The Offer and Listing.</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  Offer and listing details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ICON’s ordinary shares are traded on the NASDAQ Global Select Market under the symbol “ICLR”. ICON plc’s American Depositary Receipt ("ADR") program was terminated on January 31, 2013 and ICON plc’s ordinary shares began directly trading on NASDAQ on February 4, 2013. Prior to that date, ICON plc’s American Depositary Shares ("ADSs") were traded on NASDAQ and ICON plc’s Depository for the ADSs was The Bank of New York Mellon.</w:t>
      </w:r>
    </w:p>
    <w:p>
      <w:pPr>
        <w:spacing w:after="0" w:line="185" w:lineRule="exact"/>
        <w:rPr>
          <w:sz w:val="20"/>
          <w:szCs w:val="20"/>
          <w:color w:val="auto"/>
        </w:rPr>
      </w:pPr>
    </w:p>
    <w:p>
      <w:pPr>
        <w:ind w:left="600" w:right="9300" w:hanging="306"/>
        <w:spacing w:after="0" w:line="655" w:lineRule="auto"/>
        <w:tabs>
          <w:tab w:leader="none" w:pos="60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Plan of distribution </w:t>
      </w:r>
      <w:r>
        <w:rPr>
          <w:rFonts w:ascii="Arial" w:cs="Arial" w:eastAsia="Arial" w:hAnsi="Arial"/>
          <w:sz w:val="14"/>
          <w:szCs w:val="14"/>
          <w:color w:val="auto"/>
        </w:rPr>
        <w:t>Not applicable.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4" w:name="page85"/>
    <w:bookmarkEnd w:id="84"/>
    <w:p>
      <w:pPr>
        <w:ind w:left="600" w:hanging="306"/>
        <w:spacing w:after="0"/>
        <w:tabs>
          <w:tab w:leader="none" w:pos="60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Markets</w:t>
      </w:r>
    </w:p>
    <w:p>
      <w:pPr>
        <w:spacing w:after="0" w:line="221"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NASDAQ.</w:t>
      </w:r>
    </w:p>
    <w:p>
      <w:pPr>
        <w:spacing w:after="0" w:line="234" w:lineRule="exact"/>
        <w:rPr>
          <w:rFonts w:ascii="Arial" w:cs="Arial" w:eastAsia="Arial" w:hAnsi="Arial"/>
          <w:sz w:val="15"/>
          <w:szCs w:val="15"/>
          <w:b w:val="1"/>
          <w:bCs w:val="1"/>
          <w:color w:val="auto"/>
        </w:rPr>
      </w:pPr>
    </w:p>
    <w:p>
      <w:pPr>
        <w:ind w:left="600" w:right="9200" w:hanging="306"/>
        <w:spacing w:after="0" w:line="597" w:lineRule="auto"/>
        <w:tabs>
          <w:tab w:leader="none" w:pos="60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Selling shareholders </w:t>
      </w:r>
      <w:r>
        <w:rPr>
          <w:rFonts w:ascii="Arial" w:cs="Arial" w:eastAsia="Arial" w:hAnsi="Arial"/>
          <w:sz w:val="14"/>
          <w:szCs w:val="14"/>
          <w:color w:val="auto"/>
        </w:rPr>
        <w:t>Not applicable.</w:t>
      </w:r>
    </w:p>
    <w:p>
      <w:pPr>
        <w:ind w:left="580" w:hanging="286"/>
        <w:spacing w:after="0"/>
        <w:tabs>
          <w:tab w:leader="none" w:pos="5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Dilution</w:t>
      </w:r>
    </w:p>
    <w:p>
      <w:pPr>
        <w:spacing w:after="0" w:line="221"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Not applicable.</w:t>
      </w:r>
    </w:p>
    <w:p>
      <w:pPr>
        <w:spacing w:after="0" w:line="221" w:lineRule="exact"/>
        <w:rPr>
          <w:rFonts w:ascii="Arial" w:cs="Arial" w:eastAsia="Arial" w:hAnsi="Arial"/>
          <w:sz w:val="15"/>
          <w:szCs w:val="15"/>
          <w:b w:val="1"/>
          <w:bCs w:val="1"/>
          <w:color w:val="auto"/>
        </w:rPr>
      </w:pPr>
    </w:p>
    <w:p>
      <w:pPr>
        <w:ind w:left="560" w:hanging="266"/>
        <w:spacing w:after="0"/>
        <w:tabs>
          <w:tab w:leader="none" w:pos="56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Expenses of the issue</w:t>
      </w:r>
    </w:p>
    <w:p>
      <w:pPr>
        <w:spacing w:after="0" w:line="234" w:lineRule="exact"/>
        <w:rPr>
          <w:sz w:val="20"/>
          <w:szCs w:val="20"/>
          <w:color w:val="auto"/>
        </w:rPr>
      </w:pPr>
    </w:p>
    <w:p>
      <w:pPr>
        <w:jc w:val="center"/>
        <w:ind w:right="9080"/>
        <w:spacing w:after="0"/>
        <w:rPr>
          <w:sz w:val="20"/>
          <w:szCs w:val="20"/>
          <w:color w:val="auto"/>
        </w:rPr>
      </w:pPr>
      <w:r>
        <w:rPr>
          <w:rFonts w:ascii="Arial" w:cs="Arial" w:eastAsia="Arial" w:hAnsi="Arial"/>
          <w:sz w:val="15"/>
          <w:szCs w:val="15"/>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10. </w:t>
      </w:r>
      <w:r>
        <w:rPr>
          <w:rFonts w:ascii="Arial" w:cs="Arial" w:eastAsia="Arial" w:hAnsi="Arial"/>
          <w:sz w:val="15"/>
          <w:szCs w:val="15"/>
          <w:b w:val="1"/>
          <w:bCs w:val="1"/>
          <w:i w:val="1"/>
          <w:iCs w:val="1"/>
          <w:color w:val="auto"/>
        </w:rPr>
        <w:t>Additional Information.</w:t>
      </w:r>
    </w:p>
    <w:p>
      <w:pPr>
        <w:spacing w:after="0" w:line="234" w:lineRule="exact"/>
        <w:rPr>
          <w:sz w:val="20"/>
          <w:szCs w:val="20"/>
          <w:color w:val="auto"/>
        </w:rPr>
      </w:pPr>
    </w:p>
    <w:p>
      <w:pPr>
        <w:jc w:val="both"/>
        <w:ind w:left="600" w:right="9680" w:hanging="306"/>
        <w:spacing w:after="0" w:line="587" w:lineRule="auto"/>
        <w:tabs>
          <w:tab w:leader="none" w:pos="60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 Capital </w:t>
      </w:r>
      <w:r>
        <w:rPr>
          <w:rFonts w:ascii="Arial" w:cs="Arial" w:eastAsia="Arial" w:hAnsi="Arial"/>
          <w:sz w:val="14"/>
          <w:szCs w:val="14"/>
          <w:color w:val="auto"/>
        </w:rPr>
        <w:t>Not applicable.</w:t>
      </w:r>
    </w:p>
    <w:p>
      <w:pPr>
        <w:spacing w:after="0" w:line="1" w:lineRule="exact"/>
        <w:rPr>
          <w:rFonts w:ascii="Arial" w:cs="Arial" w:eastAsia="Arial" w:hAnsi="Arial"/>
          <w:sz w:val="14"/>
          <w:szCs w:val="14"/>
          <w:b w:val="1"/>
          <w:bCs w:val="1"/>
          <w:color w:val="auto"/>
        </w:rPr>
      </w:pPr>
    </w:p>
    <w:p>
      <w:pPr>
        <w:ind w:left="160" w:right="7780" w:firstLine="134"/>
        <w:spacing w:after="0" w:line="557" w:lineRule="auto"/>
        <w:tabs>
          <w:tab w:leader="none" w:pos="587"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Memorandum and articles of association Constitution</w:t>
      </w: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We hereby incorporate by reference our Constitution, as amended, located under the heading “Constitution of the Company” in Exhibit 3.1.</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Objects</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Directors</w:t>
      </w:r>
    </w:p>
    <w:p>
      <w:pPr>
        <w:spacing w:after="0" w:line="220"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There is no requirement for Directors to hold shares set out in the Constitution. The Directors are not required to retire at any particular age. The Constitution provides that one-third of the Directors must retire and offer themselves for re-election at each Annual General Meeting ("AGM") of the Company and that the Directors to retire by rotation are those who have been longest in office since their last appointment or reappointment. However in July 2022, the Board of Directors unanimously agreed that all of the Directors will retire and stand for re-election annually at each AGM and this is reflected in the Corporate Governance Guidelines adopted on October 22, 2024. All of the shareholders entitled to attend and vote at the AGM may vote on the re-election of Directors.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Rights, Preferences and Dividends Attaching to Shares</w:t>
      </w:r>
    </w:p>
    <w:p>
      <w:pPr>
        <w:spacing w:after="0" w:line="232"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5" w:name="page86"/>
    <w:bookmarkEnd w:id="85"/>
    <w:p>
      <w:pPr>
        <w:ind w:left="600"/>
        <w:spacing w:after="0"/>
        <w:rPr>
          <w:sz w:val="20"/>
          <w:szCs w:val="20"/>
          <w:color w:val="auto"/>
        </w:rPr>
      </w:pPr>
      <w:r>
        <w:rPr>
          <w:rFonts w:ascii="Arial" w:cs="Arial" w:eastAsia="Arial" w:hAnsi="Arial"/>
          <w:sz w:val="15"/>
          <w:szCs w:val="15"/>
          <w:i w:val="1"/>
          <w:iCs w:val="1"/>
          <w:color w:val="auto"/>
        </w:rPr>
        <w:t>Action Necessary to Change the Rights of Shareholders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rights attaching to shares in the Company may be varied by special resolutions passed at class meetings of that class of shareholders of the Company.</w:t>
      </w:r>
    </w:p>
    <w:p>
      <w:pPr>
        <w:spacing w:after="0" w:line="23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Annual and General Meetings</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Limitations on the Right to Own Shares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are no limitations on the right to own shares in the Constitution of the Company.</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Disclosure of Share Ownership</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Other Provisions of the Constitution</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are no provisions in the Constitution of the Company:</w:t>
      </w:r>
    </w:p>
    <w:p>
      <w:pPr>
        <w:spacing w:after="0" w:line="222" w:lineRule="exact"/>
        <w:rPr>
          <w:sz w:val="20"/>
          <w:szCs w:val="20"/>
          <w:color w:val="auto"/>
        </w:rPr>
      </w:pPr>
    </w:p>
    <w:p>
      <w:pPr>
        <w:ind w:left="760" w:hanging="170"/>
        <w:spacing w:after="0"/>
        <w:tabs>
          <w:tab w:leader="none" w:pos="7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delaying or prohibiting a change in the control of the Company, but which operate only with respect to a merger, acquisition or corporate restructuring;</w:t>
      </w:r>
    </w:p>
    <w:p>
      <w:pPr>
        <w:spacing w:after="0" w:line="221" w:lineRule="exact"/>
        <w:rPr>
          <w:rFonts w:ascii="Arial" w:cs="Arial" w:eastAsia="Arial" w:hAnsi="Arial"/>
          <w:sz w:val="15"/>
          <w:szCs w:val="15"/>
          <w:color w:val="auto"/>
        </w:rPr>
      </w:pPr>
    </w:p>
    <w:p>
      <w:pPr>
        <w:ind w:left="800" w:hanging="210"/>
        <w:spacing w:after="0"/>
        <w:tabs>
          <w:tab w:leader="none" w:pos="8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discriminating against any existing or prospective holder of shares as a result of such shareholder owning a substantial number of shares; or</w:t>
      </w:r>
    </w:p>
    <w:p>
      <w:pPr>
        <w:spacing w:after="0" w:line="234" w:lineRule="exact"/>
        <w:rPr>
          <w:rFonts w:ascii="Arial" w:cs="Arial" w:eastAsia="Arial" w:hAnsi="Arial"/>
          <w:sz w:val="15"/>
          <w:szCs w:val="15"/>
          <w:color w:val="auto"/>
        </w:rPr>
      </w:pPr>
    </w:p>
    <w:p>
      <w:pPr>
        <w:ind w:left="820" w:hanging="230"/>
        <w:spacing w:after="0"/>
        <w:tabs>
          <w:tab w:leader="none" w:pos="820" w:val="left"/>
        </w:tabs>
        <w:numPr>
          <w:ilvl w:val="1"/>
          <w:numId w:val="65"/>
        </w:numPr>
        <w:rPr>
          <w:rFonts w:ascii="Arial" w:cs="Arial" w:eastAsia="Arial" w:hAnsi="Arial"/>
          <w:sz w:val="15"/>
          <w:szCs w:val="15"/>
          <w:color w:val="auto"/>
        </w:rPr>
      </w:pPr>
      <w:r>
        <w:rPr>
          <w:rFonts w:ascii="Arial" w:cs="Arial" w:eastAsia="Arial" w:hAnsi="Arial"/>
          <w:sz w:val="15"/>
          <w:szCs w:val="15"/>
          <w:color w:val="auto"/>
        </w:rPr>
        <w:t>governing changes in capital, in each case, where such provisions are more stringent than those required by law.</w:t>
      </w:r>
    </w:p>
    <w:p>
      <w:pPr>
        <w:spacing w:after="0" w:line="221"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b w:val="1"/>
          <w:bCs w:val="1"/>
          <w:color w:val="auto"/>
        </w:rPr>
        <w:t>C.  Material Contracts</w:t>
      </w:r>
    </w:p>
    <w:p>
      <w:pPr>
        <w:spacing w:after="0" w:line="160"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The following is a summary of each contract (not being a contract entered into in the ordinary course of business) that has been entered into: (a) within the two years immediately preceding the date of this Form 20-F which are, or may be, material to us; or (b) at any time which contain obligations or entitlements which is, or may be, material to us as at the date of this Form 20-F:</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Senior Secured Credit Facilities</w:t>
      </w:r>
    </w:p>
    <w:p>
      <w:pPr>
        <w:spacing w:after="0" w:line="146"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February 24, 2021, we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w:t>
      </w:r>
    </w:p>
    <w:p>
      <w:pPr>
        <w:spacing w:after="0" w:line="111"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proceeds of the senior secured term loan facility were used to repay the outstanding amount of (i) PRA’s existing credit facilities and (ii) the Company's senior secured notes and fund, in part, the Merger. The senior secured term loan facility will mature in July 2028 and the revolving loan facility will mature in July 2026.</w:t>
      </w:r>
    </w:p>
    <w:p>
      <w:pPr>
        <w:spacing w:after="0" w:line="11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On March 14, 2024, the parties to the credit agreement entered into a Third Amendment (the “Third Amendment”) in connection with the repricing of the senior secured term loan facility and the senior secured revolving credit facility. 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5"/>
          <w:szCs w:val="15"/>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117"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December 31, 2024, the applicable margin is 2.0% (which reflects the Third Amendment). The senior secured term loan facility is subject to a floor of 0.50%.</w:t>
      </w:r>
    </w:p>
    <w:p>
      <w:pPr>
        <w:spacing w:after="0" w:line="203"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89"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88"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loan facility contains a financial covenant that requires ICON to maintain a Total Net Leverage Ratio (as defined in the Senior Secured Credit Facilities) of 5.75:1.00 prior to June 30, 2023 and 4.50:1.00 on and after June 30, 2023, subject to a step-down of 0.50:1.00 following a Material Acquisition (as defined in the Senior Secured Credit Facilities), which will be tested at the end of any fiscal quarter only if amounts are drawn under the revolving credit loan facility (excluding cash collateralized and backstopped letters of credit) in excess of 30% of the revolving commitments.</w:t>
      </w:r>
    </w:p>
    <w:p>
      <w:pPr>
        <w:spacing w:after="0" w:line="10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The New Notes</w:t>
      </w:r>
    </w:p>
    <w:p>
      <w:pPr>
        <w:spacing w:after="0" w:line="146"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7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8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9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7" w:name="page88"/>
    <w:bookmarkEnd w:id="87"/>
    <w:p>
      <w:pPr>
        <w:jc w:val="both"/>
        <w:ind w:firstLine="591"/>
        <w:spacing w:after="0" w:line="250"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209" w:lineRule="exact"/>
        <w:rPr>
          <w:sz w:val="20"/>
          <w:szCs w:val="20"/>
          <w:color w:val="auto"/>
        </w:rPr>
      </w:pPr>
    </w:p>
    <w:p>
      <w:pPr>
        <w:ind w:left="600" w:hanging="306"/>
        <w:spacing w:after="0"/>
        <w:tabs>
          <w:tab w:leader="none" w:pos="600" w:val="left"/>
        </w:tabs>
        <w:numPr>
          <w:ilvl w:val="0"/>
          <w:numId w:val="66"/>
        </w:numPr>
        <w:rPr>
          <w:rFonts w:ascii="Arial" w:cs="Arial" w:eastAsia="Arial" w:hAnsi="Arial"/>
          <w:sz w:val="15"/>
          <w:szCs w:val="15"/>
          <w:b w:val="1"/>
          <w:bCs w:val="1"/>
          <w:i w:val="1"/>
          <w:iCs w:val="1"/>
          <w:color w:val="auto"/>
        </w:rPr>
      </w:pPr>
      <w:r>
        <w:rPr>
          <w:rFonts w:ascii="Arial" w:cs="Arial" w:eastAsia="Arial" w:hAnsi="Arial"/>
          <w:sz w:val="15"/>
          <w:szCs w:val="15"/>
          <w:b w:val="1"/>
          <w:bCs w:val="1"/>
          <w:color w:val="auto"/>
        </w:rPr>
        <w:t>Exchange Controls</w:t>
      </w:r>
    </w:p>
    <w:p>
      <w:pPr>
        <w:spacing w:after="0" w:line="14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8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Financial Transfers Act, 1992 prohibits financial transfers involving a number of persons, entities and bodies, which is subject to amendment on an ongoing, regular basis and currently includes, but is not limited to: certain persons, entities, bodies and activities in Belarus, Bosnia &amp; Herzegovina, Burundi, Sudan, South Sudan, the Central African Republic, Libya, Lebanon, Mali, the Democratic People's Republic of Korea, Myanmar/Burma, Tunisia, Zimbabwe, Venezuela, Syrian Arab Republic, the Republic of Guinea-Bissau, Nicaragua, Democratic Republic of Congo, Iran, Ukraine and Russia; persons associated with the Taliban, ISIL (Da’esh) and Al-Qaeda, Turkey’s unauthorized drilling activities in the Eastern Mediterranean, certain known terrorists and terrorist groups and countries that harbor certain terrorist groups, without the prior permission of the Central Bank of Ireland.</w:t>
      </w:r>
    </w:p>
    <w:p>
      <w:pPr>
        <w:spacing w:after="0" w:line="20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There are no restrictions under the Company’s Constitution or under Irish Law that limit the right of non-residents or foreign owners to hold the Company’s ordinary shares or vote at general meetings of the Company.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E.  Taxation</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taxes on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90"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As used herein, the term "U.S. Holder" means a beneficial owner of ordinary shares that (i) owns the ordinary shares as capital assets; (ii) for U.S. federal income tax purposes, is an individual who is a U.S. citizen or resident, a U.S. corporation, an estate the income of which is subject to U.S. federal income taxation regardless of its source or a trust that (x) meets the following two tests: (A) a U.S. court is able to exercise primary supervision over the administration of the trust, and (B) one or more U.S. persons have the authority to control all substantial decisions of the trust, or (y) has elected to be treated as a U.S. person for federal income tax purposes;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8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AS USED HEREIN, REFERENCES TO THE ORDINARY SHARES SHALL INCLUDE SHARES HELD IN THE ACCOUNTS OF PARTICIPANTS THROUGH THE DEPOSITARY TRUST COMPANY (“THE DTC”).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Irish Taxation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corporation tax on income</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ICON is a public limited company incorporated and resident for tax purposes in Ireland by virtue of its place of central management and control being in Ireland.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88" w:name="page89"/>
    <w:bookmarkEnd w:id="88"/>
    <w:p>
      <w:pPr>
        <w:jc w:val="both"/>
        <w:ind w:firstLine="591"/>
        <w:spacing w:after="0" w:line="246" w:lineRule="auto"/>
        <w:rPr>
          <w:sz w:val="20"/>
          <w:szCs w:val="20"/>
          <w:color w:val="auto"/>
        </w:rPr>
      </w:pPr>
      <w:r>
        <w:rPr>
          <w:rFonts w:ascii="Arial" w:cs="Arial" w:eastAsia="Arial" w:hAnsi="Arial"/>
          <w:sz w:val="15"/>
          <w:szCs w:val="15"/>
          <w:color w:val="auto"/>
        </w:rPr>
        <w:t>Companies which are resident in the Republic of Ireland ("Ireland") are subject to Irish corporation tax on their total profits (wherever arising and, generally, whether or not remitted to Ireland). The question of residence, by virtue of management and control, is essentially one of fact. It is the present intention of the Company's management to continue to manage and control the Company from Ireland, so that the Company will continue to be resident in Ireland.</w:t>
      </w:r>
    </w:p>
    <w:p>
      <w:pPr>
        <w:spacing w:after="0" w:line="184"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The standard rate of Irish corporation tax on trading income (with certain exceptions) is currently 12.5%. Corporation tax is charged at the rate of 25% on a company's non-trading income and certain types of trading income not eligible for the lower rate of 12.5% referred to above. An Irish Qualifying Domestic Top-up tax ("QDTT") and Income Inclusion rule ("IIR"), applying to businesses with consolidated group revenues of €750m or more in at least two of the four preceding fiscal years, has been in force from 1 January 2024, providing for a minimum effective tax rate of 15% on Irish profits (QDTT) and a top up to a minimum of 15% on overseas profits of subsidiaries, if applicable (IIR).</w:t>
      </w:r>
    </w:p>
    <w:p>
      <w:pPr>
        <w:spacing w:after="0" w:line="201"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A research and development tax credit is available in Ireland where an Irish resident company incurs qualifying expenditure on research and development activities. Qualifying expenditure incurred in accounting periods commencing on or before 1 January 2024 results in a tax credit of 30% of that expenditure.</w:t>
      </w:r>
    </w:p>
    <w:p>
      <w:pPr>
        <w:spacing w:after="0" w:line="19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68"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exemption from capital gains tax on the disposal of shares by an Irish resident company will apply where certain conditions are met. These conditions principally are:</w:t>
      </w:r>
    </w:p>
    <w:p>
      <w:pPr>
        <w:spacing w:after="0" w:line="192" w:lineRule="exact"/>
        <w:rPr>
          <w:sz w:val="20"/>
          <w:szCs w:val="20"/>
          <w:color w:val="auto"/>
        </w:rPr>
      </w:pPr>
    </w:p>
    <w:p>
      <w:pPr>
        <w:ind w:left="600" w:hanging="306"/>
        <w:spacing w:after="0" w:line="252" w:lineRule="auto"/>
        <w:tabs>
          <w:tab w:leader="none" w:pos="5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company claiming the exemption must hold (directly or indirectly) at least 5% of the ordinary share capital of the company in which the interest is being disposed of, throughout a continuous period of at least 12 months, in the two-year period prior to disposal;</w:t>
      </w:r>
    </w:p>
    <w:p>
      <w:pPr>
        <w:spacing w:after="0" w:line="192"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92"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shares must be in a company which is primarily a trading company or the company making the disposal together with its “5% plus subsidiaries” should be primarily a trading group; and</w:t>
      </w:r>
    </w:p>
    <w:p>
      <w:pPr>
        <w:spacing w:after="0" w:line="179" w:lineRule="exact"/>
        <w:rPr>
          <w:rFonts w:ascii="Arial" w:cs="Arial" w:eastAsia="Arial" w:hAnsi="Arial"/>
          <w:sz w:val="15"/>
          <w:szCs w:val="15"/>
          <w:color w:val="auto"/>
        </w:rPr>
      </w:pPr>
    </w:p>
    <w:p>
      <w:pPr>
        <w:ind w:left="580" w:hanging="286"/>
        <w:spacing w:after="0"/>
        <w:tabs>
          <w:tab w:leader="none" w:pos="5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shares must not derive the greater part of their value from land or mineral rights in Ireland.</w:t>
      </w:r>
    </w:p>
    <w:p>
      <w:pPr>
        <w:spacing w:after="0" w:line="22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Unless specifically exempted, all dividends paid by the Company, will be subject to Irish withholding tax. The current rate for dividend withholding tax is 25%.</w:t>
      </w:r>
    </w:p>
    <w:p>
      <w:pPr>
        <w:spacing w:after="0" w:line="21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An individual shareholder who is neither resident nor ordinarily resident for tax purposes in Ireland but is resident in a country with which Ireland has a double tax treaty (which includes the U.S.), or in a member state of the European Communities, other than Ireland (together, a Relevant Territory), will be exempt from withholding tax provided he or she makes the requisite declaration.</w:t>
      </w:r>
    </w:p>
    <w:p>
      <w:pPr>
        <w:spacing w:after="0" w:line="197"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Irish resident corporate shareholders will be exempt from withholding tax. Where the shareholding held by the recipient company, in the company paying the dividend is not 51% or greater, a declaration must be made to avail of the exemption.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Non-Irish resident corporate shareholders will be exempt from withholding tax on the production of the appropriate certificates and declarations where they:</w:t>
      </w:r>
    </w:p>
    <w:p>
      <w:pPr>
        <w:spacing w:after="0" w:line="210" w:lineRule="exact"/>
        <w:rPr>
          <w:sz w:val="20"/>
          <w:szCs w:val="20"/>
          <w:color w:val="auto"/>
        </w:rPr>
      </w:pPr>
    </w:p>
    <w:p>
      <w:pPr>
        <w:ind w:left="580" w:hanging="286"/>
        <w:spacing w:after="0"/>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are resident in a Relevant Territory and are not controlled (directly or indirectly) by Irish residents;</w:t>
      </w:r>
    </w:p>
    <w:p>
      <w:pPr>
        <w:spacing w:after="0" w:line="209" w:lineRule="exact"/>
        <w:rPr>
          <w:rFonts w:ascii="Arial" w:cs="Arial" w:eastAsia="Arial" w:hAnsi="Arial"/>
          <w:sz w:val="15"/>
          <w:szCs w:val="15"/>
          <w:color w:val="auto"/>
        </w:rPr>
      </w:pPr>
    </w:p>
    <w:p>
      <w:pPr>
        <w:ind w:left="580" w:hanging="286"/>
        <w:spacing w:after="0"/>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are ultimately controlled (directly or indirectly) by residents of a Relevant Territory;</w:t>
      </w:r>
    </w:p>
    <w:p>
      <w:pPr>
        <w:spacing w:after="0" w:line="221"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68"/>
        </w:numPr>
        <w:rPr>
          <w:rFonts w:ascii="Arial" w:cs="Arial" w:eastAsia="Arial" w:hAnsi="Arial"/>
          <w:sz w:val="15"/>
          <w:szCs w:val="15"/>
          <w:color w:val="auto"/>
        </w:rPr>
      </w:pPr>
      <w:r>
        <w:rPr>
          <w:rFonts w:ascii="Arial" w:cs="Arial" w:eastAsia="Arial" w:hAnsi="Arial"/>
          <w:sz w:val="15"/>
          <w:szCs w:val="15"/>
          <w:color w:val="auto"/>
        </w:rPr>
        <w:t>have the principal class of their shares, or shares of a 75% parent, substantially and regularly traded on one or more recognized stock exchanges in a Relevant Territory (including Ireland) or Territories; or</w:t>
      </w:r>
    </w:p>
    <w:p>
      <w:pPr>
        <w:spacing w:after="0" w:line="192"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2"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spacing w:after="0" w:line="252" w:lineRule="auto"/>
        <w:rPr>
          <w:sz w:val="20"/>
          <w:szCs w:val="20"/>
          <w:color w:val="auto"/>
        </w:rPr>
      </w:pPr>
      <w:r>
        <w:rPr>
          <w:rFonts w:ascii="Arial" w:cs="Arial" w:eastAsia="Arial" w:hAnsi="Arial"/>
          <w:sz w:val="15"/>
          <w:szCs w:val="15"/>
          <w:color w:val="auto"/>
        </w:rPr>
        <w:t>the withholding tax exemption to apply and has provided the qualifying intermediary with the appropriate declarations. The depositary or the DTC shall be regarded as a qualifying intermediary provided the following conditions are met:</w:t>
      </w:r>
    </w:p>
    <w:p>
      <w:pPr>
        <w:spacing w:after="0" w:line="192" w:lineRule="exact"/>
        <w:rPr>
          <w:sz w:val="20"/>
          <w:szCs w:val="20"/>
          <w:color w:val="auto"/>
        </w:rPr>
      </w:pPr>
    </w:p>
    <w:p>
      <w:pPr>
        <w:ind w:left="580" w:hanging="286"/>
        <w:spacing w:after="0"/>
        <w:tabs>
          <w:tab w:leader="none" w:pos="5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depositary or the DTC is resident in a Relevant Territory;</w:t>
      </w:r>
    </w:p>
    <w:p>
      <w:pPr>
        <w:spacing w:after="0" w:line="209" w:lineRule="exact"/>
        <w:rPr>
          <w:rFonts w:ascii="Arial" w:cs="Arial" w:eastAsia="Arial" w:hAnsi="Arial"/>
          <w:sz w:val="15"/>
          <w:szCs w:val="15"/>
          <w:color w:val="auto"/>
        </w:rPr>
      </w:pPr>
    </w:p>
    <w:p>
      <w:pPr>
        <w:ind w:left="580" w:hanging="286"/>
        <w:spacing w:after="0"/>
        <w:tabs>
          <w:tab w:leader="none" w:pos="5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depositary or the DTC have entered into a qualifying intermediary agreement with the Irish tax authorities (Irish Revenue Commissioners); and</w:t>
      </w:r>
    </w:p>
    <w:p>
      <w:pPr>
        <w:spacing w:after="0" w:line="221"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depositary or the DTC have been authorized by the Irish Revenue Commissioners as a qualifying intermediary and such authorization has not expired or been revoked.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income tax on dividends</w:t>
      </w:r>
    </w:p>
    <w:p>
      <w:pPr>
        <w:spacing w:after="0" w:line="208"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Irish resident or ordinarily resident shareholders will generally be liable to Irish income tax on dividend income at their marginal rate of income tax. This income may also be liable to Pay Related Social Insurance (“PRSI”) of up to 4.1% (4.2% from 1 October 2025) and the Universal Social Charge (“USC”) of up to 11% (up to 15.1% in total).</w:t>
      </w:r>
    </w:p>
    <w:p>
      <w:pPr>
        <w:spacing w:after="0" w:line="18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Under certain circumstances, non-Irish resident shareholders will be subject to Irish income tax on dividend income. Where withholding tax of 25% has been deducted, this will fully satisfy the non-Irish resident shareholder’s tax liability. No PRSI or USC should apply in these circumstances.</w:t>
      </w:r>
    </w:p>
    <w:p>
      <w:pPr>
        <w:spacing w:after="0" w:line="16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However, a non-Irish resident shareholder will not have an Irish income tax liability on dividends from the Company if the holder is neither resident nor ordinarily resident in Ireland and the holder is:</w:t>
      </w:r>
    </w:p>
    <w:p>
      <w:pPr>
        <w:spacing w:after="0" w:line="168" w:lineRule="exact"/>
        <w:rPr>
          <w:sz w:val="20"/>
          <w:szCs w:val="20"/>
          <w:color w:val="auto"/>
        </w:rPr>
      </w:pPr>
    </w:p>
    <w:p>
      <w:pPr>
        <w:ind w:left="580" w:hanging="286"/>
        <w:spacing w:after="0"/>
        <w:tabs>
          <w:tab w:leader="none" w:pos="5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individual resident in a Relevant Territory;</w:t>
      </w:r>
    </w:p>
    <w:p>
      <w:pPr>
        <w:spacing w:after="0" w:line="221" w:lineRule="exact"/>
        <w:rPr>
          <w:rFonts w:ascii="Arial" w:cs="Arial" w:eastAsia="Arial" w:hAnsi="Arial"/>
          <w:sz w:val="15"/>
          <w:szCs w:val="15"/>
          <w:color w:val="auto"/>
        </w:rPr>
      </w:pPr>
    </w:p>
    <w:p>
      <w:pPr>
        <w:ind w:left="580" w:hanging="286"/>
        <w:spacing w:after="0"/>
        <w:tabs>
          <w:tab w:leader="none" w:pos="5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corporation that is ultimately controlled by person(s) resident in a Relevant Territory;</w:t>
      </w:r>
    </w:p>
    <w:p>
      <w:pPr>
        <w:spacing w:after="0" w:line="209"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corporation whose principal class of shares (or its 75% or greater parent’s principal class of shares) is substantially and regularly traded on a recognized stock exchange in an EU country or in a Relevant Territory;</w:t>
      </w:r>
    </w:p>
    <w:p>
      <w:pPr>
        <w:spacing w:after="0" w:line="192" w:lineRule="exact"/>
        <w:rPr>
          <w:rFonts w:ascii="Arial" w:cs="Arial" w:eastAsia="Arial" w:hAnsi="Arial"/>
          <w:sz w:val="15"/>
          <w:szCs w:val="15"/>
          <w:color w:val="auto"/>
        </w:rPr>
      </w:pPr>
    </w:p>
    <w:p>
      <w:pPr>
        <w:ind w:left="580" w:hanging="286"/>
        <w:spacing w:after="0"/>
        <w:tabs>
          <w:tab w:leader="none" w:pos="5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corporation resident in another EU member state or in a Relevant Territory, which is not controlled directly or indirectly by Irish residents; or</w:t>
      </w:r>
    </w:p>
    <w:p>
      <w:pPr>
        <w:spacing w:after="0" w:line="209" w:lineRule="exact"/>
        <w:rPr>
          <w:rFonts w:ascii="Arial" w:cs="Arial" w:eastAsia="Arial" w:hAnsi="Arial"/>
          <w:sz w:val="15"/>
          <w:szCs w:val="15"/>
          <w:color w:val="auto"/>
        </w:rPr>
      </w:pPr>
    </w:p>
    <w:p>
      <w:pPr>
        <w:ind w:left="600" w:hanging="306"/>
        <w:spacing w:after="0" w:line="269" w:lineRule="auto"/>
        <w:tabs>
          <w:tab w:leader="none" w:pos="59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corporation that is wholly owned by two or more corporations each of whose principal class of shares is substantially and regularly traded on a recognized stock exchange in an EU country or in a Relevant Territory.</w:t>
      </w:r>
    </w:p>
    <w:p>
      <w:pPr>
        <w:spacing w:after="0" w:line="167"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U.S. Holders who do not qualify for the above income tax exemption may be able to obtain treaty benefits under the Treaty.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domicile levy</w:t>
      </w:r>
    </w:p>
    <w:p>
      <w:pPr>
        <w:spacing w:after="0" w:line="20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Certain non-Irish resident individuals that are domiciled in Ireland will be subject to an annual levy of €200,000 if the market value of their Irish-located property on 31 December exceeds €5,000,000, their worldwide annual income exceeds €1,000,000 and their liability to Irish income tax in that year is less than €200,000.</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capital gains tax on disposal of shares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Irish resident or ordinarily resident shareholders will be liable to capital gains tax at 33% on gains arising from the disposal or part disposal of their shareholding.</w:t>
      </w:r>
    </w:p>
    <w:p>
      <w:pPr>
        <w:spacing w:after="0" w:line="22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r>
        <w:rPr>
          <w:rFonts w:ascii="Arial" w:cs="Arial" w:eastAsia="Arial" w:hAnsi="Arial"/>
          <w:sz w:val="15"/>
          <w:szCs w:val="15"/>
          <w:color w:val="FF0000"/>
        </w:rPr>
        <w:t>.</w:t>
      </w:r>
    </w:p>
    <w:p>
      <w:pPr>
        <w:spacing w:after="0" w:line="18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There are provisions to subject a person who disposes of an interest in a company while temporarily being a non-Irish resident, to Irish capital gains tax. This treatment will apply to Irish domiciled individuals:</w:t>
      </w:r>
    </w:p>
    <w:p>
      <w:pPr>
        <w:spacing w:after="0" w:line="168" w:lineRule="exact"/>
        <w:rPr>
          <w:sz w:val="20"/>
          <w:szCs w:val="20"/>
          <w:color w:val="auto"/>
        </w:rPr>
      </w:pPr>
    </w:p>
    <w:p>
      <w:pPr>
        <w:ind w:left="580" w:hanging="286"/>
        <w:spacing w:after="0"/>
        <w:tabs>
          <w:tab w:leader="none" w:pos="5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who cease to be an Irish resident;</w:t>
      </w:r>
    </w:p>
    <w:p>
      <w:pPr>
        <w:spacing w:after="0" w:line="209" w:lineRule="exact"/>
        <w:rPr>
          <w:rFonts w:ascii="Arial" w:cs="Arial" w:eastAsia="Arial" w:hAnsi="Arial"/>
          <w:sz w:val="15"/>
          <w:szCs w:val="15"/>
          <w:color w:val="auto"/>
        </w:rPr>
      </w:pPr>
    </w:p>
    <w:p>
      <w:pPr>
        <w:ind w:left="580" w:hanging="286"/>
        <w:spacing w:after="0"/>
        <w:tabs>
          <w:tab w:leader="none" w:pos="5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who beneficially own the relevant assets when they cease to be a resident;</w:t>
      </w:r>
    </w:p>
    <w:p>
      <w:pPr>
        <w:spacing w:after="0" w:line="221" w:lineRule="exact"/>
        <w:rPr>
          <w:rFonts w:ascii="Arial" w:cs="Arial" w:eastAsia="Arial" w:hAnsi="Arial"/>
          <w:sz w:val="15"/>
          <w:szCs w:val="15"/>
          <w:color w:val="auto"/>
        </w:rPr>
      </w:pPr>
    </w:p>
    <w:p>
      <w:pPr>
        <w:ind w:left="600" w:hanging="306"/>
        <w:spacing w:after="0" w:line="252" w:lineRule="auto"/>
        <w:tabs>
          <w:tab w:leader="none" w:pos="59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there are not more than 5 years of assessment between the last year of Irish tax residence prior to becoming temporarily non-resident and the tax year that he/she resumes Irish tax residency;</w:t>
      </w:r>
    </w:p>
    <w:p>
      <w:pPr>
        <w:spacing w:after="0" w:line="192" w:lineRule="exact"/>
        <w:rPr>
          <w:rFonts w:ascii="Arial" w:cs="Arial" w:eastAsia="Arial" w:hAnsi="Arial"/>
          <w:sz w:val="15"/>
          <w:szCs w:val="15"/>
          <w:color w:val="auto"/>
        </w:rPr>
      </w:pPr>
    </w:p>
    <w:p>
      <w:pPr>
        <w:ind w:left="580" w:hanging="286"/>
        <w:spacing w:after="0"/>
        <w:tabs>
          <w:tab w:leader="none" w:pos="5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who dispose of the relevant assets during this temporary non-residence;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90" w:name="page91"/>
    <w:bookmarkEnd w:id="90"/>
    <w:p>
      <w:pPr>
        <w:ind w:left="580" w:hanging="286"/>
        <w:spacing w:after="0"/>
        <w:tabs>
          <w:tab w:leader="none" w:pos="5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interest disposed of represents 5% or greater of the issued share capital of the company or is worth at least €500,000.</w:t>
      </w:r>
    </w:p>
    <w:p>
      <w:pPr>
        <w:spacing w:after="0" w:line="210"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capital acquisitions tax</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Irish capital acquisitions tax (referred to as CAT) applies to gifts and inheritances. Subject to certain tax-free thresholds, gifts and inheritances are liable to tax at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33%.</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 a gift or inheritance is taken under a disposition made after December 1, 1999 it will be within the charge to CAT:</w:t>
      </w:r>
    </w:p>
    <w:p>
      <w:pPr>
        <w:spacing w:after="0" w:line="210" w:lineRule="exact"/>
        <w:rPr>
          <w:sz w:val="20"/>
          <w:szCs w:val="20"/>
          <w:color w:val="auto"/>
        </w:rPr>
      </w:pPr>
    </w:p>
    <w:p>
      <w:pPr>
        <w:ind w:left="580" w:hanging="28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the extent that the property of which the gift or inheritance consists is situated in Ireland at the date of the gift or inheritance;</w:t>
      </w:r>
    </w:p>
    <w:p>
      <w:pPr>
        <w:spacing w:after="0" w:line="209" w:lineRule="exact"/>
        <w:rPr>
          <w:rFonts w:ascii="Arial" w:cs="Arial" w:eastAsia="Arial" w:hAnsi="Arial"/>
          <w:sz w:val="15"/>
          <w:szCs w:val="15"/>
          <w:color w:val="auto"/>
        </w:rPr>
      </w:pPr>
    </w:p>
    <w:p>
      <w:pPr>
        <w:ind w:left="600" w:hanging="306"/>
        <w:spacing w:after="0" w:line="269" w:lineRule="auto"/>
        <w:tabs>
          <w:tab w:leader="none" w:pos="59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where the person making the gift or inheritance is or was resident or ordinarily resident in Ireland at the date of the disposition under which the gift or inheritance is taken;</w:t>
      </w:r>
    </w:p>
    <w:p>
      <w:pPr>
        <w:spacing w:after="0" w:line="167" w:lineRule="exact"/>
        <w:rPr>
          <w:rFonts w:ascii="Arial" w:cs="Arial" w:eastAsia="Arial" w:hAnsi="Arial"/>
          <w:sz w:val="15"/>
          <w:szCs w:val="15"/>
          <w:color w:val="auto"/>
        </w:rPr>
      </w:pPr>
    </w:p>
    <w:p>
      <w:pPr>
        <w:ind w:left="600" w:hanging="306"/>
        <w:spacing w:after="0" w:line="269" w:lineRule="auto"/>
        <w:tabs>
          <w:tab w:leader="none" w:pos="59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case of a gift taken under a discretionary trust where the person from whom the gift is taken was resident or ordinarily resident in Ireland at the date he/she made the settlement, or at the date of the gift or, if he/she is dead at the date of the gift, at the date of his/her death; or</w:t>
      </w:r>
    </w:p>
    <w:p>
      <w:pPr>
        <w:spacing w:after="0" w:line="167" w:lineRule="exact"/>
        <w:rPr>
          <w:rFonts w:ascii="Arial" w:cs="Arial" w:eastAsia="Arial" w:hAnsi="Arial"/>
          <w:sz w:val="15"/>
          <w:szCs w:val="15"/>
          <w:color w:val="auto"/>
        </w:rPr>
      </w:pPr>
    </w:p>
    <w:p>
      <w:pPr>
        <w:ind w:left="580" w:hanging="28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where the person receiving the gift or inheritance is resident or ordinarily resident in Ireland at the date of the gift or inheritance.</w:t>
      </w:r>
    </w:p>
    <w:p>
      <w:pPr>
        <w:spacing w:after="0" w:line="22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For these purposes a non-Irish domiciled individual will not be regarded as resident or ordinarily resident in the Republic of Ireland on a particular date unless they are resident or ordinarily resident in Ireland on that date and have been resident for the 5 consecutive tax years immediately preceding the year of assessment in which the date falls.</w:t>
      </w:r>
    </w:p>
    <w:p>
      <w:pPr>
        <w:spacing w:after="0" w:line="184"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beneficiary and the aggregation since December 5, 1991 of all previous gifts and inheritances, within the same tax threshold.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tax-free threshold amounts that apply are:</w:t>
      </w:r>
    </w:p>
    <w:p>
      <w:pPr>
        <w:spacing w:after="0" w:line="222" w:lineRule="exact"/>
        <w:rPr>
          <w:sz w:val="20"/>
          <w:szCs w:val="20"/>
          <w:color w:val="auto"/>
        </w:rPr>
      </w:pPr>
    </w:p>
    <w:p>
      <w:pPr>
        <w:ind w:left="580" w:hanging="286"/>
        <w:spacing w:after="0"/>
        <w:tabs>
          <w:tab w:leader="none" w:pos="5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€20,000 in the case of persons who are not related to one another;</w:t>
      </w:r>
    </w:p>
    <w:p>
      <w:pPr>
        <w:spacing w:after="0" w:line="209" w:lineRule="exact"/>
        <w:rPr>
          <w:rFonts w:ascii="Arial" w:cs="Arial" w:eastAsia="Arial" w:hAnsi="Arial"/>
          <w:sz w:val="15"/>
          <w:szCs w:val="15"/>
          <w:color w:val="auto"/>
        </w:rPr>
      </w:pPr>
    </w:p>
    <w:p>
      <w:pPr>
        <w:ind w:left="580" w:hanging="286"/>
        <w:spacing w:after="0"/>
        <w:tabs>
          <w:tab w:leader="none" w:pos="5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€40,000 in the case of gifts or inheritances received from inter alia a brother or sister or from a brother or sister of a parent or from a grandparent; and</w:t>
      </w:r>
    </w:p>
    <w:p>
      <w:pPr>
        <w:spacing w:after="0" w:line="209" w:lineRule="exact"/>
        <w:rPr>
          <w:rFonts w:ascii="Arial" w:cs="Arial" w:eastAsia="Arial" w:hAnsi="Arial"/>
          <w:sz w:val="15"/>
          <w:szCs w:val="15"/>
          <w:color w:val="auto"/>
        </w:rPr>
      </w:pPr>
    </w:p>
    <w:p>
      <w:pPr>
        <w:ind w:left="600" w:hanging="306"/>
        <w:spacing w:after="0" w:line="269" w:lineRule="auto"/>
        <w:tabs>
          <w:tab w:leader="none" w:pos="590" w:val="left"/>
        </w:tabs>
        <w:numPr>
          <w:ilvl w:val="0"/>
          <w:numId w:val="74"/>
        </w:numPr>
        <w:rPr>
          <w:rFonts w:ascii="Arial" w:cs="Arial" w:eastAsia="Arial" w:hAnsi="Arial"/>
          <w:sz w:val="15"/>
          <w:szCs w:val="15"/>
          <w:color w:val="auto"/>
        </w:rPr>
      </w:pPr>
      <w:r>
        <w:rPr>
          <w:rFonts w:ascii="Arial" w:cs="Arial" w:eastAsia="Arial" w:hAnsi="Arial"/>
          <w:sz w:val="15"/>
          <w:szCs w:val="15"/>
          <w:color w:val="auto"/>
        </w:rPr>
        <w:t>€400,000 in the case of gifts and inheritances received by a child from a parent (or by a minor child of a deceased child of a grandparent) and specified inheritances received by a parent from a child for gifts or inheritances taken on or after October 9, 2019.</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Gifts and inheritances passing between spouses are exempt from CAT.</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A gift or inheritance of the ordinary shares or American Depositary Shares (ADSs) in the Company will be within the charge to CAT, notwithstanding that the person from whom or by whom the gift or inheritance is received is domiciled or resident outside Ireland.</w:t>
      </w:r>
    </w:p>
    <w:p>
      <w:pPr>
        <w:spacing w:after="0" w:line="19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The Estate Tax Convention between Ireland and the United States generally provides for CAT paid on inheritances in Ireland to be credited against Federal Estate tax payable in the U.S. and for tax paid in the U.S. to be credited against tax payable in Ireland, based on priority rules set forth in the Estate Tax Convention. The Estate Tax Convention does not apply to CAT paid on gifts.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stamp duty</w:t>
      </w:r>
    </w:p>
    <w:p>
      <w:pPr>
        <w:spacing w:after="0" w:line="208"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Irish stamp duty, which is a tax on certain documents, is payable on all transfers of ordinary shares (other than between spouses) whenever a document of transfer is executed. Where the transfer is attributable to a sale of shares, stamp duty will be charged at a rate of 1%, rounded to the nearest euro. The stamp duty is calculated on the amount or value of the consideration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15"/>
          <w:szCs w:val="15"/>
          <w:color w:val="auto"/>
        </w:rPr>
        <w:t>(i.e.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Transfers through the DTC of book entry interests in shares are not subject to Irish stamp duty.</w:t>
      </w:r>
    </w:p>
    <w:p>
      <w:pPr>
        <w:spacing w:after="0" w:line="222"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subject to stamp duty at the 1% rate if the transfer relates to a sale, a contemplated sale, a gift or any other change in the beneficial ownership of such ordinary shares. However, transfers of ordinary shares into or out of the DTC are not subject to Irish stamp duty where no change in beneficial ownership of the shares has occurred and provided a contract for sale in respect of the transferring shares is not in place.</w:t>
      </w:r>
    </w:p>
    <w:p>
      <w:pPr>
        <w:spacing w:after="0" w:line="189"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person accountable for payment of stamp duty is normally the transferee or, in the case of a transfer by way of gift, or for a consideration less than the market value, all parties to the transfer.</w:t>
      </w:r>
    </w:p>
    <w:p>
      <w:pPr>
        <w:spacing w:after="0" w:line="19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Transfers of ordinary shares between associated companies (broadly, companies within a 90% group relationship and subject to the satisfaction of certain conditions) are exempt from stamp duty in Ireland. In the case of transfers of ordinary shares where no beneficial interest passes (e.g. a transfer of shares from a beneficial owner to his nominee), no stamp duty arises.</w:t>
      </w:r>
    </w:p>
    <w:p>
      <w:pPr>
        <w:spacing w:after="0" w:line="184"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97" w:lineRule="exact"/>
        <w:rPr>
          <w:sz w:val="20"/>
          <w:szCs w:val="20"/>
          <w:color w:val="auto"/>
        </w:rPr>
      </w:pPr>
    </w:p>
    <w:p>
      <w:pPr>
        <w:ind w:left="600" w:right="8620" w:hanging="306"/>
        <w:spacing w:after="0" w:line="557" w:lineRule="auto"/>
        <w:tabs>
          <w:tab w:leader="none" w:pos="579"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and paying agents </w:t>
      </w:r>
      <w:r>
        <w:rPr>
          <w:rFonts w:ascii="Arial" w:cs="Arial" w:eastAsia="Arial" w:hAnsi="Arial"/>
          <w:sz w:val="15"/>
          <w:szCs w:val="15"/>
          <w:color w:val="auto"/>
        </w:rPr>
        <w:t>Not applicable.</w:t>
      </w:r>
    </w:p>
    <w:p>
      <w:pPr>
        <w:ind w:left="600" w:right="9160" w:hanging="306"/>
        <w:spacing w:after="0" w:line="597" w:lineRule="auto"/>
        <w:tabs>
          <w:tab w:leader="none" w:pos="596"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Statement by experts </w:t>
      </w:r>
      <w:r>
        <w:rPr>
          <w:rFonts w:ascii="Arial" w:cs="Arial" w:eastAsia="Arial" w:hAnsi="Arial"/>
          <w:sz w:val="14"/>
          <w:szCs w:val="14"/>
          <w:color w:val="auto"/>
        </w:rPr>
        <w:t>Not applicable.</w:t>
      </w:r>
    </w:p>
    <w:p>
      <w:pPr>
        <w:ind w:left="600" w:hanging="306"/>
        <w:spacing w:after="0"/>
        <w:tabs>
          <w:tab w:leader="none" w:pos="60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Documents on Display</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19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20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As a foreign private issuer, we are exempt from certain rules under the Exchange Act, including prescribing the furnishing and content of proxy statements to shareholders and our officers, Directors and principal shareholders are exempt from the reporting and short swing profit recovery provisions contained in Section 16 of the Exchange Act.</w:t>
      </w:r>
    </w:p>
    <w:p>
      <w:pPr>
        <w:spacing w:after="0" w:line="18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D18 X5R3 Attention: Corporate Governance, email: corporate.governance@iconplc.com.</w:t>
      </w:r>
    </w:p>
    <w:p>
      <w:pPr>
        <w:spacing w:after="0" w:line="191" w:lineRule="exact"/>
        <w:rPr>
          <w:sz w:val="20"/>
          <w:szCs w:val="20"/>
          <w:color w:val="auto"/>
        </w:rPr>
      </w:pPr>
    </w:p>
    <w:p>
      <w:pPr>
        <w:ind w:left="600" w:right="9040" w:hanging="306"/>
        <w:spacing w:after="0" w:line="597" w:lineRule="auto"/>
        <w:tabs>
          <w:tab w:leader="none" w:pos="596"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Subsidiary Information </w:t>
      </w:r>
      <w:r>
        <w:rPr>
          <w:rFonts w:ascii="Arial" w:cs="Arial" w:eastAsia="Arial" w:hAnsi="Arial"/>
          <w:sz w:val="14"/>
          <w:szCs w:val="14"/>
          <w:color w:val="auto"/>
        </w:rPr>
        <w:t>Not applicable.</w:t>
      </w:r>
    </w:p>
    <w:p>
      <w:pPr>
        <w:ind w:left="600" w:hanging="306"/>
        <w:spacing w:after="0"/>
        <w:tabs>
          <w:tab w:leader="none" w:pos="60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Annual Report to Security Holders</w:t>
      </w:r>
    </w:p>
    <w:p>
      <w:pPr>
        <w:spacing w:after="0" w:line="234"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4"/>
          <w:szCs w:val="14"/>
          <w:color w:val="auto"/>
        </w:rPr>
        <w:t>ICON is required to provide an annual report to security holders in response to the requirements of Form 6-K and will submit the annual report in electronic format.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92" w:name="page93"/>
    <w:bookmarkEnd w:id="92"/>
    <w:p>
      <w:pPr>
        <w:spacing w:after="0"/>
        <w:rPr>
          <w:sz w:val="20"/>
          <w:szCs w:val="20"/>
          <w:color w:val="auto"/>
        </w:rPr>
      </w:pPr>
      <w:r>
        <w:rPr>
          <w:rFonts w:ascii="Arial" w:cs="Arial" w:eastAsia="Arial" w:hAnsi="Arial"/>
          <w:sz w:val="15"/>
          <w:szCs w:val="15"/>
          <w:b w:val="1"/>
          <w:bCs w:val="1"/>
          <w:color w:val="auto"/>
        </w:rPr>
        <w:t>Exemptions From Corporate Governance Listing Requirements Under the NASDAQ Marketplace Rules</w:t>
      </w:r>
    </w:p>
    <w:p>
      <w:pPr>
        <w:spacing w:after="0" w:line="222"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exemptions that the Company relies on, and the practices the Company adheres to, are as follows:</w:t>
      </w:r>
    </w:p>
    <w:p>
      <w:pPr>
        <w:spacing w:after="0" w:line="222" w:lineRule="exact"/>
        <w:rPr>
          <w:sz w:val="20"/>
          <w:szCs w:val="20"/>
          <w:color w:val="auto"/>
        </w:rPr>
      </w:pPr>
    </w:p>
    <w:p>
      <w:pPr>
        <w:jc w:val="both"/>
        <w:ind w:left="600" w:hanging="306"/>
        <w:spacing w:after="0" w:line="261" w:lineRule="auto"/>
        <w:tabs>
          <w:tab w:leader="none" w:pos="59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86" w:lineRule="exact"/>
        <w:rPr>
          <w:rFonts w:ascii="Arial" w:cs="Arial" w:eastAsia="Arial" w:hAnsi="Arial"/>
          <w:sz w:val="15"/>
          <w:szCs w:val="15"/>
          <w:color w:val="auto"/>
        </w:rPr>
      </w:pPr>
    </w:p>
    <w:p>
      <w:pPr>
        <w:jc w:val="both"/>
        <w:ind w:left="600" w:hanging="306"/>
        <w:spacing w:after="0" w:line="252" w:lineRule="auto"/>
        <w:tabs>
          <w:tab w:leader="none" w:pos="59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94" w:lineRule="exact"/>
        <w:rPr>
          <w:rFonts w:ascii="Arial" w:cs="Arial" w:eastAsia="Arial" w:hAnsi="Arial"/>
          <w:sz w:val="15"/>
          <w:szCs w:val="15"/>
          <w:color w:val="auto"/>
        </w:rPr>
      </w:pPr>
    </w:p>
    <w:p>
      <w:pPr>
        <w:jc w:val="both"/>
        <w:ind w:left="600" w:hanging="306"/>
        <w:spacing w:after="0" w:line="255" w:lineRule="auto"/>
        <w:tabs>
          <w:tab w:leader="none" w:pos="59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w:t>
      </w:r>
      <w:r>
        <w:rPr>
          <w:rFonts w:ascii="Arial" w:cs="Arial" w:eastAsia="Arial" w:hAnsi="Arial"/>
          <w:sz w:val="15"/>
          <w:szCs w:val="15"/>
          <w:b w:val="1"/>
          <w:bCs w:val="1"/>
          <w:i w:val="1"/>
          <w:iCs w:val="1"/>
          <w:color w:val="auto"/>
        </w:rPr>
        <w:t>. Quantitative and Qualitative Disclosures about Market Risk.</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principal market risks (i.e. risk of loss arising from adverse changes in market rates and prices) to which we are exposed include foreign currency risk and interest rate risk.</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Risk</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Although domiciled in Ireland, we report our results in U.S. dollars. As a consequence, the results of our non-U.S. based operations, when translated into U.S.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dollars, could be affected by fluctuations in exchange rates between the U.S. dollar and the currencies of those operations.</w:t>
      </w:r>
    </w:p>
    <w:p>
      <w:pPr>
        <w:spacing w:after="0" w:line="21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ind w:left="600"/>
              <w:spacing w:after="0"/>
              <w:rPr>
                <w:sz w:val="20"/>
                <w:szCs w:val="20"/>
                <w:color w:val="auto"/>
              </w:rPr>
            </w:pPr>
            <w:r>
              <w:rPr>
                <w:rFonts w:ascii="Arial" w:cs="Arial" w:eastAsia="Arial" w:hAnsi="Arial"/>
                <w:sz w:val="15"/>
                <w:szCs w:val="15"/>
                <w:color w:val="auto"/>
              </w:rPr>
              <w:t>The following significant exchange rates applied during the year:</w:t>
            </w:r>
          </w:p>
        </w:tc>
        <w:tc>
          <w:tcPr>
            <w:tcW w:w="1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37"/>
        </w:trPr>
        <w:tc>
          <w:tcPr>
            <w:tcW w:w="5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97"/>
        </w:trPr>
        <w:tc>
          <w:tcPr>
            <w:tcW w:w="5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Average Rate</w:t>
            </w:r>
          </w:p>
        </w:tc>
        <w:tc>
          <w:tcPr>
            <w:tcW w:w="980" w:type="dxa"/>
            <w:vAlign w:val="bottom"/>
            <w:shd w:val="clear" w:color="auto" w:fill="CCEEFF"/>
          </w:tcPr>
          <w:p>
            <w:pPr>
              <w:spacing w:after="0"/>
              <w:rPr>
                <w:sz w:val="17"/>
                <w:szCs w:val="17"/>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Closing Rate</w:t>
            </w:r>
          </w:p>
        </w:tc>
      </w:tr>
      <w:tr>
        <w:trPr>
          <w:trHeight w:val="197"/>
        </w:trPr>
        <w:tc>
          <w:tcPr>
            <w:tcW w:w="5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506"/>
              <w:spacing w:after="0"/>
              <w:rPr>
                <w:sz w:val="20"/>
                <w:szCs w:val="20"/>
                <w:color w:val="auto"/>
              </w:rPr>
            </w:pPr>
            <w:r>
              <w:rPr>
                <w:rFonts w:ascii="Arial" w:cs="Arial" w:eastAsia="Arial" w:hAnsi="Arial"/>
                <w:sz w:val="15"/>
                <w:szCs w:val="15"/>
                <w:b w:val="1"/>
                <w:bCs w:val="1"/>
                <w:color w:val="auto"/>
                <w:w w:val="95"/>
              </w:rPr>
              <w:t>2024</w:t>
            </w:r>
          </w:p>
        </w:tc>
        <w:tc>
          <w:tcPr>
            <w:tcW w:w="1920" w:type="dxa"/>
            <w:vAlign w:val="bottom"/>
            <w:tcBorders>
              <w:bottom w:val="single" w:sz="8" w:color="auto"/>
            </w:tcBorders>
          </w:tcPr>
          <w:p>
            <w:pPr>
              <w:jc w:val="center"/>
              <w:ind w:left="406"/>
              <w:spacing w:after="0"/>
              <w:rPr>
                <w:sz w:val="20"/>
                <w:szCs w:val="20"/>
                <w:color w:val="auto"/>
              </w:rPr>
            </w:pPr>
            <w:r>
              <w:rPr>
                <w:rFonts w:ascii="Arial" w:cs="Arial" w:eastAsia="Arial" w:hAnsi="Arial"/>
                <w:sz w:val="15"/>
                <w:szCs w:val="15"/>
                <w:b w:val="1"/>
                <w:bCs w:val="1"/>
                <w:color w:val="auto"/>
                <w:w w:val="95"/>
              </w:rPr>
              <w:t>2023</w:t>
            </w:r>
          </w:p>
        </w:tc>
        <w:tc>
          <w:tcPr>
            <w:tcW w:w="980" w:type="dxa"/>
            <w:vAlign w:val="bottom"/>
            <w:tcBorders>
              <w:bottom w:val="single" w:sz="8" w:color="auto"/>
            </w:tcBorders>
          </w:tcPr>
          <w:p>
            <w:pPr>
              <w:jc w:val="center"/>
              <w:ind w:left="406"/>
              <w:spacing w:after="0"/>
              <w:rPr>
                <w:sz w:val="20"/>
                <w:szCs w:val="20"/>
                <w:color w:val="auto"/>
              </w:rPr>
            </w:pPr>
            <w:r>
              <w:rPr>
                <w:rFonts w:ascii="Arial" w:cs="Arial" w:eastAsia="Arial" w:hAnsi="Arial"/>
                <w:sz w:val="15"/>
                <w:szCs w:val="15"/>
                <w:b w:val="1"/>
                <w:bCs w:val="1"/>
                <w:color w:val="auto"/>
              </w:rPr>
              <w:t>2024</w:t>
            </w:r>
          </w:p>
        </w:tc>
        <w:tc>
          <w:tcPr>
            <w:tcW w:w="1900" w:type="dxa"/>
            <w:vAlign w:val="bottom"/>
            <w:tcBorders>
              <w:bottom w:val="single" w:sz="8" w:color="auto"/>
            </w:tcBorders>
          </w:tcPr>
          <w:p>
            <w:pPr>
              <w:jc w:val="center"/>
              <w:ind w:left="406"/>
              <w:spacing w:after="0"/>
              <w:rPr>
                <w:sz w:val="20"/>
                <w:szCs w:val="20"/>
                <w:color w:val="auto"/>
              </w:rPr>
            </w:pPr>
            <w:r>
              <w:rPr>
                <w:rFonts w:ascii="Arial" w:cs="Arial" w:eastAsia="Arial" w:hAnsi="Arial"/>
                <w:sz w:val="15"/>
                <w:szCs w:val="15"/>
                <w:b w:val="1"/>
                <w:bCs w:val="1"/>
                <w:color w:val="auto"/>
              </w:rPr>
              <w:t>2023</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Euro:USD</w:t>
            </w:r>
          </w:p>
        </w:tc>
        <w:tc>
          <w:tcPr>
            <w:tcW w:w="1060" w:type="dxa"/>
            <w:vAlign w:val="bottom"/>
            <w:shd w:val="clear" w:color="auto" w:fill="CCEEFF"/>
          </w:tcPr>
          <w:p>
            <w:pPr>
              <w:jc w:val="center"/>
              <w:ind w:left="506"/>
              <w:spacing w:after="0"/>
              <w:rPr>
                <w:sz w:val="20"/>
                <w:szCs w:val="20"/>
                <w:color w:val="auto"/>
              </w:rPr>
            </w:pPr>
            <w:r>
              <w:rPr>
                <w:rFonts w:ascii="Arial" w:cs="Arial" w:eastAsia="Arial" w:hAnsi="Arial"/>
                <w:sz w:val="15"/>
                <w:szCs w:val="15"/>
                <w:color w:val="auto"/>
                <w:w w:val="95"/>
              </w:rPr>
              <w:t>1.0854</w:t>
            </w:r>
          </w:p>
        </w:tc>
        <w:tc>
          <w:tcPr>
            <w:tcW w:w="1920" w:type="dxa"/>
            <w:vAlign w:val="bottom"/>
            <w:shd w:val="clear" w:color="auto" w:fill="CCEEFF"/>
          </w:tcPr>
          <w:p>
            <w:pPr>
              <w:jc w:val="center"/>
              <w:ind w:left="426"/>
              <w:spacing w:after="0"/>
              <w:rPr>
                <w:sz w:val="20"/>
                <w:szCs w:val="20"/>
                <w:color w:val="auto"/>
              </w:rPr>
            </w:pPr>
            <w:r>
              <w:rPr>
                <w:rFonts w:ascii="Arial" w:cs="Arial" w:eastAsia="Arial" w:hAnsi="Arial"/>
                <w:sz w:val="15"/>
                <w:szCs w:val="15"/>
                <w:color w:val="auto"/>
              </w:rPr>
              <w:t>1.0795</w:t>
            </w:r>
          </w:p>
        </w:tc>
        <w:tc>
          <w:tcPr>
            <w:tcW w:w="980" w:type="dxa"/>
            <w:vAlign w:val="bottom"/>
            <w:shd w:val="clear" w:color="auto" w:fill="CCEEFF"/>
          </w:tcPr>
          <w:p>
            <w:pPr>
              <w:jc w:val="center"/>
              <w:ind w:left="406"/>
              <w:spacing w:after="0"/>
              <w:rPr>
                <w:sz w:val="20"/>
                <w:szCs w:val="20"/>
                <w:color w:val="auto"/>
              </w:rPr>
            </w:pPr>
            <w:r>
              <w:rPr>
                <w:rFonts w:ascii="Arial" w:cs="Arial" w:eastAsia="Arial" w:hAnsi="Arial"/>
                <w:sz w:val="15"/>
                <w:szCs w:val="15"/>
                <w:color w:val="auto"/>
              </w:rPr>
              <w:t>1.0354</w:t>
            </w:r>
          </w:p>
        </w:tc>
        <w:tc>
          <w:tcPr>
            <w:tcW w:w="1900" w:type="dxa"/>
            <w:vAlign w:val="bottom"/>
            <w:shd w:val="clear" w:color="auto" w:fill="CCEEFF"/>
          </w:tcPr>
          <w:p>
            <w:pPr>
              <w:jc w:val="center"/>
              <w:ind w:left="406"/>
              <w:spacing w:after="0"/>
              <w:rPr>
                <w:sz w:val="20"/>
                <w:szCs w:val="20"/>
                <w:color w:val="auto"/>
              </w:rPr>
            </w:pPr>
            <w:r>
              <w:rPr>
                <w:rFonts w:ascii="Arial" w:cs="Arial" w:eastAsia="Arial" w:hAnsi="Arial"/>
                <w:sz w:val="15"/>
                <w:szCs w:val="15"/>
                <w:color w:val="auto"/>
              </w:rPr>
              <w:t>1.1039</w:t>
            </w:r>
          </w:p>
        </w:tc>
      </w:tr>
      <w:tr>
        <w:trPr>
          <w:trHeight w:val="194"/>
        </w:trPr>
        <w:tc>
          <w:tcPr>
            <w:tcW w:w="5380" w:type="dxa"/>
            <w:vAlign w:val="bottom"/>
          </w:tcPr>
          <w:p>
            <w:pPr>
              <w:ind w:left="20"/>
              <w:spacing w:after="0"/>
              <w:rPr>
                <w:sz w:val="20"/>
                <w:szCs w:val="20"/>
                <w:color w:val="auto"/>
              </w:rPr>
            </w:pPr>
            <w:r>
              <w:rPr>
                <w:rFonts w:ascii="Arial" w:cs="Arial" w:eastAsia="Arial" w:hAnsi="Arial"/>
                <w:sz w:val="15"/>
                <w:szCs w:val="15"/>
                <w:color w:val="auto"/>
              </w:rPr>
              <w:t>Pound Sterling:USD</w:t>
            </w:r>
          </w:p>
        </w:tc>
        <w:tc>
          <w:tcPr>
            <w:tcW w:w="1060" w:type="dxa"/>
            <w:vAlign w:val="bottom"/>
          </w:tcPr>
          <w:p>
            <w:pPr>
              <w:jc w:val="center"/>
              <w:ind w:left="506"/>
              <w:spacing w:after="0"/>
              <w:rPr>
                <w:sz w:val="20"/>
                <w:szCs w:val="20"/>
                <w:color w:val="auto"/>
              </w:rPr>
            </w:pPr>
            <w:r>
              <w:rPr>
                <w:rFonts w:ascii="Arial" w:cs="Arial" w:eastAsia="Arial" w:hAnsi="Arial"/>
                <w:sz w:val="15"/>
                <w:szCs w:val="15"/>
                <w:color w:val="auto"/>
                <w:w w:val="95"/>
              </w:rPr>
              <w:t>1.2809</w:t>
            </w:r>
          </w:p>
        </w:tc>
        <w:tc>
          <w:tcPr>
            <w:tcW w:w="1920" w:type="dxa"/>
            <w:vAlign w:val="bottom"/>
          </w:tcPr>
          <w:p>
            <w:pPr>
              <w:jc w:val="center"/>
              <w:ind w:left="426"/>
              <w:spacing w:after="0"/>
              <w:rPr>
                <w:sz w:val="20"/>
                <w:szCs w:val="20"/>
                <w:color w:val="auto"/>
              </w:rPr>
            </w:pPr>
            <w:r>
              <w:rPr>
                <w:rFonts w:ascii="Arial" w:cs="Arial" w:eastAsia="Arial" w:hAnsi="Arial"/>
                <w:sz w:val="15"/>
                <w:szCs w:val="15"/>
                <w:color w:val="auto"/>
              </w:rPr>
              <w:t>1.2382</w:t>
            </w:r>
          </w:p>
        </w:tc>
        <w:tc>
          <w:tcPr>
            <w:tcW w:w="980" w:type="dxa"/>
            <w:vAlign w:val="bottom"/>
          </w:tcPr>
          <w:p>
            <w:pPr>
              <w:jc w:val="center"/>
              <w:ind w:left="406"/>
              <w:spacing w:after="0"/>
              <w:rPr>
                <w:sz w:val="20"/>
                <w:szCs w:val="20"/>
                <w:color w:val="auto"/>
              </w:rPr>
            </w:pPr>
            <w:r>
              <w:rPr>
                <w:rFonts w:ascii="Arial" w:cs="Arial" w:eastAsia="Arial" w:hAnsi="Arial"/>
                <w:sz w:val="15"/>
                <w:szCs w:val="15"/>
                <w:color w:val="auto"/>
              </w:rPr>
              <w:t>1.2516</w:t>
            </w:r>
          </w:p>
        </w:tc>
        <w:tc>
          <w:tcPr>
            <w:tcW w:w="1900" w:type="dxa"/>
            <w:vAlign w:val="bottom"/>
          </w:tcPr>
          <w:p>
            <w:pPr>
              <w:jc w:val="center"/>
              <w:ind w:left="406"/>
              <w:spacing w:after="0"/>
              <w:rPr>
                <w:sz w:val="20"/>
                <w:szCs w:val="20"/>
                <w:color w:val="auto"/>
              </w:rPr>
            </w:pPr>
            <w:r>
              <w:rPr>
                <w:rFonts w:ascii="Arial" w:cs="Arial" w:eastAsia="Arial" w:hAnsi="Arial"/>
                <w:sz w:val="15"/>
                <w:szCs w:val="15"/>
                <w:color w:val="auto"/>
              </w:rPr>
              <w:t>1.2731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color w:val="auto"/>
        </w:rPr>
        <w:t>Interest Rate Risk</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We are exposed to interest rate risk in respect of our cash and cash equivalents and available for sale investments. Our treasury function actively manages our available cash resources and invests surplus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7"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As the Company has variable rate debt, fluctuations in interest rates affect our business. We do not hedge our variable rate debt and therefore, may incur higher interest costs on any unhedged debt. Previously, we attempted to minimize interest rate risk and lower our overall borrowing costs through the utilization of interest rate caps and an interest rate swap derivative agreements.</w:t>
      </w:r>
    </w:p>
    <w:p>
      <w:pPr>
        <w:spacing w:after="0" w:line="197" w:lineRule="exact"/>
        <w:rPr>
          <w:sz w:val="20"/>
          <w:szCs w:val="20"/>
          <w:color w:val="auto"/>
        </w:rPr>
      </w:pPr>
    </w:p>
    <w:p>
      <w:pPr>
        <w:jc w:val="both"/>
        <w:ind w:firstLine="591"/>
        <w:spacing w:after="0" w:line="224" w:lineRule="auto"/>
        <w:rPr>
          <w:sz w:val="20"/>
          <w:szCs w:val="20"/>
          <w:color w:val="auto"/>
        </w:rPr>
      </w:pPr>
      <w:r>
        <w:rPr>
          <w:rFonts w:ascii="Arial" w:cs="Arial" w:eastAsia="Arial" w:hAnsi="Arial"/>
          <w:sz w:val="15"/>
          <w:szCs w:val="15"/>
          <w:color w:val="auto"/>
        </w:rPr>
        <w:t xml:space="preserve">During the year, the Company’s exposure to interest rate fluctuations significantly reduced with the voluntary and mandatory repayments of the senior secured term loan facility (refer to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Given this reduction and the repricing of the Senior Secured Credit facilities, the Company</w:t>
      </w:r>
    </w:p>
    <w:p>
      <w:pPr>
        <w:spacing w:after="0"/>
        <w:rPr>
          <w:sz w:val="20"/>
          <w:szCs w:val="20"/>
          <w:color w:val="auto"/>
        </w:rPr>
      </w:pPr>
      <w:r>
        <w:rPr>
          <w:rFonts w:ascii="Arial" w:cs="Arial" w:eastAsia="Arial" w:hAnsi="Arial"/>
          <w:sz w:val="15"/>
          <w:szCs w:val="15"/>
          <w:color w:val="auto"/>
        </w:rPr>
        <w:t>closed the 2022 Caps and 2022 Swap agreements.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December 31, 2024, 73% of the Company's outstanding debt was at a fixed interest rate (December 31, 2023: 13%).</w:t>
      </w:r>
    </w:p>
    <w:p>
      <w:pPr>
        <w:spacing w:after="0" w:line="21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sensitivity analysis below represents the hypothetical change in the net interest payable of a 1% movement in market interest rates.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shd w:val="clear" w:color="auto" w:fill="CCEEFF"/>
          </w:tcPr>
          <w:p>
            <w:pPr>
              <w:spacing w:after="0"/>
              <w:rPr>
                <w:sz w:val="14"/>
                <w:szCs w:val="14"/>
                <w:color w:val="auto"/>
              </w:rPr>
            </w:pPr>
          </w:p>
        </w:tc>
        <w:tc>
          <w:tcPr>
            <w:tcW w:w="358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b w:val="1"/>
                <w:bCs w:val="1"/>
                <w:color w:val="auto"/>
                <w:w w:val="98"/>
              </w:rPr>
              <w:t>Interest for the year ended December 31,</w:t>
            </w:r>
          </w:p>
        </w:tc>
        <w:tc>
          <w:tcPr>
            <w:tcW w:w="520" w:type="dxa"/>
            <w:vAlign w:val="bottom"/>
            <w:shd w:val="clear" w:color="auto" w:fill="CCEEFF"/>
          </w:tcPr>
          <w:p>
            <w:pPr>
              <w:spacing w:after="0"/>
              <w:rPr>
                <w:sz w:val="14"/>
                <w:szCs w:val="1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Interest</w:t>
            </w:r>
          </w:p>
        </w:tc>
        <w:tc>
          <w:tcPr>
            <w:tcW w:w="6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Interest</w:t>
            </w: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rPr>
                <w:sz w:val="12"/>
                <w:szCs w:val="12"/>
                <w:color w:val="auto"/>
              </w:rPr>
            </w:pPr>
          </w:p>
        </w:tc>
        <w:tc>
          <w:tcPr>
            <w:tcW w:w="3580" w:type="dxa"/>
            <w:vAlign w:val="bottom"/>
            <w:gridSpan w:val="2"/>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3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Change 1% increase in</w:t>
            </w:r>
          </w:p>
        </w:tc>
        <w:tc>
          <w:tcPr>
            <w:tcW w:w="680" w:type="dxa"/>
            <w:vAlign w:val="bottom"/>
            <w:shd w:val="clear" w:color="auto" w:fill="CCEEFF"/>
          </w:tcPr>
          <w:p>
            <w:pPr>
              <w:spacing w:after="0"/>
              <w:rPr>
                <w:sz w:val="12"/>
                <w:szCs w:val="12"/>
                <w:color w:val="auto"/>
              </w:rPr>
            </w:pP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Change 1% decrease in</w:t>
            </w:r>
          </w:p>
        </w:tc>
        <w:tc>
          <w:tcPr>
            <w:tcW w:w="0" w:type="dxa"/>
            <w:vAlign w:val="bottom"/>
          </w:tcPr>
          <w:p>
            <w:pPr>
              <w:spacing w:after="0"/>
              <w:rPr>
                <w:sz w:val="1"/>
                <w:szCs w:val="1"/>
                <w:color w:val="auto"/>
              </w:rPr>
            </w:pPr>
          </w:p>
        </w:tc>
      </w:tr>
      <w:tr>
        <w:trPr>
          <w:trHeight w:val="197"/>
        </w:trPr>
        <w:tc>
          <w:tcPr>
            <w:tcW w:w="18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market interest rate</w:t>
            </w:r>
          </w:p>
        </w:tc>
        <w:tc>
          <w:tcPr>
            <w:tcW w:w="6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market interest rate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tcPr>
          <w:p>
            <w:pPr>
              <w:jc w:val="right"/>
              <w:ind w:right="846"/>
              <w:spacing w:after="0"/>
              <w:rPr>
                <w:sz w:val="20"/>
                <w:szCs w:val="20"/>
                <w:color w:val="auto"/>
              </w:rPr>
            </w:pPr>
            <w:r>
              <w:rPr>
                <w:rFonts w:ascii="Arial" w:cs="Arial" w:eastAsia="Arial" w:hAnsi="Arial"/>
                <w:sz w:val="15"/>
                <w:szCs w:val="15"/>
                <w:b w:val="1"/>
                <w:bCs w:val="1"/>
                <w:color w:val="auto"/>
              </w:rPr>
              <w:t>(in thousands)</w:t>
            </w:r>
          </w:p>
        </w:tc>
        <w:tc>
          <w:tcPr>
            <w:tcW w:w="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840" w:type="dxa"/>
            <w:vAlign w:val="bottom"/>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8,609</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13,639</w:t>
            </w:r>
          </w:p>
        </w:tc>
        <w:tc>
          <w:tcPr>
            <w:tcW w:w="68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3,579</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Interest expense*</w:t>
            </w:r>
          </w:p>
        </w:tc>
        <w:tc>
          <w:tcPr>
            <w:tcW w:w="18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(237,237)</w:t>
            </w:r>
          </w:p>
        </w:tc>
        <w:tc>
          <w:tcPr>
            <w:tcW w:w="5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(254,987)</w:t>
            </w:r>
          </w:p>
        </w:tc>
        <w:tc>
          <w:tcPr>
            <w:tcW w:w="6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(219,487)</w:t>
            </w:r>
          </w:p>
        </w:tc>
        <w:tc>
          <w:tcPr>
            <w:tcW w:w="0" w:type="dxa"/>
            <w:vAlign w:val="bottom"/>
          </w:tcPr>
          <w:p>
            <w:pPr>
              <w:spacing w:after="0"/>
              <w:rPr>
                <w:sz w:val="1"/>
                <w:szCs w:val="1"/>
                <w:color w:val="auto"/>
              </w:rPr>
            </w:pPr>
          </w:p>
        </w:tc>
      </w:tr>
      <w:tr>
        <w:trPr>
          <w:trHeight w:val="227"/>
        </w:trPr>
        <w:tc>
          <w:tcPr>
            <w:tcW w:w="18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(228,628)</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(241,348)</w:t>
            </w:r>
          </w:p>
        </w:tc>
        <w:tc>
          <w:tcPr>
            <w:tcW w:w="68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(215,908)</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*At December 31, 2024, 73% of the interest costs fixed due to our 2026 Notes and New Notes. $23.5 million financing fees have been allocated to interest cost which are not impacted by a change in interest rate.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w:t>
      </w:r>
      <w:r>
        <w:rPr>
          <w:rFonts w:ascii="Arial" w:cs="Arial" w:eastAsia="Arial" w:hAnsi="Arial"/>
          <w:sz w:val="15"/>
          <w:szCs w:val="15"/>
          <w:b w:val="1"/>
          <w:bCs w:val="1"/>
          <w:i w:val="1"/>
          <w:iCs w:val="1"/>
          <w:color w:val="auto"/>
        </w:rPr>
        <w:t>. Description of Securities Other than Equity Securities.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w:t>
      </w:r>
      <w:r>
        <w:rPr>
          <w:rFonts w:ascii="Arial" w:cs="Arial" w:eastAsia="Arial" w:hAnsi="Arial"/>
          <w:sz w:val="15"/>
          <w:szCs w:val="15"/>
          <w:b w:val="1"/>
          <w:bCs w:val="1"/>
          <w:i w:val="1"/>
          <w:iCs w:val="1"/>
          <w:color w:val="auto"/>
        </w:rPr>
        <w:t>. Defaults, Dividend Arrearages and Delinquencies.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14. </w:t>
      </w:r>
      <w:r>
        <w:rPr>
          <w:rFonts w:ascii="Arial" w:cs="Arial" w:eastAsia="Arial" w:hAnsi="Arial"/>
          <w:sz w:val="15"/>
          <w:szCs w:val="15"/>
          <w:b w:val="1"/>
          <w:bCs w:val="1"/>
          <w:i w:val="1"/>
          <w:iCs w:val="1"/>
          <w:color w:val="auto"/>
        </w:rPr>
        <w:t>Material Modifications to the Rights of Security Holders and Use of Proceeds.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Controls and Procedures.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  Disclosure controls and procedures</w:t>
      </w:r>
    </w:p>
    <w:p>
      <w:pPr>
        <w:spacing w:after="0" w:line="222" w:lineRule="exact"/>
        <w:rPr>
          <w:sz w:val="20"/>
          <w:szCs w:val="20"/>
          <w:color w:val="auto"/>
        </w:rPr>
      </w:pPr>
    </w:p>
    <w:p>
      <w:pPr>
        <w:jc w:val="both"/>
        <w:ind w:firstLine="591"/>
        <w:spacing w:after="0" w:line="235" w:lineRule="auto"/>
        <w:rPr>
          <w:sz w:val="20"/>
          <w:szCs w:val="20"/>
          <w:color w:val="auto"/>
        </w:rPr>
      </w:pPr>
      <w:r>
        <w:rPr>
          <w:rFonts w:ascii="Arial" w:cs="Arial" w:eastAsia="Arial" w:hAnsi="Arial"/>
          <w:sz w:val="15"/>
          <w:szCs w:val="15"/>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2024.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202" w:lineRule="exact"/>
        <w:rPr>
          <w:sz w:val="20"/>
          <w:szCs w:val="20"/>
          <w:color w:val="auto"/>
        </w:rPr>
      </w:pPr>
    </w:p>
    <w:p>
      <w:pPr>
        <w:ind w:left="600" w:right="4580" w:hanging="306"/>
        <w:spacing w:after="0" w:line="557" w:lineRule="auto"/>
        <w:tabs>
          <w:tab w:leader="none" w:pos="60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Management's Annual Report on Internal Accounting Control over Financial Reporting </w:t>
      </w:r>
      <w:r>
        <w:rPr>
          <w:rFonts w:ascii="Arial" w:cs="Arial" w:eastAsia="Arial" w:hAnsi="Arial"/>
          <w:sz w:val="15"/>
          <w:szCs w:val="15"/>
          <w:color w:val="auto"/>
        </w:rPr>
        <w:t>Reference is made to page 98 of this Form 20-F.</w:t>
      </w:r>
    </w:p>
    <w:p>
      <w:pPr>
        <w:ind w:left="600" w:right="5760" w:hanging="306"/>
        <w:spacing w:after="0" w:line="557" w:lineRule="auto"/>
        <w:tabs>
          <w:tab w:leader="none" w:pos="60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Attestation Report of Independent Registered Public Accounting Firm </w:t>
      </w:r>
      <w:r>
        <w:rPr>
          <w:rFonts w:ascii="Arial" w:cs="Arial" w:eastAsia="Arial" w:hAnsi="Arial"/>
          <w:sz w:val="15"/>
          <w:szCs w:val="15"/>
          <w:color w:val="auto"/>
        </w:rPr>
        <w:t>Reference is made to page 101 of this Form 20-F.</w:t>
      </w:r>
    </w:p>
    <w:p>
      <w:pPr>
        <w:ind w:left="600" w:hanging="306"/>
        <w:spacing w:after="0"/>
        <w:tabs>
          <w:tab w:leader="none" w:pos="60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Changes in Internal Controls over Financial Reporting</w:t>
      </w:r>
    </w:p>
    <w:p>
      <w:pPr>
        <w:spacing w:after="0" w:line="210" w:lineRule="exact"/>
        <w:rPr>
          <w:sz w:val="20"/>
          <w:szCs w:val="20"/>
          <w:color w:val="auto"/>
        </w:rPr>
      </w:pPr>
    </w:p>
    <w:p>
      <w:pPr>
        <w:ind w:firstLine="591"/>
        <w:spacing w:after="0" w:line="269" w:lineRule="auto"/>
        <w:rPr>
          <w:sz w:val="20"/>
          <w:szCs w:val="20"/>
          <w:color w:val="auto"/>
        </w:rPr>
      </w:pPr>
      <w:r>
        <w:rPr>
          <w:rFonts w:ascii="Arial" w:cs="Arial" w:eastAsia="Arial" w:hAnsi="Arial"/>
          <w:sz w:val="15"/>
          <w:szCs w:val="15"/>
          <w:color w:val="auto"/>
        </w:rPr>
        <w:t>There were no changes in our internal controls over financial reporting during the period covered by this Form 20-F that have materially affected or are reasonably likely to materially affect our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16. </w:t>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16A. Audit Committee Financial Expert</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Mr. Rónán Murphy acts as the Audit Committee financial expert serving on our Audit Committee and Board of Directors. The Board has determined that Mr.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Murphy is independent.</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16B. Code of Ethical Conduct</w:t>
      </w:r>
    </w:p>
    <w:p>
      <w:pPr>
        <w:spacing w:after="0" w:line="210"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 xml:space="preserve">Our Global Code of Ethical Conduct applies to all officers, directors (including a non-executive director when carrying out their duties as a director of ICON plc), and employees of ICON plc, its subsidiaries and branches. There are no waivers from the provisions of the Code of Ethical Conduct that are required to be disclosed. This Code of Ethical Conduct is available on our website at: </w:t>
      </w:r>
      <w:r>
        <w:rPr>
          <w:rFonts w:ascii="Arial" w:cs="Arial" w:eastAsia="Arial" w:hAnsi="Arial"/>
          <w:sz w:val="15"/>
          <w:szCs w:val="15"/>
          <w:u w:val="single" w:color="auto"/>
          <w:color w:val="0000FF"/>
        </w:rPr>
        <w:t>https://investor.iconplc.com/corporate-governance/governance-documents</w:t>
      </w:r>
      <w:r>
        <w:rPr>
          <w:rFonts w:ascii="Arial" w:cs="Arial" w:eastAsia="Arial" w:hAnsi="Arial"/>
          <w:sz w:val="15"/>
          <w:szCs w:val="15"/>
          <w:color w:val="auto"/>
        </w:rPr>
        <w:t>.</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64770</wp:posOffset>
            </wp:positionV>
            <wp:extent cx="716978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5"/>
          <w:szCs w:val="15"/>
          <w:b w:val="1"/>
          <w:bCs w:val="1"/>
          <w:color w:val="auto"/>
        </w:rPr>
        <w:t>Item 16C. Principal Accountant Fees and Services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Our principal accountants for the years ended December 31, 2024 and December 31, 2023 were KPMG, Dublin, Ireland (Audit firm ID: 1116). The table below summarizes the fees for professional services rendered by KPMG for the audit of our annual financial statements for the years ended December 31, 2024 and December 31, 2023 and fees billed for other services rendered by KPMG.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gridSpan w:val="2"/>
            <w:shd w:val="clear" w:color="auto" w:fill="CCEEFF"/>
          </w:tcPr>
          <w:p>
            <w:pPr>
              <w:jc w:val="right"/>
              <w:ind w:right="1206"/>
              <w:spacing w:after="0"/>
              <w:rPr>
                <w:sz w:val="20"/>
                <w:szCs w:val="20"/>
                <w:color w:val="auto"/>
              </w:rPr>
            </w:pPr>
            <w:r>
              <w:rPr>
                <w:rFonts w:ascii="Arial" w:cs="Arial" w:eastAsia="Arial" w:hAnsi="Arial"/>
                <w:sz w:val="15"/>
                <w:szCs w:val="15"/>
                <w:b w:val="1"/>
                <w:bCs w:val="1"/>
                <w:color w:val="auto"/>
              </w:rPr>
              <w:t>Year Ended</w:t>
            </w:r>
          </w:p>
        </w:tc>
        <w:tc>
          <w:tcPr>
            <w:tcW w:w="1340" w:type="dxa"/>
            <w:vAlign w:val="bottom"/>
            <w:tcBorders>
              <w:bottom w:val="single" w:sz="8" w:color="auto"/>
            </w:tcBorders>
            <w:shd w:val="clear" w:color="auto" w:fill="CCEEFF"/>
          </w:tcPr>
          <w:p>
            <w:pPr>
              <w:spacing w:after="0"/>
              <w:rPr>
                <w:sz w:val="17"/>
                <w:szCs w:val="17"/>
                <w:color w:val="auto"/>
              </w:rPr>
            </w:pPr>
          </w:p>
        </w:tc>
      </w:tr>
      <w:tr>
        <w:trPr>
          <w:trHeight w:val="189"/>
        </w:trPr>
        <w:tc>
          <w:tcPr>
            <w:tcW w:w="5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jc w:val="right"/>
              <w:ind w:right="926"/>
              <w:spacing w:after="0"/>
              <w:rPr>
                <w:sz w:val="20"/>
                <w:szCs w:val="20"/>
                <w:color w:val="auto"/>
              </w:rPr>
            </w:pPr>
            <w:r>
              <w:rPr>
                <w:rFonts w:ascii="Arial" w:cs="Arial" w:eastAsia="Arial" w:hAnsi="Arial"/>
                <w:sz w:val="15"/>
                <w:szCs w:val="15"/>
                <w:b w:val="1"/>
                <w:bCs w:val="1"/>
                <w:color w:val="auto"/>
              </w:rPr>
              <w:t>December 31, 2024</w:t>
            </w:r>
          </w:p>
        </w:tc>
        <w:tc>
          <w:tcPr>
            <w:tcW w:w="2860" w:type="dxa"/>
            <w:vAlign w:val="bottom"/>
            <w:tcBorders>
              <w:bottom w:val="single" w:sz="8" w:color="auto"/>
            </w:tcBorders>
            <w:gridSpan w:val="2"/>
          </w:tcPr>
          <w:p>
            <w:pPr>
              <w:jc w:val="right"/>
              <w:ind w:right="766"/>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5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(in thousands)</w:t>
            </w:r>
          </w:p>
        </w:tc>
        <w:tc>
          <w:tcPr>
            <w:tcW w:w="1520" w:type="dxa"/>
            <w:vAlign w:val="bottom"/>
            <w:shd w:val="clear" w:color="auto" w:fill="CCEEFF"/>
          </w:tcPr>
          <w:p>
            <w:pPr>
              <w:jc w:val="right"/>
              <w:ind w:right="526"/>
              <w:spacing w:after="0"/>
              <w:rPr>
                <w:sz w:val="20"/>
                <w:szCs w:val="20"/>
                <w:color w:val="auto"/>
              </w:rPr>
            </w:pPr>
            <w:r>
              <w:rPr>
                <w:rFonts w:ascii="Arial" w:cs="Arial" w:eastAsia="Arial" w:hAnsi="Arial"/>
                <w:sz w:val="15"/>
                <w:szCs w:val="15"/>
                <w:b w:val="1"/>
                <w:bCs w:val="1"/>
                <w:color w:val="auto"/>
              </w:rPr>
              <w:t>% of total</w:t>
            </w:r>
          </w:p>
        </w:tc>
        <w:tc>
          <w:tcPr>
            <w:tcW w:w="152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(in thousands)</w:t>
            </w:r>
          </w:p>
        </w:tc>
        <w:tc>
          <w:tcPr>
            <w:tcW w:w="134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 of total</w:t>
            </w:r>
          </w:p>
        </w:tc>
      </w:tr>
      <w:tr>
        <w:trPr>
          <w:trHeight w:val="197"/>
        </w:trPr>
        <w:tc>
          <w:tcPr>
            <w:tcW w:w="5200" w:type="dxa"/>
            <w:vAlign w:val="bottom"/>
          </w:tcPr>
          <w:p>
            <w:pPr>
              <w:ind w:left="20"/>
              <w:spacing w:after="0" w:line="197" w:lineRule="exact"/>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3,647</w:t>
            </w:r>
          </w:p>
        </w:tc>
        <w:tc>
          <w:tcPr>
            <w:tcW w:w="1520" w:type="dxa"/>
            <w:vAlign w:val="bottom"/>
          </w:tcPr>
          <w:p>
            <w:pPr>
              <w:jc w:val="right"/>
              <w:spacing w:after="0"/>
              <w:rPr>
                <w:sz w:val="20"/>
                <w:szCs w:val="20"/>
                <w:color w:val="auto"/>
              </w:rPr>
            </w:pPr>
            <w:r>
              <w:rPr>
                <w:rFonts w:ascii="Arial" w:cs="Arial" w:eastAsia="Arial" w:hAnsi="Arial"/>
                <w:sz w:val="15"/>
                <w:szCs w:val="15"/>
                <w:color w:val="auto"/>
              </w:rPr>
              <w:t>44.1 % $</w:t>
            </w:r>
          </w:p>
        </w:tc>
        <w:tc>
          <w:tcPr>
            <w:tcW w:w="1520" w:type="dxa"/>
            <w:vAlign w:val="bottom"/>
          </w:tcPr>
          <w:p>
            <w:pPr>
              <w:jc w:val="right"/>
              <w:ind w:right="186"/>
              <w:spacing w:after="0"/>
              <w:rPr>
                <w:sz w:val="20"/>
                <w:szCs w:val="20"/>
                <w:color w:val="auto"/>
              </w:rPr>
            </w:pPr>
            <w:r>
              <w:rPr>
                <w:rFonts w:ascii="Arial" w:cs="Arial" w:eastAsia="Arial" w:hAnsi="Arial"/>
                <w:sz w:val="15"/>
                <w:szCs w:val="15"/>
                <w:color w:val="auto"/>
              </w:rPr>
              <w:t>3,818</w:t>
            </w:r>
          </w:p>
        </w:tc>
        <w:tc>
          <w:tcPr>
            <w:tcW w:w="1340" w:type="dxa"/>
            <w:vAlign w:val="bottom"/>
          </w:tcPr>
          <w:p>
            <w:pPr>
              <w:jc w:val="right"/>
              <w:spacing w:after="0"/>
              <w:rPr>
                <w:sz w:val="20"/>
                <w:szCs w:val="20"/>
                <w:color w:val="auto"/>
              </w:rPr>
            </w:pPr>
            <w:r>
              <w:rPr>
                <w:rFonts w:ascii="Arial" w:cs="Arial" w:eastAsia="Arial" w:hAnsi="Arial"/>
                <w:sz w:val="15"/>
                <w:szCs w:val="15"/>
                <w:color w:val="auto"/>
              </w:rPr>
              <w:t>63.7 %</w:t>
            </w:r>
          </w:p>
        </w:tc>
      </w:tr>
      <w:tr>
        <w:trPr>
          <w:trHeight w:val="197"/>
        </w:trPr>
        <w:tc>
          <w:tcPr>
            <w:tcW w:w="5200" w:type="dxa"/>
            <w:vAlign w:val="bottom"/>
            <w:shd w:val="clear" w:color="auto" w:fill="CCEEFF"/>
          </w:tcPr>
          <w:p>
            <w:pPr>
              <w:ind w:left="20"/>
              <w:spacing w:after="0" w:line="197" w:lineRule="exact"/>
              <w:rPr>
                <w:sz w:val="20"/>
                <w:szCs w:val="20"/>
                <w:color w:val="auto"/>
              </w:rPr>
            </w:pPr>
            <w:r>
              <w:rPr>
                <w:rFonts w:ascii="Arial" w:cs="Arial" w:eastAsia="Arial" w:hAnsi="Arial"/>
                <w:sz w:val="15"/>
                <w:szCs w:val="15"/>
                <w:color w:val="auto"/>
              </w:rPr>
              <w:t>Audit related fees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517</w:t>
            </w:r>
          </w:p>
        </w:tc>
        <w:tc>
          <w:tcPr>
            <w:tcW w:w="15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6.3 %</w:t>
            </w: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Tax compliance and the preparation of tax returns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756</w:t>
            </w:r>
          </w:p>
        </w:tc>
        <w:tc>
          <w:tcPr>
            <w:tcW w:w="15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9.1 %</w:t>
            </w:r>
          </w:p>
        </w:tc>
        <w:tc>
          <w:tcPr>
            <w:tcW w:w="15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931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15.5 %</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audit, audit related and tax compliance fees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4,920</w:t>
            </w:r>
          </w:p>
        </w:tc>
        <w:tc>
          <w:tcPr>
            <w:tcW w:w="15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59.5 %</w:t>
            </w: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4,849</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80.9 %</w:t>
            </w: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7"/>
        </w:trPr>
        <w:tc>
          <w:tcPr>
            <w:tcW w:w="5200" w:type="dxa"/>
            <w:vAlign w:val="bottom"/>
            <w:shd w:val="clear" w:color="auto" w:fill="CCEEFF"/>
          </w:tcPr>
          <w:p>
            <w:pPr>
              <w:ind w:left="20"/>
              <w:spacing w:after="0" w:line="197" w:lineRule="exact"/>
              <w:rPr>
                <w:sz w:val="20"/>
                <w:szCs w:val="20"/>
                <w:color w:val="auto"/>
              </w:rPr>
            </w:pPr>
            <w:r>
              <w:rPr>
                <w:rFonts w:ascii="Arial" w:cs="Arial" w:eastAsia="Arial" w:hAnsi="Arial"/>
                <w:sz w:val="15"/>
                <w:szCs w:val="15"/>
                <w:color w:val="auto"/>
              </w:rPr>
              <w:t>Other tax planning and consulting services</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2,114</w:t>
            </w:r>
          </w:p>
        </w:tc>
        <w:tc>
          <w:tcPr>
            <w:tcW w:w="15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25.6 %</w:t>
            </w: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249</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197"/>
        </w:trPr>
        <w:tc>
          <w:tcPr>
            <w:tcW w:w="5200" w:type="dxa"/>
            <w:vAlign w:val="bottom"/>
          </w:tcPr>
          <w:p>
            <w:pPr>
              <w:ind w:left="20"/>
              <w:spacing w:after="0" w:line="197" w:lineRule="exact"/>
              <w:rPr>
                <w:sz w:val="20"/>
                <w:szCs w:val="20"/>
                <w:color w:val="auto"/>
              </w:rPr>
            </w:pPr>
            <w:r>
              <w:rPr>
                <w:rFonts w:ascii="Arial" w:cs="Arial" w:eastAsia="Arial" w:hAnsi="Arial"/>
                <w:sz w:val="15"/>
                <w:szCs w:val="15"/>
                <w:color w:val="auto"/>
              </w:rPr>
              <w:t>Tax advice relating to integration of ICON and PRA</w:t>
            </w:r>
            <w:r>
              <w:rPr>
                <w:rFonts w:ascii="Arial" w:cs="Arial" w:eastAsia="Arial" w:hAnsi="Arial"/>
                <w:sz w:val="19"/>
                <w:szCs w:val="19"/>
                <w:color w:val="auto"/>
                <w:vertAlign w:val="superscript"/>
              </w:rPr>
              <w:t>4</w:t>
            </w:r>
          </w:p>
        </w:tc>
        <w:tc>
          <w:tcPr>
            <w:tcW w:w="160" w:type="dxa"/>
            <w:vAlign w:val="bottom"/>
          </w:tcPr>
          <w:p>
            <w:pPr>
              <w:spacing w:after="0"/>
              <w:rPr>
                <w:sz w:val="17"/>
                <w:szCs w:val="17"/>
                <w:color w:val="auto"/>
              </w:rPr>
            </w:pP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1,036</w:t>
            </w:r>
          </w:p>
        </w:tc>
        <w:tc>
          <w:tcPr>
            <w:tcW w:w="1520" w:type="dxa"/>
            <w:vAlign w:val="bottom"/>
          </w:tcPr>
          <w:p>
            <w:pPr>
              <w:jc w:val="right"/>
              <w:ind w:right="106"/>
              <w:spacing w:after="0"/>
              <w:rPr>
                <w:sz w:val="20"/>
                <w:szCs w:val="20"/>
                <w:color w:val="auto"/>
              </w:rPr>
            </w:pPr>
            <w:r>
              <w:rPr>
                <w:rFonts w:ascii="Arial" w:cs="Arial" w:eastAsia="Arial" w:hAnsi="Arial"/>
                <w:sz w:val="15"/>
                <w:szCs w:val="15"/>
                <w:color w:val="auto"/>
              </w:rPr>
              <w:t>12.5 %</w:t>
            </w:r>
          </w:p>
        </w:tc>
        <w:tc>
          <w:tcPr>
            <w:tcW w:w="1520" w:type="dxa"/>
            <w:vAlign w:val="bottom"/>
          </w:tcPr>
          <w:p>
            <w:pPr>
              <w:jc w:val="right"/>
              <w:ind w:right="186"/>
              <w:spacing w:after="0"/>
              <w:rPr>
                <w:sz w:val="20"/>
                <w:szCs w:val="20"/>
                <w:color w:val="auto"/>
              </w:rPr>
            </w:pPr>
            <w:r>
              <w:rPr>
                <w:rFonts w:ascii="Arial" w:cs="Arial" w:eastAsia="Arial" w:hAnsi="Arial"/>
                <w:sz w:val="15"/>
                <w:szCs w:val="15"/>
                <w:color w:val="auto"/>
              </w:rPr>
              <w:t>897</w:t>
            </w:r>
          </w:p>
        </w:tc>
        <w:tc>
          <w:tcPr>
            <w:tcW w:w="1340" w:type="dxa"/>
            <w:vAlign w:val="bottom"/>
          </w:tcPr>
          <w:p>
            <w:pPr>
              <w:jc w:val="right"/>
              <w:spacing w:after="0"/>
              <w:rPr>
                <w:sz w:val="20"/>
                <w:szCs w:val="20"/>
                <w:color w:val="auto"/>
              </w:rPr>
            </w:pPr>
            <w:r>
              <w:rPr>
                <w:rFonts w:ascii="Arial" w:cs="Arial" w:eastAsia="Arial" w:hAnsi="Arial"/>
                <w:sz w:val="15"/>
                <w:szCs w:val="15"/>
                <w:color w:val="auto"/>
              </w:rPr>
              <w:t>15.0 %</w:t>
            </w:r>
          </w:p>
        </w:tc>
      </w:tr>
      <w:tr>
        <w:trPr>
          <w:trHeight w:val="197"/>
        </w:trPr>
        <w:tc>
          <w:tcPr>
            <w:tcW w:w="5200" w:type="dxa"/>
            <w:vAlign w:val="bottom"/>
            <w:tcBorders>
              <w:bottom w:val="single" w:sz="8" w:color="auto"/>
            </w:tcBorders>
            <w:shd w:val="clear" w:color="auto" w:fill="CCEEFF"/>
          </w:tcPr>
          <w:p>
            <w:pPr>
              <w:ind w:left="20"/>
              <w:spacing w:after="0" w:line="197" w:lineRule="exact"/>
              <w:rPr>
                <w:sz w:val="20"/>
                <w:szCs w:val="20"/>
                <w:color w:val="auto"/>
              </w:rPr>
            </w:pPr>
            <w:r>
              <w:rPr>
                <w:rFonts w:ascii="Arial" w:cs="Arial" w:eastAsia="Arial" w:hAnsi="Arial"/>
                <w:sz w:val="15"/>
                <w:szCs w:val="15"/>
                <w:color w:val="auto"/>
              </w:rPr>
              <w:t>Other fees</w:t>
            </w:r>
            <w:r>
              <w:rPr>
                <w:rFonts w:ascii="Arial" w:cs="Arial" w:eastAsia="Arial" w:hAnsi="Arial"/>
                <w:sz w:val="19"/>
                <w:szCs w:val="19"/>
                <w:color w:val="auto"/>
                <w:vertAlign w:val="superscript"/>
              </w:rPr>
              <w:t>5</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193</w:t>
            </w:r>
          </w:p>
        </w:tc>
        <w:tc>
          <w:tcPr>
            <w:tcW w:w="15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2.4 %</w:t>
            </w:r>
          </w:p>
        </w:tc>
        <w:tc>
          <w:tcPr>
            <w:tcW w:w="15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non-audit service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3,343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40.5 % $</w:t>
            </w:r>
          </w:p>
        </w:tc>
        <w:tc>
          <w:tcPr>
            <w:tcW w:w="15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1,146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19.1 %</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8,263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100.0 % $</w:t>
            </w:r>
          </w:p>
        </w:tc>
        <w:tc>
          <w:tcPr>
            <w:tcW w:w="15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5,995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100.0 %</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Audit fees include annual audit and quarterly review fees for the Company and its subsidiaries and services provided in connection with statutory and regulatory filings.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5"/>
          <w:szCs w:val="15"/>
          <w:color w:val="auto"/>
        </w:rPr>
        <w:t>Audit related fees principally consist of fees for assurance and related services, such as financial due diligence services, fees for the audit of employee benefit plans and fees for pension reviews.</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5"/>
          <w:szCs w:val="15"/>
          <w:color w:val="auto"/>
        </w:rPr>
        <w:t>Other tax planning and consulting services represents services across a number of areas including in relation to the Group's financing facilities and other ad hoc tax advisory and planning.</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4</w:t>
      </w:r>
      <w:r>
        <w:rPr>
          <w:rFonts w:ascii="Arial" w:cs="Arial" w:eastAsia="Arial" w:hAnsi="Arial"/>
          <w:sz w:val="15"/>
          <w:szCs w:val="15"/>
          <w:color w:val="auto"/>
        </w:rPr>
        <w:t>Tax advice relating to the integration of ICON and PRA including integration of business activities and the elimination of legal entities.</w:t>
      </w:r>
    </w:p>
    <w:p>
      <w:pPr>
        <w:spacing w:after="0" w:line="155"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vertAlign w:val="superscript"/>
        </w:rPr>
        <w:t>5</w:t>
      </w:r>
      <w:r>
        <w:rPr>
          <w:rFonts w:ascii="Arial" w:cs="Arial" w:eastAsia="Arial" w:hAnsi="Arial"/>
          <w:sz w:val="15"/>
          <w:szCs w:val="15"/>
          <w:color w:val="auto"/>
        </w:rPr>
        <w:t>Other fees primarily consist of permissible services in relation to environment, social and governance reporting advice. There were no other fees billed to the company in the “other fees” category during the year ended December 31, 2023.</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pre-approves all audit and non-audit services provided to the Company by its auditors.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16D. Exemptions from the Listing Standards for Audit Committees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Item 16E. Purchases of Equity Securities by the Issuer and Affiliated Purchasers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February 20, 2024, the Company's Board of Directors authorized a new buyback program of up to $500.0 million of the outstanding ordinary shares of the Company. On October 22, 2024, the Company's Board of Directors authorized an additional buyback program of up to $250.0 million of the outstanding ordinary shares of the Company.</w:t>
      </w:r>
    </w:p>
    <w:p>
      <w:pPr>
        <w:spacing w:after="0" w:line="19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the year ended December 31, 2024, 2,179,699 ordinary shares were redeemed by the Company at an average price of $229.39 per share for a total consideration of $500.0 million.</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December 31, 2024, the Company had remaining authorization to repurchase up to $250.0 million of ordinary shares under the Repurchase Program.</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Average price paid per share</w:t>
            </w:r>
          </w:p>
        </w:tc>
        <w:tc>
          <w:tcPr>
            <w:tcW w:w="218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Total number</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48"/>
        </w:trPr>
        <w:tc>
          <w:tcPr>
            <w:tcW w:w="278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of shares purchased</w:t>
            </w:r>
          </w:p>
        </w:tc>
        <w:tc>
          <w:tcPr>
            <w:tcW w:w="21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46"/>
              <w:spacing w:after="0" w:line="148" w:lineRule="exact"/>
              <w:rPr>
                <w:sz w:val="20"/>
                <w:szCs w:val="20"/>
                <w:color w:val="auto"/>
              </w:rPr>
            </w:pPr>
            <w:r>
              <w:rPr>
                <w:rFonts w:ascii="Arial" w:cs="Arial" w:eastAsia="Arial" w:hAnsi="Arial"/>
                <w:sz w:val="15"/>
                <w:szCs w:val="15"/>
                <w:b w:val="1"/>
                <w:bCs w:val="1"/>
                <w:color w:val="auto"/>
              </w:rPr>
              <w:t>of shares purchased as part</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shares that may yet be</w:t>
            </w:r>
          </w:p>
        </w:tc>
      </w:tr>
      <w:tr>
        <w:trPr>
          <w:trHeight w:val="148"/>
        </w:trPr>
        <w:tc>
          <w:tcPr>
            <w:tcW w:w="2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46"/>
              <w:spacing w:after="0" w:line="148" w:lineRule="exact"/>
              <w:rPr>
                <w:sz w:val="20"/>
                <w:szCs w:val="20"/>
                <w:color w:val="auto"/>
              </w:rPr>
            </w:pPr>
            <w:r>
              <w:rPr>
                <w:rFonts w:ascii="Arial" w:cs="Arial" w:eastAsia="Arial" w:hAnsi="Arial"/>
                <w:sz w:val="15"/>
                <w:szCs w:val="15"/>
                <w:b w:val="1"/>
                <w:bCs w:val="1"/>
                <w:color w:val="auto"/>
              </w:rPr>
              <w:t>of publicly announced</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purchased under the program</w:t>
            </w:r>
          </w:p>
        </w:tc>
      </w:tr>
      <w:tr>
        <w:trPr>
          <w:trHeight w:val="197"/>
        </w:trPr>
        <w:tc>
          <w:tcPr>
            <w:tcW w:w="278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program</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88"/>
        </w:trPr>
        <w:tc>
          <w:tcPr>
            <w:tcW w:w="278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1900" w:type="dxa"/>
            <w:vAlign w:val="bottom"/>
          </w:tcPr>
          <w:p>
            <w:pPr>
              <w:jc w:val="right"/>
              <w:ind w:right="26"/>
              <w:spacing w:after="0"/>
              <w:rPr>
                <w:sz w:val="20"/>
                <w:szCs w:val="20"/>
                <w:color w:val="auto"/>
              </w:rPr>
            </w:pPr>
            <w:r>
              <w:rPr>
                <w:rFonts w:ascii="Arial" w:cs="Arial" w:eastAsia="Arial" w:hAnsi="Arial"/>
                <w:sz w:val="15"/>
                <w:szCs w:val="15"/>
                <w:color w:val="auto"/>
              </w:rPr>
              <w:t>337,070</w:t>
            </w:r>
          </w:p>
        </w:tc>
        <w:tc>
          <w:tcPr>
            <w:tcW w:w="2160" w:type="dxa"/>
            <w:vAlign w:val="bottom"/>
          </w:tcPr>
          <w:p>
            <w:pPr>
              <w:jc w:val="right"/>
              <w:ind w:right="46"/>
              <w:spacing w:after="0"/>
              <w:rPr>
                <w:sz w:val="20"/>
                <w:szCs w:val="20"/>
                <w:color w:val="auto"/>
              </w:rPr>
            </w:pPr>
            <w:r>
              <w:rPr>
                <w:rFonts w:ascii="Arial" w:cs="Arial" w:eastAsia="Arial" w:hAnsi="Arial"/>
                <w:sz w:val="15"/>
                <w:szCs w:val="15"/>
                <w:color w:val="auto"/>
              </w:rPr>
              <w:t>$296.67</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337,070</w:t>
            </w:r>
          </w:p>
        </w:tc>
        <w:tc>
          <w:tcPr>
            <w:tcW w:w="222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199"/>
        </w:trPr>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1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409,512</w:t>
            </w:r>
          </w:p>
        </w:tc>
        <w:tc>
          <w:tcPr>
            <w:tcW w:w="2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$228.57</w:t>
            </w:r>
          </w:p>
        </w:tc>
        <w:tc>
          <w:tcPr>
            <w:tcW w:w="21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409,512</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196"/>
        </w:trPr>
        <w:tc>
          <w:tcPr>
            <w:tcW w:w="278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1900" w:type="dxa"/>
            <w:vAlign w:val="bottom"/>
          </w:tcPr>
          <w:p>
            <w:pPr>
              <w:jc w:val="right"/>
              <w:ind w:right="26"/>
              <w:spacing w:after="0"/>
              <w:rPr>
                <w:sz w:val="20"/>
                <w:szCs w:val="20"/>
                <w:color w:val="auto"/>
              </w:rPr>
            </w:pPr>
            <w:r>
              <w:rPr>
                <w:rFonts w:ascii="Arial" w:cs="Arial" w:eastAsia="Arial" w:hAnsi="Arial"/>
                <w:sz w:val="15"/>
                <w:szCs w:val="15"/>
                <w:color w:val="auto"/>
              </w:rPr>
              <w:t>479,524</w:t>
            </w:r>
          </w:p>
        </w:tc>
        <w:tc>
          <w:tcPr>
            <w:tcW w:w="2160" w:type="dxa"/>
            <w:vAlign w:val="bottom"/>
          </w:tcPr>
          <w:p>
            <w:pPr>
              <w:jc w:val="right"/>
              <w:ind w:right="46"/>
              <w:spacing w:after="0"/>
              <w:rPr>
                <w:sz w:val="20"/>
                <w:szCs w:val="20"/>
                <w:color w:val="auto"/>
              </w:rPr>
            </w:pPr>
            <w:r>
              <w:rPr>
                <w:rFonts w:ascii="Arial" w:cs="Arial" w:eastAsia="Arial" w:hAnsi="Arial"/>
                <w:sz w:val="15"/>
                <w:szCs w:val="15"/>
                <w:color w:val="auto"/>
              </w:rPr>
              <w:t>$221.87</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479,524</w:t>
            </w:r>
          </w:p>
        </w:tc>
        <w:tc>
          <w:tcPr>
            <w:tcW w:w="222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197"/>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1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953,593</w:t>
            </w:r>
          </w:p>
        </w:tc>
        <w:tc>
          <w:tcPr>
            <w:tcW w:w="2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$209.73</w:t>
            </w:r>
          </w:p>
        </w:tc>
        <w:tc>
          <w:tcPr>
            <w:tcW w:w="2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953,593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89"/>
        </w:trPr>
        <w:tc>
          <w:tcPr>
            <w:tcW w:w="27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2,179,699</w:t>
            </w:r>
          </w:p>
        </w:tc>
        <w:tc>
          <w:tcPr>
            <w:tcW w:w="2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$229.39</w:t>
            </w:r>
          </w:p>
        </w:tc>
        <w:tc>
          <w:tcPr>
            <w:tcW w:w="21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2,179,699</w:t>
            </w:r>
          </w:p>
        </w:tc>
        <w:tc>
          <w:tcPr>
            <w:tcW w:w="2220" w:type="dxa"/>
            <w:vAlign w:val="bottom"/>
            <w:tcBorders>
              <w:bottom w:val="single" w:sz="8" w:color="auto"/>
            </w:tcBorders>
          </w:tcPr>
          <w:p>
            <w:pPr>
              <w:spacing w:after="0"/>
              <w:rPr>
                <w:sz w:val="16"/>
                <w:szCs w:val="16"/>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On February 18, 2025, the Company's Board of Directors authorized an additional buyback program of up to $750.0 million of the outstanding ordinary shares of the Company. Along with unutilized amounts under the previous authorizations, this permits the Company to repurchase up to $1 billion worth of ordinary shares.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 ordinary shares were redeemed by the Company during the year ended December 31, 2023.</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the year ended December 31, 2022, 420,530 ordinary shares were redeemed by the Company at an average price of $237.75 per share for a total consideration of $100.0 million.</w:t>
      </w:r>
    </w:p>
    <w:p>
      <w:pPr>
        <w:spacing w:after="0" w:line="19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 resolution was passed at the Company’s Annual General Meeting (“AGM”) on July 23, 2024, which renewed the authorization for the Directors to purchase (buyback) up to 10% of the outstanding shares in the Company. All ordinary shares that were repurchased under the buyback program were canceled in accordance with the constitution of the Company and the nominal value of these shares transferred to other undenominated capital as required by Irish Company law.</w:t>
      </w:r>
    </w:p>
    <w:p>
      <w:pPr>
        <w:spacing w:after="0" w:line="185"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16F. Changes in Registrant's Certifying Accountant</w:t>
      </w:r>
    </w:p>
    <w:p>
      <w:pPr>
        <w:spacing w:after="0" w:line="222"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While there has been no change yet in our certifying accountant, in 2023, the Audit Committee of the Company engaged in a competitive audit tender process for the position of statutory auditor. Based on the results of this process, the Audit Committee is recommending that Ernst &amp; Young be appointed as statutory auditors and independent registered public accounting firm to the Company in respect of the financial year ending December 31, 2025. Ernst &amp; Young's appointment will be subject to the passing of an ordinary resolution confirming the appointment at the Company's 2025 Annual General Meeting.</w:t>
      </w:r>
    </w:p>
    <w:p>
      <w:pPr>
        <w:spacing w:after="0" w:line="203"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KPMG, our current independent registered public accounting firm, who have audited the financial statements as presented in this Form 20-F are expected to resign shortly after the filing of our Form 20-F, other than for purposes of auditing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auto"/>
        </w:rPr>
        <w:t>financial statements as presented under local accounting standards for the year ending December 31, 2024, after which they will resign for all purposes.</w:t>
      </w:r>
    </w:p>
    <w:p>
      <w:pPr>
        <w:spacing w:after="0" w:line="210" w:lineRule="exact"/>
        <w:rPr>
          <w:sz w:val="20"/>
          <w:szCs w:val="20"/>
          <w:color w:val="auto"/>
        </w:rPr>
      </w:pPr>
    </w:p>
    <w:p>
      <w:pPr>
        <w:jc w:val="both"/>
        <w:ind w:firstLine="591"/>
        <w:spacing w:after="0" w:line="244" w:lineRule="auto"/>
        <w:rPr>
          <w:sz w:val="20"/>
          <w:szCs w:val="20"/>
          <w:color w:val="auto"/>
        </w:rPr>
      </w:pPr>
      <w:r>
        <w:rPr>
          <w:rFonts w:ascii="Arial" w:cs="Arial" w:eastAsia="Arial" w:hAnsi="Arial"/>
          <w:sz w:val="15"/>
          <w:szCs w:val="15"/>
          <w:color w:val="auto"/>
        </w:rPr>
        <w:t>During the two fiscal years ended December 31, 2024 and December 31, 2023 and any subsequent interim period there were: (1) no disagreements with KPMG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and (2) no reportable events as defined under Item 16F(a)(1)(v).</w:t>
      </w:r>
    </w:p>
    <w:p>
      <w:pPr>
        <w:spacing w:after="0" w:line="186"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audit reports of KPMG on the financial statements of the Company as of and for the years ended December 31, 2024 and December 31, 2023 did not contain any adverse opinion or disclaimer of opinion, nor were they qualified or modified as to uncertainty, audit scope or accounting principles.</w:t>
      </w:r>
    </w:p>
    <w:p>
      <w:pPr>
        <w:spacing w:after="0" w:line="16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requested that KPMG furnish it with a letter addressed to the SEC stating whether or not it agrees with the above statements. A copy of such letter, dated February 21, 2025 is filed as Exhibit 16.1 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16G. Corporate Governance</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Item 10 "Exemptions from Corporate Governance Listing Requirements under the NASDAQ Marketplace Rules".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16H. Mine Safety Disclosure</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16I. Disclosure Regarding Foreign Jurisdictions that Prevent Inspections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16J. Insider Trading Policies</w:t>
      </w:r>
    </w:p>
    <w:p>
      <w:pPr>
        <w:spacing w:after="0" w:line="234" w:lineRule="exact"/>
        <w:rPr>
          <w:sz w:val="20"/>
          <w:szCs w:val="20"/>
          <w:color w:val="auto"/>
        </w:rPr>
      </w:pPr>
    </w:p>
    <w:p>
      <w:pPr>
        <w:ind w:right="120" w:firstLine="591"/>
        <w:spacing w:after="0" w:line="254" w:lineRule="auto"/>
        <w:rPr>
          <w:sz w:val="20"/>
          <w:szCs w:val="20"/>
          <w:color w:val="auto"/>
        </w:rPr>
      </w:pPr>
      <w:r>
        <w:rPr>
          <w:rFonts w:ascii="Arial" w:cs="Arial" w:eastAsia="Arial" w:hAnsi="Arial"/>
          <w:sz w:val="15"/>
          <w:szCs w:val="15"/>
          <w:color w:val="auto"/>
        </w:rPr>
        <w:t>ICON has a Share Trading Policy (the “Share Trading Policy”), which, among other things, governs the purchase, sale and other dispositions of ICON's securities by our Directors, officers and employees. Our Share Trading Policy aims to promote compliance with applicable insider trading laws, rules and regulations, and the NASDAQ listing standards. A copy of our Share Trading Policy is filed as Exhibit 11.1 to this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16K. Cybersecurity</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 has a cybersecurity strategy and program designed to protect our information systems and data from an evolving cyber threat landscape. The cybersecurity program, overseen by the Chief Information Officer (CIO), has the support of executive leadership and the Board, and we have invested heavily in cybersecurity technologies to protect our environment.</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Chief Information Officer (CIO), who reports to the CEO, has oversight responsibility for the cybersecurity strategy and program and has over a decade experience leading cybersecurity oversight. The Vice President of Cyber &amp; Information Security reports to the CIO and is responsible for the delivery of the cyber and information security strategy. The Vice President of Cyber &amp; Information Security as well as the overall security team have many years’ experience and are all appropriately qualified. ICON’s cybersecurity processes are integrated into ICON’s overall risk management processes which are monitored by ICON’s executive leadership team and reported to the Board. The Chief Information Officer provides cybersecurity updates to the Board on a quarterly basis.</w:t>
      </w:r>
    </w:p>
    <w:p>
      <w:pPr>
        <w:spacing w:after="0" w:line="177"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ICON has an enterprise-wide assessment, performed twice annually by a third party, of the Company’s cyber risk management program against ISO 27001. We also conduct an annual independent maturity review with a third party which is based on the NIST cybersecurity framework. ICON also maintains the Cyber Essentials certification.</w:t>
      </w:r>
    </w:p>
    <w:p>
      <w:pPr>
        <w:spacing w:after="0" w:line="21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ICON has a dedicated Cybersecurity Operations Center that continuously monitors for threats and unauthorized access. The Cybersecurity Operations Center is staffed by appropriately qualified cyber and information security professionals. ICON has put in place controls and processes to inform and monitor the prevention, detection, mitigation, and remediation of cybersecurity incidents. These controls and procedures are designed to ensure prompt escalation of certain cybersecurity incidents so that decisions regarding public disclosure and reporting of such incidents can be made by executive management in a timely manner. The escalation processes are based on defined prioritization and severity assessment criteria.</w:t>
      </w:r>
    </w:p>
    <w:p>
      <w:pPr>
        <w:spacing w:after="0" w:line="207"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ICON partners with leading cybersecurity experts and organizations, leveraging third-party technology and expertise. ICON engages with these partners to monitor and maintain the performance and effectiveness of products and services that are deployed in ICON’s environment. We leverage the knowledge and expertise of external cybersecurity experts and vendors and employ an array of third-party tools to secure ICON’s information infrastructure and protect systems and information from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15"/>
          <w:szCs w:val="15"/>
          <w:color w:val="auto"/>
        </w:rPr>
        <w:t>unauthorized access.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w:t>
      </w:r>
    </w:p>
    <w:p>
      <w:pPr>
        <w:spacing w:after="0" w:line="19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has training in place for all employees and contingent workers on information security and privacy practices so that they understand their responsibilities with respect to data security and privacy. Annual training includes topics such as data protection and IT security essentials. We also annually host cyber crisis response simulations with management and other employees to practice rapid cyber incident response. We work with our customers, peers and other partners within the wider healthcare, pharmaceutical and biotech communities to continuously share and receive cyber threat intelligence through various avenues, such as the Health-ISAC.</w:t>
      </w:r>
    </w:p>
    <w:p>
      <w:pPr>
        <w:spacing w:after="0" w:line="191"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ICON has a Supplier Risk Management program which governs the use of approved suppliers within ICON. All suppliers must be on-boarded and approved for use in line with the Supplier Onboarding, Assessment and Management procedure. Security due diligence is conducted in line with industry good practice. As part of the onboarding assessment, the Information Security team uses an industry leading solution to risk profile of the supplier. This information is leveraged by the security team with the vendor during the assessment. In addition, we require our third-party providers to meet appropriate security requirements, controls and responsibilities and as applicable, we investigate security incidents that have impacted our third-party providers. We rely on the third-parties we use to implement security programs commensurate with their risk, and we cannot ensure in all circumstances that their efforts will be successful.</w:t>
      </w:r>
    </w:p>
    <w:p>
      <w:pPr>
        <w:spacing w:after="0" w:line="207"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During an acquisition process, we conduct security and privacy due diligence and risk assessments, implement policies, deliver employee training, and securely integrate IT systems.</w:t>
      </w:r>
    </w:p>
    <w:p>
      <w:pPr>
        <w:spacing w:after="0" w:line="180" w:lineRule="exact"/>
        <w:rPr>
          <w:sz w:val="20"/>
          <w:szCs w:val="20"/>
          <w:color w:val="auto"/>
        </w:rPr>
      </w:pPr>
    </w:p>
    <w:p>
      <w:pPr>
        <w:ind w:firstLine="591"/>
        <w:spacing w:after="0" w:line="286" w:lineRule="auto"/>
        <w:rPr>
          <w:sz w:val="20"/>
          <w:szCs w:val="20"/>
          <w:color w:val="auto"/>
        </w:rPr>
      </w:pPr>
      <w:r>
        <w:rPr>
          <w:rFonts w:ascii="Arial" w:cs="Arial" w:eastAsia="Arial" w:hAnsi="Arial"/>
          <w:sz w:val="15"/>
          <w:szCs w:val="15"/>
          <w:color w:val="auto"/>
        </w:rPr>
        <w:t xml:space="preserve">To date, no cyber-attacks have had a material impact on operations or financial reporting. For more information about the cybersecurity risks we face, please see Item </w:t>
      </w:r>
      <w:r>
        <w:rPr>
          <w:rFonts w:ascii="Arial" w:cs="Arial" w:eastAsia="Arial" w:hAnsi="Arial"/>
          <w:sz w:val="15"/>
          <w:szCs w:val="15"/>
          <w:i w:val="1"/>
          <w:iCs w:val="1"/>
          <w:color w:val="auto"/>
        </w:rPr>
        <w:t>3.D- Risk Factors</w:t>
      </w:r>
      <w:r>
        <w:rPr>
          <w:rFonts w:ascii="Arial" w:cs="Arial" w:eastAsia="Arial" w:hAnsi="Arial"/>
          <w:sz w:val="15"/>
          <w:szCs w:val="15"/>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17. </w:t>
      </w:r>
      <w:r>
        <w:rPr>
          <w:rFonts w:ascii="Arial" w:cs="Arial" w:eastAsia="Arial" w:hAnsi="Arial"/>
          <w:sz w:val="15"/>
          <w:szCs w:val="15"/>
          <w:b w:val="1"/>
          <w:bCs w:val="1"/>
          <w:i w:val="1"/>
          <w:iCs w:val="1"/>
          <w:color w:val="auto"/>
        </w:rPr>
        <w:t>Financial Statements.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Item 18.</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18</w:t>
      </w:r>
      <w:r>
        <w:rPr>
          <w:rFonts w:ascii="Arial" w:cs="Arial" w:eastAsia="Arial" w:hAnsi="Arial"/>
          <w:sz w:val="15"/>
          <w:szCs w:val="15"/>
          <w:b w:val="1"/>
          <w:bCs w:val="1"/>
          <w:i w:val="1"/>
          <w:iCs w:val="1"/>
          <w:color w:val="auto"/>
        </w:rPr>
        <w:t>. Financial Statements.</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following consolidated financial statements of ICON plc and its subsidiaries, and the independent registered public accounting firm's report thereon, are included in Part III, Item 18 of this Annual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Borders>
              <w:bottom w:val="single" w:sz="8" w:color="0000FF"/>
            </w:tcBorders>
            <w:gridSpan w:val="7"/>
          </w:tcPr>
          <w:p>
            <w:pPr>
              <w:spacing w:after="0" w:line="153" w:lineRule="exact"/>
              <w:rPr>
                <w:sz w:val="20"/>
                <w:szCs w:val="20"/>
                <w:color w:val="auto"/>
              </w:rPr>
            </w:pPr>
            <w:r>
              <w:rPr>
                <w:rFonts w:ascii="Arial" w:cs="Arial" w:eastAsia="Arial" w:hAnsi="Arial"/>
                <w:sz w:val="15"/>
                <w:szCs w:val="15"/>
                <w:color w:val="0000FF"/>
                <w:w w:val="98"/>
              </w:rPr>
              <w:t>Management's Report on Internal Control Over Financial Reporting</w:t>
            </w:r>
          </w:p>
        </w:tc>
        <w:tc>
          <w:tcPr>
            <w:tcW w:w="560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180" w:type="dxa"/>
            <w:vAlign w:val="bottom"/>
            <w:tcBorders>
              <w:bottom w:val="single" w:sz="8" w:color="0000FF"/>
            </w:tcBorders>
          </w:tcPr>
          <w:p>
            <w:pPr>
              <w:jc w:val="right"/>
              <w:spacing w:after="0" w:line="153" w:lineRule="exact"/>
              <w:rPr>
                <w:sz w:val="20"/>
                <w:szCs w:val="20"/>
                <w:color w:val="auto"/>
              </w:rPr>
            </w:pPr>
            <w:r>
              <w:rPr>
                <w:rFonts w:ascii="Arial" w:cs="Arial" w:eastAsia="Arial" w:hAnsi="Arial"/>
                <w:sz w:val="15"/>
                <w:szCs w:val="15"/>
                <w:color w:val="0000FF"/>
                <w:w w:val="95"/>
              </w:rPr>
              <w:t>98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980" w:type="dxa"/>
            <w:vAlign w:val="bottom"/>
            <w:gridSpan w:val="8"/>
            <w:shd w:val="clear" w:color="auto" w:fill="CCEEFF"/>
          </w:tcPr>
          <w:p>
            <w:pPr>
              <w:spacing w:after="0" w:line="169" w:lineRule="exact"/>
              <w:rPr>
                <w:sz w:val="20"/>
                <w:szCs w:val="20"/>
                <w:color w:val="auto"/>
              </w:rPr>
            </w:pPr>
            <w:r>
              <w:rPr>
                <w:rFonts w:ascii="Arial" w:cs="Arial" w:eastAsia="Arial" w:hAnsi="Arial"/>
                <w:sz w:val="15"/>
                <w:szCs w:val="15"/>
                <w:color w:val="0000FF"/>
              </w:rPr>
              <w:t>Reports of Independent Registered Public Accounting Firm</w:t>
            </w:r>
          </w:p>
        </w:tc>
        <w:tc>
          <w:tcPr>
            <w:tcW w:w="1060" w:type="dxa"/>
            <w:vAlign w:val="bottom"/>
            <w:gridSpan w:val="2"/>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0000FF"/>
                <w:w w:val="95"/>
              </w:rPr>
              <w:t>99</w:t>
            </w:r>
          </w:p>
        </w:tc>
        <w:tc>
          <w:tcPr>
            <w:tcW w:w="0" w:type="dxa"/>
            <w:vAlign w:val="bottom"/>
          </w:tcPr>
          <w:p>
            <w:pPr>
              <w:spacing w:after="0"/>
              <w:rPr>
                <w:sz w:val="1"/>
                <w:szCs w:val="1"/>
                <w:color w:val="auto"/>
              </w:rPr>
            </w:pPr>
          </w:p>
        </w:tc>
      </w:tr>
      <w:tr>
        <w:trPr>
          <w:trHeight w:val="145"/>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940" w:type="dxa"/>
            <w:vAlign w:val="bottom"/>
            <w:tcBorders>
              <w:top w:val="single" w:sz="8" w:color="0000FF"/>
              <w:bottom w:val="single" w:sz="8" w:color="CCEEFF"/>
            </w:tcBorders>
            <w:shd w:val="clear" w:color="auto" w:fill="CCEEFF"/>
          </w:tcPr>
          <w:p>
            <w:pPr>
              <w:spacing w:after="0"/>
              <w:rPr>
                <w:sz w:val="12"/>
                <w:szCs w:val="12"/>
                <w:color w:val="auto"/>
              </w:rPr>
            </w:pPr>
          </w:p>
        </w:tc>
        <w:tc>
          <w:tcPr>
            <w:tcW w:w="68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420" w:type="dxa"/>
            <w:vAlign w:val="bottom"/>
            <w:tcBorders>
              <w:top w:val="single" w:sz="8" w:color="0000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56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80" w:type="dxa"/>
            <w:vAlign w:val="bottom"/>
            <w:tcBorders>
              <w:top w:val="single" w:sz="8" w:color="CCEEFF"/>
              <w:bottom w:val="single" w:sz="8" w:color="0000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bottom w:val="single" w:sz="8" w:color="0000FF"/>
            </w:tcBorders>
          </w:tcPr>
          <w:p>
            <w:pPr>
              <w:spacing w:after="0" w:line="160" w:lineRule="exact"/>
              <w:rPr>
                <w:sz w:val="20"/>
                <w:szCs w:val="20"/>
                <w:color w:val="auto"/>
              </w:rPr>
            </w:pPr>
            <w:r>
              <w:rPr>
                <w:rFonts w:ascii="Arial" w:cs="Arial" w:eastAsia="Arial" w:hAnsi="Arial"/>
                <w:sz w:val="15"/>
                <w:szCs w:val="15"/>
                <w:color w:val="0000FF"/>
                <w:w w:val="97"/>
              </w:rPr>
              <w:t>Consolidated Balance Sheets</w:t>
            </w:r>
          </w:p>
        </w:tc>
        <w:tc>
          <w:tcPr>
            <w:tcW w:w="8040" w:type="dxa"/>
            <w:vAlign w:val="bottom"/>
            <w:gridSpan w:val="7"/>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bottom w:val="single" w:sz="8" w:color="0000FF"/>
            </w:tcBorders>
            <w:gridSpan w:val="2"/>
          </w:tcPr>
          <w:p>
            <w:pPr>
              <w:jc w:val="right"/>
              <w:spacing w:after="0" w:line="160" w:lineRule="exact"/>
              <w:rPr>
                <w:sz w:val="20"/>
                <w:szCs w:val="20"/>
                <w:color w:val="auto"/>
              </w:rPr>
            </w:pPr>
            <w:r>
              <w:rPr>
                <w:rFonts w:ascii="Arial" w:cs="Arial" w:eastAsia="Arial" w:hAnsi="Arial"/>
                <w:sz w:val="15"/>
                <w:szCs w:val="15"/>
                <w:color w:val="0000FF"/>
                <w:w w:val="95"/>
              </w:rPr>
              <w:t>102</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0000FF"/>
              <w:right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0000FF"/>
                <w:w w:val="98"/>
              </w:rPr>
              <w:t>Consolidated Statements of Operations</w:t>
            </w:r>
          </w:p>
        </w:tc>
        <w:tc>
          <w:tcPr>
            <w:tcW w:w="7360" w:type="dxa"/>
            <w:vAlign w:val="bottom"/>
            <w:tcBorders>
              <w:bottom w:val="single" w:sz="8" w:color="CCEEFF"/>
            </w:tcBorders>
            <w:gridSpan w:val="6"/>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0000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0000FF"/>
                <w:w w:val="95"/>
              </w:rPr>
              <w:t>103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bottom w:val="single" w:sz="8" w:color="0000FF"/>
            </w:tcBorders>
            <w:gridSpan w:val="5"/>
          </w:tcPr>
          <w:p>
            <w:pPr>
              <w:spacing w:after="0" w:line="160" w:lineRule="exact"/>
              <w:rPr>
                <w:sz w:val="20"/>
                <w:szCs w:val="20"/>
                <w:color w:val="auto"/>
              </w:rPr>
            </w:pPr>
            <w:r>
              <w:rPr>
                <w:rFonts w:ascii="Arial" w:cs="Arial" w:eastAsia="Arial" w:hAnsi="Arial"/>
                <w:sz w:val="15"/>
                <w:szCs w:val="15"/>
                <w:color w:val="0000FF"/>
                <w:w w:val="98"/>
              </w:rPr>
              <w:t>Consolidated Statements of Comprehensive Income</w:t>
            </w:r>
          </w:p>
        </w:tc>
        <w:tc>
          <w:tcPr>
            <w:tcW w:w="656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bottom w:val="single" w:sz="8" w:color="0000FF"/>
            </w:tcBorders>
            <w:gridSpan w:val="2"/>
          </w:tcPr>
          <w:p>
            <w:pPr>
              <w:jc w:val="right"/>
              <w:spacing w:after="0" w:line="160" w:lineRule="exact"/>
              <w:rPr>
                <w:sz w:val="20"/>
                <w:szCs w:val="20"/>
                <w:color w:val="auto"/>
              </w:rPr>
            </w:pPr>
            <w:r>
              <w:rPr>
                <w:rFonts w:ascii="Arial" w:cs="Arial" w:eastAsia="Arial" w:hAnsi="Arial"/>
                <w:sz w:val="15"/>
                <w:szCs w:val="15"/>
                <w:color w:val="0000FF"/>
                <w:w w:val="95"/>
              </w:rPr>
              <w:t>104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0000FF"/>
            </w:tcBorders>
            <w:gridSpan w:val="4"/>
            <w:shd w:val="clear" w:color="auto" w:fill="CCEEFF"/>
          </w:tcPr>
          <w:p>
            <w:pPr>
              <w:spacing w:after="0" w:line="169" w:lineRule="exact"/>
              <w:rPr>
                <w:sz w:val="20"/>
                <w:szCs w:val="20"/>
                <w:color w:val="auto"/>
              </w:rPr>
            </w:pPr>
            <w:r>
              <w:rPr>
                <w:rFonts w:ascii="Arial" w:cs="Arial" w:eastAsia="Arial" w:hAnsi="Arial"/>
                <w:sz w:val="15"/>
                <w:szCs w:val="15"/>
                <w:color w:val="0000FF"/>
                <w:w w:val="98"/>
              </w:rPr>
              <w:t>Consolidated Statements of Shareholders' Equity</w:t>
            </w:r>
          </w:p>
        </w:tc>
        <w:tc>
          <w:tcPr>
            <w:tcW w:w="6760" w:type="dxa"/>
            <w:vAlign w:val="bottom"/>
            <w:tcBorders>
              <w:bottom w:val="single" w:sz="8" w:color="CCEEFF"/>
            </w:tcBorders>
            <w:gridSpan w:val="4"/>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0000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0000FF"/>
                <w:w w:val="95"/>
              </w:rPr>
              <w:t>105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980" w:type="dxa"/>
            <w:vAlign w:val="bottom"/>
            <w:gridSpan w:val="8"/>
          </w:tcPr>
          <w:p>
            <w:pPr>
              <w:spacing w:after="0" w:line="160" w:lineRule="exact"/>
              <w:rPr>
                <w:sz w:val="20"/>
                <w:szCs w:val="20"/>
                <w:color w:val="auto"/>
              </w:rPr>
            </w:pPr>
            <w:r>
              <w:rPr>
                <w:rFonts w:ascii="Arial" w:cs="Arial" w:eastAsia="Arial" w:hAnsi="Arial"/>
                <w:sz w:val="15"/>
                <w:szCs w:val="15"/>
                <w:color w:val="0000FF"/>
              </w:rPr>
              <w:t>Consolidated Statements of Cash Flows</w:t>
            </w:r>
          </w:p>
        </w:tc>
        <w:tc>
          <w:tcPr>
            <w:tcW w:w="1240" w:type="dxa"/>
            <w:vAlign w:val="bottom"/>
            <w:gridSpan w:val="3"/>
          </w:tcPr>
          <w:p>
            <w:pPr>
              <w:jc w:val="right"/>
              <w:spacing w:after="0" w:line="160" w:lineRule="exact"/>
              <w:rPr>
                <w:sz w:val="20"/>
                <w:szCs w:val="20"/>
                <w:color w:val="auto"/>
              </w:rPr>
            </w:pPr>
            <w:r>
              <w:rPr>
                <w:rFonts w:ascii="Arial" w:cs="Arial" w:eastAsia="Arial" w:hAnsi="Arial"/>
                <w:sz w:val="15"/>
                <w:szCs w:val="15"/>
                <w:color w:val="0000FF"/>
              </w:rPr>
              <w:t>106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5"/>
                <w:szCs w:val="15"/>
                <w:color w:val="0000FF"/>
                <w:w w:val="97"/>
              </w:rPr>
              <w:t>Notes to the Consolidated Financial Statements</w:t>
            </w:r>
          </w:p>
        </w:tc>
        <w:tc>
          <w:tcPr>
            <w:tcW w:w="6860" w:type="dxa"/>
            <w:vAlign w:val="bottom"/>
            <w:tcBorders>
              <w:bottom w:val="single" w:sz="8" w:color="CCEEFF"/>
            </w:tcBorders>
            <w:gridSpan w:val="5"/>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0000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0000FF"/>
                <w:w w:val="95"/>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99" w:name="page100"/>
    <w:bookmarkEnd w:id="99"/>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defined in Rules 13a-15(f) and 15d-15(f) under the Securities Exchange Act of 1934.</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 xml:space="preserve">Management assessed the effectiveness of the Company's </w:t>
      </w:r>
      <w:r>
        <w:rPr>
          <w:rFonts w:ascii="Arial" w:cs="Arial" w:eastAsia="Arial" w:hAnsi="Arial"/>
          <w:sz w:val="15"/>
          <w:szCs w:val="15"/>
          <w:i w:val="1"/>
          <w:iCs w:val="1"/>
          <w:color w:val="auto"/>
        </w:rPr>
        <w:t>internal control over financial reporting</w:t>
      </w:r>
      <w:r>
        <w:rPr>
          <w:rFonts w:ascii="Arial" w:cs="Arial" w:eastAsia="Arial" w:hAnsi="Arial"/>
          <w:sz w:val="15"/>
          <w:szCs w:val="15"/>
          <w:color w:val="auto"/>
        </w:rPr>
        <w:t xml:space="preserve"> as of December 31, 2024. In making this assessment, we used the criteria set forth by the Committee of Sponsoring Organizations of the Treadway Commission (COSO)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Based upon the assessment performed, we determined that, as of December 31, 2024 the Company's internal control over financial reporting was effective. There have been no changes in the Company's internal control over financial reporting during 2024 that have materially affected, or are reasonably likely to affect materially, the Group's internal control over financial reporting.</w:t>
      </w:r>
    </w:p>
    <w:p>
      <w:pPr>
        <w:spacing w:after="0" w:line="189"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KPMG, an independent registered public accounting firm, has audited the consolidated financial statements of ICON plc and subsidiaries as of and for the year ended December 31, 2024, included herein, and has issued an audit report on the effectiveness of our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ICON plc:</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220" w:lineRule="exact"/>
        <w:rPr>
          <w:sz w:val="20"/>
          <w:szCs w:val="20"/>
          <w:color w:val="auto"/>
        </w:rPr>
      </w:pPr>
    </w:p>
    <w:p>
      <w:pPr>
        <w:jc w:val="both"/>
        <w:spacing w:after="0" w:line="182" w:lineRule="exact"/>
        <w:rPr>
          <w:sz w:val="20"/>
          <w:szCs w:val="20"/>
          <w:color w:val="auto"/>
        </w:rPr>
      </w:pPr>
      <w:r>
        <w:rPr>
          <w:rFonts w:ascii="Arial" w:cs="Arial" w:eastAsia="Arial" w:hAnsi="Arial"/>
          <w:sz w:val="15"/>
          <w:szCs w:val="15"/>
          <w:color w:val="auto"/>
        </w:rPr>
        <w:t>We have audited the accompanying consolidated balance sheets of ICON plc and subsidiaries (the Company) as of December 31, 2024 and 2023, the related consolidated statements of operations, comprehensive income, shareholders’ equity, and cash flows for each of the years in the three</w:t>
      </w:r>
      <w:r>
        <w:rPr>
          <w:rFonts w:ascii="MS PGothic" w:cs="MS PGothic" w:eastAsia="MS PGothic" w:hAnsi="MS PGothic"/>
          <w:sz w:val="15"/>
          <w:szCs w:val="15"/>
          <w:color w:val="auto"/>
        </w:rPr>
        <w:t>‑</w:t>
      </w:r>
      <w:r>
        <w:rPr>
          <w:rFonts w:ascii="Arial" w:cs="Arial" w:eastAsia="Arial" w:hAnsi="Arial"/>
          <w:sz w:val="15"/>
          <w:szCs w:val="15"/>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5"/>
          <w:szCs w:val="15"/>
          <w:color w:val="auto"/>
        </w:rPr>
        <w:t>‑</w:t>
      </w:r>
      <w:r>
        <w:rPr>
          <w:rFonts w:ascii="Arial" w:cs="Arial" w:eastAsia="Arial" w:hAnsi="Arial"/>
          <w:sz w:val="15"/>
          <w:szCs w:val="15"/>
          <w:color w:val="auto"/>
        </w:rPr>
        <w:t>year period ended December 31, 2024, in conformity with U.S. generally accepted accounting principles.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21, 2025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for Opinion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Audit Matter</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 for clinical trial service contracts.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discussed in Note 3 to the consolidated financial statements, the Company recognized revenue of US$8,281,676 thousand for the year ended December 31, 2024, a portion of which relates to clinical trial service revenue. As discussed in Note 2 to the consolidated financial statements, clinical trial service revenue is recognized over time, using an input measure, being total project costs (inclusive of third-party costs, principally pass-through/ reimbursable expenses) incurred at each reporting period as a percentage of forecasted total project costs, to measure progress towards satisfying the Company’s performance obligation. The transaction price is based on the contract or latest change order value, adjusted to reflect the estimated realizable contract value.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identified the evaluation of revenue recognition for clinical trial service revenue as a critical audit matter. Complex and subjective auditor judgment was required to evaluate the Company’s estimate of total forecast project costs and the estimated realizable contract values.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the primary procedures we performed to address this critical audit matter:</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evaluated the design and tested the operating effectiveness of certain internal controls related to the revenue process, including controls over total forecast project costs and estimated realizable contract values.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color w:val="auto"/>
        </w:rPr>
        <w:t>We tested the total forecast project costs and the realizable contract values for a selection of clinical trial service contracts, by evaluating:</w:t>
      </w:r>
    </w:p>
    <w:p>
      <w:pPr>
        <w:spacing w:after="0" w:line="222" w:lineRule="exact"/>
        <w:rPr>
          <w:sz w:val="20"/>
          <w:szCs w:val="20"/>
          <w:color w:val="auto"/>
        </w:rPr>
      </w:pPr>
    </w:p>
    <w:p>
      <w:pPr>
        <w:ind w:left="520" w:hanging="518"/>
        <w:spacing w:after="0" w:line="258" w:lineRule="auto"/>
        <w:rPr>
          <w:sz w:val="20"/>
          <w:szCs w:val="20"/>
          <w:color w:val="auto"/>
        </w:rPr>
      </w:pPr>
      <w:r>
        <w:rPr>
          <w:rFonts w:ascii="Arial" w:cs="Arial" w:eastAsia="Arial" w:hAnsi="Arial"/>
          <w:sz w:val="15"/>
          <w:szCs w:val="15"/>
          <w:color w:val="auto"/>
        </w:rPr>
        <w:t>–direct costs incurred, both during the year and cumulative over the life of the contracts. We tested the accuracy and completeness of the direct costs by comparing the amounts to source data</w:t>
      </w:r>
    </w:p>
    <w:p>
      <w:pPr>
        <w:ind w:left="520" w:hanging="518"/>
        <w:spacing w:after="0" w:line="248" w:lineRule="auto"/>
        <w:rPr>
          <w:sz w:val="20"/>
          <w:szCs w:val="20"/>
          <w:color w:val="auto"/>
        </w:rPr>
      </w:pPr>
      <w:r>
        <w:rPr>
          <w:rFonts w:ascii="Arial" w:cs="Arial" w:eastAsia="Arial" w:hAnsi="Arial"/>
          <w:sz w:val="15"/>
          <w:szCs w:val="15"/>
          <w:color w:val="auto"/>
        </w:rPr>
        <w:t>–third-party costs incurred, both during the year and cumulative over the life of the contracts. We tested the accuracy and completeness of the third-party costs incurred by comparing the costs to invoices received</w:t>
      </w:r>
    </w:p>
    <w:p>
      <w:pPr>
        <w:ind w:left="520" w:hanging="518"/>
        <w:spacing w:after="0" w:line="245" w:lineRule="auto"/>
        <w:rPr>
          <w:sz w:val="20"/>
          <w:szCs w:val="20"/>
          <w:color w:val="auto"/>
        </w:rPr>
      </w:pPr>
      <w:r>
        <w:rPr>
          <w:rFonts w:ascii="Arial" w:cs="Arial" w:eastAsia="Arial" w:hAnsi="Arial"/>
          <w:sz w:val="15"/>
          <w:szCs w:val="15"/>
          <w:color w:val="auto"/>
        </w:rPr>
        <w:t>–findings from interviews with operational personnel of the Company to assess progress to date, the estimate of remaining costs to be incurred and factors impacting the amount of time and costs to complete the selected contracts, including an understanding of the nature and complexity of the work to be performed</w:t>
      </w:r>
    </w:p>
    <w:p>
      <w:pPr>
        <w:ind w:left="520" w:hanging="518"/>
        <w:spacing w:after="0" w:line="248" w:lineRule="auto"/>
        <w:rPr>
          <w:sz w:val="20"/>
          <w:szCs w:val="20"/>
          <w:color w:val="auto"/>
        </w:rPr>
      </w:pPr>
      <w:r>
        <w:rPr>
          <w:rFonts w:ascii="Arial" w:cs="Arial" w:eastAsia="Arial" w:hAnsi="Arial"/>
          <w:sz w:val="15"/>
          <w:szCs w:val="15"/>
          <w:color w:val="auto"/>
        </w:rPr>
        <w:t>–correspondence of amendments to the scope or contract value, if any, between the Company and the customer for the selected contracts as part of our evaluation of contract progress</w:t>
      </w:r>
    </w:p>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quarterly movements in forecast project costs and project margins and investigating the reasons for those movements, and</w:t>
      </w:r>
    </w:p>
    <w:p>
      <w:pPr>
        <w:spacing w:after="0" w:line="5" w:lineRule="exact"/>
        <w:rPr>
          <w:sz w:val="20"/>
          <w:szCs w:val="20"/>
          <w:color w:val="auto"/>
        </w:rPr>
      </w:pPr>
    </w:p>
    <w:p>
      <w:pPr>
        <w:ind w:left="520" w:hanging="518"/>
        <w:spacing w:after="0" w:line="250" w:lineRule="auto"/>
        <w:rPr>
          <w:sz w:val="20"/>
          <w:szCs w:val="20"/>
          <w:color w:val="auto"/>
        </w:rPr>
      </w:pPr>
      <w:r>
        <w:rPr>
          <w:rFonts w:ascii="Arial" w:cs="Arial" w:eastAsia="Arial" w:hAnsi="Arial"/>
          <w:sz w:val="15"/>
          <w:szCs w:val="15"/>
          <w:color w:val="auto"/>
        </w:rPr>
        <w:t>–the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We also evaluated the Company’s methods, assumptions and data used to accurately estimate total forecast project costs and realizable contract values, by comparing historical estimates developed at contract inception to actual results for a selection of clinical trial service contracts.</w:t>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(signed) KPMG</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1990.</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2025</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64770</wp:posOffset>
            </wp:positionV>
            <wp:extent cx="716978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102" w:name="page103"/>
    <w:bookmarkEnd w:id="102"/>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ICON plc:</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Opinion on Internal Control Over Financial Reporting</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have audited ICON plc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shareholders’ equity, and cash flows for each of the years in the three-year period ended December 31, 2024, and the related notes (collectively, the consolidated financial statements), and our report dated February 21, 2025,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for Opinion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PCAOB.</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Definition and Limitations of Internal Control Over Financial Reporting</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(signed) KPMG</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5"/>
          <w:szCs w:val="15"/>
          <w:b w:val="1"/>
          <w:bCs w:val="1"/>
          <w:color w:val="auto"/>
        </w:rPr>
        <w:t>ICON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36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b w:val="1"/>
                <w:bCs w:val="1"/>
                <w:color w:val="auto"/>
              </w:rPr>
              <w:t>December 31,</w:t>
            </w:r>
          </w:p>
        </w:tc>
        <w:tc>
          <w:tcPr>
            <w:tcW w:w="6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880" w:type="dxa"/>
            <w:vAlign w:val="bottom"/>
          </w:tcPr>
          <w:p>
            <w:pPr>
              <w:spacing w:after="0"/>
              <w:rPr>
                <w:sz w:val="16"/>
                <w:szCs w:val="16"/>
                <w:color w:val="auto"/>
              </w:rPr>
            </w:pPr>
          </w:p>
        </w:tc>
        <w:tc>
          <w:tcPr>
            <w:tcW w:w="192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Cash and cash equivalents</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538,785</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378,102</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Available for sale investments (Note 8)</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 (Note 4)</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1,401,989</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1,790,322</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Unbilled revenue (Note 4)</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1,286,274</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951,936</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79,487</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65,797</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Prepayments and other current assets</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140,435</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132,105</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taxes receivable</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83,523</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91,254</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18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3,530,493</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3,411,470</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Property, plant and equipment, net (Note 9)</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382,879</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361,184</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Goodwill (Note 10)</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9,051,410</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9,022,075</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Intangible assets, net (Note 11)</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3,559,792</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3,855,865</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right-of-use assets (Note 15)</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147,602</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140,333</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72,796</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78,470</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asset (Note 20)</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74,758</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73,662</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Investments in equity (Note 8)</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57,948</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46,804</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8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16,877,678</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16,989,863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8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173,025</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131,584</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Unearned revenue (Note 4)</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1,614,758</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1,654,507</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liabilities (Note 12)</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923,603</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915,399</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Income taxes payable</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55,258</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13,968</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Current bank credit lines, loan facilities and notes (Note 13)</w:t>
            </w:r>
          </w:p>
        </w:tc>
        <w:tc>
          <w:tcPr>
            <w:tcW w:w="18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110,150</w:t>
            </w:r>
          </w:p>
        </w:tc>
        <w:tc>
          <w:tcPr>
            <w:tcW w:w="0" w:type="dxa"/>
            <w:vAlign w:val="bottom"/>
          </w:tcPr>
          <w:p>
            <w:pPr>
              <w:spacing w:after="0"/>
              <w:rPr>
                <w:sz w:val="1"/>
                <w:szCs w:val="1"/>
                <w:color w:val="auto"/>
              </w:rPr>
            </w:pPr>
          </w:p>
        </w:tc>
      </w:tr>
      <w:tr>
        <w:trPr>
          <w:trHeight w:val="189"/>
        </w:trPr>
        <w:tc>
          <w:tcPr>
            <w:tcW w:w="636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2,796,406</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2,825,608</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1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bank credit lines, loan facilities and notes, net (Note 13)</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3,396,398</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3,665,439</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Lease liabilities (Note 15)</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140,085</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126,321</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other liabilities (Note 16)</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83,470</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45,998</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Non-current income taxes payable</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125,834</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186,654</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liability (Note 20)</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812,486</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899,100</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Commitments and contingencies (Note 17)</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18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7,354,679</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7,749,120</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 Equity:</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20"/>
              <w:spacing w:after="0" w:line="148" w:lineRule="exact"/>
              <w:rPr>
                <w:sz w:val="20"/>
                <w:szCs w:val="20"/>
                <w:color w:val="auto"/>
              </w:rPr>
            </w:pPr>
            <w:r>
              <w:rPr>
                <w:rFonts w:ascii="Arial" w:cs="Arial" w:eastAsia="Arial" w:hAnsi="Arial"/>
                <w:sz w:val="15"/>
                <w:szCs w:val="15"/>
                <w:color w:val="auto"/>
              </w:rPr>
              <w:t>Ordinary shares, par value 6 euro cents per share;</w:t>
            </w:r>
          </w:p>
        </w:tc>
        <w:tc>
          <w:tcPr>
            <w:tcW w:w="1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60" w:type="dxa"/>
            <w:vAlign w:val="bottom"/>
          </w:tcPr>
          <w:p>
            <w:pPr>
              <w:ind w:left="320"/>
              <w:spacing w:after="0"/>
              <w:rPr>
                <w:sz w:val="20"/>
                <w:szCs w:val="20"/>
                <w:color w:val="auto"/>
              </w:rPr>
            </w:pPr>
            <w:r>
              <w:rPr>
                <w:rFonts w:ascii="Arial" w:cs="Arial" w:eastAsia="Arial" w:hAnsi="Arial"/>
                <w:sz w:val="15"/>
                <w:szCs w:val="15"/>
                <w:color w:val="auto"/>
              </w:rPr>
              <w:t>100,000,000 shares authorized (Note 18),</w:t>
            </w:r>
          </w:p>
        </w:tc>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360" w:type="dxa"/>
            <w:vAlign w:val="bottom"/>
            <w:shd w:val="clear" w:color="auto" w:fill="CCEEFF"/>
          </w:tcPr>
          <w:p>
            <w:pPr>
              <w:ind w:left="320"/>
              <w:spacing w:after="0" w:line="150" w:lineRule="exact"/>
              <w:rPr>
                <w:sz w:val="20"/>
                <w:szCs w:val="20"/>
                <w:color w:val="auto"/>
              </w:rPr>
            </w:pPr>
            <w:r>
              <w:rPr>
                <w:rFonts w:ascii="Arial" w:cs="Arial" w:eastAsia="Arial" w:hAnsi="Arial"/>
                <w:sz w:val="15"/>
                <w:szCs w:val="15"/>
                <w:color w:val="auto"/>
              </w:rPr>
              <w:t>80,756,860 shares issued and outstanding at December 31, 2024 and</w:t>
            </w:r>
          </w:p>
        </w:tc>
        <w:tc>
          <w:tcPr>
            <w:tcW w:w="18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6,586</w:t>
            </w:r>
          </w:p>
        </w:tc>
        <w:tc>
          <w:tcPr>
            <w:tcW w:w="6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6,699</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82,495,086 shares issued and outstanding at December 31, 2023.</w:t>
            </w:r>
          </w:p>
        </w:tc>
        <w:tc>
          <w:tcPr>
            <w:tcW w:w="18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7,020,231</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6,942,669</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undenominated capital (Note 18b)</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c>
          <w:tcPr>
            <w:tcW w:w="0" w:type="dxa"/>
            <w:vAlign w:val="bottom"/>
          </w:tcPr>
          <w:p>
            <w:pPr>
              <w:spacing w:after="0"/>
              <w:rPr>
                <w:sz w:val="1"/>
                <w:szCs w:val="1"/>
                <w:color w:val="auto"/>
              </w:rPr>
            </w:pPr>
          </w:p>
        </w:tc>
      </w:tr>
      <w:tr>
        <w:trPr>
          <w:trHeight w:val="196"/>
        </w:trPr>
        <w:tc>
          <w:tcPr>
            <w:tcW w:w="6360" w:type="dxa"/>
            <w:vAlign w:val="bottom"/>
          </w:tcPr>
          <w:p>
            <w:pPr>
              <w:ind w:left="320"/>
              <w:spacing w:after="0"/>
              <w:rPr>
                <w:sz w:val="20"/>
                <w:szCs w:val="20"/>
                <w:color w:val="auto"/>
              </w:rPr>
            </w:pPr>
            <w:r>
              <w:rPr>
                <w:rFonts w:ascii="Arial" w:cs="Arial" w:eastAsia="Arial" w:hAnsi="Arial"/>
                <w:sz w:val="15"/>
                <w:szCs w:val="15"/>
                <w:color w:val="auto"/>
              </w:rPr>
              <w:t>Accumulated other comprehensive loss (Note 24)</w:t>
            </w:r>
          </w:p>
        </w:tc>
        <w:tc>
          <w:tcPr>
            <w:tcW w:w="1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(229,929)</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(143,506)</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18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2,724,807</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2,433,719</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Total Shareholders' Equity</w:t>
            </w:r>
          </w:p>
        </w:tc>
        <w:tc>
          <w:tcPr>
            <w:tcW w:w="18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9,522,999</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9,240,743</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18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16,877,678</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16,989,863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5"/>
          <w:szCs w:val="15"/>
          <w:b w:val="1"/>
          <w:bCs w:val="1"/>
          <w:color w:val="auto"/>
        </w:rPr>
        <w:t>ICON plc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3780" w:type="dxa"/>
            <w:vAlign w:val="bottom"/>
            <w:tcBorders>
              <w:top w:val="single" w:sz="8" w:color="auto"/>
              <w:bottom w:val="single" w:sz="8" w:color="auto"/>
            </w:tcBorders>
            <w:gridSpan w:val="4"/>
            <w:shd w:val="clear" w:color="auto" w:fill="CCEEFF"/>
          </w:tcPr>
          <w:p>
            <w:pPr>
              <w:jc w:val="right"/>
              <w:ind w:right="746"/>
              <w:spacing w:after="0"/>
              <w:rPr>
                <w:sz w:val="20"/>
                <w:szCs w:val="20"/>
                <w:color w:val="auto"/>
              </w:rPr>
            </w:pPr>
            <w:r>
              <w:rPr>
                <w:rFonts w:ascii="Arial" w:cs="Arial" w:eastAsia="Arial" w:hAnsi="Arial"/>
                <w:sz w:val="15"/>
                <w:szCs w:val="15"/>
                <w:b w:val="1"/>
                <w:bCs w:val="1"/>
                <w:color w:val="auto"/>
              </w:rPr>
              <w:t>Year ended December 31,</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9"/>
        </w:trPr>
        <w:tc>
          <w:tcPr>
            <w:tcW w:w="5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5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78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 except share and per share data)</w:t>
            </w:r>
          </w:p>
        </w:tc>
        <w:tc>
          <w:tcPr>
            <w:tcW w:w="840" w:type="dxa"/>
            <w:vAlign w:val="bottom"/>
            <w:shd w:val="clear" w:color="auto" w:fill="CCEEFF"/>
          </w:tcPr>
          <w:p>
            <w:pPr>
              <w:spacing w:after="0"/>
              <w:rPr>
                <w:sz w:val="16"/>
                <w:szCs w:val="16"/>
                <w:color w:val="auto"/>
              </w:rPr>
            </w:pPr>
          </w:p>
        </w:tc>
      </w:tr>
      <w:tr>
        <w:trPr>
          <w:trHeight w:val="197"/>
        </w:trPr>
        <w:tc>
          <w:tcPr>
            <w:tcW w:w="5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3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8,281,676</w:t>
            </w:r>
          </w:p>
        </w:tc>
        <w:tc>
          <w:tcPr>
            <w:tcW w:w="4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8,120,176</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7,741,386</w:t>
            </w:r>
          </w:p>
        </w:tc>
      </w:tr>
      <w:tr>
        <w:trPr>
          <w:trHeight w:val="246"/>
        </w:trPr>
        <w:tc>
          <w:tcPr>
            <w:tcW w:w="5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530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130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5,845,319</w:t>
            </w:r>
          </w:p>
        </w:tc>
        <w:tc>
          <w:tcPr>
            <w:tcW w:w="4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5,719,949</w:t>
            </w:r>
          </w:p>
        </w:tc>
        <w:tc>
          <w:tcPr>
            <w:tcW w:w="8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5,527,045</w:t>
            </w:r>
          </w:p>
        </w:tc>
      </w:tr>
      <w:tr>
        <w:trPr>
          <w:trHeight w:val="199"/>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728,348</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768,559</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778,753</w:t>
            </w:r>
          </w:p>
        </w:tc>
      </w:tr>
      <w:tr>
        <w:trPr>
          <w:trHeight w:val="196"/>
        </w:trPr>
        <w:tc>
          <w:tcPr>
            <w:tcW w:w="530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30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488,500</w:t>
            </w:r>
          </w:p>
        </w:tc>
        <w:tc>
          <w:tcPr>
            <w:tcW w:w="4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585,950</w:t>
            </w:r>
          </w:p>
        </w:tc>
        <w:tc>
          <w:tcPr>
            <w:tcW w:w="8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569,513</w:t>
            </w:r>
          </w:p>
        </w:tc>
      </w:tr>
      <w:tr>
        <w:trPr>
          <w:trHeight w:val="199"/>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and integration related (Note 6)</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29,574</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44,176</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39,695</w:t>
            </w:r>
          </w:p>
        </w:tc>
      </w:tr>
      <w:tr>
        <w:trPr>
          <w:trHeight w:val="196"/>
        </w:trPr>
        <w:tc>
          <w:tcPr>
            <w:tcW w:w="53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Restructuring (Note 19)</w:t>
            </w:r>
          </w:p>
        </w:tc>
        <w:tc>
          <w:tcPr>
            <w:tcW w:w="1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92,123</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45,390</w:t>
            </w: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31,143</w:t>
            </w:r>
          </w:p>
        </w:tc>
      </w:tr>
      <w:tr>
        <w:trPr>
          <w:trHeight w:val="189"/>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costs and expenses</w:t>
            </w:r>
          </w:p>
        </w:tc>
        <w:tc>
          <w:tcPr>
            <w:tcW w:w="1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7,183,864</w:t>
            </w:r>
          </w:p>
        </w:tc>
        <w:tc>
          <w:tcPr>
            <w:tcW w:w="4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7,164,024</w:t>
            </w:r>
          </w:p>
        </w:tc>
        <w:tc>
          <w:tcPr>
            <w:tcW w:w="8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6,946,149</w:t>
            </w:r>
          </w:p>
        </w:tc>
      </w:tr>
      <w:tr>
        <w:trPr>
          <w:trHeight w:val="228"/>
        </w:trPr>
        <w:tc>
          <w:tcPr>
            <w:tcW w:w="5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1,097,812</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956,152</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795,237</w:t>
            </w:r>
          </w:p>
        </w:tc>
      </w:tr>
      <w:tr>
        <w:trPr>
          <w:trHeight w:val="196"/>
        </w:trPr>
        <w:tc>
          <w:tcPr>
            <w:tcW w:w="530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130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8,609</w:t>
            </w:r>
          </w:p>
        </w:tc>
        <w:tc>
          <w:tcPr>
            <w:tcW w:w="4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5,014</w:t>
            </w:r>
          </w:p>
        </w:tc>
        <w:tc>
          <w:tcPr>
            <w:tcW w:w="8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2,345</w:t>
            </w:r>
          </w:p>
        </w:tc>
      </w:tr>
      <w:tr>
        <w:trPr>
          <w:trHeight w:val="197"/>
        </w:trPr>
        <w:tc>
          <w:tcPr>
            <w:tcW w:w="53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Interest expense (Note 13)</w:t>
            </w:r>
          </w:p>
        </w:tc>
        <w:tc>
          <w:tcPr>
            <w:tcW w:w="1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4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c>
          <w:tcPr>
            <w:tcW w:w="8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(229,731)</w:t>
            </w:r>
          </w:p>
        </w:tc>
      </w:tr>
      <w:tr>
        <w:trPr>
          <w:trHeight w:val="228"/>
        </w:trPr>
        <w:tc>
          <w:tcPr>
            <w:tcW w:w="5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 expense</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869,184</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624,467</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567,851</w:t>
            </w:r>
          </w:p>
        </w:tc>
      </w:tr>
      <w:tr>
        <w:trPr>
          <w:trHeight w:val="196"/>
        </w:trPr>
        <w:tc>
          <w:tcPr>
            <w:tcW w:w="53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 expense (Note 20)</w:t>
            </w:r>
          </w:p>
        </w:tc>
        <w:tc>
          <w:tcPr>
            <w:tcW w:w="1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(77,710)</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(11,749)</w:t>
            </w: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(59,411)</w:t>
            </w:r>
          </w:p>
        </w:tc>
      </w:tr>
      <w:tr>
        <w:trPr>
          <w:trHeight w:val="228"/>
        </w:trPr>
        <w:tc>
          <w:tcPr>
            <w:tcW w:w="5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5"/>
                <w:szCs w:val="15"/>
                <w:color w:val="auto"/>
              </w:rPr>
              <w:t>Income before share of losses from equity method investments</w:t>
            </w:r>
          </w:p>
        </w:tc>
        <w:tc>
          <w:tcPr>
            <w:tcW w:w="130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791,474</w:t>
            </w:r>
          </w:p>
        </w:tc>
        <w:tc>
          <w:tcPr>
            <w:tcW w:w="4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612,718</w:t>
            </w:r>
          </w:p>
        </w:tc>
        <w:tc>
          <w:tcPr>
            <w:tcW w:w="8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508,440</w:t>
            </w:r>
          </w:p>
        </w:tc>
      </w:tr>
      <w:tr>
        <w:trPr>
          <w:trHeight w:val="197"/>
        </w:trPr>
        <w:tc>
          <w:tcPr>
            <w:tcW w:w="53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Share of losses from equity method investments</w:t>
            </w:r>
          </w:p>
        </w:tc>
        <w:tc>
          <w:tcPr>
            <w:tcW w:w="1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8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(3,136)</w:t>
            </w:r>
          </w:p>
        </w:tc>
      </w:tr>
      <w:tr>
        <w:trPr>
          <w:trHeight w:val="18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13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791,474</w:t>
            </w: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612,335</w:t>
            </w:r>
          </w:p>
        </w:tc>
        <w:tc>
          <w:tcPr>
            <w:tcW w:w="86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505,304</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0"/>
        </w:trPr>
        <w:tc>
          <w:tcPr>
            <w:tcW w:w="5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5"/>
                <w:szCs w:val="15"/>
                <w:color w:val="auto"/>
              </w:rPr>
              <w:t>Net income per ordinary share (Note 23):</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5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5"/>
                <w:szCs w:val="15"/>
                <w:color w:val="auto"/>
              </w:rPr>
              <w:t>Basic</w:t>
            </w:r>
          </w:p>
        </w:tc>
        <w:tc>
          <w:tcPr>
            <w:tcW w:w="13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9.60</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7.46</w:t>
            </w:r>
          </w:p>
        </w:tc>
        <w:tc>
          <w:tcPr>
            <w:tcW w:w="860" w:type="dxa"/>
            <w:vAlign w:val="bottom"/>
          </w:tcPr>
          <w:p>
            <w:pPr>
              <w:jc w:val="right"/>
              <w:ind w:right="68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6.20</w:t>
            </w:r>
          </w:p>
        </w:tc>
      </w:tr>
      <w:tr>
        <w:trPr>
          <w:trHeight w:val="222"/>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13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9.53</w:t>
            </w: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7.40</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6.13</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(Note 23):</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5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82,482,764</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82,101,813</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8"/>
              </w:rPr>
              <w:t>81,532,320</w:t>
            </w:r>
          </w:p>
        </w:tc>
      </w:tr>
      <w:tr>
        <w:trPr>
          <w:trHeight w:val="1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Diluted</w:t>
            </w:r>
          </w:p>
        </w:tc>
        <w:tc>
          <w:tcPr>
            <w:tcW w:w="1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83,032,424</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82,717,640</w:t>
            </w: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8"/>
              </w:rPr>
              <w:t>82,468,363</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830" w:right="3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5"/>
          <w:szCs w:val="15"/>
          <w:b w:val="1"/>
          <w:bCs w:val="1"/>
          <w:color w:val="auto"/>
        </w:rPr>
        <w:t>ICON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Borders>
              <w:top w:val="single" w:sz="8" w:color="auto"/>
              <w:bottom w:val="single" w:sz="8" w:color="auto"/>
            </w:tcBorders>
            <w:shd w:val="clear" w:color="auto" w:fill="CCEEFF"/>
          </w:tcPr>
          <w:p>
            <w:pPr>
              <w:spacing w:after="0"/>
              <w:rPr>
                <w:sz w:val="18"/>
                <w:szCs w:val="18"/>
                <w:color w:val="auto"/>
              </w:rPr>
            </w:pPr>
          </w:p>
        </w:tc>
        <w:tc>
          <w:tcPr>
            <w:tcW w:w="2280" w:type="dxa"/>
            <w:vAlign w:val="bottom"/>
            <w:tcBorders>
              <w:top w:val="single" w:sz="8" w:color="auto"/>
              <w:bottom w:val="single" w:sz="8" w:color="auto"/>
            </w:tcBorders>
            <w:shd w:val="clear" w:color="auto" w:fill="CCEEFF"/>
          </w:tcPr>
          <w:p>
            <w:pPr>
              <w:spacing w:after="0"/>
              <w:rPr>
                <w:sz w:val="18"/>
                <w:szCs w:val="18"/>
                <w:color w:val="auto"/>
              </w:rPr>
            </w:pPr>
          </w:p>
        </w:tc>
        <w:tc>
          <w:tcPr>
            <w:tcW w:w="2920" w:type="dxa"/>
            <w:vAlign w:val="bottom"/>
            <w:tcBorders>
              <w:top w:val="single" w:sz="8" w:color="auto"/>
              <w:bottom w:val="single" w:sz="8" w:color="auto"/>
            </w:tcBorders>
            <w:gridSpan w:val="4"/>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9"/>
        </w:trPr>
        <w:tc>
          <w:tcPr>
            <w:tcW w:w="5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5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51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2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791,474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612,335</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505,304</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2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512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2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(84,927)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26,221</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(89,530)</w:t>
            </w:r>
          </w:p>
        </w:tc>
      </w:tr>
      <w:tr>
        <w:trPr>
          <w:trHeight w:val="199"/>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2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12,657</w:t>
            </w:r>
          </w:p>
        </w:tc>
      </w:tr>
      <w:tr>
        <w:trPr>
          <w:trHeight w:val="196"/>
        </w:trPr>
        <w:tc>
          <w:tcPr>
            <w:tcW w:w="51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Gain / (loss) on cash flow hedge</w:t>
            </w:r>
          </w:p>
        </w:tc>
        <w:tc>
          <w:tcPr>
            <w:tcW w:w="2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4,581</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(3,728)</w:t>
            </w:r>
          </w:p>
        </w:tc>
      </w:tr>
      <w:tr>
        <w:trPr>
          <w:trHeight w:val="21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22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705,051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640,367</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424,703</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Number of</w:t>
            </w: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Ordinary</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Additional</w:t>
            </w: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Other</w:t>
            </w: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Accumulated Other</w:t>
            </w: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Ordinary</w:t>
            </w:r>
          </w:p>
        </w:tc>
        <w:tc>
          <w:tcPr>
            <w:tcW w:w="2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w w:val="99"/>
              </w:rPr>
              <w:t>Undenominated</w:t>
            </w:r>
          </w:p>
        </w:tc>
        <w:tc>
          <w:tcPr>
            <w:tcW w:w="14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Shares Paid-in Capital</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Earnings</w:t>
            </w: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(in thousands, except share data)</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January 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81,554,683</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6,640</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6,733,910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(90,937)</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1,416,080</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8,066,827</w:t>
            </w:r>
          </w:p>
        </w:tc>
        <w:tc>
          <w:tcPr>
            <w:tcW w:w="0" w:type="dxa"/>
            <w:vAlign w:val="bottom"/>
          </w:tcPr>
          <w:p>
            <w:pPr>
              <w:spacing w:after="0"/>
              <w:rPr>
                <w:sz w:val="1"/>
                <w:szCs w:val="1"/>
                <w:color w:val="auto"/>
              </w:rPr>
            </w:pPr>
          </w:p>
        </w:tc>
      </w:tr>
      <w:tr>
        <w:trPr>
          <w:trHeight w:val="174"/>
        </w:trPr>
        <w:tc>
          <w:tcPr>
            <w:tcW w:w="3680" w:type="dxa"/>
            <w:vAlign w:val="bottom"/>
          </w:tcPr>
          <w:p>
            <w:pPr>
              <w:spacing w:after="0"/>
              <w:rPr>
                <w:sz w:val="20"/>
                <w:szCs w:val="20"/>
                <w:color w:val="auto"/>
              </w:rPr>
            </w:pPr>
            <w:r>
              <w:rPr>
                <w:rFonts w:ascii="Arial" w:cs="Arial" w:eastAsia="Arial" w:hAnsi="Arial"/>
                <w:sz w:val="13"/>
                <w:szCs w:val="13"/>
                <w:color w:val="auto"/>
              </w:rPr>
              <w:t>Comprehensive income (net of tax):</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505,304</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505,304</w:t>
            </w:r>
          </w:p>
        </w:tc>
        <w:tc>
          <w:tcPr>
            <w:tcW w:w="0" w:type="dxa"/>
            <w:vAlign w:val="bottom"/>
          </w:tcPr>
          <w:p>
            <w:pPr>
              <w:spacing w:after="0"/>
              <w:rPr>
                <w:sz w:val="1"/>
                <w:szCs w:val="1"/>
                <w:color w:val="auto"/>
              </w:rPr>
            </w:pPr>
          </w:p>
        </w:tc>
      </w:tr>
      <w:tr>
        <w:trPr>
          <w:trHeight w:val="181"/>
        </w:trPr>
        <w:tc>
          <w:tcPr>
            <w:tcW w:w="3680" w:type="dxa"/>
            <w:vAlign w:val="bottom"/>
          </w:tcPr>
          <w:p>
            <w:pPr>
              <w:ind w:left="100"/>
              <w:spacing w:after="0"/>
              <w:rPr>
                <w:sz w:val="20"/>
                <w:szCs w:val="20"/>
                <w:color w:val="auto"/>
              </w:rPr>
            </w:pPr>
            <w:r>
              <w:rPr>
                <w:rFonts w:ascii="Arial" w:cs="Arial" w:eastAsia="Arial" w:hAnsi="Arial"/>
                <w:sz w:val="13"/>
                <w:szCs w:val="13"/>
                <w:color w:val="auto"/>
              </w:rPr>
              <w:t>Currency translation adjustment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(89,530)</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(89,530)</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Remeasurement of retirement benefit obligations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12,657</w:t>
            </w:r>
          </w:p>
        </w:tc>
        <w:tc>
          <w:tcPr>
            <w:tcW w:w="0" w:type="dxa"/>
            <w:vAlign w:val="bottom"/>
          </w:tcPr>
          <w:p>
            <w:pPr>
              <w:spacing w:after="0"/>
              <w:rPr>
                <w:sz w:val="1"/>
                <w:szCs w:val="1"/>
                <w:color w:val="auto"/>
              </w:rPr>
            </w:pPr>
          </w:p>
        </w:tc>
      </w:tr>
      <w:tr>
        <w:trPr>
          <w:trHeight w:val="181"/>
        </w:trPr>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Loss on cash flow hedge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(3,728)</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Comprehensive Income</w:t>
            </w: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424,703</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348,286</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35,807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35,828</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241,116</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Share based compensation 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70,606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70,606</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issuance costs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1180" w:type="dxa"/>
            <w:vAlign w:val="bottom"/>
          </w:tcPr>
          <w:p>
            <w:pPr>
              <w:jc w:val="right"/>
              <w:spacing w:after="0"/>
              <w:rPr>
                <w:sz w:val="20"/>
                <w:szCs w:val="20"/>
                <w:color w:val="auto"/>
              </w:rPr>
            </w:pPr>
            <w:r>
              <w:rPr>
                <w:rFonts w:ascii="Arial" w:cs="Arial" w:eastAsia="Arial" w:hAnsi="Arial"/>
                <w:sz w:val="13"/>
                <w:szCs w:val="13"/>
                <w:color w:val="auto"/>
              </w:rPr>
              <w:t>(420,530)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(99,983)</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(99,983)</w:t>
            </w:r>
          </w:p>
        </w:tc>
        <w:tc>
          <w:tcPr>
            <w:tcW w:w="0" w:type="dxa"/>
            <w:vAlign w:val="bottom"/>
          </w:tcPr>
          <w:p>
            <w:pPr>
              <w:spacing w:after="0"/>
              <w:rPr>
                <w:sz w:val="1"/>
                <w:szCs w:val="1"/>
                <w:color w:val="auto"/>
              </w:rPr>
            </w:pPr>
          </w:p>
        </w:tc>
      </w:tr>
      <w:tr>
        <w:trPr>
          <w:trHeight w:val="185"/>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costs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at December 31,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81,723,555</w:t>
            </w: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6,649</w:t>
            </w: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6,840,306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(171,538)</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1,821,384</w:t>
            </w: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8,497,963</w:t>
            </w:r>
          </w:p>
        </w:tc>
        <w:tc>
          <w:tcPr>
            <w:tcW w:w="0" w:type="dxa"/>
            <w:vAlign w:val="bottom"/>
          </w:tcPr>
          <w:p>
            <w:pPr>
              <w:spacing w:after="0"/>
              <w:rPr>
                <w:sz w:val="1"/>
                <w:szCs w:val="1"/>
                <w:color w:val="auto"/>
              </w:rPr>
            </w:pPr>
          </w:p>
        </w:tc>
      </w:tr>
      <w:tr>
        <w:trPr>
          <w:trHeight w:val="17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 (net of tax):</w:t>
            </w: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8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612,335</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612,335</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 translation adjustment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26,221</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26,221</w:t>
            </w:r>
          </w:p>
        </w:tc>
        <w:tc>
          <w:tcPr>
            <w:tcW w:w="0" w:type="dxa"/>
            <w:vAlign w:val="bottom"/>
          </w:tcPr>
          <w:p>
            <w:pPr>
              <w:spacing w:after="0"/>
              <w:rPr>
                <w:sz w:val="1"/>
                <w:szCs w:val="1"/>
                <w:color w:val="auto"/>
              </w:rPr>
            </w:pPr>
          </w:p>
        </w:tc>
      </w:tr>
      <w:tr>
        <w:trPr>
          <w:trHeight w:val="181"/>
        </w:trPr>
        <w:tc>
          <w:tcPr>
            <w:tcW w:w="3680" w:type="dxa"/>
            <w:vAlign w:val="bottom"/>
          </w:tcPr>
          <w:p>
            <w:pPr>
              <w:ind w:left="100"/>
              <w:spacing w:after="0"/>
              <w:rPr>
                <w:sz w:val="20"/>
                <w:szCs w:val="20"/>
                <w:color w:val="auto"/>
              </w:rPr>
            </w:pPr>
            <w:r>
              <w:rPr>
                <w:rFonts w:ascii="Arial" w:cs="Arial" w:eastAsia="Arial" w:hAnsi="Arial"/>
                <w:sz w:val="13"/>
                <w:szCs w:val="13"/>
                <w:color w:val="auto"/>
              </w:rPr>
              <w:t>Remeasurement of retirement benefit obligations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244</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cash flow hedge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Arial" w:cs="Arial" w:eastAsia="Arial" w:hAnsi="Arial"/>
                <w:sz w:val="13"/>
                <w:szCs w:val="13"/>
                <w:b w:val="1"/>
                <w:bCs w:val="1"/>
                <w:color w:val="auto"/>
              </w:rPr>
              <w:t>Total Comprehensive Income</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640,367</w:t>
            </w:r>
          </w:p>
        </w:tc>
        <w:tc>
          <w:tcPr>
            <w:tcW w:w="0" w:type="dxa"/>
            <w:vAlign w:val="bottom"/>
          </w:tcPr>
          <w:p>
            <w:pPr>
              <w:spacing w:after="0"/>
              <w:rPr>
                <w:sz w:val="1"/>
                <w:szCs w:val="1"/>
                <w:color w:val="auto"/>
              </w:rPr>
            </w:pPr>
          </w:p>
        </w:tc>
      </w:tr>
      <w:tr>
        <w:trPr>
          <w:trHeight w:val="185"/>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Exercise of share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535,705</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50,923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50,958</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80" w:type="dxa"/>
            <w:vAlign w:val="bottom"/>
          </w:tcPr>
          <w:p>
            <w:pPr>
              <w:jc w:val="right"/>
              <w:spacing w:after="0"/>
              <w:rPr>
                <w:sz w:val="20"/>
                <w:szCs w:val="20"/>
                <w:color w:val="auto"/>
              </w:rPr>
            </w:pPr>
            <w:r>
              <w:rPr>
                <w:rFonts w:ascii="Arial" w:cs="Arial" w:eastAsia="Arial" w:hAnsi="Arial"/>
                <w:sz w:val="13"/>
                <w:szCs w:val="13"/>
                <w:color w:val="auto"/>
              </w:rPr>
              <w:t>235,826</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based compensation 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51,456</w:t>
            </w:r>
          </w:p>
        </w:tc>
        <w:tc>
          <w:tcPr>
            <w:tcW w:w="0" w:type="dxa"/>
            <w:vAlign w:val="bottom"/>
          </w:tcPr>
          <w:p>
            <w:pPr>
              <w:spacing w:after="0"/>
              <w:rPr>
                <w:sz w:val="1"/>
                <w:szCs w:val="1"/>
                <w:color w:val="auto"/>
              </w:rPr>
            </w:pPr>
          </w:p>
        </w:tc>
      </w:tr>
      <w:tr>
        <w:trPr>
          <w:trHeight w:val="181"/>
        </w:trPr>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 issuance costs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82,495,086</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6,699</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6,942,669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(143,506)</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2,433,719</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9,240,743</w:t>
            </w:r>
          </w:p>
        </w:tc>
        <w:tc>
          <w:tcPr>
            <w:tcW w:w="0" w:type="dxa"/>
            <w:vAlign w:val="bottom"/>
          </w:tcPr>
          <w:p>
            <w:pPr>
              <w:spacing w:after="0"/>
              <w:rPr>
                <w:sz w:val="1"/>
                <w:szCs w:val="1"/>
                <w:color w:val="auto"/>
              </w:rPr>
            </w:pPr>
          </w:p>
        </w:tc>
      </w:tr>
      <w:tr>
        <w:trPr>
          <w:trHeight w:val="174"/>
        </w:trPr>
        <w:tc>
          <w:tcPr>
            <w:tcW w:w="3680" w:type="dxa"/>
            <w:vAlign w:val="bottom"/>
          </w:tcPr>
          <w:p>
            <w:pPr>
              <w:spacing w:after="0"/>
              <w:rPr>
                <w:sz w:val="20"/>
                <w:szCs w:val="20"/>
                <w:color w:val="auto"/>
              </w:rPr>
            </w:pPr>
            <w:r>
              <w:rPr>
                <w:rFonts w:ascii="Arial" w:cs="Arial" w:eastAsia="Arial" w:hAnsi="Arial"/>
                <w:sz w:val="13"/>
                <w:szCs w:val="13"/>
                <w:color w:val="auto"/>
              </w:rPr>
              <w:t>Comprehensive income (net of tax):</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791,474</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791,474</w:t>
            </w:r>
          </w:p>
        </w:tc>
        <w:tc>
          <w:tcPr>
            <w:tcW w:w="0" w:type="dxa"/>
            <w:vAlign w:val="bottom"/>
          </w:tcPr>
          <w:p>
            <w:pPr>
              <w:spacing w:after="0"/>
              <w:rPr>
                <w:sz w:val="1"/>
                <w:szCs w:val="1"/>
                <w:color w:val="auto"/>
              </w:rPr>
            </w:pPr>
          </w:p>
        </w:tc>
      </w:tr>
      <w:tr>
        <w:trPr>
          <w:trHeight w:val="181"/>
        </w:trPr>
        <w:tc>
          <w:tcPr>
            <w:tcW w:w="3680" w:type="dxa"/>
            <w:vAlign w:val="bottom"/>
          </w:tcPr>
          <w:p>
            <w:pPr>
              <w:ind w:left="100"/>
              <w:spacing w:after="0"/>
              <w:rPr>
                <w:sz w:val="20"/>
                <w:szCs w:val="20"/>
                <w:color w:val="auto"/>
              </w:rPr>
            </w:pPr>
            <w:r>
              <w:rPr>
                <w:rFonts w:ascii="Arial" w:cs="Arial" w:eastAsia="Arial" w:hAnsi="Arial"/>
                <w:sz w:val="13"/>
                <w:szCs w:val="13"/>
                <w:color w:val="auto"/>
              </w:rPr>
              <w:t>Currency translation adjustment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(84,927)</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(84,927)</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Remeasurement of retirement benefit obligations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0" w:type="dxa"/>
            <w:vAlign w:val="bottom"/>
          </w:tcPr>
          <w:p>
            <w:pPr>
              <w:spacing w:after="0"/>
              <w:rPr>
                <w:sz w:val="1"/>
                <w:szCs w:val="1"/>
                <w:color w:val="auto"/>
              </w:rPr>
            </w:pPr>
          </w:p>
        </w:tc>
      </w:tr>
      <w:tr>
        <w:trPr>
          <w:trHeight w:val="181"/>
        </w:trPr>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Gain on cash flow hedge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4,581</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4,581</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Comprehensive Income</w:t>
            </w: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705,051</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311,040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36,158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36,178</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130,433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Share 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41,426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41,426</w:t>
            </w: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issuance costs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1180" w:type="dxa"/>
            <w:vAlign w:val="bottom"/>
          </w:tcPr>
          <w:p>
            <w:pPr>
              <w:jc w:val="right"/>
              <w:spacing w:after="0"/>
              <w:rPr>
                <w:sz w:val="20"/>
                <w:szCs w:val="20"/>
                <w:color w:val="auto"/>
              </w:rPr>
            </w:pPr>
            <w:r>
              <w:rPr>
                <w:rFonts w:ascii="Arial" w:cs="Arial" w:eastAsia="Arial" w:hAnsi="Arial"/>
                <w:sz w:val="13"/>
                <w:szCs w:val="13"/>
                <w:color w:val="auto"/>
              </w:rPr>
              <w:t>(2,179,699)</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142</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(499,998)</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(499,998)</w:t>
            </w:r>
          </w:p>
        </w:tc>
        <w:tc>
          <w:tcPr>
            <w:tcW w:w="0" w:type="dxa"/>
            <w:vAlign w:val="bottom"/>
          </w:tcPr>
          <w:p>
            <w:pPr>
              <w:spacing w:after="0"/>
              <w:rPr>
                <w:sz w:val="1"/>
                <w:szCs w:val="1"/>
                <w:color w:val="auto"/>
              </w:rPr>
            </w:pPr>
          </w:p>
        </w:tc>
      </w:tr>
      <w:tr>
        <w:trPr>
          <w:trHeight w:val="185"/>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costs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at December 31, 2024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80,756,860</w:t>
            </w: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6,586</w:t>
            </w: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7,020,231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(229,929)</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2,724,807</w:t>
            </w: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9,522,999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57785</wp:posOffset>
            </wp:positionV>
            <wp:extent cx="71697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00"/>
          </w:cols>
          <w:pgMar w:left="400" w:top="465" w:right="3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b w:val="1"/>
          <w:bCs w:val="1"/>
          <w:color w:val="auto"/>
        </w:rPr>
        <w:t>ICON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860" w:type="dxa"/>
            <w:vAlign w:val="bottom"/>
            <w:tcBorders>
              <w:top w:val="single" w:sz="8" w:color="auto"/>
              <w:bottom w:val="single" w:sz="8" w:color="auto"/>
            </w:tcBorders>
            <w:gridSpan w:val="4"/>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9"/>
        </w:trPr>
        <w:tc>
          <w:tcPr>
            <w:tcW w:w="6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6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98"/>
              </w:rPr>
              <w:t>(in thousands)</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7"/>
        </w:trPr>
        <w:tc>
          <w:tcPr>
            <w:tcW w:w="6480" w:type="dxa"/>
            <w:vAlign w:val="bottom"/>
          </w:tcPr>
          <w:p>
            <w:pPr>
              <w:ind w:left="20"/>
              <w:spacing w:after="0"/>
              <w:rPr>
                <w:sz w:val="20"/>
                <w:szCs w:val="20"/>
                <w:color w:val="auto"/>
              </w:rPr>
            </w:pPr>
            <w:r>
              <w:rPr>
                <w:rFonts w:ascii="Arial" w:cs="Arial" w:eastAsia="Arial" w:hAnsi="Arial"/>
                <w:sz w:val="15"/>
                <w:szCs w:val="15"/>
                <w:b w:val="1"/>
                <w:bCs w:val="1"/>
                <w:color w:val="auto"/>
              </w:rPr>
              <w:t>Cash flows provided by operating activities:</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791,474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612,335</w:t>
            </w:r>
          </w:p>
        </w:tc>
        <w:tc>
          <w:tcPr>
            <w:tcW w:w="4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505,304</w:t>
            </w:r>
          </w:p>
        </w:tc>
      </w:tr>
      <w:tr>
        <w:trPr>
          <w:trHeight w:val="234"/>
        </w:trPr>
        <w:tc>
          <w:tcPr>
            <w:tcW w:w="6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7"/>
        </w:trPr>
        <w:tc>
          <w:tcPr>
            <w:tcW w:w="6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4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488,500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585,950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569,513</w:t>
            </w:r>
          </w:p>
        </w:tc>
      </w:tr>
      <w:tr>
        <w:trPr>
          <w:trHeight w:val="199"/>
        </w:trPr>
        <w:tc>
          <w:tcPr>
            <w:tcW w:w="6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15,731</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8,686</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28,767</w:t>
            </w:r>
          </w:p>
        </w:tc>
      </w:tr>
      <w:tr>
        <w:trPr>
          <w:trHeight w:val="196"/>
        </w:trPr>
        <w:tc>
          <w:tcPr>
            <w:tcW w:w="6480" w:type="dxa"/>
            <w:vAlign w:val="bottom"/>
          </w:tcPr>
          <w:p>
            <w:pPr>
              <w:ind w:left="220"/>
              <w:spacing w:after="0"/>
              <w:rPr>
                <w:sz w:val="20"/>
                <w:szCs w:val="20"/>
                <w:color w:val="auto"/>
              </w:rPr>
            </w:pPr>
            <w:r>
              <w:rPr>
                <w:rFonts w:ascii="Arial" w:cs="Arial" w:eastAsia="Arial" w:hAnsi="Arial"/>
                <w:sz w:val="15"/>
                <w:szCs w:val="15"/>
                <w:color w:val="auto"/>
              </w:rPr>
              <w:t>Reduction in carrying value of operating right-of-use assets</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39,787</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41,546</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45,215</w:t>
            </w:r>
          </w:p>
        </w:tc>
      </w:tr>
      <w:tr>
        <w:trPr>
          <w:trHeight w:val="199"/>
        </w:trPr>
        <w:tc>
          <w:tcPr>
            <w:tcW w:w="6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equity method investments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3,136</w:t>
            </w:r>
          </w:p>
        </w:tc>
      </w:tr>
      <w:tr>
        <w:trPr>
          <w:trHeight w:val="196"/>
        </w:trPr>
        <w:tc>
          <w:tcPr>
            <w:tcW w:w="6480" w:type="dxa"/>
            <w:vAlign w:val="bottom"/>
          </w:tcPr>
          <w:p>
            <w:pPr>
              <w:ind w:left="220"/>
              <w:spacing w:after="0"/>
              <w:rPr>
                <w:sz w:val="20"/>
                <w:szCs w:val="20"/>
                <w:color w:val="auto"/>
              </w:rPr>
            </w:pPr>
            <w:r>
              <w:rPr>
                <w:rFonts w:ascii="Arial" w:cs="Arial" w:eastAsia="Arial" w:hAnsi="Arial"/>
                <w:sz w:val="15"/>
                <w:szCs w:val="15"/>
                <w:color w:val="auto"/>
              </w:rPr>
              <w:t>Acquisition-related gain</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(6,160)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financing costs and debt discount</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23,533</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16,402</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17,749</w:t>
            </w:r>
          </w:p>
        </w:tc>
      </w:tr>
      <w:tr>
        <w:trPr>
          <w:trHeight w:val="196"/>
        </w:trPr>
        <w:tc>
          <w:tcPr>
            <w:tcW w:w="64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45,870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55,667</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70,523</w:t>
            </w:r>
          </w:p>
        </w:tc>
      </w:tr>
      <w:tr>
        <w:trPr>
          <w:trHeight w:val="199"/>
        </w:trPr>
        <w:tc>
          <w:tcPr>
            <w:tcW w:w="6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(100,542)</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(85,403)</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(124,985)</w:t>
            </w:r>
          </w:p>
        </w:tc>
      </w:tr>
      <w:tr>
        <w:trPr>
          <w:trHeight w:val="196"/>
        </w:trPr>
        <w:tc>
          <w:tcPr>
            <w:tcW w:w="6480" w:type="dxa"/>
            <w:vAlign w:val="bottom"/>
          </w:tcPr>
          <w:p>
            <w:pPr>
              <w:ind w:left="220"/>
              <w:spacing w:after="0"/>
              <w:rPr>
                <w:sz w:val="20"/>
                <w:szCs w:val="20"/>
                <w:color w:val="auto"/>
              </w:rPr>
            </w:pPr>
            <w:r>
              <w:rPr>
                <w:rFonts w:ascii="Arial" w:cs="Arial" w:eastAsia="Arial" w:hAnsi="Arial"/>
                <w:sz w:val="15"/>
                <w:szCs w:val="15"/>
                <w:color w:val="auto"/>
              </w:rPr>
              <w:t>Unrealized foreign exchange movements</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6,911</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19,706</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(13,009)</w:t>
            </w:r>
          </w:p>
        </w:tc>
      </w:tr>
      <w:tr>
        <w:trPr>
          <w:trHeight w:val="199"/>
        </w:trPr>
        <w:tc>
          <w:tcPr>
            <w:tcW w:w="6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non-cash items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31,900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24,332</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11,324</w:t>
            </w:r>
          </w:p>
        </w:tc>
      </w:tr>
      <w:tr>
        <w:trPr>
          <w:trHeight w:val="196"/>
        </w:trPr>
        <w:tc>
          <w:tcPr>
            <w:tcW w:w="648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6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349,309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(83,296)</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(420,695)</w:t>
            </w:r>
          </w:p>
        </w:tc>
      </w:tr>
      <w:tr>
        <w:trPr>
          <w:trHeight w:val="196"/>
        </w:trPr>
        <w:tc>
          <w:tcPr>
            <w:tcW w:w="6480" w:type="dxa"/>
            <w:vAlign w:val="bottom"/>
          </w:tcPr>
          <w:p>
            <w:pPr>
              <w:ind w:left="200"/>
              <w:spacing w:after="0"/>
              <w:rPr>
                <w:sz w:val="20"/>
                <w:szCs w:val="20"/>
                <w:color w:val="auto"/>
              </w:rPr>
            </w:pPr>
            <w:r>
              <w:rPr>
                <w:rFonts w:ascii="Arial" w:cs="Arial" w:eastAsia="Arial" w:hAnsi="Arial"/>
                <w:sz w:val="15"/>
                <w:szCs w:val="15"/>
                <w:color w:val="auto"/>
              </w:rPr>
              <w:t>Unbilled revenue</w:t>
            </w:r>
          </w:p>
        </w:tc>
        <w:tc>
          <w:tcPr>
            <w:tcW w:w="10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(339,921)</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4,716</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(332,592)</w:t>
            </w:r>
          </w:p>
        </w:tc>
      </w:tr>
      <w:tr>
        <w:trPr>
          <w:trHeight w:val="199"/>
        </w:trPr>
        <w:tc>
          <w:tcPr>
            <w:tcW w:w="6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Unearned revenue</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(37,743)</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134,566</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192,944</w:t>
            </w:r>
          </w:p>
        </w:tc>
      </w:tr>
      <w:tr>
        <w:trPr>
          <w:trHeight w:val="196"/>
        </w:trPr>
        <w:tc>
          <w:tcPr>
            <w:tcW w:w="64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Other net assets</w:t>
            </w:r>
          </w:p>
        </w:tc>
        <w:tc>
          <w:tcPr>
            <w:tcW w:w="1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(28,157)</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(168,403)</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10,121</w:t>
            </w: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1,286,652</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1,161,027</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563,315</w:t>
            </w:r>
          </w:p>
        </w:tc>
      </w:tr>
      <w:tr>
        <w:trPr>
          <w:trHeight w:val="234"/>
        </w:trPr>
        <w:tc>
          <w:tcPr>
            <w:tcW w:w="6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used in investing activities: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480" w:type="dxa"/>
            <w:vAlign w:val="bottom"/>
          </w:tcPr>
          <w:p>
            <w:pPr>
              <w:ind w:left="100"/>
              <w:spacing w:after="0"/>
              <w:rPr>
                <w:sz w:val="20"/>
                <w:szCs w:val="20"/>
                <w:color w:val="auto"/>
              </w:rPr>
            </w:pPr>
            <w:r>
              <w:rPr>
                <w:rFonts w:ascii="Arial" w:cs="Arial" w:eastAsia="Arial" w:hAnsi="Arial"/>
                <w:sz w:val="15"/>
                <w:szCs w:val="15"/>
                <w:color w:val="auto"/>
              </w:rPr>
              <w:t>Purchase of property, plant and equipment</w:t>
            </w:r>
          </w:p>
        </w:tc>
        <w:tc>
          <w:tcPr>
            <w:tcW w:w="10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(168,060)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(140,692)</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(142,160)</w:t>
            </w:r>
          </w:p>
        </w:tc>
      </w:tr>
      <w:tr>
        <w:trPr>
          <w:trHeight w:val="199"/>
        </w:trPr>
        <w:tc>
          <w:tcPr>
            <w:tcW w:w="6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of subsidiary undertakings (net of cash acquired)</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(84,159)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(71,766)</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6480" w:type="dxa"/>
            <w:vAlign w:val="bottom"/>
          </w:tcPr>
          <w:p>
            <w:pPr>
              <w:ind w:left="100"/>
              <w:spacing w:after="0"/>
              <w:rPr>
                <w:sz w:val="20"/>
                <w:szCs w:val="20"/>
                <w:color w:val="auto"/>
              </w:rPr>
            </w:pPr>
            <w:r>
              <w:rPr>
                <w:rFonts w:ascii="Arial" w:cs="Arial" w:eastAsia="Arial" w:hAnsi="Arial"/>
                <w:sz w:val="15"/>
                <w:szCs w:val="15"/>
                <w:color w:val="auto"/>
              </w:rPr>
              <w:t>Movement of available for sale investments</w:t>
            </w:r>
          </w:p>
        </w:tc>
        <w:tc>
          <w:tcPr>
            <w:tcW w:w="10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(241)</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9"/>
        </w:trPr>
        <w:tc>
          <w:tcPr>
            <w:tcW w:w="6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investments in equity</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2,690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w:t>
            </w:r>
          </w:p>
        </w:tc>
      </w:tr>
      <w:tr>
        <w:trPr>
          <w:trHeight w:val="196"/>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Purchase of investments in equity</w:t>
            </w:r>
          </w:p>
        </w:tc>
        <w:tc>
          <w:tcPr>
            <w:tcW w:w="1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(17,261)</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(13,954)</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(5,612)</w:t>
            </w: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(266,790)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(226,653)</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(145,867)</w:t>
            </w:r>
          </w:p>
        </w:tc>
      </w:tr>
      <w:tr>
        <w:trPr>
          <w:trHeight w:val="234"/>
        </w:trPr>
        <w:tc>
          <w:tcPr>
            <w:tcW w:w="6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used in financing activities: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480" w:type="dxa"/>
            <w:vAlign w:val="bottom"/>
          </w:tcPr>
          <w:p>
            <w:pPr>
              <w:ind w:left="100"/>
              <w:spacing w:after="0"/>
              <w:rPr>
                <w:sz w:val="20"/>
                <w:szCs w:val="20"/>
                <w:color w:val="auto"/>
              </w:rPr>
            </w:pPr>
            <w:r>
              <w:rPr>
                <w:rFonts w:ascii="Arial" w:cs="Arial" w:eastAsia="Arial" w:hAnsi="Arial"/>
                <w:sz w:val="15"/>
                <w:szCs w:val="15"/>
                <w:color w:val="auto"/>
              </w:rPr>
              <w:t>New Notes issue costs</w:t>
            </w:r>
          </w:p>
        </w:tc>
        <w:tc>
          <w:tcPr>
            <w:tcW w:w="10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(12,679)</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Drawdown of credit lines and loan facilities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2,317,480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370,000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r>
      <w:tr>
        <w:trPr>
          <w:trHeight w:val="196"/>
        </w:trPr>
        <w:tc>
          <w:tcPr>
            <w:tcW w:w="6480" w:type="dxa"/>
            <w:vAlign w:val="bottom"/>
          </w:tcPr>
          <w:p>
            <w:pPr>
              <w:ind w:left="100"/>
              <w:spacing w:after="0"/>
              <w:rPr>
                <w:sz w:val="20"/>
                <w:szCs w:val="20"/>
                <w:color w:val="auto"/>
              </w:rPr>
            </w:pPr>
            <w:r>
              <w:rPr>
                <w:rFonts w:ascii="Arial" w:cs="Arial" w:eastAsia="Arial" w:hAnsi="Arial"/>
                <w:sz w:val="15"/>
                <w:szCs w:val="15"/>
                <w:color w:val="auto"/>
              </w:rPr>
              <w:t>Repayment of credit lines and loan facilities</w:t>
            </w:r>
          </w:p>
        </w:tc>
        <w:tc>
          <w:tcPr>
            <w:tcW w:w="10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(2,677,763)</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(1,265,000)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(875,000)</w:t>
            </w:r>
          </w:p>
        </w:tc>
      </w:tr>
      <w:tr>
        <w:trPr>
          <w:trHeight w:val="199"/>
        </w:trPr>
        <w:tc>
          <w:tcPr>
            <w:tcW w:w="6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exercise of equity compensation</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36,187</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50,973</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35,844</w:t>
            </w:r>
          </w:p>
        </w:tc>
      </w:tr>
      <w:tr>
        <w:trPr>
          <w:trHeight w:val="196"/>
        </w:trPr>
        <w:tc>
          <w:tcPr>
            <w:tcW w:w="6480" w:type="dxa"/>
            <w:vAlign w:val="bottom"/>
          </w:tcPr>
          <w:p>
            <w:pPr>
              <w:ind w:left="100"/>
              <w:spacing w:after="0"/>
              <w:rPr>
                <w:sz w:val="20"/>
                <w:szCs w:val="20"/>
                <w:color w:val="auto"/>
              </w:rPr>
            </w:pPr>
            <w:r>
              <w:rPr>
                <w:rFonts w:ascii="Arial" w:cs="Arial" w:eastAsia="Arial" w:hAnsi="Arial"/>
                <w:sz w:val="15"/>
                <w:szCs w:val="15"/>
                <w:color w:val="auto"/>
              </w:rPr>
              <w:t>Share issue costs</w:t>
            </w:r>
          </w:p>
        </w:tc>
        <w:tc>
          <w:tcPr>
            <w:tcW w:w="10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99"/>
        </w:trPr>
        <w:tc>
          <w:tcPr>
            <w:tcW w:w="6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Repurchase of ordinary shares</w:t>
            </w: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(499,998)</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(99,983)</w:t>
            </w:r>
          </w:p>
        </w:tc>
      </w:tr>
      <w:tr>
        <w:trPr>
          <w:trHeight w:val="196"/>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Share repurchase costs</w:t>
            </w:r>
          </w:p>
        </w:tc>
        <w:tc>
          <w:tcPr>
            <w:tcW w:w="1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(837,183)</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(844,043)</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(864,173)</w:t>
            </w:r>
          </w:p>
        </w:tc>
      </w:tr>
      <w:tr>
        <w:trPr>
          <w:trHeight w:val="234"/>
        </w:trPr>
        <w:tc>
          <w:tcPr>
            <w:tcW w:w="6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6"/>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Effect of exchange rate movements on cash</w:t>
            </w:r>
          </w:p>
        </w:tc>
        <w:tc>
          <w:tcPr>
            <w:tcW w:w="10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(21,996)</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(16,720)</w:t>
            </w:r>
          </w:p>
        </w:tc>
      </w:tr>
      <w:tr>
        <w:trPr>
          <w:trHeight w:val="191"/>
        </w:trPr>
        <w:tc>
          <w:tcPr>
            <w:tcW w:w="6480" w:type="dxa"/>
            <w:vAlign w:val="bottom"/>
          </w:tcPr>
          <w:p>
            <w:pPr>
              <w:ind w:left="20"/>
              <w:spacing w:after="0"/>
              <w:rPr>
                <w:sz w:val="20"/>
                <w:szCs w:val="20"/>
                <w:color w:val="auto"/>
              </w:rPr>
            </w:pPr>
            <w:r>
              <w:rPr>
                <w:rFonts w:ascii="Arial" w:cs="Arial" w:eastAsia="Arial" w:hAnsi="Arial"/>
                <w:sz w:val="15"/>
                <w:szCs w:val="15"/>
                <w:b w:val="1"/>
                <w:bCs w:val="1"/>
                <w:color w:val="auto"/>
              </w:rPr>
              <w:t>Net increase/(decrease) in cash and cash equivalents</w:t>
            </w:r>
          </w:p>
        </w:tc>
        <w:tc>
          <w:tcPr>
            <w:tcW w:w="1000" w:type="dxa"/>
            <w:vAlign w:val="bottom"/>
          </w:tcPr>
          <w:p>
            <w:pPr>
              <w:spacing w:after="0"/>
              <w:rPr>
                <w:sz w:val="16"/>
                <w:szCs w:val="16"/>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160,683</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89,334</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(463,445)</w:t>
            </w:r>
          </w:p>
        </w:tc>
      </w:tr>
      <w:tr>
        <w:trPr>
          <w:trHeight w:val="196"/>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10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378,102</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288,768</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752,213</w:t>
            </w:r>
          </w:p>
        </w:tc>
      </w:tr>
      <w:tr>
        <w:trPr>
          <w:trHeight w:val="191"/>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538,785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378,102</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288,768</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5"/>
          <w:szCs w:val="15"/>
          <w:b w:val="1"/>
          <w:bCs w:val="1"/>
          <w:color w:val="auto"/>
        </w:rPr>
        <w:t>ICON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Description of Business</w:t>
      </w:r>
    </w:p>
    <w:p>
      <w:pPr>
        <w:spacing w:after="0" w:line="22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mission is to improve the lives of patients by accelerating the development of our customers' drugs and devices through innovative solutions.</w:t>
      </w:r>
    </w:p>
    <w:p>
      <w:pPr>
        <w:spacing w:after="0" w:line="20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December 31, 2024 we had approximately 41,900 employees, in 106 locations in 55 countries. During the year ended December 31, 2024, we derived 36.0%, 52.6% and 11.4% of our revenue in the United States, Europe and Rest of World, respectively.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ICON’s ordinary shares are traded on the NASDAQ Global Select Market under the symbol “ICLR”.</w:t>
      </w:r>
    </w:p>
    <w:p>
      <w:pPr>
        <w:spacing w:after="0" w:line="234"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We began operations in 1990 and have expanded our business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accounting policies noted below were applied in the preparation of the accompanying financial statements of the Company and are in conformity with accounting principles generally accepted in the United States.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Basis of consolidation</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intangible assets acquired in a business combination, goodwill impairment and income taxation.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Disclosure of fair value of financial instruments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the net present value of estimated future cash flows. Debt is measured at amortized cost.</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Financial instruments are measured at amortized cost or fair value using a fair value hierarchy of valuation inputs.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85" w:lineRule="exact"/>
        <w:rPr>
          <w:sz w:val="20"/>
          <w:szCs w:val="20"/>
          <w:color w:val="auto"/>
        </w:rPr>
      </w:pPr>
    </w:p>
    <w:p>
      <w:pPr>
        <w:ind w:left="580" w:hanging="286"/>
        <w:spacing w:after="0"/>
        <w:tabs>
          <w:tab w:leader="none" w:pos="5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Level 1: Inputs are based upon unadjusted quoted prices for identical instruments traded in active markets.</w:t>
      </w:r>
    </w:p>
    <w:p>
      <w:pPr>
        <w:spacing w:after="0" w:line="221" w:lineRule="exact"/>
        <w:rPr>
          <w:rFonts w:ascii="Arial" w:cs="Arial" w:eastAsia="Arial" w:hAnsi="Arial"/>
          <w:sz w:val="15"/>
          <w:szCs w:val="15"/>
          <w:color w:val="auto"/>
        </w:rPr>
      </w:pPr>
    </w:p>
    <w:p>
      <w:pPr>
        <w:jc w:val="both"/>
        <w:ind w:left="600" w:hanging="306"/>
        <w:spacing w:after="0" w:line="263" w:lineRule="auto"/>
        <w:tabs>
          <w:tab w:leader="none" w:pos="590" w:val="left"/>
        </w:tabs>
        <w:numPr>
          <w:ilvl w:val="0"/>
          <w:numId w:val="80"/>
        </w:numPr>
        <w:rPr>
          <w:rFonts w:ascii="Arial" w:cs="Arial" w:eastAsia="Arial" w:hAnsi="Arial"/>
          <w:sz w:val="15"/>
          <w:szCs w:val="15"/>
          <w:color w:val="auto"/>
        </w:rPr>
      </w:pPr>
      <w:r>
        <w:rPr>
          <w:rFonts w:ascii="Arial" w:cs="Arial" w:eastAsia="Arial" w:hAnsi="Arial"/>
          <w:sz w:val="15"/>
          <w:szCs w:val="15"/>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96" w:lineRule="exact"/>
        <w:rPr>
          <w:rFonts w:ascii="Arial" w:cs="Arial" w:eastAsia="Arial" w:hAnsi="Arial"/>
          <w:sz w:val="15"/>
          <w:szCs w:val="15"/>
          <w:color w:val="auto"/>
        </w:rPr>
      </w:pPr>
    </w:p>
    <w:p>
      <w:pPr>
        <w:ind w:left="600" w:hanging="306"/>
        <w:spacing w:after="0" w:line="269" w:lineRule="auto"/>
        <w:tabs>
          <w:tab w:leader="none" w:pos="590" w:val="left"/>
        </w:tabs>
        <w:numPr>
          <w:ilvl w:val="0"/>
          <w:numId w:val="80"/>
        </w:numPr>
        <w:rPr>
          <w:rFonts w:ascii="Arial" w:cs="Arial" w:eastAsia="Arial" w:hAnsi="Arial"/>
          <w:sz w:val="15"/>
          <w:szCs w:val="15"/>
          <w:color w:val="auto"/>
        </w:rPr>
      </w:pPr>
      <w:r>
        <w:rPr>
          <w:rFonts w:ascii="Arial" w:cs="Arial" w:eastAsia="Arial" w:hAnsi="Arial"/>
          <w:sz w:val="15"/>
          <w:szCs w:val="15"/>
          <w:color w:val="auto"/>
        </w:rPr>
        <w:t>Level 3: 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09" w:name="page110"/>
    <w:bookmarkEnd w:id="109"/>
    <w:p>
      <w:pPr>
        <w:ind w:left="60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222"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Where a business combination agreement provides for an adjustment to the cost of the acquisition which is contingent upon future events, the amount of the estimated adjustment is recognized at the acquisition date at the fair value of the contingent consideration. Accounting for contingent consideration, after the acquisition, depends on the classification of the contingent consideration. Equity-classified contingent consideration is not remeasured after the acquisition date and subsequent settlement is accounted for within equity. Contingent consideration, which is classified as a liability or an asset, is remeasured to fair value at each reporting date until the contingency is resolved. The changes in fair value are recognized in earnings, unless the arrangement is a derivative which has been designated as a hedging instrument in a cash flow hedging relationship, in which case, the changes are initially recognized in other comprehensive income/loss.</w:t>
      </w:r>
    </w:p>
    <w:p>
      <w:pPr>
        <w:spacing w:after="0" w:line="208"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any contingent liabilities are made within twelve months of the acquisition date and presented as adjustments to goodwill in the reporting period in which the adjustments are determined.</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Foreign currencies and translation of subsidiaries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Company's financial statements are prepared in United States dollars. 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income/loss.</w:t>
      </w:r>
    </w:p>
    <w:p>
      <w:pPr>
        <w:spacing w:after="0" w:line="18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Transactions in currencies other than the functional currency of the subsidiaries of the Company are recorded at the rate ruling at the date of the transaction. Monetary assets and liabilities denominated in currencies other than the functional currency of the subsidiaries of the Company are translated into the functional currency of that entity at exchange rates prevailing at the balance sheet date. Adjustments resulting from these translations are charged or credited to income. Foreign currency gains and losses on intercompany transactions classified as long-term investments are reported in other comprehensive income/loss as currency translation adjustments. Amounts charged or credited to the Consolidated Statements of Operations for the years ended December 31, 2024, December 31, 2023 and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144385" cy="125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12" w:lineRule="exact"/>
        <w:rPr>
          <w:sz w:val="20"/>
          <w:szCs w:val="20"/>
          <w:color w:val="auto"/>
        </w:rPr>
      </w:pPr>
    </w:p>
    <w:p>
      <w:pPr>
        <w:jc w:val="center"/>
        <w:ind w:left="6900"/>
        <w:spacing w:after="0"/>
        <w:rPr>
          <w:sz w:val="20"/>
          <w:szCs w:val="20"/>
          <w:color w:val="auto"/>
        </w:rPr>
      </w:pPr>
      <w:r>
        <w:rPr>
          <w:rFonts w:ascii="Arial" w:cs="Arial" w:eastAsia="Arial" w:hAnsi="Arial"/>
          <w:sz w:val="15"/>
          <w:szCs w:val="15"/>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15875</wp:posOffset>
            </wp:positionV>
            <wp:extent cx="274637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46375" cy="7620"/>
                    </a:xfrm>
                    <a:prstGeom prst="rect">
                      <a:avLst/>
                    </a:prstGeom>
                    <a:noFill/>
                  </pic:spPr>
                </pic:pic>
              </a:graphicData>
            </a:graphic>
          </wp:anchor>
        </w:drawing>
      </w:r>
    </w:p>
    <w:p>
      <w:pPr>
        <w:spacing w:after="0" w:line="17" w:lineRule="exact"/>
        <w:rPr>
          <w:sz w:val="20"/>
          <w:szCs w:val="20"/>
          <w:color w:val="auto"/>
        </w:rPr>
      </w:pPr>
    </w:p>
    <w:p>
      <w:pPr>
        <w:jc w:val="center"/>
        <w:ind w:left="6980"/>
        <w:spacing w:after="0"/>
        <w:rPr>
          <w:sz w:val="20"/>
          <w:szCs w:val="20"/>
          <w:color w:val="auto"/>
        </w:rPr>
      </w:pPr>
      <w:r>
        <w:rPr>
          <w:rFonts w:ascii="Arial" w:cs="Arial" w:eastAsia="Arial" w:hAnsi="Arial"/>
          <w:sz w:val="15"/>
          <w:szCs w:val="15"/>
          <w:b w:val="1"/>
          <w:bCs w:val="1"/>
          <w:color w:val="auto"/>
        </w:rPr>
        <w:t>December 31, 2024 December 31, 2023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32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7" w:lineRule="exact"/>
        <w:rPr>
          <w:sz w:val="20"/>
          <w:szCs w:val="20"/>
          <w:color w:val="auto"/>
        </w:rPr>
      </w:pPr>
    </w:p>
    <w:p>
      <w:pPr>
        <w:jc w:val="center"/>
        <w:ind w:left="6900"/>
        <w:spacing w:after="0"/>
        <w:rPr>
          <w:sz w:val="20"/>
          <w:szCs w:val="20"/>
          <w:color w:val="auto"/>
        </w:rPr>
      </w:pPr>
      <w:r>
        <w:rPr>
          <w:rFonts w:ascii="Arial" w:cs="Arial" w:eastAsia="Arial" w:hAnsi="Arial"/>
          <w:sz w:val="15"/>
          <w:szCs w:val="15"/>
          <w:b w:val="1"/>
          <w:bCs w:val="1"/>
          <w:color w:val="auto"/>
        </w:rPr>
        <w:t>(in thousands)</w:t>
      </w:r>
    </w:p>
    <w:p>
      <w:pPr>
        <w:spacing w:after="0" w:line="29" w:lineRule="exact"/>
        <w:rPr>
          <w:sz w:val="20"/>
          <w:szCs w:val="20"/>
          <w:color w:val="auto"/>
        </w:rPr>
      </w:pPr>
    </w:p>
    <w:p>
      <w:pPr>
        <w:ind w:left="20"/>
        <w:spacing w:after="0"/>
        <w:tabs>
          <w:tab w:leader="none" w:pos="6920" w:val="left"/>
          <w:tab w:leader="none" w:pos="7780" w:val="left"/>
          <w:tab w:leader="none" w:pos="9260" w:val="left"/>
          <w:tab w:leader="none" w:pos="10660" w:val="left"/>
        </w:tabs>
        <w:rPr>
          <w:sz w:val="20"/>
          <w:szCs w:val="20"/>
          <w:color w:val="auto"/>
        </w:rPr>
      </w:pPr>
      <w:r>
        <w:rPr>
          <w:rFonts w:ascii="Arial" w:cs="Arial" w:eastAsia="Arial" w:hAnsi="Arial"/>
          <w:sz w:val="15"/>
          <w:szCs w:val="15"/>
          <w:color w:val="auto"/>
        </w:rPr>
        <w:t>Amounts (credited) / charged</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(18,085) $</w:t>
      </w:r>
      <w:r>
        <w:rPr>
          <w:sz w:val="20"/>
          <w:szCs w:val="20"/>
          <w:color w:val="auto"/>
        </w:rPr>
        <w:tab/>
      </w:r>
      <w:r>
        <w:rPr>
          <w:rFonts w:ascii="Arial" w:cs="Arial" w:eastAsia="Arial" w:hAnsi="Arial"/>
          <w:sz w:val="15"/>
          <w:szCs w:val="15"/>
          <w:color w:val="auto"/>
        </w:rPr>
        <w:t>12,916 $</w:t>
      </w:r>
      <w:r>
        <w:rPr>
          <w:sz w:val="20"/>
          <w:szCs w:val="20"/>
          <w:color w:val="auto"/>
        </w:rPr>
        <w:tab/>
      </w:r>
      <w:r>
        <w:rPr>
          <w:rFonts w:ascii="Arial" w:cs="Arial" w:eastAsia="Arial" w:hAnsi="Arial"/>
          <w:sz w:val="14"/>
          <w:szCs w:val="14"/>
          <w:color w:val="auto"/>
        </w:rPr>
        <w:t>(25,997)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438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714438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9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Clinical trial service revenue</w:t>
      </w:r>
    </w:p>
    <w:p>
      <w:pPr>
        <w:spacing w:after="0" w:line="208"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10" w:name="page111"/>
    <w:bookmarkEnd w:id="110"/>
    <w:p>
      <w:pPr>
        <w:jc w:val="both"/>
        <w:spacing w:after="0" w:line="252" w:lineRule="auto"/>
        <w:rPr>
          <w:sz w:val="20"/>
          <w:szCs w:val="20"/>
          <w:color w:val="auto"/>
        </w:rPr>
      </w:pPr>
      <w:r>
        <w:rPr>
          <w:rFonts w:ascii="Arial" w:cs="Arial" w:eastAsia="Arial" w:hAnsi="Arial"/>
          <w:sz w:val="15"/>
          <w:szCs w:val="15"/>
          <w:color w:val="auto"/>
        </w:rPr>
        <w:t>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Laboratory services revenue</w:t>
      </w:r>
    </w:p>
    <w:p>
      <w:pPr>
        <w:spacing w:after="0" w:line="208"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4"/>
          <w:szCs w:val="14"/>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Contracting services revenue</w:t>
      </w:r>
    </w:p>
    <w:p>
      <w:pPr>
        <w:spacing w:after="0" w:line="208"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Consulting services revenue</w:t>
      </w:r>
    </w:p>
    <w:p>
      <w:pPr>
        <w:spacing w:after="0" w:line="22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Data services revenue</w:t>
      </w:r>
    </w:p>
    <w:p>
      <w:pPr>
        <w:spacing w:after="0" w:line="232"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0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191"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195" w:lineRule="exact"/>
        <w:rPr>
          <w:sz w:val="20"/>
          <w:szCs w:val="20"/>
          <w:color w:val="auto"/>
        </w:rPr>
      </w:pPr>
    </w:p>
    <w:p>
      <w:pPr>
        <w:jc w:val="both"/>
        <w:ind w:firstLine="591"/>
        <w:spacing w:after="0" w:line="285" w:lineRule="auto"/>
        <w:rPr>
          <w:sz w:val="20"/>
          <w:szCs w:val="20"/>
          <w:color w:val="auto"/>
        </w:rPr>
      </w:pPr>
      <w:r>
        <w:rPr>
          <w:rFonts w:ascii="Arial" w:cs="Arial" w:eastAsia="Arial" w:hAnsi="Arial"/>
          <w:sz w:val="14"/>
          <w:szCs w:val="14"/>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Commissions</w:t>
      </w:r>
    </w:p>
    <w:p>
      <w:pPr>
        <w:spacing w:after="0" w:line="208"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11" w:name="page112"/>
    <w:bookmarkEnd w:id="111"/>
    <w:p>
      <w:pPr>
        <w:ind w:left="600"/>
        <w:spacing w:after="0"/>
        <w:rPr>
          <w:sz w:val="20"/>
          <w:szCs w:val="20"/>
          <w:color w:val="auto"/>
        </w:rPr>
      </w:pPr>
      <w:r>
        <w:rPr>
          <w:rFonts w:ascii="Arial" w:cs="Arial" w:eastAsia="Arial" w:hAnsi="Arial"/>
          <w:sz w:val="15"/>
          <w:szCs w:val="15"/>
          <w:b w:val="1"/>
          <w:bCs w:val="1"/>
          <w:i w:val="1"/>
          <w:iCs w:val="1"/>
          <w:color w:val="auto"/>
        </w:rPr>
        <w:t>Reimbursable expenses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Direct costs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Direct costs consist of compensation, associated employee benefits and share-based payments for project-related employees and other direct project-related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costs.</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Cash and cash equivalents include cash and highly liquid investments with initial maturities of three months or less and are stated at cost, which approximates market value.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Investments in debt, equity and other</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Available for sale investments</w:t>
      </w:r>
    </w:p>
    <w:p>
      <w:pPr>
        <w:spacing w:after="0" w:line="23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Company classifies short-term investments as available for sale. The investments are reported at fair value, with unrealized gains or losses reported in a separate component of shareholders' equity. Any differences between the cost and fair value of the investments are represented by accrued interest and unrealized gains/losses. Realized gains and losses are determined using specific identification.</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Long term investments</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2024 and December 31, 2023 meet the definition of equity securities without readily determinable fair values. The Company concluded that the interests held at December 31, 2024 and December 31, 2023 qualify for the Net Asset Value ("NAV") practical expedient in ASC Topic 820, Fair value Measurements ("ASC 820"). Any increases or decreases in fair value are recognized in earnings in the period.</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Investments in equity which do not qualify for the NAV practical expedient are measured at cost, less impairment.</w:t>
      </w:r>
    </w:p>
    <w:p>
      <w:pPr>
        <w:spacing w:after="0" w:line="23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Equity method investments</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Company’s investments that are not consolidated are accounted for under the equity method if the Company exercises significant influence. These investments are classified as equity method investments on the Consolidated Balance Sheet. The Company records its pro rata share of the earnings/losses of these investments in Share of losses in equity investments in the Consolidated Statement of Operations. The Company reviews equity method investments for impairment whenever events or changes in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2" w:name="page113"/>
    <w:bookmarkEnd w:id="112"/>
    <w:p>
      <w:pPr>
        <w:ind w:left="600"/>
        <w:spacing w:after="0"/>
        <w:rPr>
          <w:sz w:val="20"/>
          <w:szCs w:val="20"/>
          <w:color w:val="auto"/>
        </w:rPr>
      </w:pPr>
      <w:r>
        <w:rPr>
          <w:rFonts w:ascii="Arial" w:cs="Arial" w:eastAsia="Arial" w:hAnsi="Arial"/>
          <w:sz w:val="15"/>
          <w:szCs w:val="15"/>
          <w:b w:val="1"/>
          <w:bCs w:val="1"/>
          <w:i w:val="1"/>
          <w:iCs w:val="1"/>
          <w:color w:val="auto"/>
        </w:rPr>
        <w:t>Accounts receivable, net and unbilled revenue</w:t>
      </w:r>
    </w:p>
    <w:p>
      <w:pPr>
        <w:spacing w:after="0" w:line="18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19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Accounts receivable early payment discounting</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("ASC 860") . Agreements which result in true sales of the transferred receivables, as defined in ASC 860, are excluded from amounts reported in the Consolidated Balance Sheet. Cash proceeds received from such sales are included in operating cash flows.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Property, plant and equipment</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00" w:type="dxa"/>
            <w:vAlign w:val="bottom"/>
            <w:tcBorders>
              <w:bottom w:val="single" w:sz="8" w:color="auto"/>
            </w:tcBorders>
            <w:shd w:val="clear" w:color="auto" w:fill="CCEEFF"/>
          </w:tcPr>
          <w:p>
            <w:pPr>
              <w:spacing w:after="0"/>
              <w:rPr>
                <w:sz w:val="17"/>
                <w:szCs w:val="17"/>
                <w:color w:val="auto"/>
              </w:rPr>
            </w:pPr>
          </w:p>
        </w:tc>
        <w:tc>
          <w:tcPr>
            <w:tcW w:w="5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88"/>
        </w:trPr>
        <w:tc>
          <w:tcPr>
            <w:tcW w:w="6000" w:type="dxa"/>
            <w:vAlign w:val="bottom"/>
          </w:tcPr>
          <w:p>
            <w:pPr>
              <w:ind w:left="20"/>
              <w:spacing w:after="0"/>
              <w:rPr>
                <w:sz w:val="20"/>
                <w:szCs w:val="20"/>
                <w:color w:val="auto"/>
              </w:rPr>
            </w:pPr>
            <w:r>
              <w:rPr>
                <w:rFonts w:ascii="Arial" w:cs="Arial" w:eastAsia="Arial" w:hAnsi="Arial"/>
                <w:sz w:val="15"/>
                <w:szCs w:val="15"/>
                <w:color w:val="auto"/>
              </w:rPr>
              <w:t>Buildings</w:t>
            </w:r>
          </w:p>
        </w:tc>
        <w:tc>
          <w:tcPr>
            <w:tcW w:w="5220" w:type="dxa"/>
            <w:vAlign w:val="bottom"/>
          </w:tcPr>
          <w:p>
            <w:pPr>
              <w:jc w:val="right"/>
              <w:spacing w:after="0"/>
              <w:rPr>
                <w:sz w:val="20"/>
                <w:szCs w:val="20"/>
                <w:color w:val="auto"/>
              </w:rPr>
            </w:pPr>
            <w:r>
              <w:rPr>
                <w:rFonts w:ascii="Arial" w:cs="Arial" w:eastAsia="Arial" w:hAnsi="Arial"/>
                <w:sz w:val="15"/>
                <w:szCs w:val="15"/>
                <w:color w:val="auto"/>
              </w:rPr>
              <w:t>40 years</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equipment and software</w:t>
            </w:r>
          </w:p>
        </w:tc>
        <w:tc>
          <w:tcPr>
            <w:tcW w:w="5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2 - 8 years</w:t>
            </w:r>
          </w:p>
        </w:tc>
      </w:tr>
      <w:tr>
        <w:trPr>
          <w:trHeight w:val="196"/>
        </w:trPr>
        <w:tc>
          <w:tcPr>
            <w:tcW w:w="6000" w:type="dxa"/>
            <w:vAlign w:val="bottom"/>
          </w:tcPr>
          <w:p>
            <w:pPr>
              <w:ind w:left="20"/>
              <w:spacing w:after="0"/>
              <w:rPr>
                <w:sz w:val="20"/>
                <w:szCs w:val="20"/>
                <w:color w:val="auto"/>
              </w:rPr>
            </w:pPr>
            <w:r>
              <w:rPr>
                <w:rFonts w:ascii="Arial" w:cs="Arial" w:eastAsia="Arial" w:hAnsi="Arial"/>
                <w:sz w:val="15"/>
                <w:szCs w:val="15"/>
                <w:color w:val="auto"/>
              </w:rPr>
              <w:t>Office furniture and fixtures</w:t>
            </w:r>
          </w:p>
        </w:tc>
        <w:tc>
          <w:tcPr>
            <w:tcW w:w="5220" w:type="dxa"/>
            <w:vAlign w:val="bottom"/>
          </w:tcPr>
          <w:p>
            <w:pPr>
              <w:jc w:val="right"/>
              <w:spacing w:after="0"/>
              <w:rPr>
                <w:sz w:val="20"/>
                <w:szCs w:val="20"/>
                <w:color w:val="auto"/>
              </w:rPr>
            </w:pPr>
            <w:r>
              <w:rPr>
                <w:rFonts w:ascii="Arial" w:cs="Arial" w:eastAsia="Arial" w:hAnsi="Arial"/>
                <w:sz w:val="15"/>
                <w:szCs w:val="15"/>
                <w:color w:val="auto"/>
              </w:rPr>
              <w:t>8 years</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5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years</w:t>
            </w: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Motor vehicles</w:t>
            </w:r>
          </w:p>
        </w:tc>
        <w:tc>
          <w:tcPr>
            <w:tcW w:w="5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 years</w:t>
            </w:r>
          </w:p>
        </w:tc>
      </w:tr>
    </w:tbl>
    <w:p>
      <w:pPr>
        <w:spacing w:after="0" w:line="24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Leasehold improvements are amortized using the straight line method over the estimated useful life of the asset or the lease term, whichever is shorter.</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Leases</w:t>
      </w:r>
    </w:p>
    <w:p>
      <w:pPr>
        <w:spacing w:after="0" w:line="22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Company determines if an arrangement is a lease at inception and reassess if there are changes in terms and conditions of the contract. Finance leases, if any, are depreciated on the same basis as property, plant and equipment. At December 31, 2024 and December 31, 2023, the Company did not account for any leases as finance leases.</w:t>
      </w:r>
    </w:p>
    <w:p>
      <w:pPr>
        <w:spacing w:after="0" w:line="135" w:lineRule="exact"/>
        <w:rPr>
          <w:sz w:val="20"/>
          <w:szCs w:val="20"/>
          <w:color w:val="auto"/>
        </w:rPr>
      </w:pPr>
    </w:p>
    <w:p>
      <w:pPr>
        <w:jc w:val="both"/>
        <w:ind w:firstLine="170"/>
        <w:spacing w:after="0" w:line="252" w:lineRule="auto"/>
        <w:rPr>
          <w:sz w:val="20"/>
          <w:szCs w:val="20"/>
          <w:color w:val="auto"/>
        </w:rPr>
      </w:pPr>
      <w:r>
        <w:rPr>
          <w:rFonts w:ascii="Arial" w:cs="Arial" w:eastAsia="Arial" w:hAnsi="Arial"/>
          <w:sz w:val="15"/>
          <w:szCs w:val="15"/>
          <w:color w:val="auto"/>
        </w:rPr>
        <w:t>Operating leases are included in operating right-of-use ("ROU")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the lease commencement date.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21"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accounts for lease and non-lease components separately with lease components flowing through the Consolidated Balance Sheet and non-lease components expensed directly to the Consolidated Statements of Operations.</w:t>
      </w:r>
    </w:p>
    <w:p>
      <w:pPr>
        <w:spacing w:after="0" w:line="11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185"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some cases, the Company enters into sublease agreements and becomes both a lessee and a lessor for the same underlying asset. Subleases are accounted for as operating leases separately from the lease they relate to, but similar in manner as all other leases.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3" w:name="page114"/>
    <w:bookmarkEnd w:id="113"/>
    <w:p>
      <w:pPr>
        <w:jc w:val="both"/>
        <w:ind w:firstLine="591"/>
        <w:spacing w:after="0" w:line="269" w:lineRule="auto"/>
        <w:rPr>
          <w:sz w:val="20"/>
          <w:szCs w:val="20"/>
          <w:color w:val="auto"/>
        </w:rPr>
      </w:pPr>
      <w:r>
        <w:rPr>
          <w:rFonts w:ascii="Arial" w:cs="Arial" w:eastAsia="Arial" w:hAnsi="Arial"/>
          <w:sz w:val="15"/>
          <w:szCs w:val="15"/>
          <w:color w:val="auto"/>
        </w:rPr>
        <w:t xml:space="preserve">ROU assets for operating leases are occasionally reduced by impairment losses. The Company uses the long-lived assets impairment guidance in ASC Subtopic 360-10, </w:t>
      </w:r>
      <w:r>
        <w:rPr>
          <w:rFonts w:ascii="Arial" w:cs="Arial" w:eastAsia="Arial" w:hAnsi="Arial"/>
          <w:sz w:val="15"/>
          <w:szCs w:val="15"/>
          <w:i w:val="1"/>
          <w:iCs w:val="1"/>
          <w:color w:val="auto"/>
        </w:rPr>
        <w:t>Property, Plant, and Equipment – Overall</w:t>
      </w:r>
      <w:r>
        <w:rPr>
          <w:rFonts w:ascii="Arial" w:cs="Arial" w:eastAsia="Arial" w:hAnsi="Arial"/>
          <w:sz w:val="15"/>
          <w:szCs w:val="15"/>
          <w:color w:val="auto"/>
        </w:rPr>
        <w:t>, to determine whether an ROU asset is impaired, and if so, the amount of the impairment loss to recognize.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Borders>
              <w:bottom w:val="single" w:sz="8" w:color="auto"/>
            </w:tcBorders>
            <w:shd w:val="clear" w:color="auto" w:fill="CCEEFF"/>
          </w:tcPr>
          <w:p>
            <w:pPr>
              <w:spacing w:after="0"/>
              <w:rPr>
                <w:sz w:val="17"/>
                <w:szCs w:val="17"/>
                <w:color w:val="auto"/>
              </w:rPr>
            </w:pP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88"/>
        </w:trPr>
        <w:tc>
          <w:tcPr>
            <w:tcW w:w="5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560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5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Trade names</w:t>
            </w:r>
          </w:p>
        </w:tc>
        <w:tc>
          <w:tcPr>
            <w:tcW w:w="5600" w:type="dxa"/>
            <w:vAlign w:val="bottom"/>
          </w:tcPr>
          <w:p>
            <w:pPr>
              <w:jc w:val="right"/>
              <w:spacing w:after="0"/>
              <w:rPr>
                <w:sz w:val="20"/>
                <w:szCs w:val="20"/>
                <w:color w:val="auto"/>
              </w:rPr>
            </w:pPr>
            <w:r>
              <w:rPr>
                <w:rFonts w:ascii="Arial" w:cs="Arial" w:eastAsia="Arial" w:hAnsi="Arial"/>
                <w:sz w:val="15"/>
                <w:szCs w:val="15"/>
                <w:color w:val="auto"/>
              </w:rPr>
              <w:t>3 years</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5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 years</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 years</w:t>
            </w:r>
          </w:p>
        </w:tc>
      </w:tr>
    </w:tbl>
    <w:p>
      <w:pPr>
        <w:spacing w:after="0" w:line="296"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what was established at acquisition continues to be appropriate.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Impairment of goodwill and long-lived assets</w:t>
      </w:r>
    </w:p>
    <w:p>
      <w:pPr>
        <w:spacing w:after="0" w:line="22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Goodwill is tested for impairment annually, or more frequently, if an event or circumstance indicates that an impairment loss may have been incurred.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07" w:lineRule="exact"/>
        <w:rPr>
          <w:sz w:val="20"/>
          <w:szCs w:val="20"/>
          <w:color w:val="auto"/>
        </w:rPr>
      </w:pPr>
    </w:p>
    <w:p>
      <w:pPr>
        <w:jc w:val="both"/>
        <w:ind w:firstLine="591"/>
        <w:spacing w:after="0" w:line="274"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Fair value is determined through various valuation techniques including discounted cash flow models and third-party independent appraisals, as considered necessary. Assets to be disposed of are reported at the lower of the carrying amount of the asset or fair value less selling costs.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Debt issuance costs</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 Early repayment of debt facilities can result in modification of the debt and the acceleration of the amortization of debt issuance costs.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Derivative financial instruments</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has used derivative financial instruments to reduce exposures to interest rates. Derivatives are recorded on the Consolidated Balance Sheet at fair value at each balance sheet date utilizing pricing models for non-exchange-traded contracts.</w:t>
      </w:r>
    </w:p>
    <w:p>
      <w:pPr>
        <w:spacing w:after="0" w:line="193"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criteria for designating a derivative as a hedge include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4" w:name="page115"/>
    <w:bookmarkEnd w:id="114"/>
    <w:p>
      <w:pPr>
        <w:jc w:val="both"/>
        <w:spacing w:after="0" w:line="255" w:lineRule="auto"/>
        <w:rPr>
          <w:sz w:val="20"/>
          <w:szCs w:val="20"/>
          <w:color w:val="auto"/>
        </w:rPr>
      </w:pPr>
      <w:r>
        <w:rPr>
          <w:rFonts w:ascii="Arial" w:cs="Arial" w:eastAsia="Arial" w:hAnsi="Arial"/>
          <w:sz w:val="15"/>
          <w:szCs w:val="15"/>
          <w:color w:val="auto"/>
        </w:rPr>
        <w:t>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Income taxes</w:t>
      </w:r>
    </w:p>
    <w:p>
      <w:pPr>
        <w:spacing w:after="0" w:line="222" w:lineRule="exact"/>
        <w:rPr>
          <w:sz w:val="20"/>
          <w:szCs w:val="20"/>
          <w:color w:val="auto"/>
        </w:rPr>
      </w:pPr>
    </w:p>
    <w:p>
      <w:pPr>
        <w:jc w:val="both"/>
        <w:ind w:firstLine="591"/>
        <w:spacing w:after="0" w:line="270" w:lineRule="auto"/>
        <w:rPr>
          <w:sz w:val="20"/>
          <w:szCs w:val="20"/>
          <w:color w:val="auto"/>
        </w:rPr>
      </w:pPr>
      <w:r>
        <w:rPr>
          <w:rFonts w:ascii="Arial" w:cs="Arial" w:eastAsia="Arial" w:hAnsi="Arial"/>
          <w:sz w:val="14"/>
          <w:szCs w:val="14"/>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Government grants</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Research and development credits</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Research and development credits are available to the Company under the tax laws in certain jurisdictions, based on qualifying research and development spend as defined under those tax laws. Research and development credits may be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 xml:space="preserve">The Company accounts for its share options, Restricted Share Units ("RSUs") and Performance Share Units ("PSUs") in accordance with the provisions of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("ASC 718")</w:t>
      </w:r>
      <w:r>
        <w:rPr>
          <w:rFonts w:ascii="Arial" w:cs="Arial" w:eastAsia="Arial" w:hAnsi="Arial"/>
          <w:sz w:val="15"/>
          <w:szCs w:val="15"/>
          <w:i w:val="1"/>
          <w:iCs w:val="1"/>
          <w:color w:val="auto"/>
        </w:rPr>
        <w:t>.</w:t>
      </w:r>
    </w:p>
    <w:p>
      <w:pPr>
        <w:spacing w:after="0" w:line="106" w:lineRule="exact"/>
        <w:rPr>
          <w:sz w:val="20"/>
          <w:szCs w:val="20"/>
          <w:color w:val="auto"/>
        </w:rPr>
      </w:pPr>
    </w:p>
    <w:p>
      <w:pPr>
        <w:jc w:val="both"/>
        <w:ind w:firstLine="591"/>
        <w:spacing w:after="0" w:line="261" w:lineRule="auto"/>
        <w:rPr>
          <w:sz w:val="20"/>
          <w:szCs w:val="20"/>
          <w:color w:val="auto"/>
        </w:rPr>
      </w:pPr>
      <w:r>
        <w:rPr>
          <w:rFonts w:ascii="Arial" w:cs="Arial" w:eastAsia="Arial" w:hAnsi="Arial"/>
          <w:sz w:val="15"/>
          <w:szCs w:val="15"/>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86"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Liability classified awards are measured at the fair value of the award on the grant date and remeasured at each reporting period at fair value until the award is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settled.</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Replacement awards</w:t>
      </w:r>
    </w:p>
    <w:p>
      <w:pPr>
        <w:spacing w:after="0" w:line="208"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connection with the completion of the Merger, the company issued replacement awards to the holders of PRA equity awards on July 1, 2021. An exchange of share-based compensation awards in a business combination is treated as 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5" w:name="page116"/>
    <w:bookmarkEnd w:id="115"/>
    <w:p>
      <w:pPr>
        <w:jc w:val="both"/>
        <w:spacing w:after="0" w:line="238" w:lineRule="auto"/>
        <w:rPr>
          <w:sz w:val="20"/>
          <w:szCs w:val="20"/>
          <w:color w:val="auto"/>
        </w:rPr>
      </w:pPr>
      <w:r>
        <w:rPr>
          <w:rFonts w:ascii="Arial" w:cs="Arial" w:eastAsia="Arial" w:hAnsi="Arial"/>
          <w:sz w:val="15"/>
          <w:szCs w:val="15"/>
          <w:color w:val="auto"/>
        </w:rPr>
        <w:t>modification under ASC 718. The replacement awards and the original acquiree awards are measured at fair value at the acquisition date and calculated using the fair-value-based measurement principles in ASC 718. Amounts attributable to pre-combination vesting are accounted for as part of the consideration transferred for the acquiree. Amounts attributable to post-combination vesting are accounted for separate from the business combination and are recognized as compensation cost in the post-combination period.</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Transaction and integration-related expenses</w:t>
      </w:r>
    </w:p>
    <w:p>
      <w:pPr>
        <w:spacing w:after="0" w:line="210"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Transaction and integration-related expenses are the incremental costs directly attributable to completion and integration activities associated with the Company’s recent acquisitions. The costs consist of investment banking fees, advisory costs, professional fees, legal costs, retention agreements with employees, and ongoing integration activities offset by the remeasurement of liability-classified contingent consideration. The Company accounts for these transaction and integration-related costs as expenses in the period in which the costs are incurred and the services are received.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Restructuring</w:t>
      </w:r>
    </w:p>
    <w:p>
      <w:pPr>
        <w:spacing w:after="0" w:line="210" w:lineRule="exact"/>
        <w:rPr>
          <w:sz w:val="20"/>
          <w:szCs w:val="20"/>
          <w:color w:val="auto"/>
        </w:rPr>
      </w:pPr>
    </w:p>
    <w:p>
      <w:pPr>
        <w:jc w:val="both"/>
        <w:ind w:firstLine="591"/>
        <w:spacing w:after="0" w:line="249" w:lineRule="auto"/>
        <w:rPr>
          <w:sz w:val="20"/>
          <w:szCs w:val="20"/>
          <w:color w:val="auto"/>
        </w:rPr>
      </w:pPr>
      <w:r>
        <w:rPr>
          <w:rFonts w:ascii="Arial" w:cs="Arial" w:eastAsia="Arial" w:hAnsi="Arial"/>
          <w:sz w:val="15"/>
          <w:szCs w:val="15"/>
          <w:color w:val="auto"/>
        </w:rPr>
        <w:t>Restructuring charges reflect certain one-time costs arising from reorganization programs announced by Company management. These programs generally result in asset impairments and workforce reductions in order to optimize the Company’s structure and facilitate improved long-term performance. Asset related impairment charges are taken when the fair value is less than the asset’s carrying value. Workforce related charges are taken when an approved reorganization program is communicated to the relevant employee groups.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Net income per ordinary share</w:t>
      </w:r>
    </w:p>
    <w:p>
      <w:pPr>
        <w:spacing w:after="0" w:line="222"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Impact of Recently Issued or Adopted Accounting Standards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Accounting pronouncements recently adopted</w:t>
      </w:r>
    </w:p>
    <w:p>
      <w:pPr>
        <w:spacing w:after="0" w:line="22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 xml:space="preserve">In November 2023, the Financial Accounting Standards Board (“FASB”) issued Accounting Standards Update (“ASU”) 2023-07, Segment Reporting – Improvements to Reportable Segment Disclosures (“ASU 2023-07”), which amends the guidance in ASC Topic 280, Segment Reporting (“Topic 280”). The amended guidance requires disclosure of significant segment expenses and other segment items on an annual and interim basis, as well as additional qualitative disclosures. Furthermore, all disclosures about a reportable segment’s profit or loss, which are currently required annually, will be mandated for interim periods. The Company adopted ASU 2023-07 effective January 1, 2024, which resulted in additional segment reporting related disclosures. Refer to note 22. </w:t>
      </w:r>
      <w:r>
        <w:rPr>
          <w:rFonts w:ascii="Arial" w:cs="Arial" w:eastAsia="Arial" w:hAnsi="Arial"/>
          <w:sz w:val="15"/>
          <w:szCs w:val="15"/>
          <w:i w:val="1"/>
          <w:iCs w:val="1"/>
          <w:color w:val="auto"/>
        </w:rPr>
        <w:t>Business Segment and Geographical</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w:t>
      </w:r>
      <w:r>
        <w:rPr>
          <w:rFonts w:ascii="Arial" w:cs="Arial" w:eastAsia="Arial" w:hAnsi="Arial"/>
          <w:sz w:val="15"/>
          <w:szCs w:val="15"/>
          <w:color w:val="auto"/>
        </w:rPr>
        <w:t>.</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Accounting pronouncements issued but not adopted as of December 31, 2024</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accounting pronouncements have been issued, but not yet adopted, as of December 31, 2024:</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In December 2023, the FASB issued ASU 2023-09, Improvements to Income Tax Disclosures, which requires disaggregated information about an entity’s effective tax rate reconciliation and additional discloses on income taxes paid. The new requirements are effective for annual periods beginning after December 15, 2024. The guidance is to be applied prospectively, with an option for retrospective application. The Company is currently evaluating the impact of this new guidance on disclosures within its consolidated financial statements.</w:t>
      </w:r>
    </w:p>
    <w:p>
      <w:pPr>
        <w:spacing w:after="0" w:line="191"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In November 2024, the FASB issued ASU 2024-03, Disaggregation of Income Statement Expenses, which requires disaggregated disclosure of income statement expenses. The new standard requires disclosures about specific types of expenses included in the expense captions presented on the face of the income statement, as well as disclosures about selling expenses. The new requirements are effective for annual periods beginning after December 15, 2026, and interim periods within fiscal years beginning after December 15, 2027. Requirements are to be applied prospectively, with an option for retrospective application. The Company is currently evaluating the impact of this new guidance on disclosures within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b w:val="1"/>
          <w:bCs w:val="1"/>
          <w:color w:val="auto"/>
        </w:rPr>
        <w:t>3. Disaggregation of Revenue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ind w:left="600"/>
              <w:spacing w:after="0"/>
              <w:rPr>
                <w:sz w:val="20"/>
                <w:szCs w:val="20"/>
                <w:color w:val="auto"/>
              </w:rPr>
            </w:pPr>
            <w:r>
              <w:rPr>
                <w:rFonts w:ascii="Arial" w:cs="Arial" w:eastAsia="Arial" w:hAnsi="Arial"/>
                <w:sz w:val="15"/>
                <w:szCs w:val="15"/>
                <w:color w:val="auto"/>
              </w:rPr>
              <w:t>Revenue disaggregated by customer concentration is as follows: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6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7"/>
        </w:trPr>
        <w:tc>
          <w:tcPr>
            <w:tcW w:w="69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Top client</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639,520</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721,309</w:t>
            </w: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683,546</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2-5</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1,431,873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1,453,508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1,506,087</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Clients 6-10</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1,306,604</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1,188,943</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1,112,636</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11-25</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1,774,160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1,743,539</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1,585,739</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3,129,519</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3,012,877</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2,853,378</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8,281,676</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$8,120,176</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$7,741,386</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There was no revenue from individual customers greater than 10% of consolidated revenue in the respective years. Our customers have similar profiles and economic characteristics, and therefore have similar degrees of risk and growth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 w:type="dxa"/>
            <w:vAlign w:val="bottom"/>
          </w:tcPr>
          <w:p>
            <w:pPr>
              <w:spacing w:after="0"/>
              <w:rPr>
                <w:sz w:val="16"/>
                <w:szCs w:val="16"/>
                <w:color w:val="auto"/>
              </w:rPr>
            </w:pPr>
          </w:p>
        </w:tc>
        <w:tc>
          <w:tcPr>
            <w:tcW w:w="4760" w:type="dxa"/>
            <w:vAlign w:val="bottom"/>
          </w:tcPr>
          <w:p>
            <w:pPr>
              <w:ind w:left="520"/>
              <w:spacing w:after="0"/>
              <w:rPr>
                <w:sz w:val="20"/>
                <w:szCs w:val="20"/>
                <w:color w:val="auto"/>
              </w:rPr>
            </w:pPr>
            <w:r>
              <w:rPr>
                <w:rFonts w:ascii="Arial" w:cs="Arial" w:eastAsia="Arial" w:hAnsi="Arial"/>
                <w:sz w:val="15"/>
                <w:szCs w:val="15"/>
                <w:color w:val="auto"/>
              </w:rPr>
              <w:t>Accounts receivable and unbilled revenue are as follows: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2"/>
        </w:trPr>
        <w:tc>
          <w:tcPr>
            <w:tcW w:w="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60" w:type="dxa"/>
            <w:vAlign w:val="bottom"/>
          </w:tcPr>
          <w:p>
            <w:pPr>
              <w:spacing w:after="0"/>
              <w:rPr>
                <w:sz w:val="8"/>
                <w:szCs w:val="8"/>
                <w:color w:val="auto"/>
              </w:rPr>
            </w:pPr>
          </w:p>
        </w:tc>
      </w:tr>
      <w:tr>
        <w:trPr>
          <w:trHeight w:val="197"/>
        </w:trPr>
        <w:tc>
          <w:tcPr>
            <w:tcW w:w="80" w:type="dxa"/>
            <w:vAlign w:val="bottom"/>
            <w:tcBorders>
              <w:bottom w:val="single" w:sz="8" w:color="auto"/>
            </w:tcBorders>
            <w:shd w:val="clear" w:color="auto" w:fill="CCEEFF"/>
          </w:tcPr>
          <w:p>
            <w:pPr>
              <w:spacing w:after="0"/>
              <w:rPr>
                <w:sz w:val="17"/>
                <w:szCs w:val="17"/>
                <w:color w:val="auto"/>
              </w:rPr>
            </w:pPr>
          </w:p>
        </w:tc>
        <w:tc>
          <w:tcPr>
            <w:tcW w:w="47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920"/>
              <w:spacing w:after="0"/>
              <w:rPr>
                <w:sz w:val="20"/>
                <w:szCs w:val="20"/>
                <w:color w:val="auto"/>
              </w:rPr>
            </w:pPr>
            <w:r>
              <w:rPr>
                <w:rFonts w:ascii="Arial" w:cs="Arial" w:eastAsia="Arial" w:hAnsi="Arial"/>
                <w:sz w:val="15"/>
                <w:szCs w:val="15"/>
                <w:b w:val="1"/>
                <w:bCs w:val="1"/>
                <w:color w:val="auto"/>
              </w:rPr>
              <w:t>(in thousands)</w:t>
            </w:r>
          </w:p>
        </w:tc>
      </w:tr>
      <w:tr>
        <w:trPr>
          <w:trHeight w:val="19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Billed services (accounts receivable)</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1,437,653</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1,821,855</w:t>
            </w:r>
          </w:p>
        </w:tc>
        <w:tc>
          <w:tcPr>
            <w:tcW w:w="60" w:type="dxa"/>
            <w:vAlign w:val="bottom"/>
            <w:shd w:val="clear" w:color="auto" w:fill="CCEEFF"/>
          </w:tcPr>
          <w:p>
            <w:pPr>
              <w:spacing w:after="0"/>
              <w:rPr>
                <w:sz w:val="17"/>
                <w:szCs w:val="17"/>
                <w:color w:val="auto"/>
              </w:rPr>
            </w:pPr>
          </w:p>
        </w:tc>
      </w:tr>
      <w:tr>
        <w:trPr>
          <w:trHeight w:val="196"/>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Allowance for credit losses (note 5)</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(35,664)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(31,533)</w:t>
            </w:r>
          </w:p>
        </w:tc>
      </w:tr>
      <w:tr>
        <w:trPr>
          <w:trHeight w:val="19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1,401,989</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1,790,322</w:t>
            </w:r>
          </w:p>
        </w:tc>
        <w:tc>
          <w:tcPr>
            <w:tcW w:w="60" w:type="dxa"/>
            <w:vAlign w:val="bottom"/>
            <w:shd w:val="clear" w:color="auto" w:fill="CCEEFF"/>
          </w:tcPr>
          <w:p>
            <w:pPr>
              <w:spacing w:after="0"/>
              <w:rPr>
                <w:sz w:val="16"/>
                <w:szCs w:val="16"/>
                <w:color w:val="auto"/>
              </w:rPr>
            </w:pPr>
          </w:p>
        </w:tc>
      </w:tr>
      <w:tr>
        <w:trPr>
          <w:trHeight w:val="196"/>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Unbilled services (unbilled revenue)</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1,286,274</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951,936</w:t>
            </w:r>
          </w:p>
        </w:tc>
        <w:tc>
          <w:tcPr>
            <w:tcW w:w="60" w:type="dxa"/>
            <w:vAlign w:val="bottom"/>
            <w:tcBorders>
              <w:bottom w:val="single" w:sz="8" w:color="auto"/>
            </w:tcBorders>
          </w:tcPr>
          <w:p>
            <w:pPr>
              <w:spacing w:after="0"/>
              <w:rPr>
                <w:sz w:val="17"/>
                <w:szCs w:val="17"/>
                <w:color w:val="auto"/>
              </w:rPr>
            </w:pPr>
          </w:p>
        </w:tc>
      </w:tr>
      <w:tr>
        <w:trPr>
          <w:trHeight w:val="214"/>
        </w:trPr>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8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2,688,263</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2,742,258</w:t>
            </w:r>
          </w:p>
        </w:tc>
        <w:tc>
          <w:tcPr>
            <w:tcW w:w="60" w:type="dxa"/>
            <w:vAlign w:val="bottom"/>
            <w:tcBorders>
              <w:bottom w:val="single" w:sz="8" w:color="auto"/>
            </w:tcBorders>
            <w:shd w:val="clear" w:color="auto" w:fill="CCEEFF"/>
          </w:tcPr>
          <w:p>
            <w:pPr>
              <w:spacing w:after="0"/>
              <w:rPr>
                <w:sz w:val="18"/>
                <w:szCs w:val="18"/>
                <w:color w:val="auto"/>
              </w:rPr>
            </w:pPr>
          </w:p>
        </w:tc>
      </w:tr>
      <w:tr>
        <w:trPr>
          <w:trHeight w:val="20"/>
        </w:trPr>
        <w:tc>
          <w:tcPr>
            <w:tcW w:w="80" w:type="dxa"/>
            <w:vAlign w:val="bottom"/>
            <w:tcBorders>
              <w:top w:val="single" w:sz="8" w:color="CCEEFF"/>
              <w:bottom w:val="single" w:sz="8" w:color="auto"/>
            </w:tcBorders>
          </w:tcPr>
          <w:p>
            <w:pPr>
              <w:spacing w:after="0" w:line="20" w:lineRule="exact"/>
              <w:rPr>
                <w:sz w:val="1"/>
                <w:szCs w:val="1"/>
                <w:color w:val="auto"/>
              </w:rPr>
            </w:pPr>
          </w:p>
        </w:tc>
        <w:tc>
          <w:tcPr>
            <w:tcW w:w="812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461"/>
        </w:trPr>
        <w:tc>
          <w:tcPr>
            <w:tcW w:w="80" w:type="dxa"/>
            <w:vAlign w:val="bottom"/>
          </w:tcPr>
          <w:p>
            <w:pPr>
              <w:spacing w:after="0"/>
              <w:rPr>
                <w:sz w:val="24"/>
                <w:szCs w:val="24"/>
                <w:color w:val="auto"/>
              </w:rPr>
            </w:pPr>
          </w:p>
        </w:tc>
        <w:tc>
          <w:tcPr>
            <w:tcW w:w="8120" w:type="dxa"/>
            <w:vAlign w:val="bottom"/>
            <w:gridSpan w:val="5"/>
          </w:tcPr>
          <w:p>
            <w:pPr>
              <w:ind w:left="520"/>
              <w:spacing w:after="0"/>
              <w:rPr>
                <w:sz w:val="20"/>
                <w:szCs w:val="20"/>
                <w:color w:val="auto"/>
              </w:rPr>
            </w:pPr>
            <w:r>
              <w:rPr>
                <w:rFonts w:ascii="Arial" w:cs="Arial" w:eastAsia="Arial" w:hAnsi="Arial"/>
                <w:sz w:val="15"/>
                <w:szCs w:val="15"/>
                <w:color w:val="auto"/>
              </w:rPr>
              <w:t>Unbilled services and unearned revenue or payments on account (contract assets and liabilities) were as follows: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r>
      <w:tr>
        <w:trPr>
          <w:trHeight w:val="197"/>
        </w:trPr>
        <w:tc>
          <w:tcPr>
            <w:tcW w:w="80" w:type="dxa"/>
            <w:vAlign w:val="bottom"/>
          </w:tcPr>
          <w:p>
            <w:pPr>
              <w:spacing w:after="0"/>
              <w:rPr>
                <w:sz w:val="17"/>
                <w:szCs w:val="17"/>
                <w:color w:val="auto"/>
              </w:rPr>
            </w:pPr>
          </w:p>
        </w:tc>
        <w:tc>
          <w:tcPr>
            <w:tcW w:w="47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b w:val="1"/>
                <w:bCs w:val="1"/>
                <w:color w:val="auto"/>
                <w:w w:val="98"/>
              </w:rPr>
              <w:t>Change</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 Change</w:t>
            </w:r>
          </w:p>
        </w:tc>
        <w:tc>
          <w:tcPr>
            <w:tcW w:w="60" w:type="dxa"/>
            <w:vAlign w:val="bottom"/>
          </w:tcPr>
          <w:p>
            <w:pPr>
              <w:spacing w:after="0"/>
              <w:rPr>
                <w:sz w:val="17"/>
                <w:szCs w:val="17"/>
                <w:color w:val="auto"/>
              </w:rPr>
            </w:pPr>
          </w:p>
        </w:tc>
      </w:tr>
      <w:tr>
        <w:trPr>
          <w:trHeight w:val="189"/>
        </w:trPr>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4"/>
          </w:tcPr>
          <w:p>
            <w:pPr>
              <w:jc w:val="center"/>
              <w:ind w:right="146"/>
              <w:spacing w:after="0"/>
              <w:rPr>
                <w:sz w:val="20"/>
                <w:szCs w:val="20"/>
                <w:color w:val="auto"/>
              </w:rPr>
            </w:pPr>
            <w:r>
              <w:rPr>
                <w:rFonts w:ascii="Arial" w:cs="Arial" w:eastAsia="Arial" w:hAnsi="Arial"/>
                <w:sz w:val="15"/>
                <w:szCs w:val="15"/>
                <w:b w:val="1"/>
                <w:bCs w:val="1"/>
                <w:color w:val="auto"/>
                <w:w w:val="98"/>
              </w:rPr>
              <w:t>(in thousands, except percentages)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8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services (unbilled revenue)</w:t>
            </w:r>
          </w:p>
        </w:tc>
        <w:tc>
          <w:tcPr>
            <w:tcW w:w="8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1,286,274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951,936</w:t>
            </w:r>
          </w:p>
        </w:tc>
        <w:tc>
          <w:tcPr>
            <w:tcW w:w="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334,338</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35.1 %</w:t>
            </w:r>
          </w:p>
        </w:tc>
        <w:tc>
          <w:tcPr>
            <w:tcW w:w="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(1,614,758)</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(1,654,507)</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39,749</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7"/>
                <w:szCs w:val="17"/>
                <w:color w:val="auto"/>
              </w:rPr>
            </w:pPr>
          </w:p>
        </w:tc>
      </w:tr>
      <w:tr>
        <w:trPr>
          <w:trHeight w:val="214"/>
        </w:trPr>
        <w:tc>
          <w:tcPr>
            <w:tcW w:w="80" w:type="dxa"/>
            <w:vAlign w:val="bottom"/>
          </w:tcPr>
          <w:p>
            <w:pPr>
              <w:spacing w:after="0"/>
              <w:rPr>
                <w:sz w:val="18"/>
                <w:szCs w:val="18"/>
                <w:color w:val="auto"/>
              </w:rPr>
            </w:pPr>
          </w:p>
        </w:tc>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balance</w:t>
            </w:r>
          </w:p>
        </w:tc>
        <w:tc>
          <w:tcPr>
            <w:tcW w:w="8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(328,484)</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(702,571)</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374,087</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4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91"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pacing w:after="0" w:line="20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is the contract principal in respect of both direct services and in the use of third parties (principally investigator services) that support a clinical trial. The progress towards completion for clinical service contracts is measured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7" w:name="page118"/>
    <w:bookmarkEnd w:id="117"/>
    <w:p>
      <w:pPr>
        <w:jc w:val="both"/>
        <w:spacing w:after="0" w:line="269" w:lineRule="auto"/>
        <w:rPr>
          <w:sz w:val="20"/>
          <w:szCs w:val="20"/>
          <w:color w:val="auto"/>
        </w:rPr>
      </w:pPr>
      <w:r>
        <w:rPr>
          <w:rFonts w:ascii="Arial" w:cs="Arial" w:eastAsia="Arial" w:hAnsi="Arial"/>
          <w:sz w:val="15"/>
          <w:szCs w:val="15"/>
          <w:color w:val="auto"/>
        </w:rPr>
        <w:t xml:space="preserve">based on total project costs (including reimbursable costs). Amounts owed to investigators and others in respect of reimbursable expenses at December 31, 2024 and December 31, 2023 were $369.2 million and $333.0 million (see note 12. </w:t>
      </w:r>
      <w:r>
        <w:rPr>
          <w:rFonts w:ascii="Arial" w:cs="Arial" w:eastAsia="Arial" w:hAnsi="Arial"/>
          <w:sz w:val="15"/>
          <w:szCs w:val="15"/>
          <w:i w:val="1"/>
          <w:iCs w:val="1"/>
          <w:color w:val="auto"/>
        </w:rPr>
        <w:t>Other liabilities</w:t>
      </w:r>
      <w:r>
        <w:rPr>
          <w:rFonts w:ascii="Arial" w:cs="Arial" w:eastAsia="Arial" w:hAnsi="Arial"/>
          <w:sz w:val="15"/>
          <w:szCs w:val="15"/>
          <w:color w:val="auto"/>
        </w:rPr>
        <w:t>).</w:t>
      </w:r>
    </w:p>
    <w:p>
      <w:pPr>
        <w:spacing w:after="0" w:line="193"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Unbilled services as at December 31, 2024 increased by $334.3 million as compared to December 31, 2023. Unearned revenue decreased by $39.7 million over the same period resulting in a decrease of $374.1 million in the net balance of unbilled services and unearned revenue or payments on account between December 31, 2023 and December 31, 2024.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195"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credit loss expense recognized on the Company's receivables and unbilled services was $28.4 million and $24.6 million for the years ended December 31, 2024 and 2023, respectively.</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As of December 31, 2024, $15.9 billion (December 31, 2023: $14.8 billion) of revenue is expected to be recognized in the future in respect of unsatisfied performance obligations. The Company expects to recognize revenue on approximately 47% of the unsatisfied performance obligation over the next twelve months (December 31, 2023: 52%), with the remainder recognized thereafter over the duration of the customer contracts.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Allowance for Credit Losses</w:t>
      </w:r>
    </w:p>
    <w:p>
      <w:pPr>
        <w:spacing w:after="0" w:line="197"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Company does business with most major international pharmaceutical companies. Provision for credit losses at December 31, 2024 and December 31, 2023 comprises: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Borders>
              <w:bottom w:val="single" w:sz="8" w:color="auto"/>
            </w:tcBorders>
            <w:shd w:val="clear" w:color="auto" w:fill="CCEEFF"/>
          </w:tcPr>
          <w:p>
            <w:pPr>
              <w:spacing w:after="0"/>
              <w:rPr>
                <w:sz w:val="17"/>
                <w:szCs w:val="17"/>
                <w:color w:val="auto"/>
              </w:rPr>
            </w:pPr>
          </w:p>
        </w:tc>
        <w:tc>
          <w:tcPr>
            <w:tcW w:w="4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5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6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rPr>
              <w:t>(in thousands)</w:t>
            </w:r>
          </w:p>
        </w:tc>
        <w:tc>
          <w:tcPr>
            <w:tcW w:w="740" w:type="dxa"/>
            <w:vAlign w:val="bottom"/>
          </w:tcPr>
          <w:p>
            <w:pPr>
              <w:spacing w:after="0"/>
              <w:rPr>
                <w:sz w:val="16"/>
                <w:szCs w:val="16"/>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Opening provision</w:t>
            </w:r>
          </w:p>
        </w:tc>
        <w:tc>
          <w:tcPr>
            <w:tcW w:w="352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31,533</w:t>
            </w: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20,562</w:t>
            </w:r>
          </w:p>
        </w:tc>
      </w:tr>
      <w:tr>
        <w:trPr>
          <w:trHeight w:val="196"/>
        </w:trPr>
        <w:tc>
          <w:tcPr>
            <w:tcW w:w="5300" w:type="dxa"/>
            <w:vAlign w:val="bottom"/>
          </w:tcPr>
          <w:p>
            <w:pPr>
              <w:ind w:left="20"/>
              <w:spacing w:after="0"/>
              <w:rPr>
                <w:sz w:val="20"/>
                <w:szCs w:val="20"/>
                <w:color w:val="auto"/>
              </w:rPr>
            </w:pPr>
            <w:r>
              <w:rPr>
                <w:rFonts w:ascii="Arial" w:cs="Arial" w:eastAsia="Arial" w:hAnsi="Arial"/>
                <w:sz w:val="15"/>
                <w:szCs w:val="15"/>
                <w:color w:val="auto"/>
              </w:rPr>
              <w:t>Amounts used during the year</w:t>
            </w:r>
          </w:p>
        </w:tc>
        <w:tc>
          <w:tcPr>
            <w:tcW w:w="3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(24,887)</w:t>
            </w:r>
          </w:p>
        </w:tc>
        <w:tc>
          <w:tcPr>
            <w:tcW w:w="7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(13,358)</w:t>
            </w:r>
          </w:p>
        </w:tc>
      </w:tr>
      <w:tr>
        <w:trPr>
          <w:trHeight w:val="199"/>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provided during the year</w:t>
            </w:r>
          </w:p>
        </w:tc>
        <w:tc>
          <w:tcPr>
            <w:tcW w:w="3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28,417</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24,550</w:t>
            </w:r>
          </w:p>
        </w:tc>
      </w:tr>
      <w:tr>
        <w:trPr>
          <w:trHeight w:val="1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Foreign exchange</w:t>
            </w:r>
          </w:p>
        </w:tc>
        <w:tc>
          <w:tcPr>
            <w:tcW w:w="3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r>
      <w:tr>
        <w:trPr>
          <w:trHeight w:val="214"/>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352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35,664</w:t>
            </w:r>
          </w:p>
        </w:tc>
        <w:tc>
          <w:tcPr>
            <w:tcW w:w="70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31,533</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b w:val="1"/>
          <w:bCs w:val="1"/>
          <w:color w:val="auto"/>
        </w:rPr>
        <w:t>6. Business Combinations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KCR S.A. Group Acquisition</w:t>
      </w:r>
    </w:p>
    <w:p>
      <w:pPr>
        <w:spacing w:after="0" w:line="9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August 19, 2024, the Company acquired the KCR S.A. Group ("KCR"), a CRO offering full service and functional services partnership ("FSP") clinical trial services, in exchange for consideration of $92.5 million. The acquisition of KCR has been accounted for as a business combination in accordance with ASC 805 'Business Combinations' ('ASC 805').</w:t>
      </w:r>
    </w:p>
    <w:p>
      <w:pPr>
        <w:spacing w:after="0" w:line="7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net cash outflow was $76.4 million comprising cash payments of $88.1 million, net of cash acquired of $11.7 million. The fair value of contingent consideration was initially measured at the date of acquisition at $4.3 million and subsequently remeasured at $1.1 million.</w:t>
      </w:r>
    </w:p>
    <w:p>
      <w:pPr>
        <w:spacing w:after="0" w:line="18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final purchase price allocation resulted in the recognition of goodwill of $43.4 million and intangible assets of $45.1 million. Goodwill arising in connection with the acquisition is primarily attributable to the assembled workforce of KCR and the expected synergies of the acquisition. The goodwill recognized is not deductible for income tax purposes.</w:t>
      </w:r>
    </w:p>
    <w:p>
      <w:pPr>
        <w:spacing w:after="0" w:line="197"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Since August 19, 2024, KCR has earned revenue of $32.8 million and net income of $1.8 million which are included in the Group's Consolidated Statement of Operations for the year ended December 31, 2024. The pro-forma effect of the KCR acquisition if completed on January 1, 2023 would have resulted in revenue and net income for the fiscal year ended December 31, 2024 of $8,331.5 million and $792.5 million respectively and in revenue and net income for the fiscal year ended December 31, 2023 of $8,202.0 million and $613.3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HumanFirst Inc.</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January 9, 2024, the Company acquired HumanFirst Inc. ("HumanFirst"), a life sciences technology company in exchange for consideration of $13.3 million.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The acquisition of HumanFirst has been accounted for as a business combination in accordance with ASC 805.</w:t>
      </w:r>
    </w:p>
    <w:p>
      <w:pPr>
        <w:spacing w:after="0" w:line="9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net cash outflow was $7.8 million comprising initial cash payments of $11.8 million, net of cash acquired of $4.0 million. Deferred consideration of $1.4 million remains unpaid as of December 31, 2024.</w:t>
      </w:r>
    </w:p>
    <w:p>
      <w:pPr>
        <w:spacing w:after="0" w:line="6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recognized is not deductible for income tax purposes.</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BioTel Research LLC Acquisition</w:t>
      </w:r>
    </w:p>
    <w:p>
      <w:pPr>
        <w:spacing w:after="0" w:line="99"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4"/>
          <w:szCs w:val="14"/>
          <w:color w:val="auto"/>
        </w:rPr>
        <w:t>On October 2, 2023, the Company acquired the entire outstanding equity interests of BioTel Research LLC (“BioTel”), a leading provider of medical imaging and cardiac safety monitoring services, from BioTelemetry Inc. in exchange for initial cash consideration of $68.1 million. Cash acquired amounted to $1.4 million. The final purchase price allocation resulted in the recognition of intangible assets of $36.4 million and goodwill of $23.4 million. Goodwill arising in connection with the acquisition is primarily attributable to the assembled workforce of BioTel and the expected synergies of the acquisition. The goodwill recognized is deductible for income tax purposes.</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PRA Health Sciences, Inc. Acquisition</w:t>
      </w:r>
    </w:p>
    <w:p>
      <w:pPr>
        <w:spacing w:after="0" w:line="9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July 1, 2021 (the "Merger Date"), the Company completed the acquisition of PRA by means of a merger whereby Indigo Merger Sub, Inc., a Delaware corporation and subsidiary of ICON, merged with and into PRA Health Sciences, Inc., the parent of PRA Health Sciences ("the Acquisition" and "the Merger"). The Merger was accounted for as a business combination using the acquisition method of accounting in accordance with ASC 805.</w:t>
      </w:r>
    </w:p>
    <w:p>
      <w:pPr>
        <w:spacing w:after="0" w:line="57" w:lineRule="exact"/>
        <w:rPr>
          <w:sz w:val="20"/>
          <w:szCs w:val="20"/>
          <w:color w:val="auto"/>
        </w:rPr>
      </w:pPr>
    </w:p>
    <w:p>
      <w:pPr>
        <w:jc w:val="both"/>
        <w:ind w:firstLine="591"/>
        <w:spacing w:after="0" w:line="292" w:lineRule="auto"/>
        <w:rPr>
          <w:sz w:val="20"/>
          <w:szCs w:val="20"/>
          <w:color w:val="auto"/>
        </w:rPr>
      </w:pPr>
      <w:r>
        <w:rPr>
          <w:rFonts w:ascii="Arial" w:cs="Arial" w:eastAsia="Arial" w:hAnsi="Arial"/>
          <w:sz w:val="15"/>
          <w:szCs w:val="15"/>
          <w:color w:val="auto"/>
        </w:rPr>
        <w:t>In the years ended December 31, 2024, December 31, 2023 and December 31, 2022, the Company incurred approximately $23.5 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$16.4 million and $17.7 million of Merger-related financing fees which are included in the “Interest expense” line item in the Consolidated Statement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Oncacare Limited Acquisition</w:t>
      </w:r>
    </w:p>
    <w:p>
      <w:pPr>
        <w:spacing w:after="0" w:line="99"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April 20, 2023, the Company completed the purchase of the majority investor's 51% majority voting share capital of Oncacare Limited ("Oncacare") for $5.1 million, such that Oncacare and its subsidiaries became wholly-owned subsidiaries of the ICON Group. The Oncacare acquisition resulted in goodwill of $13.4 million and also gave rise to an acquisition-related gain of $6.2 million.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and Integration Costs</w:t>
      </w:r>
    </w:p>
    <w:p>
      <w:pPr>
        <w:spacing w:after="0" w:line="111"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In the years ended December 31, 2024, December 31, 2023, and December 31, 2022, the Company incurred net Merger, transaction and integration related expenses of $29.6 million, $44.2 million and $39.7 million, respectively, which were accounted for separately from the business combination and expensed as incurred within the “Transaction and integration related” line item of the Consolidated Statement of Operations. The costs consist of investment banking fees, advisory costs,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5"/>
          <w:szCs w:val="15"/>
          <w:color w:val="auto"/>
        </w:rPr>
        <w:t>professional fees, legal costs, retention agreements with employees, ongoing business combination and integration activities offset by the remeasurement of liability-classified contingent consideration.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Fair Value</w:t>
      </w:r>
    </w:p>
    <w:p>
      <w:pPr>
        <w:spacing w:after="0" w:line="234"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91" w:lineRule="exact"/>
        <w:rPr>
          <w:sz w:val="20"/>
          <w:szCs w:val="20"/>
          <w:color w:val="auto"/>
        </w:rPr>
      </w:pPr>
    </w:p>
    <w:p>
      <w:pPr>
        <w:ind w:left="580" w:hanging="286"/>
        <w:spacing w:after="0"/>
        <w:tabs>
          <w:tab w:leader="none" w:pos="5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21" w:lineRule="exact"/>
        <w:rPr>
          <w:rFonts w:ascii="Arial" w:cs="Arial" w:eastAsia="Arial" w:hAnsi="Arial"/>
          <w:sz w:val="15"/>
          <w:szCs w:val="15"/>
          <w:color w:val="auto"/>
        </w:rPr>
      </w:pPr>
    </w:p>
    <w:p>
      <w:pPr>
        <w:ind w:left="600" w:hanging="306"/>
        <w:spacing w:after="0" w:line="248" w:lineRule="auto"/>
        <w:tabs>
          <w:tab w:leader="none" w:pos="59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00" w:hanging="306"/>
        <w:spacing w:after="0" w:line="257" w:lineRule="auto"/>
        <w:tabs>
          <w:tab w:leader="none" w:pos="59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Level 3 — Unobservable inputs that are supported by little or no market activity. This includes certain pricing models, discounted cash flow methodologies, and similar techniques that use significant unobservable inputs.</w:t>
      </w:r>
    </w:p>
    <w:p>
      <w:pPr>
        <w:spacing w:after="0" w:line="188"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carrying amounts of financial instruments, including cash and cash equivalents, accounts receivable and accounts payable approximate fair value due to the short maturities of these instruments.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December 31, 2024, the fair value of the major classes of the Company's assets and liabilities measured at fair value on a recurring basis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2900" w:type="dxa"/>
            <w:vAlign w:val="bottom"/>
            <w:tcBorders>
              <w:bottom w:val="single" w:sz="8" w:color="auto"/>
            </w:tcBorders>
            <w:gridSpan w:val="2"/>
            <w:shd w:val="clear" w:color="auto" w:fill="CCEEFF"/>
          </w:tcPr>
          <w:p>
            <w:pPr>
              <w:jc w:val="center"/>
              <w:ind w:left="126"/>
              <w:spacing w:after="0"/>
              <w:rPr>
                <w:sz w:val="20"/>
                <w:szCs w:val="20"/>
                <w:color w:val="auto"/>
              </w:rPr>
            </w:pPr>
            <w:r>
              <w:rPr>
                <w:rFonts w:ascii="Arial" w:cs="Arial" w:eastAsia="Arial" w:hAnsi="Arial"/>
                <w:sz w:val="15"/>
                <w:szCs w:val="15"/>
                <w:b w:val="1"/>
                <w:bCs w:val="1"/>
                <w:color w:val="auto"/>
                <w:w w:val="99"/>
              </w:rPr>
              <w:t>December 31, 2024</w:t>
            </w: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89"/>
        </w:trPr>
        <w:tc>
          <w:tcPr>
            <w:tcW w:w="4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Level 1</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Level 2</w:t>
            </w:r>
          </w:p>
        </w:tc>
        <w:tc>
          <w:tcPr>
            <w:tcW w:w="186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Level 3</w:t>
            </w: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5"/>
                <w:szCs w:val="15"/>
                <w:b w:val="1"/>
                <w:bCs w:val="1"/>
                <w:color w:val="auto"/>
              </w:rPr>
              <w:t>Other</w:t>
            </w:r>
            <w:r>
              <w:rPr>
                <w:rFonts w:ascii="Arial" w:cs="Arial" w:eastAsia="Arial" w:hAnsi="Arial"/>
                <w:sz w:val="19"/>
                <w:szCs w:val="19"/>
                <w:b w:val="1"/>
                <w:bCs w:val="1"/>
                <w:color w:val="auto"/>
                <w:vertAlign w:val="superscript"/>
              </w:rPr>
              <w:t>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189"/>
        </w:trPr>
        <w:tc>
          <w:tcPr>
            <w:tcW w:w="4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766"/>
              <w:spacing w:after="0"/>
              <w:rPr>
                <w:sz w:val="20"/>
                <w:szCs w:val="20"/>
                <w:color w:val="auto"/>
              </w:rPr>
            </w:pPr>
            <w:r>
              <w:rPr>
                <w:rFonts w:ascii="Arial" w:cs="Arial" w:eastAsia="Arial" w:hAnsi="Arial"/>
                <w:sz w:val="15"/>
                <w:szCs w:val="15"/>
                <w:b w:val="1"/>
                <w:bCs w:val="1"/>
                <w:color w:val="auto"/>
                <w:w w:val="98"/>
              </w:rPr>
              <w:t>(in thousands)</w:t>
            </w: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5"/>
                <w:szCs w:val="15"/>
                <w:color w:val="auto"/>
              </w:rPr>
              <w:t>Assets: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4280" w:type="dxa"/>
            <w:vAlign w:val="bottom"/>
            <w:tcBorders>
              <w:bottom w:val="single" w:sz="8" w:color="auto"/>
            </w:tcBorders>
            <w:shd w:val="clear" w:color="auto" w:fill="CCEEFF"/>
          </w:tcPr>
          <w:p>
            <w:pPr>
              <w:ind w:left="20"/>
              <w:spacing w:after="0" w:line="199"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19"/>
                <w:szCs w:val="19"/>
                <w:color w:val="auto"/>
                <w:vertAlign w:val="superscript"/>
              </w:rPr>
              <w:t>1,2</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 $</w:t>
            </w:r>
          </w:p>
        </w:tc>
        <w:tc>
          <w:tcPr>
            <w:tcW w:w="18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5"/>
                <w:szCs w:val="15"/>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186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Excludes investments in equity securities recorded at cost of $3.5 million which do not qualify for the NAV practical expedient.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at December 31, 2023, the fair value of the major classes of the Company's assets and liabilities measured at fair value on a recurring basis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December 31, 2023</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w w:val="98"/>
              </w:rPr>
              <w:t>Level 3</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5"/>
                <w:szCs w:val="15"/>
                <w:b w:val="1"/>
                <w:bCs w:val="1"/>
                <w:color w:val="auto"/>
              </w:rPr>
              <w:t>Other</w:t>
            </w:r>
            <w:r>
              <w:rPr>
                <w:rFonts w:ascii="Arial" w:cs="Arial" w:eastAsia="Arial" w:hAnsi="Arial"/>
                <w:sz w:val="19"/>
                <w:szCs w:val="19"/>
                <w:b w:val="1"/>
                <w:bCs w:val="1"/>
                <w:color w:val="auto"/>
                <w:vertAlign w:val="superscript"/>
              </w:rPr>
              <w:t>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189"/>
        </w:trPr>
        <w:tc>
          <w:tcPr>
            <w:tcW w:w="4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5"/>
                <w:szCs w:val="15"/>
                <w:color w:val="auto"/>
              </w:rPr>
              <w:t>Assets: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406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Available for sale securities</w:t>
            </w:r>
            <w:r>
              <w:rPr>
                <w:rFonts w:ascii="Arial" w:cs="Arial" w:eastAsia="Arial" w:hAnsi="Arial"/>
                <w:sz w:val="19"/>
                <w:szCs w:val="19"/>
                <w:color w:val="auto"/>
                <w:vertAlign w:val="superscript"/>
              </w:rPr>
              <w:t>3</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r>
      <w:tr>
        <w:trPr>
          <w:trHeight w:val="197"/>
        </w:trPr>
        <w:tc>
          <w:tcPr>
            <w:tcW w:w="406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19"/>
                <w:szCs w:val="19"/>
                <w:color w:val="auto"/>
                <w:vertAlign w:val="superscript"/>
              </w:rPr>
              <w:t>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46,804</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46,804</w:t>
            </w:r>
          </w:p>
        </w:tc>
      </w:tr>
      <w:tr>
        <w:trPr>
          <w:trHeight w:val="213"/>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800" w:type="dxa"/>
            <w:vAlign w:val="bottom"/>
            <w:tcBorders>
              <w:bottom w:val="single" w:sz="8" w:color="auto"/>
            </w:tcBorders>
            <w:gridSpan w:val="2"/>
            <w:shd w:val="clear" w:color="auto" w:fill="CCEEFF"/>
          </w:tcPr>
          <w:p>
            <w:pPr>
              <w:ind w:left="1080"/>
              <w:spacing w:after="0"/>
              <w:rPr>
                <w:sz w:val="20"/>
                <w:szCs w:val="20"/>
                <w:color w:val="auto"/>
              </w:rPr>
            </w:pPr>
            <w:r>
              <w:rPr>
                <w:rFonts w:ascii="Arial" w:cs="Arial" w:eastAsia="Arial" w:hAnsi="Arial"/>
                <w:sz w:val="15"/>
                <w:szCs w:val="15"/>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46,804</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48,758</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4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6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5"/>
                <w:szCs w:val="15"/>
                <w:color w:val="auto"/>
              </w:rPr>
              <w:t>Derivative instruments</w:t>
            </w:r>
            <w:r>
              <w:rPr>
                <w:rFonts w:ascii="Arial" w:cs="Arial" w:eastAsia="Arial" w:hAnsi="Arial"/>
                <w:sz w:val="19"/>
                <w:szCs w:val="19"/>
                <w:color w:val="auto"/>
                <w:vertAlign w:val="superscript"/>
              </w:rPr>
              <w:t>4</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w:t>
            </w:r>
          </w:p>
        </w:tc>
      </w:tr>
      <w:tr>
        <w:trPr>
          <w:trHeight w:val="213"/>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5"/>
          <w:szCs w:val="15"/>
          <w:color w:val="auto"/>
        </w:rPr>
        <w:t>Certain investments qualify for the NAV practical expedient in ASC 820. Investments in equity consist of interests in funds and equity securities without readily determinable fair values. To determine the classification of investments in equity, the Company considered the nature of its investment, the extent of influence over operating and financial decisions and the availability of readily determinable fair values. The Company determined that the interests in funds at December 31, 2024 and December 31, 2023 meet the definition of equity securities without readily determinable fair values. The Company concluded that the interests held at December 31, 2024 and December 31, 2023 qualify for the NAV practical expedient. Any increases or decreases in fair value are recognized in net income in the period.</w:t>
      </w:r>
    </w:p>
    <w:p>
      <w:pPr>
        <w:spacing w:after="0" w:line="214"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5"/>
          <w:szCs w:val="15"/>
          <w:color w:val="auto"/>
        </w:rPr>
        <w:t>Represents the fair value of highly liquid investments with maturities greater than three months, a minimum "A-" rated fixed term deposit and are based on quoted market prices.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4</w:t>
      </w:r>
      <w:r>
        <w:rPr>
          <w:rFonts w:ascii="Arial" w:cs="Arial" w:eastAsia="Arial" w:hAnsi="Arial"/>
          <w:sz w:val="15"/>
          <w:szCs w:val="15"/>
          <w:color w:val="auto"/>
        </w:rPr>
        <w:t>Represents the fair value of the interest rate caps and the interest rate swap.</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0" w:name="page121"/>
    <w:bookmarkEnd w:id="120"/>
    <w:p>
      <w:pPr>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20"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Certain assets and liabilities are carried on the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December 31, 2024, assets carried on the balance sheet and not re-measured to fair value on a recurring basis totaled approximately $12,614.7 million (December 31, 2023: $12,878.0 million) and are identified as Level 3 assets. These assets are comprised of goodwill of $9,051.4 million (December 31, 2023: $9,022.1 million), intangible assets of $3,559.8 million (December 31, 2023: $3,855.9 million) and investments in equity recorded at cost of $3.5 million.</w:t>
      </w:r>
    </w:p>
    <w:p>
      <w:pPr>
        <w:spacing w:after="0" w:line="3"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The estimated fair value of the Company’s debt was $3,469.2 million at December 31, 2024 (December 31, 2023: $3,793.5 million). The fair values of the senior secured term loan facility, the 2026 Notes and the New Notes were determined based on Level 2 inputs, which are based on rates at which the debt is traded among financial institutions. The fair value of the senior secured revolving loan facility approximates its carrying value, due to the short term duration.</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Investments in equity</w:t>
      </w:r>
    </w:p>
    <w:p>
      <w:pPr>
        <w:spacing w:after="0" w:line="22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Company entered into subscription agreements with a number of funds. During the year ended December 31, 2024, net capital totaling $13.1 million (December 31, 2023: $14.0 million) had been advanced under the terms of the subscription agreements. The Company determined that the interest in funds meets the definition of equity securities without readily determinable fair values. The Company therefore concluded that the interests held at December 31, 2024 and December 31, 2023 qualify for the NAV practical expedient in ASC 820.</w:t>
      </w:r>
    </w:p>
    <w:p>
      <w:pPr>
        <w:spacing w:after="0" w:line="203"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There was a decrease in fair value of $3.3 million (December 31, 2023: increase in fair value $0.2 million) recognized in net income during the year bringing the carrying value of the subscriptions to $54.4 million at December 31, 2024. At December 31, 2024, the Company had committed to future investments of $102.2 million in respect of these funds.</w:t>
      </w:r>
    </w:p>
    <w:p>
      <w:pPr>
        <w:spacing w:after="0" w:line="172"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Investments in equity also include equity investments of $3.5 million (of which $1.5 million was invested during the year ended December 31, 2024) which do not qualify for the NAV practical expedient, and for which the measurement alternative has been applied. Accordingly, these investments in equity are measured at cost, less impairment.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Available for sale investments</w:t>
      </w:r>
    </w:p>
    <w:p>
      <w:pPr>
        <w:spacing w:after="0" w:line="8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As at December 31, 2024, the Company held available for sale investments amounting to $nil (December 31, 2023: $2.0 million). Short-term investments comprise highly liquid investments with maturities of greater than three months and minimum "A-" rated fixed term deposits. The Company classifies its short- term investments as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auto"/>
              </w:rPr>
              <w:t>9. Property, Plant and Equipment, net</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86"/>
        </w:trPr>
        <w:tc>
          <w:tcPr>
            <w:tcW w:w="8360" w:type="dxa"/>
            <w:vAlign w:val="bottom"/>
          </w:tcPr>
          <w:p>
            <w:pPr>
              <w:ind w:left="600"/>
              <w:spacing w:after="0"/>
              <w:rPr>
                <w:sz w:val="20"/>
                <w:szCs w:val="20"/>
                <w:color w:val="auto"/>
              </w:rPr>
            </w:pPr>
            <w:r>
              <w:rPr>
                <w:rFonts w:ascii="Arial" w:cs="Arial" w:eastAsia="Arial" w:hAnsi="Arial"/>
                <w:sz w:val="15"/>
                <w:szCs w:val="15"/>
                <w:color w:val="auto"/>
                <w:w w:val="98"/>
              </w:rPr>
              <w:t>The carrying amount of Property, Plant and Equipment for the years ended December 31, 2024 and 2023 is as follows: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36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r>
      <w:tr>
        <w:trPr>
          <w:trHeight w:val="197"/>
        </w:trPr>
        <w:tc>
          <w:tcPr>
            <w:tcW w:w="83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Cost</w:t>
            </w:r>
          </w:p>
        </w:tc>
        <w:tc>
          <w:tcPr>
            <w:tcW w:w="420" w:type="dxa"/>
            <w:vAlign w:val="bottom"/>
          </w:tcPr>
          <w:p>
            <w:pPr>
              <w:spacing w:after="0"/>
              <w:rPr>
                <w:sz w:val="16"/>
                <w:szCs w:val="16"/>
                <w:color w:val="auto"/>
              </w:rPr>
            </w:pPr>
          </w:p>
        </w:tc>
        <w:tc>
          <w:tcPr>
            <w:tcW w:w="164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6"/>
                <w:szCs w:val="16"/>
                <w:color w:val="auto"/>
              </w:rPr>
            </w:pP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c>
          <w:tcPr>
            <w:tcW w:w="64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r>
      <w:tr>
        <w:trPr>
          <w:trHeight w:val="196"/>
        </w:trPr>
        <w:tc>
          <w:tcPr>
            <w:tcW w:w="8360" w:type="dxa"/>
            <w:vAlign w:val="bottom"/>
          </w:tcPr>
          <w:p>
            <w:pPr>
              <w:ind w:left="20"/>
              <w:spacing w:after="0"/>
              <w:rPr>
                <w:sz w:val="20"/>
                <w:szCs w:val="20"/>
                <w:color w:val="auto"/>
              </w:rPr>
            </w:pPr>
            <w:r>
              <w:rPr>
                <w:rFonts w:ascii="Arial" w:cs="Arial" w:eastAsia="Arial" w:hAnsi="Arial"/>
                <w:sz w:val="15"/>
                <w:szCs w:val="15"/>
                <w:color w:val="auto"/>
              </w:rPr>
              <w:t>Buildings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66,132</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70,072</w:t>
            </w: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equipment and software</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689,979</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550,119</w:t>
            </w:r>
          </w:p>
        </w:tc>
      </w:tr>
      <w:tr>
        <w:trPr>
          <w:trHeight w:val="196"/>
        </w:trPr>
        <w:tc>
          <w:tcPr>
            <w:tcW w:w="8360" w:type="dxa"/>
            <w:vAlign w:val="bottom"/>
          </w:tcPr>
          <w:p>
            <w:pPr>
              <w:ind w:left="20"/>
              <w:spacing w:after="0"/>
              <w:rPr>
                <w:sz w:val="20"/>
                <w:szCs w:val="20"/>
                <w:color w:val="auto"/>
              </w:rPr>
            </w:pPr>
            <w:r>
              <w:rPr>
                <w:rFonts w:ascii="Arial" w:cs="Arial" w:eastAsia="Arial" w:hAnsi="Arial"/>
                <w:sz w:val="15"/>
                <w:szCs w:val="15"/>
                <w:color w:val="auto"/>
              </w:rPr>
              <w:t>Office furniture and fixtures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51,849</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45,856</w:t>
            </w: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55,111</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56,217</w:t>
            </w:r>
          </w:p>
        </w:tc>
      </w:tr>
      <w:tr>
        <w:trPr>
          <w:trHeight w:val="196"/>
        </w:trPr>
        <w:tc>
          <w:tcPr>
            <w:tcW w:w="836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62,034</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55,000</w:t>
            </w:r>
          </w:p>
        </w:tc>
      </w:tr>
      <w:tr>
        <w:trPr>
          <w:trHeight w:val="197"/>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Motor vehicles</w:t>
            </w: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189"/>
        </w:trPr>
        <w:tc>
          <w:tcPr>
            <w:tcW w:w="8360" w:type="dxa"/>
            <w:vAlign w:val="bottom"/>
          </w:tcPr>
          <w:p>
            <w:pPr>
              <w:ind w:left="20"/>
              <w:spacing w:after="0"/>
              <w:rPr>
                <w:sz w:val="20"/>
                <w:szCs w:val="20"/>
                <w:color w:val="auto"/>
              </w:rPr>
            </w:pPr>
            <w:r>
              <w:rPr>
                <w:rFonts w:ascii="Arial" w:cs="Arial" w:eastAsia="Arial" w:hAnsi="Arial"/>
                <w:sz w:val="15"/>
                <w:szCs w:val="15"/>
                <w:color w:val="auto"/>
              </w:rPr>
              <w:t>Total Cost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928,894</w:t>
            </w: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781,067</w:t>
            </w:r>
          </w:p>
        </w:tc>
      </w:tr>
      <w:tr>
        <w:trPr>
          <w:trHeight w:val="197"/>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accumulated depreciation and asset write offs</w:t>
            </w: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(546,015)</w:t>
            </w: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(419,883)</w:t>
            </w:r>
          </w:p>
        </w:tc>
      </w:tr>
      <w:tr>
        <w:trPr>
          <w:trHeight w:val="18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Property, plant and equipment (net)</w:t>
            </w: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382,879</w:t>
            </w:r>
          </w:p>
        </w:tc>
        <w:tc>
          <w:tcPr>
            <w:tcW w:w="6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361,184</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depreciation expense recognized by the Company was $138.2 million, $126.1 million, and $106.4 million for the years ended December 31, 2024, 2023, and 2022, respectively.</w:t>
      </w:r>
    </w:p>
    <w:p>
      <w:pPr>
        <w:spacing w:after="0" w:line="19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regularly updates its register of property, plant and equipment and during the year ended December 31, 2024 and the year ended December 31, 2023, certain fully depreciated assets were written off as they were no longer used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00" w:type="dxa"/>
            <w:vAlign w:val="bottom"/>
          </w:tcPr>
          <w:p>
            <w:pPr>
              <w:spacing w:after="0"/>
              <w:rPr>
                <w:sz w:val="20"/>
                <w:szCs w:val="20"/>
                <w:color w:val="auto"/>
              </w:rPr>
            </w:pPr>
            <w:r>
              <w:rPr>
                <w:rFonts w:ascii="Arial" w:cs="Arial" w:eastAsia="Arial" w:hAnsi="Arial"/>
                <w:sz w:val="15"/>
                <w:szCs w:val="15"/>
                <w:b w:val="1"/>
                <w:bCs w:val="1"/>
                <w:color w:val="auto"/>
              </w:rPr>
              <w:t>10. Goodwill</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86"/>
        </w:trPr>
        <w:tc>
          <w:tcPr>
            <w:tcW w:w="8100" w:type="dxa"/>
            <w:vAlign w:val="bottom"/>
          </w:tcPr>
          <w:p>
            <w:pPr>
              <w:ind w:left="600"/>
              <w:spacing w:after="0"/>
              <w:rPr>
                <w:sz w:val="20"/>
                <w:szCs w:val="20"/>
                <w:color w:val="auto"/>
              </w:rPr>
            </w:pPr>
            <w:r>
              <w:rPr>
                <w:rFonts w:ascii="Arial" w:cs="Arial" w:eastAsia="Arial" w:hAnsi="Arial"/>
                <w:sz w:val="15"/>
                <w:szCs w:val="15"/>
                <w:color w:val="auto"/>
              </w:rPr>
              <w:t>The change in the carrying amount of goodwill for the years ended December 31, 2024 and 2023 is as follows: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2"/>
        </w:trPr>
        <w:tc>
          <w:tcPr>
            <w:tcW w:w="8100" w:type="dxa"/>
            <w:vAlign w:val="bottom"/>
          </w:tcPr>
          <w:p>
            <w:pPr>
              <w:spacing w:after="0"/>
              <w:rPr>
                <w:sz w:val="8"/>
                <w:szCs w:val="8"/>
                <w:color w:val="auto"/>
              </w:rPr>
            </w:pPr>
          </w:p>
        </w:tc>
        <w:tc>
          <w:tcPr>
            <w:tcW w:w="1700" w:type="dxa"/>
            <w:vAlign w:val="bottom"/>
            <w:gridSpan w:val="2"/>
          </w:tcPr>
          <w:p>
            <w:pPr>
              <w:spacing w:after="0"/>
              <w:rPr>
                <w:sz w:val="8"/>
                <w:szCs w:val="8"/>
                <w:color w:val="auto"/>
              </w:rPr>
            </w:pPr>
          </w:p>
        </w:tc>
        <w:tc>
          <w:tcPr>
            <w:tcW w:w="1440" w:type="dxa"/>
            <w:vAlign w:val="bottom"/>
            <w:gridSpan w:val="2"/>
          </w:tcPr>
          <w:p>
            <w:pPr>
              <w:spacing w:after="0"/>
              <w:rPr>
                <w:sz w:val="8"/>
                <w:szCs w:val="8"/>
                <w:color w:val="auto"/>
              </w:rPr>
            </w:pPr>
          </w:p>
        </w:tc>
      </w:tr>
      <w:tr>
        <w:trPr>
          <w:trHeight w:val="197"/>
        </w:trPr>
        <w:tc>
          <w:tcPr>
            <w:tcW w:w="81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8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Pr>
          <w:p>
            <w:pPr>
              <w:spacing w:after="0"/>
              <w:rPr>
                <w:sz w:val="16"/>
                <w:szCs w:val="16"/>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Opening balance</w:t>
            </w:r>
          </w:p>
        </w:tc>
        <w:tc>
          <w:tcPr>
            <w:tcW w:w="6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9,022,075</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8,971,670</w:t>
            </w:r>
          </w:p>
        </w:tc>
      </w:tr>
      <w:tr>
        <w:trPr>
          <w:trHeight w:val="196"/>
        </w:trPr>
        <w:tc>
          <w:tcPr>
            <w:tcW w:w="8100" w:type="dxa"/>
            <w:vAlign w:val="bottom"/>
          </w:tcPr>
          <w:p>
            <w:pPr>
              <w:ind w:left="20"/>
              <w:spacing w:after="0"/>
              <w:rPr>
                <w:sz w:val="20"/>
                <w:szCs w:val="20"/>
                <w:color w:val="auto"/>
              </w:rPr>
            </w:pPr>
            <w:r>
              <w:rPr>
                <w:rFonts w:ascii="Arial" w:cs="Arial" w:eastAsia="Arial" w:hAnsi="Arial"/>
                <w:sz w:val="15"/>
                <w:szCs w:val="15"/>
                <w:color w:val="auto"/>
              </w:rPr>
              <w:t>Current period acquisitions (note 6)</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46,126</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36,750</w:t>
            </w:r>
          </w:p>
        </w:tc>
      </w:tr>
      <w:tr>
        <w:trPr>
          <w:trHeight w:val="197"/>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exchange movement</w:t>
            </w: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(16,791)</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13,655</w:t>
            </w:r>
          </w:p>
        </w:tc>
      </w:tr>
      <w:tr>
        <w:trPr>
          <w:trHeight w:val="18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Closing balance</w:t>
            </w: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9,051,410</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9,022,075</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were no impairment charges for the year ended December 31, 2024 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20"/>
                <w:szCs w:val="20"/>
                <w:color w:val="auto"/>
              </w:rPr>
            </w:pPr>
            <w:r>
              <w:rPr>
                <w:rFonts w:ascii="Arial" w:cs="Arial" w:eastAsia="Arial" w:hAnsi="Arial"/>
                <w:sz w:val="15"/>
                <w:szCs w:val="15"/>
                <w:b w:val="1"/>
                <w:bCs w:val="1"/>
                <w:color w:val="auto"/>
              </w:rPr>
              <w:t>11. Intangible Assets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86"/>
        </w:trPr>
        <w:tc>
          <w:tcPr>
            <w:tcW w:w="7920" w:type="dxa"/>
            <w:vAlign w:val="bottom"/>
          </w:tcPr>
          <w:p>
            <w:pPr>
              <w:ind w:left="600"/>
              <w:spacing w:after="0"/>
              <w:rPr>
                <w:sz w:val="20"/>
                <w:szCs w:val="20"/>
                <w:color w:val="auto"/>
              </w:rPr>
            </w:pPr>
            <w:r>
              <w:rPr>
                <w:rFonts w:ascii="Arial" w:cs="Arial" w:eastAsia="Arial" w:hAnsi="Arial"/>
                <w:sz w:val="15"/>
                <w:szCs w:val="15"/>
                <w:color w:val="auto"/>
              </w:rPr>
              <w:t>The carrying amount of Intangible Assets for the years ended December 31, 2024 and 2023 is as follows: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2"/>
        </w:trPr>
        <w:tc>
          <w:tcPr>
            <w:tcW w:w="7920" w:type="dxa"/>
            <w:vAlign w:val="bottom"/>
          </w:tcPr>
          <w:p>
            <w:pPr>
              <w:spacing w:after="0"/>
              <w:rPr>
                <w:sz w:val="8"/>
                <w:szCs w:val="8"/>
                <w:color w:val="auto"/>
              </w:rPr>
            </w:pPr>
          </w:p>
        </w:tc>
        <w:tc>
          <w:tcPr>
            <w:tcW w:w="1860" w:type="dxa"/>
            <w:vAlign w:val="bottom"/>
            <w:gridSpan w:val="2"/>
          </w:tcPr>
          <w:p>
            <w:pPr>
              <w:spacing w:after="0"/>
              <w:rPr>
                <w:sz w:val="8"/>
                <w:szCs w:val="8"/>
                <w:color w:val="auto"/>
              </w:rPr>
            </w:pPr>
          </w:p>
        </w:tc>
        <w:tc>
          <w:tcPr>
            <w:tcW w:w="1440" w:type="dxa"/>
            <w:vAlign w:val="bottom"/>
            <w:gridSpan w:val="2"/>
          </w:tcPr>
          <w:p>
            <w:pPr>
              <w:spacing w:after="0"/>
              <w:rPr>
                <w:sz w:val="8"/>
                <w:szCs w:val="8"/>
                <w:color w:val="auto"/>
              </w:rPr>
            </w:pPr>
          </w:p>
        </w:tc>
      </w:tr>
      <w:tr>
        <w:trPr>
          <w:trHeight w:val="197"/>
        </w:trPr>
        <w:tc>
          <w:tcPr>
            <w:tcW w:w="79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Cost</w:t>
            </w:r>
          </w:p>
        </w:tc>
        <w:tc>
          <w:tcPr>
            <w:tcW w:w="8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5"/>
                <w:szCs w:val="15"/>
                <w:b w:val="1"/>
                <w:bCs w:val="1"/>
                <w:color w:val="auto"/>
              </w:rPr>
              <w:t>(in thousands)</w:t>
            </w:r>
          </w:p>
        </w:tc>
        <w:tc>
          <w:tcPr>
            <w:tcW w:w="860" w:type="dxa"/>
            <w:vAlign w:val="bottom"/>
          </w:tcPr>
          <w:p>
            <w:pPr>
              <w:spacing w:after="0"/>
              <w:rPr>
                <w:sz w:val="16"/>
                <w:szCs w:val="16"/>
                <w:color w:val="auto"/>
              </w:rPr>
            </w:pPr>
          </w:p>
        </w:tc>
      </w:tr>
      <w:tr>
        <w:trPr>
          <w:trHeight w:val="197"/>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8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4,129,501</w:t>
            </w: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4,090,393</w:t>
            </w:r>
          </w:p>
        </w:tc>
      </w:tr>
      <w:tr>
        <w:trPr>
          <w:trHeight w:val="196"/>
        </w:trPr>
        <w:tc>
          <w:tcPr>
            <w:tcW w:w="7920" w:type="dxa"/>
            <w:vAlign w:val="bottom"/>
          </w:tcPr>
          <w:p>
            <w:pPr>
              <w:ind w:left="20"/>
              <w:spacing w:after="0"/>
              <w:rPr>
                <w:sz w:val="20"/>
                <w:szCs w:val="20"/>
                <w:color w:val="auto"/>
              </w:rPr>
            </w:pPr>
            <w:r>
              <w:rPr>
                <w:rFonts w:ascii="Arial" w:cs="Arial" w:eastAsia="Arial" w:hAnsi="Arial"/>
                <w:sz w:val="15"/>
                <w:szCs w:val="15"/>
                <w:color w:val="auto"/>
              </w:rPr>
              <w:t>Order backlog</w:t>
            </w:r>
          </w:p>
        </w:tc>
        <w:tc>
          <w:tcPr>
            <w:tcW w:w="8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543,933</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541,302</w:t>
            </w:r>
          </w:p>
        </w:tc>
      </w:tr>
      <w:tr>
        <w:trPr>
          <w:trHeight w:val="199"/>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&amp; brands</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204,588</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204,653</w:t>
            </w:r>
          </w:p>
        </w:tc>
      </w:tr>
      <w:tr>
        <w:trPr>
          <w:trHeight w:val="196"/>
        </w:trPr>
        <w:tc>
          <w:tcPr>
            <w:tcW w:w="7920" w:type="dxa"/>
            <w:vAlign w:val="bottom"/>
          </w:tcPr>
          <w:p>
            <w:pPr>
              <w:ind w:left="20"/>
              <w:spacing w:after="0"/>
              <w:rPr>
                <w:sz w:val="20"/>
                <w:szCs w:val="20"/>
                <w:color w:val="auto"/>
              </w:rPr>
            </w:pPr>
            <w:r>
              <w:rPr>
                <w:rFonts w:ascii="Arial" w:cs="Arial" w:eastAsia="Arial" w:hAnsi="Arial"/>
                <w:sz w:val="15"/>
                <w:szCs w:val="15"/>
                <w:color w:val="auto"/>
              </w:rPr>
              <w:t>Patient database</w:t>
            </w:r>
          </w:p>
        </w:tc>
        <w:tc>
          <w:tcPr>
            <w:tcW w:w="8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170,324</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170,366</w:t>
            </w:r>
          </w:p>
        </w:tc>
      </w:tr>
      <w:tr>
        <w:trPr>
          <w:trHeight w:val="197"/>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Technology assets</w:t>
            </w:r>
          </w:p>
        </w:tc>
        <w:tc>
          <w:tcPr>
            <w:tcW w:w="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150,658</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141,257</w:t>
            </w:r>
          </w:p>
        </w:tc>
      </w:tr>
      <w:tr>
        <w:trPr>
          <w:trHeight w:val="189"/>
        </w:trPr>
        <w:tc>
          <w:tcPr>
            <w:tcW w:w="7920" w:type="dxa"/>
            <w:vAlign w:val="bottom"/>
          </w:tcPr>
          <w:p>
            <w:pPr>
              <w:ind w:left="20"/>
              <w:spacing w:after="0"/>
              <w:rPr>
                <w:sz w:val="20"/>
                <w:szCs w:val="20"/>
                <w:color w:val="auto"/>
              </w:rPr>
            </w:pPr>
            <w:r>
              <w:rPr>
                <w:rFonts w:ascii="Arial" w:cs="Arial" w:eastAsia="Arial" w:hAnsi="Arial"/>
                <w:sz w:val="15"/>
                <w:szCs w:val="15"/>
                <w:color w:val="auto"/>
              </w:rPr>
              <w:t>Total cost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5,199,004</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5,147,971</w:t>
            </w:r>
          </w:p>
        </w:tc>
      </w:tr>
      <w:tr>
        <w:trPr>
          <w:trHeight w:val="197"/>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Accumulated amortization</w:t>
            </w:r>
          </w:p>
        </w:tc>
        <w:tc>
          <w:tcPr>
            <w:tcW w:w="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(1,639,212)</w:t>
            </w: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(1,292,106)</w:t>
            </w:r>
          </w:p>
        </w:tc>
      </w:tr>
      <w:tr>
        <w:trPr>
          <w:trHeight w:val="18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book value</w:t>
            </w:r>
          </w:p>
        </w:tc>
        <w:tc>
          <w:tcPr>
            <w:tcW w:w="8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3,559,792</w:t>
            </w: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3,855,865</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4"/>
          <w:szCs w:val="14"/>
          <w:color w:val="auto"/>
        </w:rPr>
        <w:t>The amortization expense recognized by the Company was $350.3 million, $459.9 million, and $463.1 million for the years ended December 31, 2024, 2023, and 2022, respectively. The decrease in amortization in the twelve months ended December 31, 2024 is due to the order backlog and trade name intangible assets recognized in connection with the PRA merger amounting to $500.0 million and $202.0 million respectively as of the date of acquisition, becoming fully amortized on July 1, 2024.</w:t>
      </w:r>
    </w:p>
    <w:p>
      <w:pPr>
        <w:spacing w:after="0" w:line="173" w:lineRule="exact"/>
        <w:rPr>
          <w:sz w:val="20"/>
          <w:szCs w:val="20"/>
          <w:color w:val="auto"/>
        </w:rPr>
      </w:pPr>
    </w:p>
    <w:p>
      <w:pPr>
        <w:jc w:val="both"/>
        <w:ind w:firstLine="591"/>
        <w:spacing w:after="0" w:line="238" w:lineRule="auto"/>
        <w:rPr>
          <w:sz w:val="20"/>
          <w:szCs w:val="20"/>
          <w:color w:val="auto"/>
        </w:rPr>
      </w:pPr>
      <w:r>
        <w:rPr>
          <w:rFonts w:ascii="Arial" w:cs="Arial" w:eastAsia="Arial" w:hAnsi="Arial"/>
          <w:sz w:val="15"/>
          <w:szCs w:val="15"/>
          <w:color w:val="auto"/>
        </w:rPr>
        <w:t xml:space="preserve">On August 19, 2024, the Company acquired KCR. The acquisition resulted in the recognition of intangible assets of $45.1 million, comprising customer relationships of $41.4 million and order backlog of $3.7 million. These assets will be amortized over their expected useful lives of 13 years and 5 years respectively. In total, $1.3 million has been amortized in the period since the date of acquisition. Refer to note 6. </w:t>
      </w:r>
      <w:r>
        <w:rPr>
          <w:rFonts w:ascii="Arial" w:cs="Arial" w:eastAsia="Arial" w:hAnsi="Arial"/>
          <w:sz w:val="15"/>
          <w:szCs w:val="15"/>
          <w:i w:val="1"/>
          <w:iCs w:val="1"/>
          <w:color w:val="auto"/>
        </w:rPr>
        <w:t>Business Combinations</w:t>
      </w:r>
      <w:r>
        <w:rPr>
          <w:rFonts w:ascii="Arial" w:cs="Arial" w:eastAsia="Arial" w:hAnsi="Arial"/>
          <w:sz w:val="15"/>
          <w:szCs w:val="15"/>
          <w:color w:val="auto"/>
        </w:rPr>
        <w:t>.</w:t>
      </w:r>
    </w:p>
    <w:p>
      <w:pPr>
        <w:spacing w:after="0" w:line="202" w:lineRule="exact"/>
        <w:rPr>
          <w:sz w:val="20"/>
          <w:szCs w:val="20"/>
          <w:color w:val="auto"/>
        </w:rPr>
      </w:pPr>
    </w:p>
    <w:p>
      <w:pPr>
        <w:jc w:val="both"/>
        <w:ind w:firstLine="591"/>
        <w:spacing w:after="0" w:line="258" w:lineRule="auto"/>
        <w:rPr>
          <w:sz w:val="20"/>
          <w:szCs w:val="20"/>
          <w:color w:val="auto"/>
        </w:rPr>
      </w:pPr>
      <w:r>
        <w:rPr>
          <w:rFonts w:ascii="Arial" w:cs="Arial" w:eastAsia="Arial" w:hAnsi="Arial"/>
          <w:sz w:val="14"/>
          <w:szCs w:val="14"/>
          <w:color w:val="auto"/>
        </w:rPr>
        <w:t xml:space="preserve">On January 9, 2024, the Company acquired HumanFirst. The acquisition resulted in the recognition of a developed technology intangible asset of $9.9 million which will be amortized over its expected useful life of 5 years. In total, $2.0 million has been amortized in the period since the date of acquisition. Refer to note 6. </w:t>
      </w:r>
      <w:r>
        <w:rPr>
          <w:rFonts w:ascii="Arial" w:cs="Arial" w:eastAsia="Arial" w:hAnsi="Arial"/>
          <w:sz w:val="14"/>
          <w:szCs w:val="14"/>
          <w:i w:val="1"/>
          <w:iCs w:val="1"/>
          <w:color w:val="auto"/>
        </w:rPr>
        <w:t>Business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Combinations</w:t>
      </w:r>
      <w:r>
        <w:rPr>
          <w:rFonts w:ascii="Arial" w:cs="Arial" w:eastAsia="Arial" w:hAnsi="Arial"/>
          <w:sz w:val="15"/>
          <w:szCs w:val="15"/>
          <w:color w:val="auto"/>
        </w:rPr>
        <w:t>.</w:t>
      </w:r>
    </w:p>
    <w:p>
      <w:pPr>
        <w:spacing w:after="0" w:line="196" w:lineRule="exact"/>
        <w:rPr>
          <w:sz w:val="20"/>
          <w:szCs w:val="20"/>
          <w:color w:val="auto"/>
        </w:rPr>
      </w:pPr>
    </w:p>
    <w:p>
      <w:pPr>
        <w:jc w:val="both"/>
        <w:ind w:firstLine="591"/>
        <w:spacing w:after="0" w:line="257" w:lineRule="auto"/>
        <w:rPr>
          <w:sz w:val="20"/>
          <w:szCs w:val="20"/>
          <w:color w:val="auto"/>
        </w:rPr>
      </w:pPr>
      <w:r>
        <w:rPr>
          <w:rFonts w:ascii="Arial" w:cs="Arial" w:eastAsia="Arial" w:hAnsi="Arial"/>
          <w:sz w:val="14"/>
          <w:szCs w:val="14"/>
          <w:color w:val="auto"/>
        </w:rPr>
        <w:t>On October 2, 2023, the Company acquired BioTel Research LLC (“BioTel”). The acquisition resulted in the recognition of intangible assets of $36.4 million, comprising customer relationships of $12.5 million, order backlog of $3.9 million and developed technology assets of $20.0 million. These assets will be amortized over their expected useful lives of between 3 years and 16 years. $6.1 million has been amortized during the twelve months ended December 31, 2024 (December 31, 2023: $1.5</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Refer to note 6. </w:t>
      </w:r>
      <w:r>
        <w:rPr>
          <w:rFonts w:ascii="Arial" w:cs="Arial" w:eastAsia="Arial" w:hAnsi="Arial"/>
          <w:sz w:val="15"/>
          <w:szCs w:val="15"/>
          <w:i w:val="1"/>
          <w:iCs w:val="1"/>
          <w:color w:val="auto"/>
        </w:rPr>
        <w:t>Business Combinations</w:t>
      </w:r>
      <w:r>
        <w:rPr>
          <w:rFonts w:ascii="Arial" w:cs="Arial" w:eastAsia="Arial" w:hAnsi="Arial"/>
          <w:sz w:val="15"/>
          <w:szCs w:val="15"/>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Future intangible asset amortization expense for the years ended December 31, 2025 to December 31, 2029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auto"/>
            </w:tcBorders>
            <w:shd w:val="clear" w:color="auto" w:fill="CCEEFF"/>
          </w:tcPr>
          <w:p>
            <w:pPr>
              <w:spacing w:after="0"/>
              <w:rPr>
                <w:sz w:val="17"/>
                <w:szCs w:val="17"/>
                <w:color w:val="auto"/>
              </w:rPr>
            </w:pPr>
          </w:p>
        </w:tc>
        <w:tc>
          <w:tcPr>
            <w:tcW w:w="49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88"/>
        </w:trPr>
        <w:tc>
          <w:tcPr>
            <w:tcW w:w="5080" w:type="dxa"/>
            <w:vAlign w:val="bottom"/>
          </w:tcPr>
          <w:p>
            <w:pPr>
              <w:ind w:left="20"/>
              <w:spacing w:after="0"/>
              <w:rPr>
                <w:sz w:val="20"/>
                <w:szCs w:val="20"/>
                <w:color w:val="auto"/>
              </w:rPr>
            </w:pPr>
            <w:r>
              <w:rPr>
                <w:rFonts w:ascii="Arial" w:cs="Arial" w:eastAsia="Arial" w:hAnsi="Arial"/>
                <w:sz w:val="15"/>
                <w:szCs w:val="15"/>
                <w:color w:val="auto"/>
              </w:rPr>
              <w:t>2025</w:t>
            </w:r>
          </w:p>
        </w:tc>
        <w:tc>
          <w:tcPr>
            <w:tcW w:w="49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235,011</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49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220,771</w:t>
            </w:r>
          </w:p>
        </w:tc>
      </w:tr>
      <w:tr>
        <w:trPr>
          <w:trHeight w:val="196"/>
        </w:trPr>
        <w:tc>
          <w:tcPr>
            <w:tcW w:w="5080" w:type="dxa"/>
            <w:vAlign w:val="bottom"/>
          </w:tcPr>
          <w:p>
            <w:pPr>
              <w:ind w:left="20"/>
              <w:spacing w:after="0"/>
              <w:rPr>
                <w:sz w:val="20"/>
                <w:szCs w:val="20"/>
                <w:color w:val="auto"/>
              </w:rPr>
            </w:pPr>
            <w:r>
              <w:rPr>
                <w:rFonts w:ascii="Arial" w:cs="Arial" w:eastAsia="Arial" w:hAnsi="Arial"/>
                <w:sz w:val="15"/>
                <w:szCs w:val="15"/>
                <w:color w:val="auto"/>
              </w:rPr>
              <w:t>2027</w:t>
            </w:r>
          </w:p>
        </w:tc>
        <w:tc>
          <w:tcPr>
            <w:tcW w:w="49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208,448</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49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195,447</w:t>
            </w: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2029</w:t>
            </w:r>
          </w:p>
        </w:tc>
        <w:tc>
          <w:tcPr>
            <w:tcW w:w="4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180,201</w:t>
            </w:r>
          </w:p>
        </w:tc>
      </w:tr>
      <w:tr>
        <w:trPr>
          <w:trHeight w:val="214"/>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1,039,878</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4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2"/>
        </w:trPr>
        <w:tc>
          <w:tcPr>
            <w:tcW w:w="7860" w:type="dxa"/>
            <w:vAlign w:val="bottom"/>
          </w:tcPr>
          <w:p>
            <w:pPr>
              <w:spacing w:after="0"/>
              <w:rPr>
                <w:sz w:val="20"/>
                <w:szCs w:val="20"/>
                <w:color w:val="auto"/>
              </w:rPr>
            </w:pPr>
            <w:r>
              <w:rPr>
                <w:rFonts w:ascii="Arial" w:cs="Arial" w:eastAsia="Arial" w:hAnsi="Arial"/>
                <w:sz w:val="15"/>
                <w:szCs w:val="15"/>
                <w:b w:val="1"/>
                <w:bCs w:val="1"/>
                <w:color w:val="auto"/>
              </w:rPr>
              <w:t>12. Other Liabilities</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86"/>
        </w:trPr>
        <w:tc>
          <w:tcPr>
            <w:tcW w:w="7860" w:type="dxa"/>
            <w:vAlign w:val="bottom"/>
          </w:tcPr>
          <w:p>
            <w:pPr>
              <w:ind w:left="600"/>
              <w:spacing w:after="0"/>
              <w:rPr>
                <w:sz w:val="20"/>
                <w:szCs w:val="20"/>
                <w:color w:val="auto"/>
              </w:rPr>
            </w:pPr>
            <w:r>
              <w:rPr>
                <w:rFonts w:ascii="Arial" w:cs="Arial" w:eastAsia="Arial" w:hAnsi="Arial"/>
                <w:sz w:val="15"/>
                <w:szCs w:val="15"/>
                <w:color w:val="auto"/>
              </w:rPr>
              <w:t>The carrying amount of Other Liabilities for the years ended December 31, 2024 and 2023 is as follows: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7860" w:type="dxa"/>
            <w:vAlign w:val="bottom"/>
          </w:tcPr>
          <w:p>
            <w:pPr>
              <w:spacing w:after="0"/>
              <w:rPr>
                <w:sz w:val="21"/>
                <w:szCs w:val="21"/>
                <w:color w:val="auto"/>
              </w:rPr>
            </w:pPr>
          </w:p>
        </w:tc>
        <w:tc>
          <w:tcPr>
            <w:tcW w:w="192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r>
      <w:tr>
        <w:trPr>
          <w:trHeight w:val="197"/>
        </w:trPr>
        <w:tc>
          <w:tcPr>
            <w:tcW w:w="78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7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right"/>
              <w:ind w:right="86"/>
              <w:spacing w:after="0"/>
              <w:rPr>
                <w:sz w:val="20"/>
                <w:szCs w:val="20"/>
                <w:color w:val="auto"/>
              </w:rPr>
            </w:pPr>
            <w:r>
              <w:rPr>
                <w:rFonts w:ascii="Arial" w:cs="Arial" w:eastAsia="Arial" w:hAnsi="Arial"/>
                <w:sz w:val="15"/>
                <w:szCs w:val="15"/>
                <w:b w:val="1"/>
                <w:bCs w:val="1"/>
                <w:color w:val="auto"/>
              </w:rPr>
              <w:t>(in thousands)</w:t>
            </w:r>
          </w:p>
        </w:tc>
        <w:tc>
          <w:tcPr>
            <w:tcW w:w="760" w:type="dxa"/>
            <w:vAlign w:val="bottom"/>
          </w:tcPr>
          <w:p>
            <w:pPr>
              <w:spacing w:after="0"/>
              <w:rPr>
                <w:sz w:val="16"/>
                <w:szCs w:val="16"/>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trade and overhead liabilities*</w:t>
            </w:r>
          </w:p>
        </w:tc>
        <w:tc>
          <w:tcPr>
            <w:tcW w:w="9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531,560</w:t>
            </w:r>
          </w:p>
        </w:tc>
        <w:tc>
          <w:tcPr>
            <w:tcW w:w="68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463,882</w:t>
            </w:r>
          </w:p>
        </w:tc>
      </w:tr>
      <w:tr>
        <w:trPr>
          <w:trHeight w:val="196"/>
        </w:trPr>
        <w:tc>
          <w:tcPr>
            <w:tcW w:w="7860" w:type="dxa"/>
            <w:vAlign w:val="bottom"/>
          </w:tcPr>
          <w:p>
            <w:pPr>
              <w:ind w:left="20"/>
              <w:spacing w:after="0"/>
              <w:rPr>
                <w:sz w:val="20"/>
                <w:szCs w:val="20"/>
                <w:color w:val="auto"/>
              </w:rPr>
            </w:pPr>
            <w:r>
              <w:rPr>
                <w:rFonts w:ascii="Arial" w:cs="Arial" w:eastAsia="Arial" w:hAnsi="Arial"/>
                <w:sz w:val="15"/>
                <w:szCs w:val="15"/>
                <w:color w:val="auto"/>
              </w:rPr>
              <w:t>Personnel related liabilities</w:t>
            </w:r>
          </w:p>
        </w:tc>
        <w:tc>
          <w:tcPr>
            <w:tcW w:w="9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225,822</w:t>
            </w:r>
          </w:p>
        </w:tc>
        <w:tc>
          <w:tcPr>
            <w:tcW w:w="6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385,499</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36,783</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36,414</w:t>
            </w:r>
          </w:p>
        </w:tc>
      </w:tr>
      <w:tr>
        <w:trPr>
          <w:trHeight w:val="196"/>
        </w:trPr>
        <w:tc>
          <w:tcPr>
            <w:tcW w:w="7860" w:type="dxa"/>
            <w:vAlign w:val="bottom"/>
          </w:tcPr>
          <w:p>
            <w:pPr>
              <w:ind w:left="20"/>
              <w:spacing w:after="0"/>
              <w:rPr>
                <w:sz w:val="20"/>
                <w:szCs w:val="20"/>
                <w:color w:val="auto"/>
              </w:rPr>
            </w:pPr>
            <w:r>
              <w:rPr>
                <w:rFonts w:ascii="Arial" w:cs="Arial" w:eastAsia="Arial" w:hAnsi="Arial"/>
                <w:sz w:val="15"/>
                <w:szCs w:val="15"/>
                <w:color w:val="auto"/>
              </w:rPr>
              <w:t>Facility related liabilities</w:t>
            </w:r>
          </w:p>
        </w:tc>
        <w:tc>
          <w:tcPr>
            <w:tcW w:w="9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8,547</w:t>
            </w:r>
          </w:p>
        </w:tc>
        <w:tc>
          <w:tcPr>
            <w:tcW w:w="6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11,078</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91,730</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13,532</w:t>
            </w:r>
          </w:p>
        </w:tc>
      </w:tr>
      <w:tr>
        <w:trPr>
          <w:trHeight w:val="196"/>
        </w:trPr>
        <w:tc>
          <w:tcPr>
            <w:tcW w:w="7860" w:type="dxa"/>
            <w:vAlign w:val="bottom"/>
          </w:tcPr>
          <w:p>
            <w:pPr>
              <w:ind w:left="20"/>
              <w:spacing w:after="0"/>
              <w:rPr>
                <w:sz w:val="20"/>
                <w:szCs w:val="20"/>
                <w:color w:val="auto"/>
              </w:rPr>
            </w:pPr>
            <w:r>
              <w:rPr>
                <w:rFonts w:ascii="Arial" w:cs="Arial" w:eastAsia="Arial" w:hAnsi="Arial"/>
                <w:sz w:val="15"/>
                <w:szCs w:val="15"/>
                <w:color w:val="auto"/>
              </w:rPr>
              <w:t>Restructuring liabilities</w:t>
            </w:r>
          </w:p>
        </w:tc>
        <w:tc>
          <w:tcPr>
            <w:tcW w:w="9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29,120</w:t>
            </w:r>
          </w:p>
        </w:tc>
        <w:tc>
          <w:tcPr>
            <w:tcW w:w="6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4,951</w:t>
            </w:r>
          </w:p>
        </w:tc>
      </w:tr>
      <w:tr>
        <w:trPr>
          <w:trHeight w:val="197"/>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Short term government grants</w:t>
            </w:r>
          </w:p>
        </w:tc>
        <w:tc>
          <w:tcPr>
            <w:tcW w:w="9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8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923,603</w:t>
            </w:r>
          </w:p>
        </w:tc>
        <w:tc>
          <w:tcPr>
            <w:tcW w:w="6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915,399</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*includes amounts due to third parties in respect of accrued reimbursable investigator expenses of $369.2 million at December 31, 2024 and $333.0 million at December 31, 2023.</w:t>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Bank credit lines, loan facilities and notes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had the following debt outstanding as of December 31, 2024 and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40" w:type="dxa"/>
            <w:vAlign w:val="bottom"/>
            <w:tcBorders>
              <w:bottom w:val="single" w:sz="8" w:color="auto"/>
            </w:tcBorders>
            <w:gridSpan w:val="2"/>
            <w:shd w:val="clear" w:color="auto" w:fill="CCEEFF"/>
          </w:tcPr>
          <w:p>
            <w:pPr>
              <w:jc w:val="right"/>
              <w:ind w:right="1206"/>
              <w:spacing w:after="0"/>
              <w:rPr>
                <w:sz w:val="20"/>
                <w:szCs w:val="20"/>
                <w:color w:val="auto"/>
              </w:rPr>
            </w:pPr>
            <w:r>
              <w:rPr>
                <w:rFonts w:ascii="Arial" w:cs="Arial" w:eastAsia="Arial" w:hAnsi="Arial"/>
                <w:sz w:val="15"/>
                <w:szCs w:val="15"/>
                <w:b w:val="1"/>
                <w:bCs w:val="1"/>
                <w:color w:val="auto"/>
              </w:rPr>
              <w:t>Interest rate as of</w:t>
            </w:r>
          </w:p>
        </w:tc>
        <w:tc>
          <w:tcPr>
            <w:tcW w:w="2460" w:type="dxa"/>
            <w:vAlign w:val="bottom"/>
            <w:tcBorders>
              <w:bottom w:val="single" w:sz="8" w:color="auto"/>
            </w:tcBorders>
            <w:gridSpan w:val="3"/>
            <w:shd w:val="clear" w:color="auto" w:fill="CCEEFF"/>
          </w:tcPr>
          <w:p>
            <w:pPr>
              <w:jc w:val="right"/>
              <w:ind w:right="546"/>
              <w:spacing w:after="0"/>
              <w:rPr>
                <w:sz w:val="20"/>
                <w:szCs w:val="20"/>
                <w:color w:val="auto"/>
              </w:rPr>
            </w:pPr>
            <w:r>
              <w:rPr>
                <w:rFonts w:ascii="Arial" w:cs="Arial" w:eastAsia="Arial" w:hAnsi="Arial"/>
                <w:sz w:val="15"/>
                <w:szCs w:val="15"/>
                <w:b w:val="1"/>
                <w:bCs w:val="1"/>
                <w:color w:val="auto"/>
              </w:rPr>
              <w:t>Principal amount as of</w:t>
            </w:r>
          </w:p>
        </w:tc>
      </w:tr>
      <w:tr>
        <w:trPr>
          <w:trHeight w:val="189"/>
        </w:trPr>
        <w:tc>
          <w:tcPr>
            <w:tcW w:w="3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Maturity Date</w:t>
            </w:r>
          </w:p>
        </w:tc>
        <w:tc>
          <w:tcPr>
            <w:tcW w:w="1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December 31, 2024</w:t>
            </w:r>
          </w:p>
        </w:tc>
        <w:tc>
          <w:tcPr>
            <w:tcW w:w="42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December 31, 2023 December 31, 2024 December 31, 2023</w:t>
            </w:r>
          </w:p>
        </w:tc>
      </w:tr>
      <w:tr>
        <w:trPr>
          <w:trHeight w:val="189"/>
        </w:trPr>
        <w:tc>
          <w:tcPr>
            <w:tcW w:w="34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(in thousands)</w:t>
            </w:r>
          </w:p>
        </w:tc>
        <w:tc>
          <w:tcPr>
            <w:tcW w:w="800" w:type="dxa"/>
            <w:vAlign w:val="bottom"/>
            <w:shd w:val="clear" w:color="auto" w:fill="CCEEFF"/>
          </w:tcPr>
          <w:p>
            <w:pPr>
              <w:spacing w:after="0"/>
              <w:rPr>
                <w:sz w:val="16"/>
                <w:szCs w:val="16"/>
                <w:color w:val="auto"/>
              </w:rPr>
            </w:pPr>
          </w:p>
        </w:tc>
      </w:tr>
      <w:tr>
        <w:trPr>
          <w:trHeight w:val="196"/>
        </w:trPr>
        <w:tc>
          <w:tcPr>
            <w:tcW w:w="3420" w:type="dxa"/>
            <w:vAlign w:val="bottom"/>
          </w:tcPr>
          <w:p>
            <w:pPr>
              <w:ind w:left="20"/>
              <w:spacing w:after="0"/>
              <w:rPr>
                <w:sz w:val="20"/>
                <w:szCs w:val="20"/>
                <w:color w:val="auto"/>
              </w:rPr>
            </w:pPr>
            <w:r>
              <w:rPr>
                <w:rFonts w:ascii="Arial" w:cs="Arial" w:eastAsia="Arial" w:hAnsi="Arial"/>
                <w:sz w:val="15"/>
                <w:szCs w:val="15"/>
                <w:color w:val="auto"/>
              </w:rPr>
              <w:t>Senior Secured Term Loan</w:t>
            </w:r>
          </w:p>
        </w:tc>
        <w:tc>
          <w:tcPr>
            <w:tcW w:w="1920" w:type="dxa"/>
            <w:vAlign w:val="bottom"/>
          </w:tcPr>
          <w:p>
            <w:pPr>
              <w:ind w:left="560"/>
              <w:spacing w:after="0"/>
              <w:rPr>
                <w:sz w:val="20"/>
                <w:szCs w:val="20"/>
                <w:color w:val="auto"/>
              </w:rPr>
            </w:pPr>
            <w:r>
              <w:rPr>
                <w:rFonts w:ascii="Arial" w:cs="Arial" w:eastAsia="Arial" w:hAnsi="Arial"/>
                <w:sz w:val="15"/>
                <w:szCs w:val="15"/>
                <w:color w:val="auto"/>
              </w:rPr>
              <w:t>July 2028</w:t>
            </w:r>
          </w:p>
        </w:tc>
        <w:tc>
          <w:tcPr>
            <w:tcW w:w="1620" w:type="dxa"/>
            <w:vAlign w:val="bottom"/>
          </w:tcPr>
          <w:p>
            <w:pPr>
              <w:jc w:val="right"/>
              <w:ind w:right="26"/>
              <w:spacing w:after="0"/>
              <w:rPr>
                <w:sz w:val="20"/>
                <w:szCs w:val="20"/>
                <w:color w:val="auto"/>
              </w:rPr>
            </w:pPr>
            <w:r>
              <w:rPr>
                <w:rFonts w:ascii="Arial" w:cs="Arial" w:eastAsia="Arial" w:hAnsi="Arial"/>
                <w:sz w:val="15"/>
                <w:szCs w:val="15"/>
                <w:color w:val="auto"/>
              </w:rPr>
              <w:t>6.329 %</w:t>
            </w:r>
          </w:p>
        </w:tc>
        <w:tc>
          <w:tcPr>
            <w:tcW w:w="1820" w:type="dxa"/>
            <w:vAlign w:val="bottom"/>
          </w:tcPr>
          <w:p>
            <w:pPr>
              <w:jc w:val="right"/>
              <w:ind w:right="186"/>
              <w:spacing w:after="0"/>
              <w:rPr>
                <w:sz w:val="20"/>
                <w:szCs w:val="20"/>
                <w:color w:val="auto"/>
              </w:rPr>
            </w:pPr>
            <w:r>
              <w:rPr>
                <w:rFonts w:ascii="Arial" w:cs="Arial" w:eastAsia="Arial" w:hAnsi="Arial"/>
                <w:sz w:val="15"/>
                <w:szCs w:val="15"/>
                <w:color w:val="auto"/>
              </w:rPr>
              <w:t>7.860 % $</w:t>
            </w:r>
          </w:p>
        </w:tc>
        <w:tc>
          <w:tcPr>
            <w:tcW w:w="1040" w:type="dxa"/>
            <w:vAlign w:val="bottom"/>
          </w:tcPr>
          <w:p>
            <w:pPr>
              <w:jc w:val="right"/>
              <w:spacing w:after="0"/>
              <w:rPr>
                <w:sz w:val="20"/>
                <w:szCs w:val="20"/>
                <w:color w:val="auto"/>
              </w:rPr>
            </w:pPr>
            <w:r>
              <w:rPr>
                <w:rFonts w:ascii="Arial" w:cs="Arial" w:eastAsia="Arial" w:hAnsi="Arial"/>
                <w:sz w:val="15"/>
                <w:szCs w:val="15"/>
                <w:color w:val="auto"/>
              </w:rPr>
              <w:t>946,450</w:t>
            </w:r>
          </w:p>
        </w:tc>
        <w:tc>
          <w:tcPr>
            <w:tcW w:w="62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3,251,213</w:t>
            </w:r>
          </w:p>
        </w:tc>
      </w:tr>
      <w:tr>
        <w:trPr>
          <w:trHeight w:val="199"/>
        </w:trPr>
        <w:tc>
          <w:tcPr>
            <w:tcW w:w="3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"2026 Notes")</w:t>
            </w:r>
          </w:p>
        </w:tc>
        <w:tc>
          <w:tcPr>
            <w:tcW w:w="1920" w:type="dxa"/>
            <w:vAlign w:val="bottom"/>
            <w:shd w:val="clear" w:color="auto" w:fill="CCEEFF"/>
          </w:tcPr>
          <w:p>
            <w:pPr>
              <w:ind w:left="560"/>
              <w:spacing w:after="0"/>
              <w:rPr>
                <w:sz w:val="20"/>
                <w:szCs w:val="20"/>
                <w:color w:val="auto"/>
              </w:rPr>
            </w:pPr>
            <w:r>
              <w:rPr>
                <w:rFonts w:ascii="Arial" w:cs="Arial" w:eastAsia="Arial" w:hAnsi="Arial"/>
                <w:sz w:val="15"/>
                <w:szCs w:val="15"/>
                <w:color w:val="auto"/>
              </w:rPr>
              <w:t>July 2026</w:t>
            </w:r>
          </w:p>
        </w:tc>
        <w:tc>
          <w:tcPr>
            <w:tcW w:w="16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2.875 %</w:t>
            </w:r>
          </w:p>
        </w:tc>
        <w:tc>
          <w:tcPr>
            <w:tcW w:w="182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2.875 %</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196"/>
        </w:trPr>
        <w:tc>
          <w:tcPr>
            <w:tcW w:w="3420" w:type="dxa"/>
            <w:vAlign w:val="bottom"/>
          </w:tcPr>
          <w:p>
            <w:pPr>
              <w:ind w:left="20"/>
              <w:spacing w:after="0"/>
              <w:rPr>
                <w:sz w:val="20"/>
                <w:szCs w:val="20"/>
                <w:color w:val="auto"/>
              </w:rPr>
            </w:pPr>
            <w:r>
              <w:rPr>
                <w:rFonts w:ascii="Arial" w:cs="Arial" w:eastAsia="Arial" w:hAnsi="Arial"/>
                <w:sz w:val="15"/>
                <w:szCs w:val="15"/>
                <w:color w:val="auto"/>
              </w:rPr>
              <w:t>Senior Secured Revolving Loan</w:t>
            </w:r>
          </w:p>
        </w:tc>
        <w:tc>
          <w:tcPr>
            <w:tcW w:w="1920" w:type="dxa"/>
            <w:vAlign w:val="bottom"/>
          </w:tcPr>
          <w:p>
            <w:pPr>
              <w:spacing w:after="0"/>
              <w:rPr>
                <w:sz w:val="17"/>
                <w:szCs w:val="17"/>
                <w:color w:val="auto"/>
              </w:rPr>
            </w:pPr>
          </w:p>
        </w:tc>
        <w:tc>
          <w:tcPr>
            <w:tcW w:w="16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306"/>
              <w:spacing w:after="0"/>
              <w:rPr>
                <w:sz w:val="20"/>
                <w:szCs w:val="20"/>
                <w:color w:val="auto"/>
              </w:rPr>
            </w:pPr>
            <w:r>
              <w:rPr>
                <w:rFonts w:ascii="Arial" w:cs="Arial" w:eastAsia="Arial" w:hAnsi="Arial"/>
                <w:sz w:val="15"/>
                <w:szCs w:val="15"/>
                <w:color w:val="auto"/>
              </w:rPr>
              <w:t>6.720 %</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55,000</w:t>
            </w:r>
          </w:p>
        </w:tc>
      </w:tr>
      <w:tr>
        <w:trPr>
          <w:trHeight w:val="199"/>
        </w:trPr>
        <w:tc>
          <w:tcPr>
            <w:tcW w:w="3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"2027 Notes")*</w:t>
            </w:r>
          </w:p>
        </w:tc>
        <w:tc>
          <w:tcPr>
            <w:tcW w:w="1920" w:type="dxa"/>
            <w:vAlign w:val="bottom"/>
            <w:shd w:val="clear" w:color="auto" w:fill="CCEEFF"/>
          </w:tcPr>
          <w:p>
            <w:pPr>
              <w:ind w:left="560"/>
              <w:spacing w:after="0"/>
              <w:rPr>
                <w:sz w:val="20"/>
                <w:szCs w:val="20"/>
                <w:color w:val="auto"/>
              </w:rPr>
            </w:pPr>
            <w:r>
              <w:rPr>
                <w:rFonts w:ascii="Arial" w:cs="Arial" w:eastAsia="Arial" w:hAnsi="Arial"/>
                <w:sz w:val="15"/>
                <w:szCs w:val="15"/>
                <w:color w:val="auto"/>
              </w:rPr>
              <w:t>May 2027</w:t>
            </w:r>
          </w:p>
        </w:tc>
        <w:tc>
          <w:tcPr>
            <w:tcW w:w="16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5.809 %</w:t>
            </w:r>
          </w:p>
        </w:tc>
        <w:tc>
          <w:tcPr>
            <w:tcW w:w="182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420" w:type="dxa"/>
            <w:vAlign w:val="bottom"/>
          </w:tcPr>
          <w:p>
            <w:pPr>
              <w:ind w:left="20"/>
              <w:spacing w:after="0"/>
              <w:rPr>
                <w:sz w:val="20"/>
                <w:szCs w:val="20"/>
                <w:color w:val="auto"/>
              </w:rPr>
            </w:pPr>
            <w:r>
              <w:rPr>
                <w:rFonts w:ascii="Arial" w:cs="Arial" w:eastAsia="Arial" w:hAnsi="Arial"/>
                <w:sz w:val="15"/>
                <w:szCs w:val="15"/>
                <w:color w:val="auto"/>
              </w:rPr>
              <w:t>Senior Secured Notes (the "2029 Notes")*</w:t>
            </w:r>
          </w:p>
        </w:tc>
        <w:tc>
          <w:tcPr>
            <w:tcW w:w="1920" w:type="dxa"/>
            <w:vAlign w:val="bottom"/>
          </w:tcPr>
          <w:p>
            <w:pPr>
              <w:ind w:left="560"/>
              <w:spacing w:after="0"/>
              <w:rPr>
                <w:sz w:val="20"/>
                <w:szCs w:val="20"/>
                <w:color w:val="auto"/>
              </w:rPr>
            </w:pPr>
            <w:r>
              <w:rPr>
                <w:rFonts w:ascii="Arial" w:cs="Arial" w:eastAsia="Arial" w:hAnsi="Arial"/>
                <w:sz w:val="15"/>
                <w:szCs w:val="15"/>
                <w:color w:val="auto"/>
              </w:rPr>
              <w:t>May 2029</w:t>
            </w:r>
          </w:p>
        </w:tc>
        <w:tc>
          <w:tcPr>
            <w:tcW w:w="1620" w:type="dxa"/>
            <w:vAlign w:val="bottom"/>
          </w:tcPr>
          <w:p>
            <w:pPr>
              <w:jc w:val="right"/>
              <w:ind w:right="26"/>
              <w:spacing w:after="0"/>
              <w:rPr>
                <w:sz w:val="20"/>
                <w:szCs w:val="20"/>
                <w:color w:val="auto"/>
              </w:rPr>
            </w:pPr>
            <w:r>
              <w:rPr>
                <w:rFonts w:ascii="Arial" w:cs="Arial" w:eastAsia="Arial" w:hAnsi="Arial"/>
                <w:sz w:val="15"/>
                <w:szCs w:val="15"/>
                <w:color w:val="auto"/>
              </w:rPr>
              <w:t>5.849 %</w:t>
            </w:r>
          </w:p>
        </w:tc>
        <w:tc>
          <w:tcPr>
            <w:tcW w:w="182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750,000</w:t>
            </w:r>
          </w:p>
        </w:tc>
        <w:tc>
          <w:tcPr>
            <w:tcW w:w="6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Senior Secured Notes (the "2034 Notes")*</w:t>
            </w:r>
          </w:p>
        </w:tc>
        <w:tc>
          <w:tcPr>
            <w:tcW w:w="1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rPr>
              <w:t>May 2034</w:t>
            </w:r>
          </w:p>
        </w:tc>
        <w:tc>
          <w:tcPr>
            <w:tcW w:w="1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6.000 %</w:t>
            </w:r>
          </w:p>
        </w:tc>
        <w:tc>
          <w:tcPr>
            <w:tcW w:w="182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6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3420" w:type="dxa"/>
            <w:vAlign w:val="bottom"/>
          </w:tcPr>
          <w:p>
            <w:pPr>
              <w:ind w:left="20"/>
              <w:spacing w:after="0"/>
              <w:rPr>
                <w:sz w:val="20"/>
                <w:szCs w:val="20"/>
                <w:color w:val="auto"/>
              </w:rPr>
            </w:pPr>
            <w:r>
              <w:rPr>
                <w:rFonts w:ascii="Arial" w:cs="Arial" w:eastAsia="Arial" w:hAnsi="Arial"/>
                <w:sz w:val="15"/>
                <w:szCs w:val="15"/>
                <w:color w:val="auto"/>
              </w:rPr>
              <w:t>Total debt</w:t>
            </w:r>
          </w:p>
        </w:tc>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3,446,450</w:t>
            </w:r>
          </w:p>
        </w:tc>
        <w:tc>
          <w:tcPr>
            <w:tcW w:w="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3,806,213</w:t>
            </w:r>
          </w:p>
        </w:tc>
      </w:tr>
      <w:tr>
        <w:trPr>
          <w:trHeight w:val="197"/>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debt</w:t>
            </w:r>
          </w:p>
        </w:tc>
        <w:tc>
          <w:tcPr>
            <w:tcW w:w="19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c>
          <w:tcPr>
            <w:tcW w:w="6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(110,150)</w:t>
            </w:r>
          </w:p>
        </w:tc>
      </w:tr>
      <w:tr>
        <w:trPr>
          <w:trHeight w:val="189"/>
        </w:trPr>
        <w:tc>
          <w:tcPr>
            <w:tcW w:w="3420" w:type="dxa"/>
            <w:vAlign w:val="bottom"/>
          </w:tcPr>
          <w:p>
            <w:pPr>
              <w:ind w:left="20"/>
              <w:spacing w:after="0"/>
              <w:rPr>
                <w:sz w:val="20"/>
                <w:szCs w:val="20"/>
                <w:color w:val="auto"/>
              </w:rPr>
            </w:pPr>
            <w:r>
              <w:rPr>
                <w:rFonts w:ascii="Arial" w:cs="Arial" w:eastAsia="Arial" w:hAnsi="Arial"/>
                <w:sz w:val="15"/>
                <w:szCs w:val="15"/>
                <w:color w:val="auto"/>
              </w:rPr>
              <w:t>Total long-term debt</w:t>
            </w:r>
          </w:p>
        </w:tc>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3,416,688</w:t>
            </w:r>
          </w:p>
        </w:tc>
        <w:tc>
          <w:tcPr>
            <w:tcW w:w="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3,696,063</w:t>
            </w:r>
          </w:p>
        </w:tc>
      </w:tr>
      <w:tr>
        <w:trPr>
          <w:trHeight w:val="197"/>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19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(20,290)</w:t>
            </w:r>
          </w:p>
        </w:tc>
        <w:tc>
          <w:tcPr>
            <w:tcW w:w="6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(30,624)</w:t>
            </w:r>
          </w:p>
        </w:tc>
      </w:tr>
      <w:tr>
        <w:trPr>
          <w:trHeight w:val="18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long-term debt, net</w:t>
            </w:r>
          </w:p>
        </w:tc>
        <w:tc>
          <w:tcPr>
            <w:tcW w:w="1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3,396,398</w:t>
            </w:r>
          </w:p>
        </w:tc>
        <w:tc>
          <w:tcPr>
            <w:tcW w:w="6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3,665,439</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*Issued May 8, 2024</w:t>
      </w:r>
    </w:p>
    <w:p>
      <w:pPr>
        <w:spacing w:after="0" w:line="222" w:lineRule="exact"/>
        <w:rPr>
          <w:sz w:val="20"/>
          <w:szCs w:val="20"/>
          <w:color w:val="auto"/>
        </w:rPr>
      </w:pPr>
    </w:p>
    <w:p>
      <w:pPr>
        <w:jc w:val="both"/>
        <w:ind w:firstLine="591"/>
        <w:spacing w:after="0" w:line="257" w:lineRule="auto"/>
        <w:rPr>
          <w:sz w:val="20"/>
          <w:szCs w:val="20"/>
          <w:color w:val="auto"/>
        </w:rPr>
      </w:pPr>
      <w:r>
        <w:rPr>
          <w:rFonts w:ascii="Arial" w:cs="Arial" w:eastAsia="Arial" w:hAnsi="Arial"/>
          <w:sz w:val="15"/>
          <w:szCs w:val="15"/>
          <w:color w:val="auto"/>
        </w:rPr>
        <w:t>The Company incurred interest costs from various financing arrangements during the years ended December 31, 2024, December 31, 2023 and December 31, 2022 as set out in the table below. These costs have been charged in the interest expense line of the Consolidated Statement of Operations. In the years ending</w:t>
      </w:r>
    </w:p>
    <w:p>
      <w:pPr>
        <w:jc w:val="both"/>
        <w:spacing w:after="0" w:line="286" w:lineRule="auto"/>
        <w:rPr>
          <w:sz w:val="20"/>
          <w:szCs w:val="20"/>
          <w:color w:val="auto"/>
        </w:rPr>
      </w:pPr>
      <w:r>
        <w:rPr>
          <w:rFonts w:ascii="Arial" w:cs="Arial" w:eastAsia="Arial" w:hAnsi="Arial"/>
          <w:sz w:val="15"/>
          <w:szCs w:val="15"/>
          <w:color w:val="auto"/>
        </w:rPr>
        <w:t>December 31, 2024, December 31, 2023 and December 31, 2022, the Company expensed $23.5 million, $16.4 million and $17.7 million of transaction related financing costs, inclusive of the amortization of financing fees which were previously capitalized.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Interest expense on drawn facilities</w:t>
            </w:r>
          </w:p>
        </w:tc>
        <w:tc>
          <w:tcPr>
            <w:tcW w:w="640" w:type="dxa"/>
            <w:vAlign w:val="bottom"/>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206,198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311,019</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209,189</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merger related financing fees</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16,402</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17,749</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financing costs*</w:t>
            </w: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7,506</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2,793</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financing costs</w:t>
            </w:r>
          </w:p>
        </w:tc>
        <w:tc>
          <w:tcPr>
            <w:tcW w:w="64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229,731</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39"/>
        </w:trPr>
        <w:tc>
          <w:tcPr>
            <w:tcW w:w="6920" w:type="dxa"/>
            <w:vAlign w:val="bottom"/>
          </w:tcPr>
          <w:p>
            <w:pPr>
              <w:spacing w:after="0"/>
              <w:rPr>
                <w:sz w:val="20"/>
                <w:szCs w:val="20"/>
                <w:color w:val="auto"/>
              </w:rPr>
            </w:pPr>
            <w:r>
              <w:rPr>
                <w:rFonts w:ascii="Arial" w:cs="Arial" w:eastAsia="Arial" w:hAnsi="Arial"/>
                <w:sz w:val="15"/>
                <w:szCs w:val="15"/>
                <w:color w:val="auto"/>
              </w:rPr>
              <w:t>*Includes costs associated with the senior secured revolving loan facility.</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4"/>
        </w:trPr>
        <w:tc>
          <w:tcPr>
            <w:tcW w:w="7560" w:type="dxa"/>
            <w:vAlign w:val="bottom"/>
            <w:gridSpan w:val="2"/>
          </w:tcPr>
          <w:p>
            <w:pPr>
              <w:ind w:left="600"/>
              <w:spacing w:after="0"/>
              <w:rPr>
                <w:sz w:val="20"/>
                <w:szCs w:val="20"/>
                <w:color w:val="auto"/>
              </w:rPr>
            </w:pPr>
            <w:r>
              <w:rPr>
                <w:rFonts w:ascii="Arial" w:cs="Arial" w:eastAsia="Arial" w:hAnsi="Arial"/>
                <w:sz w:val="15"/>
                <w:szCs w:val="15"/>
                <w:color w:val="auto"/>
              </w:rPr>
              <w:t>As of December 31, 2024, the contractual maturities of the Company's debt obligations were as follows: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Maturities of debt:</w:t>
            </w:r>
          </w:p>
        </w:tc>
        <w:tc>
          <w:tcPr>
            <w:tcW w:w="4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88"/>
        </w:trPr>
        <w:tc>
          <w:tcPr>
            <w:tcW w:w="5560" w:type="dxa"/>
            <w:vAlign w:val="bottom"/>
          </w:tcPr>
          <w:p>
            <w:pPr>
              <w:ind w:left="20"/>
              <w:spacing w:after="0"/>
              <w:rPr>
                <w:sz w:val="20"/>
                <w:szCs w:val="20"/>
                <w:color w:val="auto"/>
              </w:rPr>
            </w:pPr>
            <w:r>
              <w:rPr>
                <w:rFonts w:ascii="Arial" w:cs="Arial" w:eastAsia="Arial" w:hAnsi="Arial"/>
                <w:sz w:val="15"/>
                <w:szCs w:val="15"/>
                <w:color w:val="auto"/>
              </w:rPr>
              <w:t>2025</w:t>
            </w:r>
          </w:p>
        </w:tc>
        <w:tc>
          <w:tcPr>
            <w:tcW w:w="45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29,762</w:t>
            </w: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4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529,762</w:t>
            </w:r>
          </w:p>
        </w:tc>
      </w:tr>
      <w:tr>
        <w:trPr>
          <w:trHeight w:val="196"/>
        </w:trPr>
        <w:tc>
          <w:tcPr>
            <w:tcW w:w="5560" w:type="dxa"/>
            <w:vAlign w:val="bottom"/>
          </w:tcPr>
          <w:p>
            <w:pPr>
              <w:ind w:left="20"/>
              <w:spacing w:after="0"/>
              <w:rPr>
                <w:sz w:val="20"/>
                <w:szCs w:val="20"/>
                <w:color w:val="auto"/>
              </w:rPr>
            </w:pPr>
            <w:r>
              <w:rPr>
                <w:rFonts w:ascii="Arial" w:cs="Arial" w:eastAsia="Arial" w:hAnsi="Arial"/>
                <w:sz w:val="15"/>
                <w:szCs w:val="15"/>
                <w:color w:val="auto"/>
              </w:rPr>
              <w:t>2027</w:t>
            </w:r>
          </w:p>
        </w:tc>
        <w:tc>
          <w:tcPr>
            <w:tcW w:w="4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779,762</w:t>
            </w: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4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857,164</w:t>
            </w:r>
          </w:p>
        </w:tc>
      </w:tr>
      <w:tr>
        <w:trPr>
          <w:trHeight w:val="19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2029 and thereafter</w:t>
            </w:r>
          </w:p>
        </w:tc>
        <w:tc>
          <w:tcPr>
            <w:tcW w:w="4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w:t>
            </w:r>
          </w:p>
        </w:tc>
      </w:tr>
      <w:tr>
        <w:trPr>
          <w:trHeight w:val="214"/>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3,446,450</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4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New Notes</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72"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80"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9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193" w:lineRule="exact"/>
        <w:rPr>
          <w:sz w:val="20"/>
          <w:szCs w:val="20"/>
          <w:color w:val="auto"/>
        </w:rPr>
      </w:pPr>
    </w:p>
    <w:p>
      <w:pPr>
        <w:jc w:val="both"/>
        <w:ind w:firstLine="591"/>
        <w:spacing w:after="0" w:line="250"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208" w:lineRule="exact"/>
        <w:rPr>
          <w:sz w:val="20"/>
          <w:szCs w:val="20"/>
          <w:color w:val="auto"/>
        </w:rPr>
      </w:pPr>
    </w:p>
    <w:p>
      <w:pPr>
        <w:jc w:val="both"/>
        <w:ind w:firstLine="591"/>
        <w:spacing w:after="0" w:line="239"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202"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December 31, 2024, the applicable margin is 2.0% (which reflects the Third Amendment). The senior secured term loan facility is subject to a floor of 0.50%.</w:t>
      </w:r>
    </w:p>
    <w:p>
      <w:pPr>
        <w:spacing w:after="0" w:line="203"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7" w:lineRule="exact"/>
        <w:rPr>
          <w:sz w:val="20"/>
          <w:szCs w:val="20"/>
          <w:color w:val="auto"/>
        </w:rPr>
      </w:pPr>
    </w:p>
    <w:p>
      <w:pPr>
        <w:jc w:val="both"/>
        <w:ind w:firstLine="591"/>
        <w:spacing w:after="0" w:line="266" w:lineRule="auto"/>
        <w:rPr>
          <w:sz w:val="20"/>
          <w:szCs w:val="20"/>
          <w:color w:val="auto"/>
        </w:rPr>
      </w:pPr>
      <w:r>
        <w:rPr>
          <w:rFonts w:ascii="Arial" w:cs="Arial" w:eastAsia="Arial" w:hAnsi="Arial"/>
          <w:sz w:val="14"/>
          <w:szCs w:val="14"/>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Principal repayments, comprising mandatory and voluntary repayments, during the year ended December 31, 2024 and December 31, 2023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4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9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2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(in thousands)</w:t>
            </w:r>
          </w:p>
        </w:tc>
        <w:tc>
          <w:tcPr>
            <w:tcW w:w="780" w:type="dxa"/>
            <w:vAlign w:val="bottom"/>
          </w:tcPr>
          <w:p>
            <w:pPr>
              <w:spacing w:after="0"/>
              <w:rPr>
                <w:sz w:val="16"/>
                <w:szCs w:val="16"/>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w:t>
            </w:r>
          </w:p>
        </w:tc>
        <w:tc>
          <w:tcPr>
            <w:tcW w:w="38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(275,000)</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r>
      <w:tr>
        <w:trPr>
          <w:trHeight w:val="196"/>
        </w:trPr>
        <w:tc>
          <w:tcPr>
            <w:tcW w:w="4940" w:type="dxa"/>
            <w:vAlign w:val="bottom"/>
          </w:tcPr>
          <w:p>
            <w:pPr>
              <w:ind w:left="20"/>
              <w:spacing w:after="0"/>
              <w:rPr>
                <w:sz w:val="20"/>
                <w:szCs w:val="20"/>
                <w:color w:val="auto"/>
              </w:rPr>
            </w:pPr>
            <w:r>
              <w:rPr>
                <w:rFonts w:ascii="Arial" w:cs="Arial" w:eastAsia="Arial" w:hAnsi="Arial"/>
                <w:sz w:val="15"/>
                <w:szCs w:val="15"/>
                <w:color w:val="auto"/>
              </w:rPr>
              <w:t>Quarter 2</w:t>
            </w:r>
          </w:p>
        </w:tc>
        <w:tc>
          <w:tcPr>
            <w:tcW w:w="38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(2,014,882)</w:t>
            </w:r>
          </w:p>
        </w:tc>
        <w:tc>
          <w:tcPr>
            <w:tcW w:w="6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(150,000)</w:t>
            </w:r>
          </w:p>
        </w:tc>
      </w:tr>
      <w:tr>
        <w:trPr>
          <w:trHeight w:val="19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3</w:t>
            </w:r>
          </w:p>
        </w:tc>
        <w:tc>
          <w:tcPr>
            <w:tcW w:w="3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(7,441)</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r>
      <w:tr>
        <w:trPr>
          <w:trHeight w:val="19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4</w:t>
            </w:r>
          </w:p>
        </w:tc>
        <w:tc>
          <w:tcPr>
            <w:tcW w:w="3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(7,440)</w:t>
            </w:r>
          </w:p>
        </w:tc>
        <w:tc>
          <w:tcPr>
            <w:tcW w:w="6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(250,000)</w:t>
            </w:r>
          </w:p>
        </w:tc>
      </w:tr>
      <w:tr>
        <w:trPr>
          <w:trHeight w:val="214"/>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repayments</w:t>
            </w:r>
          </w:p>
        </w:tc>
        <w:tc>
          <w:tcPr>
            <w:tcW w:w="38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(2,304,763)</w:t>
            </w:r>
          </w:p>
        </w:tc>
        <w:tc>
          <w:tcPr>
            <w:tcW w:w="66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(950,000)</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The voluntary repayments made during the year resulted in an accelerated charge associated with previously capitalized fees of $16.9 million (December 31, 2023: $7.9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26" w:name="page127"/>
    <w:bookmarkEnd w:id="126"/>
    <w:p>
      <w:pPr>
        <w:jc w:val="both"/>
        <w:ind w:left="1" w:firstLine="591"/>
        <w:spacing w:after="0" w:line="246" w:lineRule="auto"/>
        <w:rPr>
          <w:sz w:val="20"/>
          <w:szCs w:val="20"/>
          <w:color w:val="auto"/>
        </w:rPr>
      </w:pPr>
      <w:r>
        <w:rPr>
          <w:rFonts w:ascii="Arial" w:cs="Arial" w:eastAsia="Arial" w:hAnsi="Arial"/>
          <w:sz w:val="15"/>
          <w:szCs w:val="15"/>
          <w:color w:val="auto"/>
        </w:rPr>
        <w:t>During the year ended December 31, 2024, the Company drew down $318.0 million (December 31, 2023: $370.0 million) of the senior secured revolving loan facility and repaid $373.0 million (December 31, 2023: $315.0 million) as shown below. As at December 31, 2024, $nil (December 31, 2023: $55.0 million) was drawn under the senior secured revolving loan facility.</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476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Repayment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Closing Balance</w:t>
            </w:r>
          </w:p>
        </w:tc>
      </w:tr>
      <w:tr>
        <w:trPr>
          <w:trHeight w:val="189"/>
        </w:trPr>
        <w:tc>
          <w:tcPr>
            <w:tcW w:w="4760" w:type="dxa"/>
            <w:vAlign w:val="bottom"/>
          </w:tcPr>
          <w:p>
            <w:pPr>
              <w:spacing w:after="0"/>
              <w:rPr>
                <w:sz w:val="16"/>
                <w:szCs w:val="16"/>
                <w:color w:val="auto"/>
              </w:rPr>
            </w:pPr>
          </w:p>
        </w:tc>
        <w:tc>
          <w:tcPr>
            <w:tcW w:w="3600" w:type="dxa"/>
            <w:vAlign w:val="bottom"/>
            <w:gridSpan w:val="2"/>
          </w:tcPr>
          <w:p>
            <w:pPr>
              <w:ind w:left="2180"/>
              <w:spacing w:after="0"/>
              <w:rPr>
                <w:sz w:val="20"/>
                <w:szCs w:val="20"/>
                <w:color w:val="auto"/>
              </w:rPr>
            </w:pPr>
            <w:r>
              <w:rPr>
                <w:rFonts w:ascii="Arial" w:cs="Arial" w:eastAsia="Arial" w:hAnsi="Arial"/>
                <w:sz w:val="15"/>
                <w:szCs w:val="15"/>
                <w:b w:val="1"/>
                <w:bCs w:val="1"/>
                <w:color w:val="auto"/>
              </w:rPr>
              <w:t>(in thousands)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2023</w:t>
            </w:r>
          </w:p>
        </w:tc>
        <w:tc>
          <w:tcPr>
            <w:tcW w:w="2560" w:type="dxa"/>
            <w:vAlign w:val="bottom"/>
            <w:shd w:val="clear" w:color="auto" w:fill="CCEEFF"/>
          </w:tcPr>
          <w:p>
            <w:pPr>
              <w:ind w:left="218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80,000</w:t>
            </w:r>
          </w:p>
        </w:tc>
      </w:tr>
      <w:tr>
        <w:trPr>
          <w:trHeight w:val="196"/>
        </w:trPr>
        <w:tc>
          <w:tcPr>
            <w:tcW w:w="4760" w:type="dxa"/>
            <w:vAlign w:val="bottom"/>
          </w:tcPr>
          <w:p>
            <w:pPr>
              <w:ind w:left="20"/>
              <w:spacing w:after="0"/>
              <w:rPr>
                <w:sz w:val="20"/>
                <w:szCs w:val="20"/>
                <w:color w:val="auto"/>
              </w:rPr>
            </w:pPr>
            <w:r>
              <w:rPr>
                <w:rFonts w:ascii="Arial" w:cs="Arial" w:eastAsia="Arial" w:hAnsi="Arial"/>
                <w:sz w:val="15"/>
                <w:szCs w:val="15"/>
                <w:color w:val="auto"/>
              </w:rPr>
              <w:t>Quarter 2, 2023</w:t>
            </w:r>
          </w:p>
        </w:tc>
        <w:tc>
          <w:tcPr>
            <w:tcW w:w="2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50,000</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(80,000)</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9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3, 2023</w:t>
            </w:r>
          </w:p>
        </w:tc>
        <w:tc>
          <w:tcPr>
            <w:tcW w:w="2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r>
      <w:tr>
        <w:trPr>
          <w:trHeight w:val="19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4, 2023</w:t>
            </w:r>
          </w:p>
        </w:tc>
        <w:tc>
          <w:tcPr>
            <w:tcW w:w="2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(85,000)</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55,000</w:t>
            </w:r>
          </w:p>
        </w:tc>
      </w:tr>
      <w:tr>
        <w:trPr>
          <w:trHeight w:val="189"/>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drawdown / (repayments) in 2023</w:t>
            </w:r>
          </w:p>
        </w:tc>
        <w:tc>
          <w:tcPr>
            <w:tcW w:w="25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370,000</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(315,000)</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2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50,000</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(55,000)</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9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2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143,000</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476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2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50,000</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(50,000)</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2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2024</w:t>
            </w:r>
          </w:p>
        </w:tc>
        <w:tc>
          <w:tcPr>
            <w:tcW w:w="2560" w:type="dxa"/>
            <w:vAlign w:val="bottom"/>
            <w:tcBorders>
              <w:bottom w:val="single" w:sz="8" w:color="auto"/>
            </w:tcBorders>
          </w:tcPr>
          <w:p>
            <w:pPr>
              <w:ind w:left="218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318,000</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(373,000)</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2026 Notes</w:t>
      </w:r>
    </w:p>
    <w:p>
      <w:pPr>
        <w:spacing w:after="0" w:line="208" w:lineRule="exact"/>
        <w:rPr>
          <w:sz w:val="20"/>
          <w:szCs w:val="20"/>
          <w:color w:val="auto"/>
        </w:rPr>
      </w:pPr>
    </w:p>
    <w:p>
      <w:pPr>
        <w:jc w:val="both"/>
        <w:ind w:left="1" w:firstLine="591"/>
        <w:spacing w:after="0" w:line="269" w:lineRule="auto"/>
        <w:rPr>
          <w:sz w:val="20"/>
          <w:szCs w:val="20"/>
          <w:color w:val="auto"/>
        </w:rPr>
      </w:pPr>
      <w:r>
        <w:rPr>
          <w:rFonts w:ascii="Arial" w:cs="Arial" w:eastAsia="Arial" w:hAnsi="Arial"/>
          <w:sz w:val="15"/>
          <w:szCs w:val="15"/>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5"/>
          <w:szCs w:val="15"/>
          <w:i w:val="1"/>
          <w:iCs w:val="1"/>
          <w:color w:val="auto"/>
        </w:rPr>
        <w:t>Fair Value of Debt</w:t>
      </w:r>
    </w:p>
    <w:p>
      <w:pPr>
        <w:spacing w:after="0" w:line="19" w:lineRule="exact"/>
        <w:rPr>
          <w:sz w:val="20"/>
          <w:szCs w:val="20"/>
          <w:color w:val="auto"/>
        </w:rPr>
      </w:pPr>
    </w:p>
    <w:p>
      <w:pPr>
        <w:jc w:val="both"/>
        <w:ind w:left="1" w:firstLine="591"/>
        <w:spacing w:after="0" w:line="248" w:lineRule="auto"/>
        <w:rPr>
          <w:sz w:val="20"/>
          <w:szCs w:val="20"/>
          <w:color w:val="auto"/>
        </w:rPr>
      </w:pPr>
      <w:r>
        <w:rPr>
          <w:rFonts w:ascii="Arial" w:cs="Arial" w:eastAsia="Arial" w:hAnsi="Arial"/>
          <w:sz w:val="15"/>
          <w:szCs w:val="15"/>
          <w:color w:val="auto"/>
        </w:rPr>
        <w:t>The estimated fair value of the Company’s debt was $3,469.2 million at December 31, 2024 and (December 31, 2023: $3,793.5 million). The fair values of the senior secured term loan facility, the 2026 Notes and the New Notes were determined based on Level 2 inputs, which are based on rates at which the debt is traded among financial institutions. The fair value of the senior secured revolving loan facility approximates its carrying value due to the short term duration.</w:t>
      </w:r>
    </w:p>
    <w:p>
      <w:pPr>
        <w:spacing w:after="0" w:line="200" w:lineRule="exact"/>
        <w:rPr>
          <w:sz w:val="20"/>
          <w:szCs w:val="20"/>
          <w:color w:val="auto"/>
        </w:rPr>
      </w:pPr>
    </w:p>
    <w:p>
      <w:pPr>
        <w:spacing w:after="0" w:line="218" w:lineRule="exact"/>
        <w:rPr>
          <w:sz w:val="20"/>
          <w:szCs w:val="20"/>
          <w:color w:val="auto"/>
        </w:rPr>
      </w:pPr>
    </w:p>
    <w:p>
      <w:pPr>
        <w:ind w:left="241" w:hanging="241"/>
        <w:spacing w:after="0"/>
        <w:tabs>
          <w:tab w:leader="none" w:pos="241"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Derivatives</w:t>
      </w:r>
    </w:p>
    <w:p>
      <w:pPr>
        <w:spacing w:after="0" w:line="221" w:lineRule="exact"/>
        <w:rPr>
          <w:rFonts w:ascii="Arial" w:cs="Arial" w:eastAsia="Arial" w:hAnsi="Arial"/>
          <w:sz w:val="15"/>
          <w:szCs w:val="15"/>
          <w:b w:val="1"/>
          <w:bCs w:val="1"/>
          <w:color w:val="auto"/>
        </w:rPr>
      </w:pPr>
    </w:p>
    <w:p>
      <w:pPr>
        <w:ind w:left="241"/>
        <w:spacing w:after="0"/>
        <w:rPr>
          <w:rFonts w:ascii="Arial" w:cs="Arial" w:eastAsia="Arial" w:hAnsi="Arial"/>
          <w:sz w:val="15"/>
          <w:szCs w:val="15"/>
          <w:b w:val="1"/>
          <w:bCs w:val="1"/>
          <w:color w:val="auto"/>
        </w:rPr>
      </w:pPr>
      <w:r>
        <w:rPr>
          <w:rFonts w:ascii="Arial" w:cs="Arial" w:eastAsia="Arial" w:hAnsi="Arial"/>
          <w:sz w:val="15"/>
          <w:szCs w:val="15"/>
          <w:color w:val="auto"/>
        </w:rPr>
        <w:t>The Company previously entered into interest rate cap and swap agreements for purposes of managing its exposure to interest rate fluctuations.</w:t>
      </w:r>
    </w:p>
    <w:p>
      <w:pPr>
        <w:spacing w:after="0" w:line="234" w:lineRule="exact"/>
        <w:rPr>
          <w:sz w:val="20"/>
          <w:szCs w:val="20"/>
          <w:color w:val="auto"/>
        </w:rPr>
      </w:pPr>
    </w:p>
    <w:p>
      <w:pPr>
        <w:jc w:val="both"/>
        <w:ind w:left="1" w:firstLine="236"/>
        <w:spacing w:after="0" w:line="255" w:lineRule="auto"/>
        <w:rPr>
          <w:sz w:val="20"/>
          <w:szCs w:val="20"/>
          <w:color w:val="auto"/>
        </w:rPr>
      </w:pPr>
      <w:r>
        <w:rPr>
          <w:rFonts w:ascii="Arial" w:cs="Arial" w:eastAsia="Arial" w:hAnsi="Arial"/>
          <w:sz w:val="15"/>
          <w:szCs w:val="15"/>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were due to expire on December 31, 2024. Under the terms of the interest rate caps, the Company had paid a fixed rate of 0.42% and received a variable rate equal to the amount that the three-month SOFR rate exceeds 4.75%.</w:t>
      </w:r>
    </w:p>
    <w:p>
      <w:pPr>
        <w:spacing w:after="0" w:line="191" w:lineRule="exact"/>
        <w:rPr>
          <w:sz w:val="20"/>
          <w:szCs w:val="20"/>
          <w:color w:val="auto"/>
        </w:rPr>
      </w:pPr>
    </w:p>
    <w:p>
      <w:pPr>
        <w:jc w:val="both"/>
        <w:ind w:left="1" w:firstLine="236"/>
        <w:spacing w:after="0" w:line="255" w:lineRule="auto"/>
        <w:rPr>
          <w:sz w:val="20"/>
          <w:szCs w:val="20"/>
          <w:color w:val="auto"/>
        </w:rPr>
      </w:pPr>
      <w:r>
        <w:rPr>
          <w:rFonts w:ascii="Arial" w:cs="Arial" w:eastAsia="Arial" w:hAnsi="Arial"/>
          <w:sz w:val="15"/>
          <w:szCs w:val="15"/>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was due to begin accruing on December 31, 2024 and the interest rate swap was due to expire on September 30, 2026. Under the terms of the interest rate swap, the Company would have paid a fixed rate of 3.4% and would have received a variable rate of interest equal to the three-month SOFR on the 2022 Swap.</w:t>
      </w:r>
    </w:p>
    <w:p>
      <w:pPr>
        <w:spacing w:after="0" w:line="203" w:lineRule="exact"/>
        <w:rPr>
          <w:sz w:val="20"/>
          <w:szCs w:val="20"/>
          <w:color w:val="auto"/>
        </w:rPr>
      </w:pPr>
    </w:p>
    <w:p>
      <w:pPr>
        <w:jc w:val="both"/>
        <w:ind w:left="1" w:firstLine="236"/>
        <w:spacing w:after="0" w:line="269" w:lineRule="auto"/>
        <w:rPr>
          <w:sz w:val="20"/>
          <w:szCs w:val="20"/>
          <w:color w:val="auto"/>
        </w:rPr>
      </w:pPr>
      <w:r>
        <w:rPr>
          <w:rFonts w:ascii="Arial" w:cs="Arial" w:eastAsia="Arial" w:hAnsi="Arial"/>
          <w:sz w:val="15"/>
          <w:szCs w:val="15"/>
          <w:color w:val="auto"/>
        </w:rPr>
        <w:t>The 2022 Caps and the 2022 Swap were designated as cash flow hedges. Gains and losses were initially reported as a component of other comprehensive income/loss and subsequently recognized in net income.</w:t>
      </w:r>
    </w:p>
    <w:p>
      <w:pPr>
        <w:spacing w:after="0" w:line="180" w:lineRule="exact"/>
        <w:rPr>
          <w:sz w:val="20"/>
          <w:szCs w:val="20"/>
          <w:color w:val="auto"/>
        </w:rPr>
      </w:pPr>
    </w:p>
    <w:p>
      <w:pPr>
        <w:jc w:val="both"/>
        <w:ind w:left="1" w:firstLine="591"/>
        <w:spacing w:after="0" w:line="224" w:lineRule="auto"/>
        <w:rPr>
          <w:sz w:val="20"/>
          <w:szCs w:val="20"/>
          <w:color w:val="auto"/>
        </w:rPr>
      </w:pPr>
      <w:r>
        <w:rPr>
          <w:rFonts w:ascii="Arial" w:cs="Arial" w:eastAsia="Arial" w:hAnsi="Arial"/>
          <w:sz w:val="15"/>
          <w:szCs w:val="15"/>
          <w:color w:val="auto"/>
        </w:rPr>
        <w:t xml:space="preserve">During the year, the Company’s exposure to interest rate fluctuations significantly reduced with the voluntary and mandatory repayments of the senior secured term loan facility (refer to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Given this reduction and the repricing of the Senior Secured Credit facilities, the Company</w:t>
      </w:r>
    </w:p>
    <w:p>
      <w:pPr>
        <w:ind w:left="1"/>
        <w:spacing w:after="0"/>
        <w:rPr>
          <w:sz w:val="20"/>
          <w:szCs w:val="20"/>
          <w:color w:val="auto"/>
        </w:rPr>
      </w:pPr>
      <w:r>
        <w:rPr>
          <w:rFonts w:ascii="Arial" w:cs="Arial" w:eastAsia="Arial" w:hAnsi="Arial"/>
          <w:sz w:val="15"/>
          <w:szCs w:val="15"/>
          <w:color w:val="auto"/>
        </w:rPr>
        <w:t>closed the 2022 Caps and 2022 Swap agreements.</w:t>
      </w:r>
    </w:p>
    <w:p>
      <w:pPr>
        <w:spacing w:after="0" w:line="196" w:lineRule="exact"/>
        <w:rPr>
          <w:sz w:val="20"/>
          <w:szCs w:val="20"/>
          <w:color w:val="auto"/>
        </w:rPr>
      </w:pPr>
    </w:p>
    <w:p>
      <w:pPr>
        <w:ind w:left="601"/>
        <w:spacing w:after="0"/>
        <w:rPr>
          <w:sz w:val="20"/>
          <w:szCs w:val="20"/>
          <w:color w:val="auto"/>
        </w:rPr>
      </w:pPr>
      <w:r>
        <w:rPr>
          <w:rFonts w:ascii="Arial" w:cs="Arial" w:eastAsia="Arial" w:hAnsi="Arial"/>
          <w:sz w:val="15"/>
          <w:szCs w:val="15"/>
          <w:color w:val="auto"/>
        </w:rPr>
        <w:t>At December 31, 2024, 73% of the Company's outstanding debt is at a fixed interest rate (December 31, 2023: 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978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127" w:name="page128"/>
    <w:bookmarkEnd w:id="127"/>
    <w:p>
      <w:pPr>
        <w:ind w:left="600"/>
        <w:spacing w:after="0"/>
        <w:rPr>
          <w:sz w:val="20"/>
          <w:szCs w:val="20"/>
          <w:color w:val="auto"/>
        </w:rPr>
      </w:pPr>
      <w:r>
        <w:rPr>
          <w:rFonts w:ascii="Arial" w:cs="Arial" w:eastAsia="Arial" w:hAnsi="Arial"/>
          <w:sz w:val="15"/>
          <w:szCs w:val="15"/>
          <w:color w:val="auto"/>
        </w:rPr>
        <w:t>During the year ended December 31, 2024, the Company recognized a gain of $5.0 million (December 31, 2023: $1.6 million) within other comprehensive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income/loss after a reclassification of $13.9 million (December 31, 2023: $2.4 million) from other comprehensive income/loss to the income statement.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Company’s derivative financial instruments at December 31, 2024 amount to $nil. The fair value of the Company’s derivative financial instruments at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2023 on a gross basis, are summarized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3"/>
            <w:shd w:val="clear" w:color="auto" w:fill="CCEEFF"/>
          </w:tcPr>
          <w:p>
            <w:pPr>
              <w:jc w:val="center"/>
              <w:ind w:left="46"/>
              <w:spacing w:after="0"/>
              <w:rPr>
                <w:sz w:val="20"/>
                <w:szCs w:val="20"/>
                <w:color w:val="auto"/>
              </w:rPr>
            </w:pPr>
            <w:r>
              <w:rPr>
                <w:rFonts w:ascii="Arial" w:cs="Arial" w:eastAsia="Arial" w:hAnsi="Arial"/>
                <w:sz w:val="15"/>
                <w:szCs w:val="15"/>
                <w:b w:val="1"/>
                <w:bCs w:val="1"/>
                <w:color w:val="auto"/>
                <w:w w:val="99"/>
              </w:rPr>
              <w:t>December 31, 2023</w:t>
            </w:r>
          </w:p>
        </w:tc>
        <w:tc>
          <w:tcPr>
            <w:tcW w:w="1040" w:type="dxa"/>
            <w:vAlign w:val="bottom"/>
            <w:tcBorders>
              <w:bottom w:val="single" w:sz="8" w:color="auto"/>
            </w:tcBorders>
            <w:shd w:val="clear" w:color="auto" w:fill="CCEEFF"/>
          </w:tcPr>
          <w:p>
            <w:pPr>
              <w:spacing w:after="0"/>
              <w:rPr>
                <w:sz w:val="17"/>
                <w:szCs w:val="17"/>
                <w:color w:val="auto"/>
              </w:rPr>
            </w:pPr>
          </w:p>
        </w:tc>
      </w:tr>
      <w:tr>
        <w:trPr>
          <w:trHeight w:val="189"/>
        </w:trPr>
        <w:tc>
          <w:tcPr>
            <w:tcW w:w="7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Asset</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8"/>
              </w:rPr>
              <w:t>Liability</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Notional</w:t>
            </w:r>
          </w:p>
        </w:tc>
      </w:tr>
      <w:tr>
        <w:trPr>
          <w:trHeight w:val="189"/>
        </w:trPr>
        <w:tc>
          <w:tcPr>
            <w:tcW w:w="74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6"/>
              <w:spacing w:after="0"/>
              <w:rPr>
                <w:sz w:val="20"/>
                <w:szCs w:val="20"/>
                <w:color w:val="auto"/>
              </w:rPr>
            </w:pPr>
            <w:r>
              <w:rPr>
                <w:rFonts w:ascii="Arial" w:cs="Arial" w:eastAsia="Arial" w:hAnsi="Arial"/>
                <w:sz w:val="15"/>
                <w:szCs w:val="15"/>
                <w:b w:val="1"/>
                <w:bCs w:val="1"/>
                <w:color w:val="auto"/>
                <w:w w:val="98"/>
              </w:rPr>
              <w:t>(in thousands)</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5"/>
                <w:szCs w:val="15"/>
                <w:color w:val="auto"/>
              </w:rPr>
              <w:t>Interest Rate Caps</w:t>
            </w:r>
          </w:p>
        </w:tc>
        <w:tc>
          <w:tcPr>
            <w:tcW w:w="940" w:type="dxa"/>
            <w:vAlign w:val="bottom"/>
          </w:tcPr>
          <w:p>
            <w:pPr>
              <w:jc w:val="right"/>
              <w:ind w:right="766"/>
              <w:spacing w:after="0"/>
              <w:rPr>
                <w:sz w:val="20"/>
                <w:szCs w:val="20"/>
                <w:color w:val="auto"/>
              </w:rPr>
            </w:pPr>
            <w:r>
              <w:rPr>
                <w:rFonts w:ascii="Arial" w:cs="Arial" w:eastAsia="Arial" w:hAnsi="Arial"/>
                <w:sz w:val="15"/>
                <w:szCs w:val="15"/>
                <w:color w:val="auto"/>
                <w:w w:val="95"/>
              </w:rPr>
              <w:t>$</w:t>
            </w:r>
          </w:p>
        </w:tc>
        <w:tc>
          <w:tcPr>
            <w:tcW w:w="440" w:type="dxa"/>
            <w:vAlign w:val="bottom"/>
          </w:tcPr>
          <w:p>
            <w:pPr>
              <w:ind w:left="120"/>
              <w:spacing w:after="0"/>
              <w:rPr>
                <w:sz w:val="20"/>
                <w:szCs w:val="20"/>
                <w:color w:val="auto"/>
              </w:rPr>
            </w:pPr>
            <w:r>
              <w:rPr>
                <w:rFonts w:ascii="Arial" w:cs="Arial" w:eastAsia="Arial" w:hAnsi="Arial"/>
                <w:sz w:val="15"/>
                <w:szCs w:val="15"/>
                <w:color w:val="auto"/>
              </w:rPr>
              <w:t>— $</w:t>
            </w:r>
          </w:p>
        </w:tc>
        <w:tc>
          <w:tcPr>
            <w:tcW w:w="1140" w:type="dxa"/>
            <w:vAlign w:val="bottom"/>
          </w:tcPr>
          <w:p>
            <w:pPr>
              <w:jc w:val="right"/>
              <w:spacing w:after="0"/>
              <w:rPr>
                <w:sz w:val="20"/>
                <w:szCs w:val="20"/>
                <w:color w:val="auto"/>
              </w:rPr>
            </w:pPr>
            <w:r>
              <w:rPr>
                <w:rFonts w:ascii="Arial" w:cs="Arial" w:eastAsia="Arial" w:hAnsi="Arial"/>
                <w:sz w:val="15"/>
                <w:szCs w:val="15"/>
                <w:color w:val="auto"/>
              </w:rPr>
              <w:t>1,871</w:t>
            </w: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1,600,606</w:t>
            </w:r>
          </w:p>
        </w:tc>
      </w:tr>
      <w:tr>
        <w:trPr>
          <w:trHeight w:val="197"/>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Interest Rate Swap</w:t>
            </w:r>
          </w:p>
        </w:tc>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1,100,606</w:t>
            </w:r>
          </w:p>
        </w:tc>
      </w:tr>
      <w:tr>
        <w:trPr>
          <w:trHeight w:val="18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derivatives designated as hedging instruments</w:t>
            </w: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2,701,212</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Operating Leases</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Lease costs recorded under operating leases for the years ended December 31, 2024, 2023 and 2022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46,466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46,820</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53,880</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(1,614)</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(1,103)</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(1,165)</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45,717</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52,715</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Of the total cost of $44.9 million incurred in the year ended December 31, 2024 (December 31, 2023, $45.7 million; December 31, 2022, $52.7 million), $37.2 million (December 31, 2023, $37.9 million; December 31, 2022, $48.3 million) is recorded within selling, general and administration costs and $7.7 million (December 31, 2023, $7.8 million; December 31, 2022, $4.4 million) is recorded within direct costs.</w:t>
      </w:r>
    </w:p>
    <w:p>
      <w:pPr>
        <w:spacing w:after="0" w:line="13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Right-of-use assets obtained, in exchange for lease obligations, during the years ended December 31, 2024 and December 31, 2023 totaled $64.8 million and $37.7 million, respectively.</w:t>
      </w:r>
    </w:p>
    <w:p>
      <w:pPr>
        <w:spacing w:after="0" w:line="119"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 xml:space="preserve">During the years ended December 31, 2024, 2023 and 2022, impairments of operating right-of-use assets were recognized within restructuring charges for $13.8 million, $8.7 million, and $28.4 million, respectively, as part of an office consolidation program (see note 19. </w:t>
      </w:r>
      <w:r>
        <w:rPr>
          <w:rFonts w:ascii="Arial" w:cs="Arial" w:eastAsia="Arial" w:hAnsi="Arial"/>
          <w:sz w:val="15"/>
          <w:szCs w:val="15"/>
          <w:i w:val="1"/>
          <w:iCs w:val="1"/>
          <w:color w:val="auto"/>
        </w:rPr>
        <w:t>Restructuring Charges</w:t>
      </w:r>
      <w:r>
        <w:rPr>
          <w:rFonts w:ascii="Arial" w:cs="Arial" w:eastAsia="Arial" w:hAnsi="Arial"/>
          <w:sz w:val="15"/>
          <w:szCs w:val="15"/>
          <w:color w:val="auto"/>
        </w:rPr>
        <w:t>).</w:t>
      </w:r>
    </w:p>
    <w:p>
      <w:pPr>
        <w:spacing w:after="0" w:line="106"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weighted average remaining lease term and weighted-average discount rate at December 31, 2024 were 6.56 years and 4.01%, respectively. The weighted average remaining lease term and weighted-average discount rate at December 31, 2023 were 6.72 years and 3.29%,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28" w:name="page129"/>
    <w:bookmarkEnd w:id="128"/>
    <w:tbl>
      <w:tblPr>
        <w:tblLayout w:type="fixed"/>
        <w:tblInd w:w="60" w:type="dxa"/>
        <w:tblCellMar>
          <w:top w:w="0" w:type="dxa"/>
          <w:left w:w="0" w:type="dxa"/>
          <w:bottom w:w="0" w:type="dxa"/>
          <w:right w:w="0" w:type="dxa"/>
        </w:tblCellMar>
      </w:tblPr>
      <w:tr>
        <w:trPr>
          <w:trHeight w:val="194"/>
        </w:trPr>
        <w:tc>
          <w:tcPr>
            <w:tcW w:w="8220" w:type="dxa"/>
            <w:vAlign w:val="bottom"/>
          </w:tcPr>
          <w:p>
            <w:pPr>
              <w:ind w:left="540"/>
              <w:spacing w:after="0"/>
              <w:rPr>
                <w:sz w:val="20"/>
                <w:szCs w:val="20"/>
                <w:color w:val="auto"/>
              </w:rPr>
            </w:pPr>
            <w:r>
              <w:rPr>
                <w:rFonts w:ascii="Arial" w:cs="Arial" w:eastAsia="Arial" w:hAnsi="Arial"/>
                <w:sz w:val="15"/>
                <w:szCs w:val="15"/>
                <w:color w:val="auto"/>
              </w:rPr>
              <w:t>Future minimum lease payments under non-cancelable leases as of December 31, 2024 were as follows:</w:t>
            </w: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0"/>
        </w:trPr>
        <w:tc>
          <w:tcPr>
            <w:tcW w:w="8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97"/>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Minimum rental payments</w:t>
            </w:r>
          </w:p>
        </w:tc>
        <w:tc>
          <w:tcPr>
            <w:tcW w:w="13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(in thousands)</w:t>
            </w:r>
          </w:p>
        </w:tc>
      </w:tr>
      <w:tr>
        <w:trPr>
          <w:trHeight w:val="188"/>
        </w:trPr>
        <w:tc>
          <w:tcPr>
            <w:tcW w:w="8220" w:type="dxa"/>
            <w:vAlign w:val="bottom"/>
          </w:tcPr>
          <w:p>
            <w:pPr>
              <w:ind w:left="100"/>
              <w:spacing w:after="0"/>
              <w:rPr>
                <w:sz w:val="20"/>
                <w:szCs w:val="20"/>
                <w:color w:val="auto"/>
              </w:rPr>
            </w:pPr>
            <w:r>
              <w:rPr>
                <w:rFonts w:ascii="Arial" w:cs="Arial" w:eastAsia="Arial" w:hAnsi="Arial"/>
                <w:sz w:val="15"/>
                <w:szCs w:val="15"/>
                <w:color w:val="auto"/>
              </w:rPr>
              <w:t>2025</w:t>
            </w:r>
          </w:p>
        </w:tc>
        <w:tc>
          <w:tcPr>
            <w:tcW w:w="134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6"/>
              <w:spacing w:after="0"/>
              <w:rPr>
                <w:sz w:val="20"/>
                <w:szCs w:val="20"/>
                <w:color w:val="auto"/>
              </w:rPr>
            </w:pPr>
            <w:r>
              <w:rPr>
                <w:rFonts w:ascii="Arial" w:cs="Arial" w:eastAsia="Arial" w:hAnsi="Arial"/>
                <w:sz w:val="15"/>
                <w:szCs w:val="15"/>
                <w:color w:val="auto"/>
              </w:rPr>
              <w:t>42,931</w:t>
            </w:r>
          </w:p>
        </w:tc>
      </w:tr>
      <w:tr>
        <w:trPr>
          <w:trHeight w:val="199"/>
        </w:trPr>
        <w:tc>
          <w:tcPr>
            <w:tcW w:w="8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2026</w:t>
            </w: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38,445</w:t>
            </w:r>
          </w:p>
        </w:tc>
      </w:tr>
      <w:tr>
        <w:trPr>
          <w:trHeight w:val="196"/>
        </w:trPr>
        <w:tc>
          <w:tcPr>
            <w:tcW w:w="8220" w:type="dxa"/>
            <w:vAlign w:val="bottom"/>
          </w:tcPr>
          <w:p>
            <w:pPr>
              <w:ind w:left="100"/>
              <w:spacing w:after="0"/>
              <w:rPr>
                <w:sz w:val="20"/>
                <w:szCs w:val="20"/>
                <w:color w:val="auto"/>
              </w:rPr>
            </w:pPr>
            <w:r>
              <w:rPr>
                <w:rFonts w:ascii="Arial" w:cs="Arial" w:eastAsia="Arial" w:hAnsi="Arial"/>
                <w:sz w:val="15"/>
                <w:szCs w:val="15"/>
                <w:color w:val="auto"/>
              </w:rPr>
              <w:t>2027</w:t>
            </w:r>
          </w:p>
        </w:tc>
        <w:tc>
          <w:tcPr>
            <w:tcW w:w="1340" w:type="dxa"/>
            <w:vAlign w:val="bottom"/>
          </w:tcPr>
          <w:p>
            <w:pPr>
              <w:spacing w:after="0"/>
              <w:rPr>
                <w:sz w:val="17"/>
                <w:szCs w:val="17"/>
                <w:color w:val="auto"/>
              </w:rPr>
            </w:pPr>
          </w:p>
        </w:tc>
        <w:tc>
          <w:tcPr>
            <w:tcW w:w="1580" w:type="dxa"/>
            <w:vAlign w:val="bottom"/>
          </w:tcPr>
          <w:p>
            <w:pPr>
              <w:jc w:val="right"/>
              <w:ind w:right="46"/>
              <w:spacing w:after="0"/>
              <w:rPr>
                <w:sz w:val="20"/>
                <w:szCs w:val="20"/>
                <w:color w:val="auto"/>
              </w:rPr>
            </w:pPr>
            <w:r>
              <w:rPr>
                <w:rFonts w:ascii="Arial" w:cs="Arial" w:eastAsia="Arial" w:hAnsi="Arial"/>
                <w:sz w:val="15"/>
                <w:szCs w:val="15"/>
                <w:color w:val="auto"/>
              </w:rPr>
              <w:t>31,257</w:t>
            </w:r>
          </w:p>
        </w:tc>
      </w:tr>
      <w:tr>
        <w:trPr>
          <w:trHeight w:val="199"/>
        </w:trPr>
        <w:tc>
          <w:tcPr>
            <w:tcW w:w="8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2028</w:t>
            </w: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24,156</w:t>
            </w:r>
          </w:p>
        </w:tc>
      </w:tr>
      <w:tr>
        <w:trPr>
          <w:trHeight w:val="196"/>
        </w:trPr>
        <w:tc>
          <w:tcPr>
            <w:tcW w:w="8220" w:type="dxa"/>
            <w:vAlign w:val="bottom"/>
          </w:tcPr>
          <w:p>
            <w:pPr>
              <w:ind w:left="100"/>
              <w:spacing w:after="0"/>
              <w:rPr>
                <w:sz w:val="20"/>
                <w:szCs w:val="20"/>
                <w:color w:val="auto"/>
              </w:rPr>
            </w:pPr>
            <w:r>
              <w:rPr>
                <w:rFonts w:ascii="Arial" w:cs="Arial" w:eastAsia="Arial" w:hAnsi="Arial"/>
                <w:sz w:val="15"/>
                <w:szCs w:val="15"/>
                <w:color w:val="auto"/>
              </w:rPr>
              <w:t>2029</w:t>
            </w:r>
          </w:p>
        </w:tc>
        <w:tc>
          <w:tcPr>
            <w:tcW w:w="1340" w:type="dxa"/>
            <w:vAlign w:val="bottom"/>
          </w:tcPr>
          <w:p>
            <w:pPr>
              <w:spacing w:after="0"/>
              <w:rPr>
                <w:sz w:val="17"/>
                <w:szCs w:val="17"/>
                <w:color w:val="auto"/>
              </w:rPr>
            </w:pPr>
          </w:p>
        </w:tc>
        <w:tc>
          <w:tcPr>
            <w:tcW w:w="1580" w:type="dxa"/>
            <w:vAlign w:val="bottom"/>
          </w:tcPr>
          <w:p>
            <w:pPr>
              <w:jc w:val="right"/>
              <w:ind w:right="46"/>
              <w:spacing w:after="0"/>
              <w:rPr>
                <w:sz w:val="20"/>
                <w:szCs w:val="20"/>
                <w:color w:val="auto"/>
              </w:rPr>
            </w:pPr>
            <w:r>
              <w:rPr>
                <w:rFonts w:ascii="Arial" w:cs="Arial" w:eastAsia="Arial" w:hAnsi="Arial"/>
                <w:sz w:val="15"/>
                <w:szCs w:val="15"/>
                <w:color w:val="auto"/>
              </w:rPr>
              <w:t>17,838</w:t>
            </w:r>
          </w:p>
        </w:tc>
      </w:tr>
      <w:tr>
        <w:trPr>
          <w:trHeight w:val="197"/>
        </w:trPr>
        <w:tc>
          <w:tcPr>
            <w:tcW w:w="8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Thereafter</w:t>
            </w:r>
          </w:p>
        </w:tc>
        <w:tc>
          <w:tcPr>
            <w:tcW w:w="13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45,047</w:t>
            </w:r>
          </w:p>
        </w:tc>
      </w:tr>
      <w:tr>
        <w:trPr>
          <w:trHeight w:val="189"/>
        </w:trPr>
        <w:tc>
          <w:tcPr>
            <w:tcW w:w="8220" w:type="dxa"/>
            <w:vAlign w:val="bottom"/>
          </w:tcPr>
          <w:p>
            <w:pPr>
              <w:ind w:left="100"/>
              <w:spacing w:after="0"/>
              <w:rPr>
                <w:sz w:val="20"/>
                <w:szCs w:val="20"/>
                <w:color w:val="auto"/>
              </w:rPr>
            </w:pPr>
            <w:r>
              <w:rPr>
                <w:rFonts w:ascii="Arial" w:cs="Arial" w:eastAsia="Arial" w:hAnsi="Arial"/>
                <w:sz w:val="15"/>
                <w:szCs w:val="15"/>
                <w:color w:val="auto"/>
              </w:rPr>
              <w:t>Total future minimum lease payments</w:t>
            </w:r>
          </w:p>
        </w:tc>
        <w:tc>
          <w:tcPr>
            <w:tcW w:w="1340" w:type="dxa"/>
            <w:vAlign w:val="bottom"/>
          </w:tcPr>
          <w:p>
            <w:pPr>
              <w:spacing w:after="0"/>
              <w:rPr>
                <w:sz w:val="16"/>
                <w:szCs w:val="16"/>
                <w:color w:val="auto"/>
              </w:rPr>
            </w:pPr>
          </w:p>
        </w:tc>
        <w:tc>
          <w:tcPr>
            <w:tcW w:w="1580" w:type="dxa"/>
            <w:vAlign w:val="bottom"/>
          </w:tcPr>
          <w:p>
            <w:pPr>
              <w:jc w:val="right"/>
              <w:ind w:right="46"/>
              <w:spacing w:after="0"/>
              <w:rPr>
                <w:sz w:val="20"/>
                <w:szCs w:val="20"/>
                <w:color w:val="auto"/>
              </w:rPr>
            </w:pPr>
            <w:r>
              <w:rPr>
                <w:rFonts w:ascii="Arial" w:cs="Arial" w:eastAsia="Arial" w:hAnsi="Arial"/>
                <w:sz w:val="15"/>
                <w:szCs w:val="15"/>
                <w:color w:val="auto"/>
              </w:rPr>
              <w:t>199,674</w:t>
            </w:r>
          </w:p>
        </w:tc>
      </w:tr>
      <w:tr>
        <w:trPr>
          <w:trHeight w:val="197"/>
        </w:trPr>
        <w:tc>
          <w:tcPr>
            <w:tcW w:w="8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Lease imputed interest</w:t>
            </w:r>
          </w:p>
        </w:tc>
        <w:tc>
          <w:tcPr>
            <w:tcW w:w="13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(22,806)</w:t>
            </w:r>
          </w:p>
        </w:tc>
      </w:tr>
      <w:tr>
        <w:trPr>
          <w:trHeight w:val="189"/>
        </w:trPr>
        <w:tc>
          <w:tcPr>
            <w:tcW w:w="82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Total</w:t>
            </w:r>
          </w:p>
        </w:tc>
        <w:tc>
          <w:tcPr>
            <w:tcW w:w="134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176,868</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Operating lease liabilities are presented as current and non-current. As at December 31, 2024, operating lease liabilities of $36.8 million have been included in Other liabilities (December 31, 2023: $36.4 million) and $140.1 million million have been classified as Non-current Lease Liabilities (December 31, 2023: $126.3 million).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20"/>
                <w:szCs w:val="20"/>
                <w:color w:val="auto"/>
              </w:rPr>
            </w:pPr>
            <w:r>
              <w:rPr>
                <w:rFonts w:ascii="Arial" w:cs="Arial" w:eastAsia="Arial" w:hAnsi="Arial"/>
                <w:sz w:val="15"/>
                <w:szCs w:val="15"/>
                <w:b w:val="1"/>
                <w:bCs w:val="1"/>
                <w:color w:val="auto"/>
              </w:rPr>
              <w:t>16. Non-current other liabilities</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86"/>
        </w:trPr>
        <w:tc>
          <w:tcPr>
            <w:tcW w:w="8220" w:type="dxa"/>
            <w:vAlign w:val="bottom"/>
          </w:tcPr>
          <w:p>
            <w:pPr>
              <w:ind w:left="600"/>
              <w:spacing w:after="0"/>
              <w:rPr>
                <w:sz w:val="20"/>
                <w:szCs w:val="20"/>
                <w:color w:val="auto"/>
              </w:rPr>
            </w:pPr>
            <w:r>
              <w:rPr>
                <w:rFonts w:ascii="Arial" w:cs="Arial" w:eastAsia="Arial" w:hAnsi="Arial"/>
                <w:sz w:val="15"/>
                <w:szCs w:val="15"/>
                <w:color w:val="auto"/>
                <w:w w:val="99"/>
              </w:rPr>
              <w:t>The carrying amount of Non-current other liabilities for the years ended December 31, 2024 and 2023 is as follows:</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22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r>
      <w:tr>
        <w:trPr>
          <w:trHeight w:val="197"/>
        </w:trPr>
        <w:tc>
          <w:tcPr>
            <w:tcW w:w="8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w w:val="97"/>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8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gridSpan w:val="2"/>
          </w:tcPr>
          <w:p>
            <w:pPr>
              <w:ind w:left="420"/>
              <w:spacing w:after="0"/>
              <w:rPr>
                <w:sz w:val="20"/>
                <w:szCs w:val="20"/>
                <w:color w:val="auto"/>
              </w:rPr>
            </w:pPr>
            <w:r>
              <w:rPr>
                <w:rFonts w:ascii="Arial" w:cs="Arial" w:eastAsia="Arial" w:hAnsi="Arial"/>
                <w:sz w:val="15"/>
                <w:szCs w:val="15"/>
                <w:b w:val="1"/>
                <w:bCs w:val="1"/>
                <w:color w:val="auto"/>
              </w:rPr>
              <w:t>(in thousands)</w:t>
            </w:r>
          </w:p>
        </w:tc>
        <w:tc>
          <w:tcPr>
            <w:tcW w:w="720" w:type="dxa"/>
            <w:vAlign w:val="bottom"/>
          </w:tcPr>
          <w:p>
            <w:pPr>
              <w:spacing w:after="0"/>
              <w:rPr>
                <w:sz w:val="16"/>
                <w:szCs w:val="16"/>
                <w:color w:val="auto"/>
              </w:rPr>
            </w:pPr>
          </w:p>
        </w:tc>
      </w:tr>
      <w:tr>
        <w:trPr>
          <w:trHeight w:val="19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6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83,470</w:t>
            </w:r>
          </w:p>
        </w:tc>
        <w:tc>
          <w:tcPr>
            <w:tcW w:w="7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45,998</w:t>
            </w:r>
          </w:p>
        </w:tc>
      </w:tr>
      <w:tr>
        <w:trPr>
          <w:trHeight w:val="18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rPr>
              <w:t>83,470</w:t>
            </w:r>
          </w:p>
        </w:tc>
        <w:tc>
          <w:tcPr>
            <w:tcW w:w="72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45,998</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Commitments and Contingencies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Litigation</w:t>
      </w:r>
    </w:p>
    <w:p>
      <w:pPr>
        <w:spacing w:after="0" w:line="220"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232"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 xml:space="preserve">The Company has several non-cancelable operating leases, primarily for facilities, that expire over the next sixteen years. These leases generally contain renewal options and require the Company to pay all executory costs such as maintenance and insurance. See note 15.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rental expense pursuant to ASC 842 for the years ended December 31, 2024, 2023 and 2022 and future minimum rental commitments as of December 31, 2024.</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Share Capital</w:t>
      </w:r>
    </w:p>
    <w:p>
      <w:pPr>
        <w:spacing w:after="0" w:line="22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Holders of ordinary shares are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are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(a)  Share based payments</w:t>
      </w:r>
    </w:p>
    <w:p>
      <w:pPr>
        <w:spacing w:after="0" w:line="232"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During the year ended December 31, 2024, 311,040 options were exercised at an average exercise price of $116.31 per share for total proceeds of $36.2 million. During the year ended December 31, 2024, 120,458 ordinary shares were issued in respect of certain RSUs and 9,975 ordinary shares were issued in respect of PSUs previously awarded by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29" w:name="page130"/>
    <w:bookmarkEnd w:id="129"/>
    <w:p>
      <w:pPr>
        <w:jc w:val="both"/>
        <w:ind w:firstLine="591"/>
        <w:spacing w:after="0" w:line="263" w:lineRule="auto"/>
        <w:rPr>
          <w:sz w:val="20"/>
          <w:szCs w:val="20"/>
          <w:color w:val="auto"/>
        </w:rPr>
      </w:pPr>
      <w:r>
        <w:rPr>
          <w:rFonts w:ascii="Arial" w:cs="Arial" w:eastAsia="Arial" w:hAnsi="Arial"/>
          <w:sz w:val="15"/>
          <w:szCs w:val="15"/>
          <w:color w:val="auto"/>
        </w:rPr>
        <w:t>During the year ended December 31, 2023, 535,705 options were exercised at an average exercise price of $95.12 per share for total proceeds of $51.0 million. During the year ended December 31, 2023, 188,800 ordinary shares were issued in respect of certain RSUs and 47,026 ordinary shares were issued in respect of PSUs previously awarded by the Company.</w:t>
      </w:r>
    </w:p>
    <w:p>
      <w:pPr>
        <w:spacing w:after="0" w:line="185" w:lineRule="exact"/>
        <w:rPr>
          <w:sz w:val="20"/>
          <w:szCs w:val="20"/>
          <w:color w:val="auto"/>
        </w:rPr>
      </w:pPr>
    </w:p>
    <w:p>
      <w:pPr>
        <w:jc w:val="both"/>
        <w:ind w:firstLine="173"/>
        <w:spacing w:after="0" w:line="263" w:lineRule="auto"/>
        <w:rPr>
          <w:sz w:val="20"/>
          <w:szCs w:val="20"/>
          <w:color w:val="auto"/>
        </w:rPr>
      </w:pPr>
      <w:r>
        <w:rPr>
          <w:rFonts w:ascii="Arial" w:cs="Arial" w:eastAsia="Arial" w:hAnsi="Arial"/>
          <w:sz w:val="15"/>
          <w:szCs w:val="15"/>
          <w:color w:val="auto"/>
        </w:rPr>
        <w:t>During the year ended December 31, 2022, 348,286 options were exercised at an average exercise price of $102.87 per share for total proceeds of $35.8 million. During the year ended December 31, 2022, 195,029 ordinary shares were issued in respect of certain RSUs and 46,087 ordinary shares were issued in respect of PSUs previously awarded by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(b)  Share Repurchase Program</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can acquire up to 10% of its outstanding ordinary shares (by way of redemption), in accordance with Irish</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law and the Company’s constitutional documents through open market share acquisitions. A resolution was passed at the Company’s Annual General Meeting (“AGM”) on July 23, 2024, which renewed the authorization for the Directors to purchase (buyback) up to 10% of the outstanding shares in the Company.</w:t>
      </w:r>
    </w:p>
    <w:p>
      <w:pPr>
        <w:spacing w:after="0" w:line="181"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On February 20, 2024, the Company's Board of Directors authorized a new buyback program of up to $500.0 million of the outstanding ordinary shares of the Company. On October 22, 2024, the Company's Board of Directors authorized an additional buyback program of up to $250.0 million of the outstanding ordinary shares of the Company.</w:t>
      </w:r>
    </w:p>
    <w:p>
      <w:pPr>
        <w:spacing w:after="0" w:line="185"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All ordinary shares that are redeemed under the buyback program will be canceled in accordance with the constitutional documents of the Company and the nominal value of these shares transferred to an undenominated capital fund as required under Irish Company law.</w:t>
      </w:r>
    </w:p>
    <w:p>
      <w:pPr>
        <w:spacing w:after="0" w:line="193"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During the year ended December 31, 2024, 2,179,699 ordinary shares were redeemed by the Company under this buyback program for a total consideration of $500.0 million.</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 ordinary shares were redeemed by the Company during the year ended December 31, 2023.</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During the year ended December 31, 2022, 420,530 ordinary shares were redeemed by the Company for total consideration of $100.0 million.</w:t>
      </w:r>
    </w:p>
    <w:p>
      <w:pPr>
        <w:spacing w:after="0" w:line="210" w:lineRule="exact"/>
        <w:rPr>
          <w:sz w:val="20"/>
          <w:szCs w:val="20"/>
          <w:color w:val="auto"/>
        </w:rPr>
      </w:pPr>
    </w:p>
    <w:p>
      <w:pPr>
        <w:jc w:val="both"/>
        <w:ind w:firstLine="591"/>
        <w:spacing w:after="0" w:line="234" w:lineRule="auto"/>
        <w:rPr>
          <w:sz w:val="20"/>
          <w:szCs w:val="20"/>
          <w:color w:val="auto"/>
        </w:rPr>
      </w:pPr>
      <w:r>
        <w:rPr>
          <w:rFonts w:ascii="Arial" w:cs="Arial" w:eastAsia="Arial" w:hAnsi="Arial"/>
          <w:sz w:val="15"/>
          <w:szCs w:val="15"/>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Restructuring Charges</w:t>
      </w:r>
    </w:p>
    <w:p>
      <w:pPr>
        <w:spacing w:after="0" w:line="21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the years ended December 31, 2024, December 31, 2023 and December 31, 2022, the Company incurred approximately $92.1 million, $45.4 million and $31.1 million of restructuring charge in the Consolidated Statements of Operations under a restructuring plan adopted following a review of operations.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restructuring plan reflected a workforce reduction of $74.5 million (December 31, 2023: $34.1 million, December 31, 2022: $2.7 million) and an office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consolidation program to optimize the Company's office footprint of $17.6 million (December 31, 2023: $11.3 million, December 31, 2022: $28.4 million), being the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impairment of operating right-off-use assets and related property plant and equipment of $15.7 million (December 31, 2023: $8.7 million, December 31, 2022: $28.4 million)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and onerous contract costs of $1.9 million (December 31, 2023: $2.6 million, December 31, 2022: $nil ).</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Restructuring charges</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92,123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45,390</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31,143</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45,390</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31,143</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0" w:name="page131"/>
    <w:bookmarkEnd w:id="130"/>
    <w:p>
      <w:pPr>
        <w:ind w:left="1" w:firstLine="591"/>
        <w:spacing w:after="0" w:line="269" w:lineRule="auto"/>
        <w:rPr>
          <w:sz w:val="20"/>
          <w:szCs w:val="20"/>
          <w:color w:val="auto"/>
        </w:rPr>
      </w:pPr>
      <w:r>
        <w:rPr>
          <w:rFonts w:ascii="Arial" w:cs="Arial" w:eastAsia="Arial" w:hAnsi="Arial"/>
          <w:sz w:val="15"/>
          <w:szCs w:val="15"/>
          <w:color w:val="auto"/>
        </w:rPr>
        <w:t>At December 31, 2024, a total liability of $31.5 million (December 31, 2023: $7.0 million) was recorded on the Consolidated Balance Sheet relating to restructuring activities.</w:t>
      </w:r>
    </w:p>
    <w:p>
      <w:pPr>
        <w:spacing w:after="0" w:line="279"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83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gridSpan w:val="2"/>
            <w:shd w:val="clear" w:color="auto" w:fill="CCEEFF"/>
          </w:tcPr>
          <w:p>
            <w:pPr>
              <w:jc w:val="right"/>
              <w:ind w:right="206"/>
              <w:spacing w:after="0"/>
              <w:rPr>
                <w:sz w:val="20"/>
                <w:szCs w:val="20"/>
                <w:color w:val="auto"/>
              </w:rPr>
            </w:pPr>
            <w:r>
              <w:rPr>
                <w:rFonts w:ascii="Arial" w:cs="Arial" w:eastAsia="Arial" w:hAnsi="Arial"/>
                <w:sz w:val="15"/>
                <w:szCs w:val="15"/>
                <w:b w:val="1"/>
                <w:bCs w:val="1"/>
                <w:color w:val="auto"/>
              </w:rPr>
              <w:t>Year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89"/>
        </w:trPr>
        <w:tc>
          <w:tcPr>
            <w:tcW w:w="8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8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(in thousands)</w:t>
            </w:r>
          </w:p>
        </w:tc>
        <w:tc>
          <w:tcPr>
            <w:tcW w:w="740" w:type="dxa"/>
            <w:vAlign w:val="bottom"/>
            <w:shd w:val="clear" w:color="auto" w:fill="CCEEFF"/>
          </w:tcPr>
          <w:p>
            <w:pPr>
              <w:spacing w:after="0"/>
              <w:rPr>
                <w:sz w:val="16"/>
                <w:szCs w:val="16"/>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6,999</w:t>
            </w:r>
          </w:p>
        </w:tc>
        <w:tc>
          <w:tcPr>
            <w:tcW w:w="700" w:type="dxa"/>
            <w:vAlign w:val="bottom"/>
          </w:tcPr>
          <w:p>
            <w:pPr>
              <w:jc w:val="right"/>
              <w:ind w:right="526"/>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6,022</w:t>
            </w: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year*</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76,392</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36,704</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(51,917)</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(35,727)</w:t>
            </w:r>
          </w:p>
        </w:tc>
      </w:tr>
      <w:tr>
        <w:trPr>
          <w:trHeight w:val="214"/>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Ending provision</w:t>
            </w: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31,474</w:t>
            </w:r>
          </w:p>
        </w:tc>
        <w:tc>
          <w:tcPr>
            <w:tcW w:w="70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6,999</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charge for the year ended December 31, 2024 reflects the workforce reduction of $74.5 million (December 31, 2023: $34.1 million) and onerous contract costs of $1.9</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5"/>
          <w:szCs w:val="15"/>
          <w:color w:val="auto"/>
        </w:rPr>
        <w:t>million (December 31, 2023: $2.6 million).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closing provision of $31.5 million (December 31, 2023: $7.0 million) reflects:</w:t>
      </w:r>
    </w:p>
    <w:p>
      <w:pPr>
        <w:spacing w:after="0" w:line="99" w:lineRule="exact"/>
        <w:rPr>
          <w:sz w:val="20"/>
          <w:szCs w:val="20"/>
          <w:color w:val="auto"/>
        </w:rPr>
      </w:pPr>
    </w:p>
    <w:p>
      <w:pPr>
        <w:ind w:left="1" w:firstLine="590"/>
        <w:spacing w:after="0" w:line="269" w:lineRule="auto"/>
        <w:tabs>
          <w:tab w:leader="none" w:pos="819" w:val="left"/>
        </w:tabs>
        <w:numPr>
          <w:ilvl w:val="1"/>
          <w:numId w:val="83"/>
        </w:numPr>
        <w:rPr>
          <w:rFonts w:ascii="Arial" w:cs="Arial" w:eastAsia="Arial" w:hAnsi="Arial"/>
          <w:sz w:val="15"/>
          <w:szCs w:val="15"/>
          <w:color w:val="auto"/>
        </w:rPr>
      </w:pPr>
      <w:r>
        <w:rPr>
          <w:rFonts w:ascii="Arial" w:cs="Arial" w:eastAsia="Arial" w:hAnsi="Arial"/>
          <w:sz w:val="15"/>
          <w:szCs w:val="15"/>
          <w:color w:val="auto"/>
        </w:rPr>
        <w:t>$27.7 million (December 31, 2023: $4.0 million) of personnel related liabilities as a result of the workforce reduction; all of which have been classified as short-term within Other Liabilities, and</w:t>
      </w:r>
    </w:p>
    <w:p>
      <w:pPr>
        <w:spacing w:after="0" w:line="56" w:lineRule="exact"/>
        <w:rPr>
          <w:rFonts w:ascii="Arial" w:cs="Arial" w:eastAsia="Arial" w:hAnsi="Arial"/>
          <w:sz w:val="15"/>
          <w:szCs w:val="15"/>
          <w:color w:val="auto"/>
        </w:rPr>
      </w:pPr>
    </w:p>
    <w:p>
      <w:pPr>
        <w:ind w:left="1" w:firstLine="590"/>
        <w:spacing w:after="0" w:line="304" w:lineRule="auto"/>
        <w:tabs>
          <w:tab w:leader="none" w:pos="830" w:val="left"/>
        </w:tabs>
        <w:numPr>
          <w:ilvl w:val="1"/>
          <w:numId w:val="83"/>
        </w:numPr>
        <w:rPr>
          <w:rFonts w:ascii="Arial" w:cs="Arial" w:eastAsia="Arial" w:hAnsi="Arial"/>
          <w:sz w:val="15"/>
          <w:szCs w:val="15"/>
          <w:color w:val="auto"/>
        </w:rPr>
      </w:pPr>
      <w:r>
        <w:rPr>
          <w:rFonts w:ascii="Arial" w:cs="Arial" w:eastAsia="Arial" w:hAnsi="Arial"/>
          <w:sz w:val="15"/>
          <w:szCs w:val="15"/>
          <w:color w:val="auto"/>
        </w:rPr>
        <w:t>$3.8 million (December 31, 2023: $3.0 million) of facilities related liabilities of which $1.4 million (December 31, 2023: $1.0 million) is included within Other Liabilities and $2.4 million (December 31, 2023: $2.0 million) is included within Non-Current Other Liabilities.</w:t>
      </w:r>
    </w:p>
    <w:p>
      <w:pPr>
        <w:spacing w:after="0" w:line="388" w:lineRule="exact"/>
        <w:rPr>
          <w:rFonts w:ascii="Arial" w:cs="Arial" w:eastAsia="Arial" w:hAnsi="Arial"/>
          <w:sz w:val="15"/>
          <w:szCs w:val="15"/>
          <w:color w:val="auto"/>
        </w:rPr>
      </w:pPr>
    </w:p>
    <w:p>
      <w:pPr>
        <w:ind w:left="241" w:hanging="241"/>
        <w:spacing w:after="0"/>
        <w:tabs>
          <w:tab w:leader="none" w:pos="241"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234" w:lineRule="exact"/>
        <w:rPr>
          <w:sz w:val="20"/>
          <w:szCs w:val="20"/>
          <w:color w:val="auto"/>
        </w:rPr>
      </w:pPr>
    </w:p>
    <w:p>
      <w:pPr>
        <w:ind w:left="1" w:firstLine="591"/>
        <w:spacing w:after="0" w:line="269" w:lineRule="auto"/>
        <w:rPr>
          <w:sz w:val="20"/>
          <w:szCs w:val="20"/>
          <w:color w:val="auto"/>
        </w:rPr>
      </w:pPr>
      <w:r>
        <w:rPr>
          <w:rFonts w:ascii="Arial" w:cs="Arial" w:eastAsia="Arial" w:hAnsi="Arial"/>
          <w:sz w:val="15"/>
          <w:szCs w:val="15"/>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168" w:lineRule="exact"/>
        <w:rPr>
          <w:sz w:val="20"/>
          <w:szCs w:val="20"/>
          <w:color w:val="auto"/>
        </w:rPr>
      </w:pPr>
    </w:p>
    <w:tbl>
      <w:tblPr>
        <w:tblLayout w:type="fixed"/>
        <w:tblInd w:w="1" w:type="dxa"/>
        <w:tblCellMar>
          <w:top w:w="0" w:type="dxa"/>
          <w:left w:w="0" w:type="dxa"/>
          <w:bottom w:w="0" w:type="dxa"/>
          <w:right w:w="0" w:type="dxa"/>
        </w:tblCellMar>
      </w:tblPr>
      <w:tr>
        <w:trPr>
          <w:trHeight w:val="194"/>
        </w:trPr>
        <w:tc>
          <w:tcPr>
            <w:tcW w:w="6920" w:type="dxa"/>
            <w:vAlign w:val="bottom"/>
          </w:tcPr>
          <w:p>
            <w:pPr>
              <w:ind w:left="600"/>
              <w:spacing w:after="0"/>
              <w:rPr>
                <w:sz w:val="20"/>
                <w:szCs w:val="20"/>
                <w:color w:val="auto"/>
              </w:rPr>
            </w:pPr>
            <w:r>
              <w:rPr>
                <w:rFonts w:ascii="Arial" w:cs="Arial" w:eastAsia="Arial" w:hAnsi="Arial"/>
                <w:sz w:val="15"/>
                <w:szCs w:val="15"/>
                <w:color w:val="auto"/>
              </w:rPr>
              <w:t>The components of income before income tax expense are as follows: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14"/>
        </w:trPr>
        <w:tc>
          <w:tcPr>
            <w:tcW w:w="6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7"/>
        </w:trPr>
        <w:tc>
          <w:tcPr>
            <w:tcW w:w="69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6"/>
              </w:rPr>
              <w:t>Year ended</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7"/>
              </w:rPr>
              <w:t>December 31, 2024</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7"/>
              </w:rPr>
              <w:t>December 31, 2023</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7"/>
              </w:rPr>
              <w:t>December 31, 2022</w:t>
            </w:r>
          </w:p>
        </w:tc>
      </w:tr>
      <w:tr>
        <w:trPr>
          <w:trHeight w:val="189"/>
        </w:trPr>
        <w:tc>
          <w:tcPr>
            <w:tcW w:w="6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8"/>
              </w:rPr>
              <w:t>(in thousands)</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Ireland</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center"/>
              <w:ind w:left="266"/>
              <w:spacing w:after="0"/>
              <w:rPr>
                <w:sz w:val="20"/>
                <w:szCs w:val="20"/>
                <w:color w:val="auto"/>
              </w:rPr>
            </w:pPr>
            <w:r>
              <w:rPr>
                <w:rFonts w:ascii="Arial" w:cs="Arial" w:eastAsia="Arial" w:hAnsi="Arial"/>
                <w:sz w:val="15"/>
                <w:szCs w:val="15"/>
                <w:color w:val="auto"/>
                <w:w w:val="99"/>
              </w:rPr>
              <w:t>736,374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center"/>
              <w:ind w:left="546"/>
              <w:spacing w:after="0"/>
              <w:rPr>
                <w:sz w:val="20"/>
                <w:szCs w:val="20"/>
                <w:color w:val="auto"/>
              </w:rPr>
            </w:pPr>
            <w:r>
              <w:rPr>
                <w:rFonts w:ascii="Arial" w:cs="Arial" w:eastAsia="Arial" w:hAnsi="Arial"/>
                <w:sz w:val="15"/>
                <w:szCs w:val="15"/>
                <w:color w:val="auto"/>
                <w:w w:val="99"/>
              </w:rPr>
              <w:t>624,642</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center"/>
              <w:ind w:left="266"/>
              <w:spacing w:after="0"/>
              <w:rPr>
                <w:sz w:val="20"/>
                <w:szCs w:val="20"/>
                <w:color w:val="auto"/>
              </w:rPr>
            </w:pPr>
            <w:r>
              <w:rPr>
                <w:rFonts w:ascii="Arial" w:cs="Arial" w:eastAsia="Arial" w:hAnsi="Arial"/>
                <w:sz w:val="15"/>
                <w:szCs w:val="15"/>
                <w:color w:val="auto"/>
                <w:w w:val="99"/>
              </w:rPr>
              <w:t>432,963</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46"/>
              <w:spacing w:after="0"/>
              <w:rPr>
                <w:sz w:val="20"/>
                <w:szCs w:val="20"/>
                <w:color w:val="auto"/>
              </w:rPr>
            </w:pPr>
            <w:r>
              <w:rPr>
                <w:rFonts w:ascii="Arial" w:cs="Arial" w:eastAsia="Arial" w:hAnsi="Arial"/>
                <w:sz w:val="15"/>
                <w:szCs w:val="15"/>
                <w:color w:val="auto"/>
                <w:w w:val="99"/>
              </w:rPr>
              <w:t>(304,546)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6"/>
              </w:rPr>
              <w:t>(352,532)</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66"/>
              <w:spacing w:after="0"/>
              <w:rPr>
                <w:sz w:val="20"/>
                <w:szCs w:val="20"/>
                <w:color w:val="auto"/>
              </w:rPr>
            </w:pPr>
            <w:r>
              <w:rPr>
                <w:rFonts w:ascii="Arial" w:cs="Arial" w:eastAsia="Arial" w:hAnsi="Arial"/>
                <w:sz w:val="15"/>
                <w:szCs w:val="15"/>
                <w:color w:val="auto"/>
                <w:w w:val="96"/>
              </w:rPr>
              <w:t>(270,440)</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266"/>
              <w:spacing w:after="0"/>
              <w:rPr>
                <w:sz w:val="20"/>
                <w:szCs w:val="20"/>
                <w:color w:val="auto"/>
              </w:rPr>
            </w:pPr>
            <w:r>
              <w:rPr>
                <w:rFonts w:ascii="Arial" w:cs="Arial" w:eastAsia="Arial" w:hAnsi="Arial"/>
                <w:sz w:val="15"/>
                <w:szCs w:val="15"/>
                <w:color w:val="auto"/>
                <w:w w:val="99"/>
              </w:rPr>
              <w:t>437,356</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546"/>
              <w:spacing w:after="0"/>
              <w:rPr>
                <w:sz w:val="20"/>
                <w:szCs w:val="20"/>
                <w:color w:val="auto"/>
              </w:rPr>
            </w:pPr>
            <w:r>
              <w:rPr>
                <w:rFonts w:ascii="Arial" w:cs="Arial" w:eastAsia="Arial" w:hAnsi="Arial"/>
                <w:sz w:val="15"/>
                <w:szCs w:val="15"/>
                <w:color w:val="auto"/>
                <w:w w:val="99"/>
              </w:rPr>
              <w:t>352,357</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266"/>
              <w:spacing w:after="0"/>
              <w:rPr>
                <w:sz w:val="20"/>
                <w:szCs w:val="20"/>
                <w:color w:val="auto"/>
              </w:rPr>
            </w:pPr>
            <w:r>
              <w:rPr>
                <w:rFonts w:ascii="Arial" w:cs="Arial" w:eastAsia="Arial" w:hAnsi="Arial"/>
                <w:sz w:val="15"/>
                <w:szCs w:val="15"/>
                <w:color w:val="auto"/>
                <w:w w:val="99"/>
              </w:rPr>
              <w:t>405,328</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before income tax expense</w:t>
            </w:r>
          </w:p>
        </w:tc>
        <w:tc>
          <w:tcPr>
            <w:tcW w:w="44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center"/>
              <w:ind w:left="266"/>
              <w:spacing w:after="0"/>
              <w:rPr>
                <w:sz w:val="20"/>
                <w:szCs w:val="20"/>
                <w:color w:val="auto"/>
              </w:rPr>
            </w:pPr>
            <w:r>
              <w:rPr>
                <w:rFonts w:ascii="Arial" w:cs="Arial" w:eastAsia="Arial" w:hAnsi="Arial"/>
                <w:sz w:val="15"/>
                <w:szCs w:val="15"/>
                <w:color w:val="auto"/>
                <w:w w:val="99"/>
              </w:rPr>
              <w:t>869,184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9"/>
              </w:rPr>
              <w:t>624,467</w:t>
            </w:r>
          </w:p>
        </w:tc>
        <w:tc>
          <w:tcPr>
            <w:tcW w:w="44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center"/>
              <w:ind w:left="266"/>
              <w:spacing w:after="0"/>
              <w:rPr>
                <w:sz w:val="20"/>
                <w:szCs w:val="20"/>
                <w:color w:val="auto"/>
              </w:rPr>
            </w:pPr>
            <w:r>
              <w:rPr>
                <w:rFonts w:ascii="Arial" w:cs="Arial" w:eastAsia="Arial" w:hAnsi="Arial"/>
                <w:sz w:val="15"/>
                <w:szCs w:val="15"/>
                <w:color w:val="auto"/>
                <w:w w:val="99"/>
              </w:rPr>
              <w:t>567,851</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6978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83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4"/>
        </w:trPr>
        <w:tc>
          <w:tcPr>
            <w:tcW w:w="6920" w:type="dxa"/>
            <w:vAlign w:val="bottom"/>
          </w:tcPr>
          <w:p>
            <w:pPr>
              <w:ind w:left="600"/>
              <w:spacing w:after="0"/>
              <w:rPr>
                <w:sz w:val="20"/>
                <w:szCs w:val="20"/>
                <w:color w:val="auto"/>
              </w:rPr>
            </w:pPr>
            <w:r>
              <w:rPr>
                <w:rFonts w:ascii="Arial" w:cs="Arial" w:eastAsia="Arial" w:hAnsi="Arial"/>
                <w:sz w:val="15"/>
                <w:szCs w:val="15"/>
                <w:color w:val="auto"/>
              </w:rPr>
              <w:t>The components of income tax expense are as follows: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02"/>
        </w:trPr>
        <w:tc>
          <w:tcPr>
            <w:tcW w:w="6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97"/>
        </w:trPr>
        <w:tc>
          <w:tcPr>
            <w:tcW w:w="69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tax expense:</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Current tax (benefit)/expense:</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80,427</w:t>
            </w: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53,248</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(45,307)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(42,428)</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60,753</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105,304</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59,153</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70,395</w:t>
            </w:r>
          </w:p>
        </w:tc>
      </w:tr>
      <w:tr>
        <w:trPr>
          <w:trHeight w:val="189"/>
        </w:trPr>
        <w:tc>
          <w:tcPr>
            <w:tcW w:w="6920" w:type="dxa"/>
            <w:vAlign w:val="bottom"/>
          </w:tcPr>
          <w:p>
            <w:pPr>
              <w:ind w:left="20"/>
              <w:spacing w:after="0"/>
              <w:rPr>
                <w:sz w:val="20"/>
                <w:szCs w:val="20"/>
                <w:color w:val="auto"/>
              </w:rPr>
            </w:pPr>
            <w:r>
              <w:rPr>
                <w:rFonts w:ascii="Arial" w:cs="Arial" w:eastAsia="Arial" w:hAnsi="Arial"/>
                <w:sz w:val="15"/>
                <w:szCs w:val="15"/>
                <w:color w:val="auto"/>
              </w:rPr>
              <w:t>Total current tax expense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178,252</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97,152</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184,396</w:t>
            </w:r>
          </w:p>
        </w:tc>
      </w:tr>
      <w:tr>
        <w:trPr>
          <w:trHeight w:val="236"/>
        </w:trPr>
        <w:tc>
          <w:tcPr>
            <w:tcW w:w="6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Deferred tax (benefit)/expense:</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(26,663)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45,253</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(6,166)</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(69,493)</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(143,323)</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(118,475)</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12,667</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deferred tax benefit</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(100,542)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(85,403)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(124,985)</w:t>
            </w:r>
          </w:p>
        </w:tc>
      </w:tr>
      <w:tr>
        <w:trPr>
          <w:trHeight w:val="216"/>
        </w:trPr>
        <w:tc>
          <w:tcPr>
            <w:tcW w:w="6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77,710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11,749</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59,411</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3"/>
        </w:trPr>
        <w:tc>
          <w:tcPr>
            <w:tcW w:w="6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Income tax expense was allocated to the following components of other comprehensive income:</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impact on long term funding</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(3,903)</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7,211</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Retirement benefit obligations</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(895)</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flow hedge</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8,147</w:t>
            </w: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66,622</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Ireland's statutory trading income tax rate, the rate of our country of domicile, is 12.5%. The Company's consolidated reported income tax expense differed from the amount that would result from applying the Irish statutory rate as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Taxes at Irish statutory rate of 12.5% (2023:12.5%; 2022:12.5%)</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108,648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78,058</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70,980</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 differential from amortization of intangible assets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(71,223)</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(59,330)</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Global Minimum Tax</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16,719</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and other income taxed at higher rates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49,703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35,778</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52,464</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Research &amp; development tax incentives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(3,041)</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(3,868)</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(2,608)</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Movement in valuation allowance</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Effects of change in tax rates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25,691</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3,154</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(Decrease)/ increase in unrecognized tax benefits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(59,456)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(54,347)</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8,392</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Investor tax expense on foreign subsidiary earnings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(7,995)</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39,165</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Impact of stock compensation</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(11,487)</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(8,756)</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and non-deductible expenses</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10,345</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(2,413)</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11,749</w:t>
            </w: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59,411</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2" w:name="page133"/>
    <w:bookmarkEnd w:id="132"/>
    <w:p>
      <w:pPr>
        <w:ind w:left="160"/>
        <w:spacing w:after="0"/>
        <w:rPr>
          <w:sz w:val="20"/>
          <w:szCs w:val="20"/>
          <w:color w:val="auto"/>
        </w:rPr>
      </w:pPr>
      <w:r>
        <w:rPr>
          <w:rFonts w:ascii="Arial" w:cs="Arial" w:eastAsia="Arial" w:hAnsi="Arial"/>
          <w:sz w:val="15"/>
          <w:szCs w:val="15"/>
          <w:color w:val="auto"/>
        </w:rPr>
        <w:t>The tax effects of temporary differences and carryforwards that give rise to significant portions of deferred tax assets and deferred tax liabilities are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Borders>
              <w:bottom w:val="single" w:sz="8" w:color="auto"/>
            </w:tcBorders>
            <w:shd w:val="clear" w:color="auto" w:fill="CCEEFF"/>
          </w:tcPr>
          <w:p>
            <w:pPr>
              <w:spacing w:after="0"/>
              <w:rPr>
                <w:sz w:val="17"/>
                <w:szCs w:val="17"/>
                <w:color w:val="auto"/>
              </w:rPr>
            </w:pPr>
          </w:p>
        </w:tc>
        <w:tc>
          <w:tcPr>
            <w:tcW w:w="4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5640" w:type="dxa"/>
            <w:vAlign w:val="bottom"/>
          </w:tcPr>
          <w:p>
            <w:pPr>
              <w:ind w:left="20"/>
              <w:spacing w:after="0"/>
              <w:rPr>
                <w:sz w:val="20"/>
                <w:szCs w:val="20"/>
                <w:color w:val="auto"/>
              </w:rPr>
            </w:pPr>
            <w:r>
              <w:rPr>
                <w:rFonts w:ascii="Arial" w:cs="Arial" w:eastAsia="Arial" w:hAnsi="Arial"/>
                <w:sz w:val="15"/>
                <w:szCs w:val="15"/>
                <w:b w:val="1"/>
                <w:bCs w:val="1"/>
                <w:color w:val="auto"/>
              </w:rPr>
              <w:t>Deferred tax liabilities:</w:t>
            </w:r>
          </w:p>
        </w:tc>
        <w:tc>
          <w:tcPr>
            <w:tcW w:w="3100" w:type="dxa"/>
            <w:vAlign w:val="bottom"/>
          </w:tcPr>
          <w:p>
            <w:pPr>
              <w:spacing w:after="0"/>
              <w:rPr>
                <w:sz w:val="16"/>
                <w:szCs w:val="16"/>
                <w:color w:val="auto"/>
              </w:rPr>
            </w:pPr>
          </w:p>
        </w:tc>
        <w:tc>
          <w:tcPr>
            <w:tcW w:w="166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Pr>
          <w:p>
            <w:pPr>
              <w:spacing w:after="0"/>
              <w:rPr>
                <w:sz w:val="16"/>
                <w:szCs w:val="16"/>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31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2,869</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7,547</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Operating right-of-use-assets</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15,633</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16,108</w:t>
            </w: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43,390</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39,014</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901,731</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950,055</w:t>
            </w: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 in foreign subsidiaries</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34,983</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52,408</w:t>
            </w: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3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3,887</w:t>
            </w: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7,982</w:t>
            </w:r>
          </w:p>
        </w:tc>
      </w:tr>
      <w:tr>
        <w:trPr>
          <w:trHeight w:val="191"/>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deferred tax liabilities recognized</w:t>
            </w:r>
          </w:p>
        </w:tc>
        <w:tc>
          <w:tcPr>
            <w:tcW w:w="3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1,002,493</w:t>
            </w: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1,073,114</w:t>
            </w:r>
          </w:p>
        </w:tc>
      </w:tr>
      <w:tr>
        <w:trPr>
          <w:trHeight w:val="234"/>
        </w:trPr>
        <w:tc>
          <w:tcPr>
            <w:tcW w:w="5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Deferred tax assets:</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Operating loss and tax credits carryforwards</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164,904</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124,150</w:t>
            </w: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7,869</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9,082</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Operating lease liabilities</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21,503</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20,190</w:t>
            </w: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Stock compensation</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14,309</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17,605</w:t>
            </w: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78,428</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84,928</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3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10,364</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23,748</w:t>
            </w:r>
          </w:p>
        </w:tc>
      </w:tr>
      <w:tr>
        <w:trPr>
          <w:trHeight w:val="19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6,298</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8,774</w:t>
            </w:r>
          </w:p>
        </w:tc>
      </w:tr>
      <w:tr>
        <w:trPr>
          <w:trHeight w:val="189"/>
        </w:trPr>
        <w:tc>
          <w:tcPr>
            <w:tcW w:w="5640" w:type="dxa"/>
            <w:vAlign w:val="bottom"/>
          </w:tcPr>
          <w:p>
            <w:pPr>
              <w:ind w:left="20"/>
              <w:spacing w:after="0"/>
              <w:rPr>
                <w:sz w:val="20"/>
                <w:szCs w:val="20"/>
                <w:color w:val="auto"/>
              </w:rPr>
            </w:pPr>
            <w:r>
              <w:rPr>
                <w:rFonts w:ascii="Arial" w:cs="Arial" w:eastAsia="Arial" w:hAnsi="Arial"/>
                <w:sz w:val="15"/>
                <w:szCs w:val="15"/>
                <w:color w:val="auto"/>
              </w:rPr>
              <w:t>Total deferred tax assets</w:t>
            </w:r>
          </w:p>
        </w:tc>
        <w:tc>
          <w:tcPr>
            <w:tcW w:w="3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303,720</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290,643</w:t>
            </w:r>
          </w:p>
        </w:tc>
      </w:tr>
      <w:tr>
        <w:trPr>
          <w:trHeight w:val="19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Valuation allowance for deferred tax assets</w:t>
            </w:r>
          </w:p>
        </w:tc>
        <w:tc>
          <w:tcPr>
            <w:tcW w:w="3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(38,955)</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(42,967)</w:t>
            </w:r>
          </w:p>
        </w:tc>
      </w:tr>
      <w:tr>
        <w:trPr>
          <w:trHeight w:val="18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Deferred tax assets recognized</w:t>
            </w:r>
          </w:p>
        </w:tc>
        <w:tc>
          <w:tcPr>
            <w:tcW w:w="3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264,765</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247,676</w:t>
            </w:r>
          </w:p>
        </w:tc>
      </w:tr>
      <w:tr>
        <w:trPr>
          <w:trHeight w:val="214"/>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Overall net deferred tax liability</w:t>
            </w:r>
          </w:p>
        </w:tc>
        <w:tc>
          <w:tcPr>
            <w:tcW w:w="31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(737,728)</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(825,438)</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At December 31, 2024 Ireland subsidiaries had tax credit carryforwards for income tax purposes that may be carried forward indefinitely, available for offset against future tax liabilities, if any, of $15.6 million.</w:t>
      </w:r>
    </w:p>
    <w:p>
      <w:pPr>
        <w:spacing w:after="0" w:line="168"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At December 31, 2024 U.S. subsidiaries had U.S. federal and state net operating loss ("NOL") carryforwards of approximately $8.0 million and $277.8 million, respectively. These NOLs are available for offset against future taxable income and the expiry dates are shown in the table below. The subsidiaries' ability to use the U.S. federal NOL carryforwards is limited on an annual basis due to change of ownership in 2014, 2017, 2019 and 2024 as defined by Section 382 of the Internal Revenue Code of 1986, as amended and expire between 2025 - 2037. The U.S. state NOL carryforwards are restricted by the state/entity in which they arose. As of December 31, 2024, U.S subsidiaries also had disallowed interest carried forward of $317.0 million (December 31, 2023: $ 204.0 million) that can be carried forward indefinitely. The increase of $113.0 million was recognized within the income tax expense. These carryforwards are available for offset against future taxable income in the event that the U.S subsidiaries have excess capacity for interest deductions in future years.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expected expiry dates of the US NOLs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Federal</w:t>
            </w: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State</w:t>
            </w:r>
          </w:p>
        </w:tc>
      </w:tr>
      <w:tr>
        <w:trPr>
          <w:trHeight w:val="197"/>
        </w:trPr>
        <w:tc>
          <w:tcPr>
            <w:tcW w:w="4540" w:type="dxa"/>
            <w:vAlign w:val="bottom"/>
            <w:tcBorders>
              <w:bottom w:val="single" w:sz="8" w:color="auto"/>
            </w:tcBorders>
            <w:shd w:val="clear" w:color="auto" w:fill="CCEEFF"/>
          </w:tcPr>
          <w:p>
            <w:pPr>
              <w:spacing w:after="0"/>
              <w:rPr>
                <w:sz w:val="17"/>
                <w:szCs w:val="17"/>
                <w:color w:val="auto"/>
              </w:rPr>
            </w:pPr>
          </w:p>
        </w:tc>
        <w:tc>
          <w:tcPr>
            <w:tcW w:w="4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NOL's</w:t>
            </w: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NOL's</w:t>
            </w:r>
          </w:p>
        </w:tc>
      </w:tr>
      <w:tr>
        <w:trPr>
          <w:trHeight w:val="189"/>
        </w:trPr>
        <w:tc>
          <w:tcPr>
            <w:tcW w:w="45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6"/>
                <w:szCs w:val="16"/>
                <w:color w:val="auto"/>
              </w:rPr>
            </w:pPr>
          </w:p>
        </w:tc>
      </w:tr>
      <w:tr>
        <w:trPr>
          <w:trHeight w:val="197"/>
        </w:trPr>
        <w:tc>
          <w:tcPr>
            <w:tcW w:w="4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2025-2038</w:t>
            </w:r>
          </w:p>
        </w:tc>
        <w:tc>
          <w:tcPr>
            <w:tcW w:w="42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8,035</w:t>
            </w:r>
          </w:p>
        </w:tc>
        <w:tc>
          <w:tcPr>
            <w:tcW w:w="64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262,170</w:t>
            </w:r>
          </w:p>
        </w:tc>
      </w:tr>
      <w:tr>
        <w:trPr>
          <w:trHeight w:val="196"/>
        </w:trPr>
        <w:tc>
          <w:tcPr>
            <w:tcW w:w="4540" w:type="dxa"/>
            <w:vAlign w:val="bottom"/>
          </w:tcPr>
          <w:p>
            <w:pPr>
              <w:ind w:left="20"/>
              <w:spacing w:after="0"/>
              <w:rPr>
                <w:sz w:val="20"/>
                <w:szCs w:val="20"/>
                <w:color w:val="auto"/>
              </w:rPr>
            </w:pPr>
            <w:r>
              <w:rPr>
                <w:rFonts w:ascii="Arial" w:cs="Arial" w:eastAsia="Arial" w:hAnsi="Arial"/>
                <w:sz w:val="15"/>
                <w:szCs w:val="15"/>
                <w:color w:val="auto"/>
              </w:rPr>
              <w:t>2039-2043</w:t>
            </w:r>
          </w:p>
        </w:tc>
        <w:tc>
          <w:tcPr>
            <w:tcW w:w="4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6,057</w:t>
            </w:r>
          </w:p>
        </w:tc>
      </w:tr>
      <w:tr>
        <w:trPr>
          <w:trHeight w:val="19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Indefinite</w:t>
            </w:r>
          </w:p>
        </w:tc>
        <w:tc>
          <w:tcPr>
            <w:tcW w:w="4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9,601</w:t>
            </w:r>
          </w:p>
        </w:tc>
      </w:tr>
      <w:tr>
        <w:trPr>
          <w:trHeight w:val="189"/>
        </w:trPr>
        <w:tc>
          <w:tcPr>
            <w:tcW w:w="45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8,035</w:t>
            </w:r>
          </w:p>
        </w:tc>
        <w:tc>
          <w:tcPr>
            <w:tcW w:w="6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277,828</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 addition, we also have general business tax credit carryforwards of approximately $1.0 million that are available to reduce future U.S. federal and state income taxes. The general business tax credits are non-refundable and are due to expire between the years 2026-2038.</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3" w:name="page134"/>
    <w:bookmarkEnd w:id="133"/>
    <w:p>
      <w:pPr>
        <w:jc w:val="both"/>
        <w:ind w:firstLine="591"/>
        <w:spacing w:after="0" w:line="246" w:lineRule="auto"/>
        <w:rPr>
          <w:sz w:val="20"/>
          <w:szCs w:val="20"/>
          <w:color w:val="auto"/>
        </w:rPr>
      </w:pPr>
      <w:r>
        <w:rPr>
          <w:rFonts w:ascii="Arial" w:cs="Arial" w:eastAsia="Arial" w:hAnsi="Arial"/>
          <w:sz w:val="15"/>
          <w:szCs w:val="15"/>
          <w:color w:val="auto"/>
        </w:rPr>
        <w:t>At December 31, 2024 other than those in the U.S. and Ireland, we had operating loss carryforwards for income tax purposes that may be carried forward indefinitely, available to offset against future taxable income, if any, of approximately $42.4 million. In addition, at December 31, 2024 those subsidiaries had tax credit carryforwards for income tax purposes that may be carried forward for up to 30 years, available to offset against future tax liabilities, if any, of $2.7 million.</w:t>
      </w:r>
    </w:p>
    <w:p>
      <w:pPr>
        <w:spacing w:after="0" w:line="197"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The valuation allowance at December 31, 2024 was $39.0 million (December 31, 2023; $43.0 million). The net change in the total valuation allowance was a decrease of $4.0 million during 2024 and a decrease of $0.4 million during 2023. Of the total decrease of $4.0 million in 2024, an increase of $2.0 million was in respect of an acquired entity, $5.3 million decrease was recognized within income tax expense and a decrease of $0.7 million was recognized in Other Comprehensive Income. Of the total decrease of $0.4 million in 2023, $1.1 million was recognized within income tax expenses and an increase of $0.7 million was recognized in Other Comprehensive Income.</w:t>
      </w:r>
    </w:p>
    <w:p>
      <w:pPr>
        <w:spacing w:after="0" w:line="189"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The valuation allowances at December 31, 2024 and December 31, 2023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loss utilization, projected future taxable income and tax planning strategies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181" w:lineRule="exact"/>
        <w:rPr>
          <w:sz w:val="20"/>
          <w:szCs w:val="20"/>
          <w:color w:val="auto"/>
        </w:rPr>
      </w:pPr>
    </w:p>
    <w:p>
      <w:pPr>
        <w:jc w:val="both"/>
        <w:ind w:firstLine="591"/>
        <w:spacing w:after="0" w:line="236" w:lineRule="auto"/>
        <w:rPr>
          <w:sz w:val="20"/>
          <w:szCs w:val="20"/>
          <w:color w:val="auto"/>
        </w:rPr>
      </w:pPr>
      <w:r>
        <w:rPr>
          <w:rFonts w:ascii="Arial" w:cs="Arial" w:eastAsia="Arial" w:hAnsi="Arial"/>
          <w:sz w:val="15"/>
          <w:szCs w:val="15"/>
          <w:color w:val="auto"/>
        </w:rPr>
        <w:t>The Company has recognized a deferred tax liability of $35.0 million (2023: $52.4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recently implemented a participation exemption in respect of distributions from foreign subsidiaries in EEA/treaty countries, in addition to the foreign tax credit regime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beginning and ending amount of total unrecognized tax benefits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Borders>
              <w:bottom w:val="single" w:sz="8" w:color="auto"/>
            </w:tcBorders>
            <w:shd w:val="clear" w:color="auto" w:fill="CCEEFF"/>
          </w:tcPr>
          <w:p>
            <w:pPr>
              <w:spacing w:after="0"/>
              <w:rPr>
                <w:sz w:val="17"/>
                <w:szCs w:val="17"/>
                <w:color w:val="auto"/>
              </w:rPr>
            </w:pPr>
          </w:p>
        </w:tc>
        <w:tc>
          <w:tcPr>
            <w:tcW w:w="3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4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Unrecognized tax benefits at start of year</w:t>
            </w:r>
          </w:p>
        </w:tc>
        <w:tc>
          <w:tcPr>
            <w:tcW w:w="2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160,016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217,584</w:t>
            </w:r>
          </w:p>
        </w:tc>
        <w:tc>
          <w:tcPr>
            <w:tcW w:w="4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202,065</w:t>
            </w:r>
          </w:p>
        </w:tc>
      </w:tr>
      <w:tr>
        <w:trPr>
          <w:trHeight w:val="196"/>
        </w:trPr>
        <w:tc>
          <w:tcPr>
            <w:tcW w:w="4940" w:type="dxa"/>
            <w:vAlign w:val="bottom"/>
          </w:tcPr>
          <w:p>
            <w:pPr>
              <w:ind w:left="20"/>
              <w:spacing w:after="0"/>
              <w:rPr>
                <w:sz w:val="20"/>
                <w:szCs w:val="20"/>
                <w:color w:val="auto"/>
              </w:rPr>
            </w:pPr>
            <w:r>
              <w:rPr>
                <w:rFonts w:ascii="Arial" w:cs="Arial" w:eastAsia="Arial" w:hAnsi="Arial"/>
                <w:sz w:val="15"/>
                <w:szCs w:val="15"/>
                <w:color w:val="auto"/>
              </w:rPr>
              <w:t>Increase related to prior year tax positions</w:t>
            </w:r>
          </w:p>
        </w:tc>
        <w:tc>
          <w:tcPr>
            <w:tcW w:w="2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7,374</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1,161</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16,098</w:t>
            </w:r>
          </w:p>
        </w:tc>
      </w:tr>
      <w:tr>
        <w:trPr>
          <w:trHeight w:val="19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Decrease related to prior year tax positions</w:t>
            </w:r>
          </w:p>
        </w:tc>
        <w:tc>
          <w:tcPr>
            <w:tcW w:w="2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(5,442)</w:t>
            </w:r>
          </w:p>
        </w:tc>
      </w:tr>
      <w:tr>
        <w:trPr>
          <w:trHeight w:val="196"/>
        </w:trPr>
        <w:tc>
          <w:tcPr>
            <w:tcW w:w="4940" w:type="dxa"/>
            <w:vAlign w:val="bottom"/>
          </w:tcPr>
          <w:p>
            <w:pPr>
              <w:ind w:left="20"/>
              <w:spacing w:after="0"/>
              <w:rPr>
                <w:sz w:val="20"/>
                <w:szCs w:val="20"/>
                <w:color w:val="auto"/>
              </w:rPr>
            </w:pPr>
            <w:r>
              <w:rPr>
                <w:rFonts w:ascii="Arial" w:cs="Arial" w:eastAsia="Arial" w:hAnsi="Arial"/>
                <w:sz w:val="15"/>
                <w:szCs w:val="15"/>
                <w:color w:val="auto"/>
              </w:rPr>
              <w:t>Increase related to current year tax positions</w:t>
            </w:r>
          </w:p>
        </w:tc>
        <w:tc>
          <w:tcPr>
            <w:tcW w:w="2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2,171</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4,552</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5,701</w:t>
            </w:r>
          </w:p>
        </w:tc>
      </w:tr>
      <w:tr>
        <w:trPr>
          <w:trHeight w:val="19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Lapse of statute of limitations</w:t>
            </w:r>
          </w:p>
        </w:tc>
        <w:tc>
          <w:tcPr>
            <w:tcW w:w="2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(65,417)</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(62,363)</w:t>
            </w: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w:t>
            </w:r>
          </w:p>
        </w:tc>
      </w:tr>
      <w:tr>
        <w:trPr>
          <w:trHeight w:val="18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Unrecognized tax benefits at end of year</w:t>
            </w:r>
          </w:p>
        </w:tc>
        <w:tc>
          <w:tcPr>
            <w:tcW w:w="2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160,016</w:t>
            </w: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217,584</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relevant statute of limitations for unrecognized tax benefits totaling $61.6 million could potentially expire during 2025.</w:t>
      </w:r>
    </w:p>
    <w:p>
      <w:pPr>
        <w:spacing w:after="0" w:line="234"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Included in the balance of total unrecognized tax benefits at December 31, 2024 were potential benefits of $101.6 million, which if recognized, would affect the effective rate on income from continuing operations. The balance of total unrecognized tax benefits at December 31, 2023 and December 31, 2022 included potential benefits which, if recognized, would affect the effective rate of income tax from continuing operations of $160.0 million and $217.6 million respectively.</w:t>
      </w:r>
    </w:p>
    <w:p>
      <w:pPr>
        <w:spacing w:after="0" w:line="185"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Interest and penalties recognized during the year ended December 31, 2024 amounted to a net charge of $1.9 million (2023: $4.2 million, 2022: $7.1 million) and are included within the income tax expense. Total accrued interest and penalties as of December 31, 2024 and December 31, 2023 were $24.2 million and $27.1 million respectively and are included in closing income taxes payable at those dates.</w:t>
      </w:r>
    </w:p>
    <w:p>
      <w:pPr>
        <w:spacing w:after="0" w:line="18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Our major tax jurisdictions are Ireland and the United States. We may potentially be subjected to tax audits in both our major jurisdictions. In Ireland, tax periods open to audit include the years ended December 31, 2020, December 31, 2021, December 31, 2022, December 31, 2023 and December 31, 2024. In the United States, tax periods open to audit include the years ended December 31, 2021, December 31, 2022, December 31, 2023 and December 31, 2024. During such audits, local tax authorities may challenge the positions taken by us in our tax returns.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b w:val="1"/>
          <w:bCs w:val="1"/>
          <w:color w:val="auto"/>
        </w:rPr>
        <w:t>21. Equity Incentive Schemes and Stock Compensation Charges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Options</w:t>
      </w:r>
    </w:p>
    <w:p>
      <w:pPr>
        <w:spacing w:after="0" w:line="220"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65" w:lineRule="exact"/>
        <w:rPr>
          <w:sz w:val="20"/>
          <w:szCs w:val="20"/>
          <w:color w:val="auto"/>
        </w:rPr>
      </w:pPr>
    </w:p>
    <w:p>
      <w:pPr>
        <w:jc w:val="both"/>
        <w:ind w:firstLine="591"/>
        <w:spacing w:after="0" w:line="252" w:lineRule="auto"/>
        <w:rPr>
          <w:sz w:val="20"/>
          <w:szCs w:val="20"/>
          <w:color w:val="auto"/>
        </w:rPr>
      </w:pPr>
      <w:r>
        <w:rPr>
          <w:rFonts w:ascii="Arial" w:cs="Arial" w:eastAsia="Arial" w:hAnsi="Arial"/>
          <w:sz w:val="15"/>
          <w:szCs w:val="15"/>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58" w:lineRule="exact"/>
        <w:rPr>
          <w:sz w:val="20"/>
          <w:szCs w:val="20"/>
          <w:color w:val="auto"/>
        </w:rPr>
      </w:pPr>
    </w:p>
    <w:p>
      <w:pPr>
        <w:jc w:val="both"/>
        <w:ind w:firstLine="591"/>
        <w:spacing w:after="0" w:line="251" w:lineRule="auto"/>
        <w:rPr>
          <w:sz w:val="20"/>
          <w:szCs w:val="20"/>
          <w:color w:val="auto"/>
        </w:rPr>
      </w:pPr>
      <w:r>
        <w:rPr>
          <w:rFonts w:ascii="Arial" w:cs="Arial" w:eastAsia="Arial" w:hAnsi="Arial"/>
          <w:sz w:val="15"/>
          <w:szCs w:val="15"/>
          <w:color w:val="auto"/>
        </w:rPr>
        <w:t>Each option granted under the 2008 Option Plans is an employee stock option, or Nonqualified Stock Option ("NSO"), as described in Section 422 or 423 of the Internal Revenue Code. Each grant of an option under the 2008 Options Plans is evidenced by a Stock Option Agreement between the optionee and the Company. The exercise price is specified in each Stock Option Agreement, however option prices are not less than 100% of the fair market value of an ordinary share on the date the option is granted. Share option awards are granted with an exercise price equal to the market price of the Company's shares at date of grant. Share options typically vest over a period of four to five years from date of grant and expire eight years from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PRA Equity Incentive Plans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represent the PRA equity incentive plans, that have been terminated as of July 1, 2021, as to grants of future awards.</w:t>
      </w:r>
    </w:p>
    <w:p>
      <w:pPr>
        <w:spacing w:after="0" w:line="210"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Pursuant to the Merger Agreement, effective on July 1, 2021, each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67"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PRA Health Sciences, Inc. 2020 Stock Incentive Plan (the "2020 Plan”), 2018 Stock Incentive Plan (the "2018 Plan"), and 2014 Omnibus Incentive Plan (the "2014 Plan") were amended and restated and assumed by the Registrant effective as of July 1, 2021.</w:t>
      </w:r>
    </w:p>
    <w:p>
      <w:pPr>
        <w:spacing w:after="0" w:line="143"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4"/>
          <w:szCs w:val="14"/>
          <w:color w:val="auto"/>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4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 million shares of common stock plus all shares that remained available under the 2014 Plan on May 31, 2018 (which included shares carried over from the 2013 Plan).</w:t>
      </w:r>
    </w:p>
    <w:p>
      <w:pPr>
        <w:spacing w:after="0" w:line="179"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35" w:name="page136"/>
    <w:bookmarkEnd w:id="135"/>
    <w:p>
      <w:pPr>
        <w:ind w:left="600"/>
        <w:spacing w:after="0"/>
        <w:rPr>
          <w:sz w:val="20"/>
          <w:szCs w:val="20"/>
          <w:color w:val="auto"/>
        </w:rPr>
      </w:pPr>
      <w:r>
        <w:rPr>
          <w:rFonts w:ascii="Arial" w:cs="Arial" w:eastAsia="Arial" w:hAnsi="Arial"/>
          <w:sz w:val="15"/>
          <w:szCs w:val="15"/>
          <w:color w:val="auto"/>
        </w:rPr>
        <w:t>The following table summarizes the transactions for the Company's share option plans for the years ended December 31, 2024, December 31, 2023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shd w:val="clear" w:color="auto" w:fill="CCEEFF"/>
          </w:tcPr>
          <w:p>
            <w:pPr>
              <w:spacing w:after="0"/>
              <w:rPr>
                <w:sz w:val="14"/>
                <w:szCs w:val="14"/>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Options Granted</w:t>
            </w: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Weighted Average</w:t>
            </w:r>
          </w:p>
        </w:tc>
      </w:tr>
      <w:tr>
        <w:trPr>
          <w:trHeight w:val="197"/>
        </w:trPr>
        <w:tc>
          <w:tcPr>
            <w:tcW w:w="5660" w:type="dxa"/>
            <w:vAlign w:val="bottom"/>
            <w:tcBorders>
              <w:bottom w:val="single" w:sz="8" w:color="auto"/>
            </w:tcBorders>
            <w:shd w:val="clear" w:color="auto" w:fill="CCEEFF"/>
          </w:tcPr>
          <w:p>
            <w:pPr>
              <w:spacing w:after="0"/>
              <w:rPr>
                <w:sz w:val="17"/>
                <w:szCs w:val="17"/>
                <w:color w:val="auto"/>
              </w:rPr>
            </w:pP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Under Plans</w:t>
            </w:r>
          </w:p>
        </w:tc>
        <w:tc>
          <w:tcPr>
            <w:tcW w:w="3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Exercise Price</w:t>
            </w:r>
          </w:p>
        </w:tc>
      </w:tr>
      <w:tr>
        <w:trPr>
          <w:trHeight w:val="188"/>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2021</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1,695,460</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110.38</w:t>
            </w:r>
          </w:p>
        </w:tc>
      </w:tr>
      <w:tr>
        <w:trPr>
          <w:trHeight w:val="191"/>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108,643</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229.94</w:t>
            </w:r>
          </w:p>
        </w:tc>
      </w:tr>
      <w:tr>
        <w:trPr>
          <w:trHeight w:val="196"/>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(348,286)</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102.87</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(77,698)</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143.08</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2022</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1,378,119</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119.86</w:t>
            </w:r>
          </w:p>
        </w:tc>
      </w:tr>
      <w:tr>
        <w:trPr>
          <w:trHeight w:val="191"/>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82,472</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232.48</w:t>
            </w:r>
          </w:p>
        </w:tc>
      </w:tr>
      <w:tr>
        <w:trPr>
          <w:trHeight w:val="196"/>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(535,705)</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95.12</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(22,080)</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196.20</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2023</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902,806</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142.96</w:t>
            </w:r>
          </w:p>
        </w:tc>
      </w:tr>
      <w:tr>
        <w:trPr>
          <w:trHeight w:val="191"/>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68,380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325.51</w:t>
            </w:r>
          </w:p>
        </w:tc>
      </w:tr>
      <w:tr>
        <w:trPr>
          <w:trHeight w:val="196"/>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(311,040)</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116.31</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(37,854)</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238.51</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2024</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622,292</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170.52</w:t>
            </w:r>
          </w:p>
        </w:tc>
      </w:tr>
      <w:tr>
        <w:trPr>
          <w:trHeight w:val="189"/>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Vested and exercisable at December 31, 2024</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426,497</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135.39</w:t>
            </w:r>
          </w:p>
        </w:tc>
      </w:tr>
    </w:tbl>
    <w:p>
      <w:pPr>
        <w:spacing w:after="0" w:line="283"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weighted average remaining contractual life of options outstanding and options exercisable at December 31, 2024 was 3.91 years and 3.06 years respectively (2023: 4.42 years and 3.89 years respectively).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intrinsic value of options outstanding and options exercisable as of December 31, 2024 was $34.0 million and $32.4 million, respectively.</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The intrinsic value of options exercised during the years ended December 31, 2024, 2023, and 2022, was $57.4 million, $80.4 million, and $41.9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32"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weighted average fair value of options granted during the years ended December 31, 2024, December 31, 2023 and December 31, 2022 was calculated using the Black-Scholes option pricing model. The weighted average fair values and assumptions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Year Ended</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40"/>
        </w:trPr>
        <w:tc>
          <w:tcPr>
            <w:tcW w:w="6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12"/>
                <w:szCs w:val="12"/>
                <w:color w:val="auto"/>
              </w:rPr>
            </w:pPr>
          </w:p>
        </w:tc>
        <w:tc>
          <w:tcPr>
            <w:tcW w:w="13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380" w:type="dxa"/>
            <w:vAlign w:val="bottom"/>
          </w:tcPr>
          <w:p>
            <w:pPr>
              <w:spacing w:after="0"/>
              <w:rPr>
                <w:sz w:val="12"/>
                <w:szCs w:val="12"/>
                <w:color w:val="auto"/>
              </w:rPr>
            </w:pPr>
          </w:p>
        </w:tc>
        <w:tc>
          <w:tcPr>
            <w:tcW w:w="126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6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fair value</w:t>
            </w: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115.76</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85.12</w:t>
            </w: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68.42</w:t>
            </w:r>
          </w:p>
        </w:tc>
      </w:tr>
      <w:tr>
        <w:trPr>
          <w:trHeight w:val="196"/>
        </w:trPr>
        <w:tc>
          <w:tcPr>
            <w:tcW w:w="632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r>
      <w:tr>
        <w:trPr>
          <w:trHeight w:val="196"/>
        </w:trPr>
        <w:tc>
          <w:tcPr>
            <w:tcW w:w="632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4.18 %</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1.86 %</w:t>
            </w:r>
          </w:p>
        </w:tc>
      </w:tr>
      <w:tr>
        <w:trPr>
          <w:trHeight w:val="19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years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 years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 years</w:t>
            </w:r>
          </w:p>
        </w:tc>
      </w:tr>
    </w:tbl>
    <w:p>
      <w:pPr>
        <w:spacing w:after="0" w:line="296"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i w:val="1"/>
          <w:iCs w:val="1"/>
          <w:color w:val="auto"/>
        </w:rPr>
        <w:t>Restricted Share Units and Performance Share Units</w:t>
      </w:r>
    </w:p>
    <w:p>
      <w:pPr>
        <w:spacing w:after="0" w:line="220" w:lineRule="exact"/>
        <w:rPr>
          <w:sz w:val="20"/>
          <w:szCs w:val="20"/>
          <w:color w:val="auto"/>
        </w:rPr>
      </w:pPr>
    </w:p>
    <w:p>
      <w:pPr>
        <w:jc w:val="both"/>
        <w:ind w:firstLine="591"/>
        <w:spacing w:after="0" w:line="253"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shares that can be issued under the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4"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has awarded RSUs and PSUs to certain key individuals of the Group. The following table summarizes RSU and PSU activity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shd w:val="clear" w:color="auto" w:fill="CCEEFF"/>
          </w:tcPr>
          <w:p>
            <w:pPr>
              <w:spacing w:after="0"/>
              <w:rPr>
                <w:sz w:val="14"/>
                <w:szCs w:val="14"/>
                <w:color w:val="auto"/>
              </w:rPr>
            </w:pPr>
          </w:p>
        </w:tc>
        <w:tc>
          <w:tcPr>
            <w:tcW w:w="3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PSU Outstanding</w:t>
            </w:r>
          </w:p>
        </w:tc>
        <w:tc>
          <w:tcPr>
            <w:tcW w:w="3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PSU RSU Outstanding</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r>
      <w:tr>
        <w:trPr>
          <w:trHeight w:val="148"/>
        </w:trPr>
        <w:tc>
          <w:tcPr>
            <w:tcW w:w="4160" w:type="dxa"/>
            <w:vAlign w:val="bottom"/>
            <w:shd w:val="clear" w:color="auto" w:fill="CCEEFF"/>
          </w:tcPr>
          <w:p>
            <w:pPr>
              <w:spacing w:after="0"/>
              <w:rPr>
                <w:sz w:val="12"/>
                <w:szCs w:val="12"/>
                <w:color w:val="auto"/>
              </w:rPr>
            </w:pPr>
          </w:p>
        </w:tc>
        <w:tc>
          <w:tcPr>
            <w:tcW w:w="4760" w:type="dxa"/>
            <w:vAlign w:val="bottom"/>
            <w:gridSpan w:val="3"/>
            <w:shd w:val="clear" w:color="auto" w:fill="CCEEFF"/>
          </w:tcPr>
          <w:p>
            <w:pPr>
              <w:jc w:val="right"/>
              <w:ind w:right="246"/>
              <w:spacing w:after="0" w:line="148" w:lineRule="exact"/>
              <w:rPr>
                <w:sz w:val="20"/>
                <w:szCs w:val="20"/>
                <w:color w:val="auto"/>
              </w:rPr>
            </w:pPr>
            <w:r>
              <w:rPr>
                <w:rFonts w:ascii="Arial" w:cs="Arial" w:eastAsia="Arial" w:hAnsi="Arial"/>
                <w:sz w:val="15"/>
                <w:szCs w:val="15"/>
                <w:b w:val="1"/>
                <w:bCs w:val="1"/>
                <w:color w:val="auto"/>
              </w:rPr>
              <w:t>Number of Shares Weighted Average</w:t>
            </w:r>
          </w:p>
        </w:tc>
        <w:tc>
          <w:tcPr>
            <w:tcW w:w="23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Number Weighted Average</w:t>
            </w:r>
          </w:p>
        </w:tc>
      </w:tr>
      <w:tr>
        <w:trPr>
          <w:trHeight w:val="148"/>
        </w:trPr>
        <w:tc>
          <w:tcPr>
            <w:tcW w:w="41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86"/>
              <w:spacing w:after="0" w:line="148" w:lineRule="exact"/>
              <w:rPr>
                <w:sz w:val="20"/>
                <w:szCs w:val="20"/>
                <w:color w:val="auto"/>
              </w:rPr>
            </w:pPr>
            <w:r>
              <w:rPr>
                <w:rFonts w:ascii="Arial" w:cs="Arial" w:eastAsia="Arial" w:hAnsi="Arial"/>
                <w:sz w:val="15"/>
                <w:szCs w:val="15"/>
                <w:b w:val="1"/>
                <w:bCs w:val="1"/>
                <w:color w:val="auto"/>
              </w:rPr>
              <w:t>Grant Date</w:t>
            </w:r>
          </w:p>
        </w:tc>
        <w:tc>
          <w:tcPr>
            <w:tcW w:w="10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of Shares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Grant Date Fair</w:t>
            </w:r>
          </w:p>
        </w:tc>
      </w:tr>
      <w:tr>
        <w:trPr>
          <w:trHeight w:val="197"/>
        </w:trPr>
        <w:tc>
          <w:tcPr>
            <w:tcW w:w="416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Fair Value</w:t>
            </w: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Value</w:t>
            </w:r>
          </w:p>
        </w:tc>
      </w:tr>
      <w:tr>
        <w:trPr>
          <w:trHeight w:val="18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December 31, 2023</w:t>
            </w:r>
          </w:p>
        </w:tc>
        <w:tc>
          <w:tcPr>
            <w:tcW w:w="3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105,256</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226.29</w:t>
            </w:r>
          </w:p>
        </w:tc>
        <w:tc>
          <w:tcPr>
            <w:tcW w:w="1020" w:type="dxa"/>
            <w:vAlign w:val="bottom"/>
            <w:tcBorders>
              <w:bottom w:val="single" w:sz="8" w:color="auto"/>
            </w:tcBorders>
          </w:tcPr>
          <w:p>
            <w:pPr>
              <w:jc w:val="center"/>
              <w:ind w:left="266"/>
              <w:spacing w:after="0"/>
              <w:rPr>
                <w:sz w:val="20"/>
                <w:szCs w:val="20"/>
                <w:color w:val="auto"/>
              </w:rPr>
            </w:pPr>
            <w:r>
              <w:rPr>
                <w:rFonts w:ascii="Arial" w:cs="Arial" w:eastAsia="Arial" w:hAnsi="Arial"/>
                <w:sz w:val="15"/>
                <w:szCs w:val="15"/>
                <w:color w:val="auto"/>
                <w:w w:val="95"/>
              </w:rPr>
              <w:t>621,011</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218.27</w:t>
            </w:r>
          </w:p>
        </w:tc>
      </w:tr>
      <w:tr>
        <w:trPr>
          <w:trHeight w:val="191"/>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48,626</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325.51</w:t>
            </w:r>
          </w:p>
        </w:tc>
        <w:tc>
          <w:tcPr>
            <w:tcW w:w="1020" w:type="dxa"/>
            <w:vAlign w:val="bottom"/>
            <w:shd w:val="clear" w:color="auto" w:fill="CCEEFF"/>
          </w:tcPr>
          <w:p>
            <w:pPr>
              <w:jc w:val="center"/>
              <w:ind w:left="266"/>
              <w:spacing w:after="0"/>
              <w:rPr>
                <w:sz w:val="20"/>
                <w:szCs w:val="20"/>
                <w:color w:val="auto"/>
              </w:rPr>
            </w:pPr>
            <w:r>
              <w:rPr>
                <w:rFonts w:ascii="Arial" w:cs="Arial" w:eastAsia="Arial" w:hAnsi="Arial"/>
                <w:sz w:val="15"/>
                <w:szCs w:val="15"/>
                <w:color w:val="auto"/>
                <w:w w:val="95"/>
              </w:rPr>
              <w:t>258,345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313.41</w:t>
            </w:r>
          </w:p>
        </w:tc>
      </w:tr>
      <w:tr>
        <w:trPr>
          <w:trHeight w:val="196"/>
        </w:trPr>
        <w:tc>
          <w:tcPr>
            <w:tcW w:w="416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3140" w:type="dxa"/>
            <w:vAlign w:val="bottom"/>
          </w:tcPr>
          <w:p>
            <w:pPr>
              <w:jc w:val="right"/>
              <w:spacing w:after="0"/>
              <w:rPr>
                <w:sz w:val="20"/>
                <w:szCs w:val="20"/>
                <w:color w:val="auto"/>
              </w:rPr>
            </w:pPr>
            <w:r>
              <w:rPr>
                <w:rFonts w:ascii="Arial" w:cs="Arial" w:eastAsia="Arial" w:hAnsi="Arial"/>
                <w:sz w:val="15"/>
                <w:szCs w:val="15"/>
                <w:color w:val="auto"/>
              </w:rPr>
              <w:t>(9,975)</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06"/>
              <w:spacing w:after="0"/>
              <w:rPr>
                <w:sz w:val="20"/>
                <w:szCs w:val="20"/>
                <w:color w:val="auto"/>
              </w:rPr>
            </w:pPr>
            <w:r>
              <w:rPr>
                <w:rFonts w:ascii="Arial" w:cs="Arial" w:eastAsia="Arial" w:hAnsi="Arial"/>
                <w:sz w:val="15"/>
                <w:szCs w:val="15"/>
                <w:color w:val="auto"/>
              </w:rPr>
              <w:t>177.38</w:t>
            </w:r>
          </w:p>
        </w:tc>
        <w:tc>
          <w:tcPr>
            <w:tcW w:w="1020" w:type="dxa"/>
            <w:vAlign w:val="bottom"/>
          </w:tcPr>
          <w:p>
            <w:pPr>
              <w:jc w:val="right"/>
              <w:spacing w:after="0"/>
              <w:rPr>
                <w:sz w:val="20"/>
                <w:szCs w:val="20"/>
                <w:color w:val="auto"/>
              </w:rPr>
            </w:pPr>
            <w:r>
              <w:rPr>
                <w:rFonts w:ascii="Arial" w:cs="Arial" w:eastAsia="Arial" w:hAnsi="Arial"/>
                <w:sz w:val="15"/>
                <w:szCs w:val="15"/>
                <w:color w:val="auto"/>
              </w:rPr>
              <w:t>(120,458)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223.29</w:t>
            </w:r>
          </w:p>
        </w:tc>
      </w:tr>
      <w:tr>
        <w:trPr>
          <w:trHeight w:val="197"/>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(124,186)</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260.42</w:t>
            </w:r>
          </w:p>
        </w:tc>
        <w:tc>
          <w:tcPr>
            <w:tcW w:w="1020" w:type="dxa"/>
            <w:vAlign w:val="bottom"/>
            <w:tcBorders>
              <w:bottom w:val="single" w:sz="8" w:color="auto"/>
            </w:tcBorders>
            <w:shd w:val="clear" w:color="auto" w:fill="CCEEFF"/>
          </w:tcPr>
          <w:p>
            <w:pPr>
              <w:jc w:val="center"/>
              <w:ind w:left="266"/>
              <w:spacing w:after="0"/>
              <w:rPr>
                <w:sz w:val="20"/>
                <w:szCs w:val="20"/>
                <w:color w:val="auto"/>
              </w:rPr>
            </w:pPr>
            <w:r>
              <w:rPr>
                <w:rFonts w:ascii="Arial" w:cs="Arial" w:eastAsia="Arial" w:hAnsi="Arial"/>
                <w:sz w:val="15"/>
                <w:szCs w:val="15"/>
                <w:color w:val="auto"/>
                <w:w w:val="93"/>
              </w:rPr>
              <w:t>(111,309)</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241.13</w:t>
            </w: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December 31, 2024</w:t>
            </w:r>
          </w:p>
        </w:tc>
        <w:tc>
          <w:tcPr>
            <w:tcW w:w="3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19,721</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280.76</w:t>
            </w:r>
          </w:p>
        </w:tc>
        <w:tc>
          <w:tcPr>
            <w:tcW w:w="1020" w:type="dxa"/>
            <w:vAlign w:val="bottom"/>
            <w:tcBorders>
              <w:bottom w:val="single" w:sz="8" w:color="auto"/>
            </w:tcBorders>
          </w:tcPr>
          <w:p>
            <w:pPr>
              <w:jc w:val="center"/>
              <w:ind w:left="266"/>
              <w:spacing w:after="0"/>
              <w:rPr>
                <w:sz w:val="20"/>
                <w:szCs w:val="20"/>
                <w:color w:val="auto"/>
              </w:rPr>
            </w:pPr>
            <w:r>
              <w:rPr>
                <w:rFonts w:ascii="Arial" w:cs="Arial" w:eastAsia="Arial" w:hAnsi="Arial"/>
                <w:sz w:val="15"/>
                <w:szCs w:val="15"/>
                <w:color w:val="auto"/>
                <w:w w:val="95"/>
              </w:rPr>
              <w:t>647,589</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251.36</w:t>
            </w:r>
          </w:p>
        </w:tc>
      </w:tr>
    </w:tbl>
    <w:p>
      <w:pPr>
        <w:spacing w:after="0" w:line="28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fair value of RSUs vested for the year ended December 31, 2024 totaled $26.9 million (2023: $35.4 million). The share price range for the year was $174.96 -</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$265.96 (2023: $159.33 - $265.96).</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fair value of PSUs vested for the year ended December 31, 2024 totaled $1.8 million (2023: $7.5 million). The share price range for the year was $174.96 -</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$231.08 (2023: $159.33 - $166.51).</w:t>
      </w:r>
    </w:p>
    <w:p>
      <w:pPr>
        <w:spacing w:after="0" w:line="22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PSUs vest based on service and specified EPS targets over the period 2022 – 2024, 2023 – 2025, and 2024 - 2026. Depending on the actual amount of EPS from 2022 to 2026, up to an additional 80,051 PSUs may also be granted.</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compensation expense</w:t>
      </w:r>
    </w:p>
    <w:p>
      <w:pPr>
        <w:spacing w:after="0" w:line="22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Income from operations for the year ended December 31, 2024 is stated after charging $45.9 million in respect of stock compensation expense (inclusive of employer related taxes). Stock compensation expense has been allocated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Year ended</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40"/>
        </w:trPr>
        <w:tc>
          <w:tcPr>
            <w:tcW w:w="6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2"/>
                <w:szCs w:val="12"/>
                <w:color w:val="auto"/>
              </w:rPr>
            </w:pPr>
          </w:p>
        </w:tc>
        <w:tc>
          <w:tcPr>
            <w:tcW w:w="12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2"/>
                <w:szCs w:val="12"/>
                <w:color w:val="auto"/>
              </w:rPr>
            </w:pPr>
          </w:p>
        </w:tc>
        <w:tc>
          <w:tcPr>
            <w:tcW w:w="116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6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6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26,046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26,595</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22,854</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19,824</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29,072</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47,669</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55,667</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70,523</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As of December 31, 2024, total unrecognized stock-based compensation expense related to outstanding non-vested stock-based compensation arrangements amounted to $108.1 million, which the Company expects to recognize over a weighted average period of 2.29 years.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37" w:name="page138"/>
    <w:bookmarkEnd w:id="137"/>
    <w:p>
      <w:pPr>
        <w:jc w:val="both"/>
        <w:ind w:firstLine="591"/>
        <w:spacing w:after="0" w:line="252" w:lineRule="auto"/>
        <w:rPr>
          <w:sz w:val="20"/>
          <w:szCs w:val="20"/>
          <w:color w:val="auto"/>
        </w:rPr>
      </w:pPr>
      <w:r>
        <w:rPr>
          <w:rFonts w:ascii="Arial" w:cs="Arial" w:eastAsia="Arial" w:hAnsi="Arial"/>
          <w:sz w:val="15"/>
          <w:szCs w:val="15"/>
          <w:color w:val="auto"/>
        </w:rPr>
        <w:t>The income tax expense for the year ended December 31, 2024 reflects a net income tax benefit of $23.4 million in connection with stock compensation (including excess tax benefits) and the total tax benefit in connection with stock options exercised during 2024 was $10.1 million. The income tax expense for the year ended December 31, 2023 reflects a net income tax benefit of $20.0 million in connection with stock compensation (including excess tax benefits) and the total tax benefit in connection with stock options exercised during 2023 was $10.9 million. The income tax expense for the year ended December 31, 2022 reflects a net income tax benefit of $12.9 million in connection with stock compensation (including excess tax benefits) and the total tax benefit realized in connection with stock options exercised during 2022 was $7.7 million.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Business Segment and Geographical Information</w:t>
      </w:r>
    </w:p>
    <w:p>
      <w:pPr>
        <w:spacing w:after="0" w:line="234" w:lineRule="exact"/>
        <w:rPr>
          <w:sz w:val="20"/>
          <w:szCs w:val="20"/>
          <w:color w:val="auto"/>
        </w:rPr>
      </w:pPr>
    </w:p>
    <w:p>
      <w:pPr>
        <w:jc w:val="both"/>
        <w:ind w:firstLine="591"/>
        <w:spacing w:after="0" w:line="259"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202" w:lineRule="exact"/>
        <w:rPr>
          <w:sz w:val="20"/>
          <w:szCs w:val="20"/>
          <w:color w:val="auto"/>
        </w:rPr>
      </w:pPr>
    </w:p>
    <w:p>
      <w:pPr>
        <w:jc w:val="both"/>
        <w:ind w:firstLine="591"/>
        <w:spacing w:after="0" w:line="259"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For each of the accounting periods presented herein, the Company determined that Chief Operating Decision Maker ('CODM') was comprised of the Chief Executive Officer and the Chief Financial Officer. As the Company is managed on a consolidated basis, the CODM evaluates performance and allocates resources based on consolidated net income. The CODM uses consolidated net income, as reported on the Consolidated Statement of Operations, to evaluate income generated from segment assets and for decisions related to the deployment of operating and capital resources. The measure of segment assets is reported on the Consolidated Balance Sheet as total consolidated assets.</w:t>
      </w:r>
    </w:p>
    <w:p>
      <w:pPr>
        <w:spacing w:after="0" w:line="202" w:lineRule="exact"/>
        <w:rPr>
          <w:sz w:val="20"/>
          <w:szCs w:val="20"/>
          <w:color w:val="auto"/>
        </w:rPr>
      </w:pPr>
    </w:p>
    <w:p>
      <w:pPr>
        <w:jc w:val="both"/>
        <w:ind w:firstLine="591"/>
        <w:spacing w:after="0" w:line="256"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In the context of considerations around significant segment expenses, as the expense information that is regularly provided to the CODM is aligned with the respective consolidated expenses for direct costs and selling, general, and administrative expenses, as presented on the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spacing w:after="0" w:line="189"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68" w:lineRule="exact"/>
        <w:rPr>
          <w:sz w:val="20"/>
          <w:szCs w:val="20"/>
          <w:color w:val="auto"/>
        </w:rPr>
      </w:pPr>
    </w:p>
    <w:p>
      <w:pPr>
        <w:jc w:val="both"/>
        <w:ind w:firstLine="591"/>
        <w:spacing w:after="0" w:line="263" w:lineRule="auto"/>
        <w:rPr>
          <w:sz w:val="20"/>
          <w:szCs w:val="20"/>
          <w:color w:val="auto"/>
        </w:rPr>
      </w:pPr>
      <w:r>
        <w:rPr>
          <w:rFonts w:ascii="Arial" w:cs="Arial" w:eastAsia="Arial" w:hAnsi="Arial"/>
          <w:sz w:val="15"/>
          <w:szCs w:val="15"/>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85"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203" w:lineRule="exact"/>
        <w:rPr>
          <w:sz w:val="20"/>
          <w:szCs w:val="20"/>
          <w:color w:val="auto"/>
        </w:rPr>
      </w:pPr>
    </w:p>
    <w:p>
      <w:pPr>
        <w:jc w:val="both"/>
        <w:ind w:firstLine="591"/>
        <w:spacing w:after="0" w:line="255"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8" w:name="page139"/>
    <w:bookmarkEnd w:id="138"/>
    <w:p>
      <w:pPr>
        <w:ind w:left="600"/>
        <w:spacing w:after="0"/>
        <w:rPr>
          <w:sz w:val="20"/>
          <w:szCs w:val="20"/>
          <w:color w:val="auto"/>
        </w:rPr>
      </w:pPr>
      <w:r>
        <w:rPr>
          <w:rFonts w:ascii="Arial" w:cs="Arial" w:eastAsia="Arial" w:hAnsi="Arial"/>
          <w:sz w:val="15"/>
          <w:szCs w:val="15"/>
          <w:color w:val="auto"/>
        </w:rPr>
        <w:t>Reportable geographic information at December 31, 2024 and December 31, 2023 and for the years ended December 31, 2024, December 31, 2023 and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20"/>
                <w:szCs w:val="20"/>
                <w:color w:val="auto"/>
              </w:rPr>
            </w:pPr>
            <w:r>
              <w:rPr>
                <w:rFonts w:ascii="Arial" w:cs="Arial" w:eastAsia="Arial" w:hAnsi="Arial"/>
                <w:sz w:val="15"/>
                <w:szCs w:val="15"/>
                <w:color w:val="auto"/>
              </w:rPr>
              <w:t>December 31, 2022 is as follows: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3"/>
        </w:trPr>
        <w:tc>
          <w:tcPr>
            <w:tcW w:w="6920" w:type="dxa"/>
            <w:vAlign w:val="bottom"/>
          </w:tcPr>
          <w:p>
            <w:pPr>
              <w:spacing w:after="0"/>
              <w:rPr>
                <w:sz w:val="20"/>
                <w:szCs w:val="20"/>
                <w:color w:val="auto"/>
              </w:rPr>
            </w:pPr>
            <w:r>
              <w:rPr>
                <w:rFonts w:ascii="Arial" w:cs="Arial" w:eastAsia="Arial" w:hAnsi="Arial"/>
                <w:sz w:val="15"/>
                <w:szCs w:val="15"/>
                <w:color w:val="auto"/>
              </w:rPr>
              <w:t>a) The distribution of revenue by geographical area was as follows: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6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7"/>
        </w:trPr>
        <w:tc>
          <w:tcPr>
            <w:tcW w:w="69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6"/>
              </w:rPr>
              <w:t>Year ended</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8"/>
              </w:rPr>
              <w:t>(in thousands)</w:t>
            </w: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Ireland</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2,793,045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2,377,104</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1,984,567</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1,560,735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1,574,783</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1,618,350</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U.S.</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2,985,256</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3,283,790</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3,574,610</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942,640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884,499</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563,859</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8,281,676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8,120,176</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7,741,386</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1"/>
        </w:trPr>
        <w:tc>
          <w:tcPr>
            <w:tcW w:w="6920" w:type="dxa"/>
            <w:vAlign w:val="bottom"/>
          </w:tcPr>
          <w:p>
            <w:pPr>
              <w:spacing w:after="0"/>
              <w:rPr>
                <w:sz w:val="20"/>
                <w:szCs w:val="20"/>
                <w:color w:val="auto"/>
              </w:rPr>
            </w:pPr>
            <w:r>
              <w:rPr>
                <w:rFonts w:ascii="Arial" w:cs="Arial" w:eastAsia="Arial" w:hAnsi="Arial"/>
                <w:sz w:val="15"/>
                <w:szCs w:val="15"/>
                <w:color w:val="auto"/>
              </w:rPr>
              <w:t>b) The distribution of income from operations by geographical area was as follows: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6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7"/>
        </w:trPr>
        <w:tc>
          <w:tcPr>
            <w:tcW w:w="69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6"/>
              </w:rPr>
              <w:t>Year ended</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8"/>
              </w:rPr>
              <w:t>(in thousands)</w:t>
            </w: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Ireland</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919,126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885,886</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673,804</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216,768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154,626</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254,955</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U.S.</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241,549</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314,982</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260,890</w:t>
            </w:r>
          </w:p>
        </w:tc>
      </w:tr>
      <w:tr>
        <w:trPr>
          <w:trHeight w:val="197"/>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70,661</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60,512</w:t>
            </w: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68,675</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1,448,104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1,416,006</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1,258,324</w:t>
            </w:r>
          </w:p>
        </w:tc>
      </w:tr>
      <w:tr>
        <w:trPr>
          <w:trHeight w:val="189"/>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Amortization on intangible assets</w:t>
            </w: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(350,292)</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(459,854)</w:t>
            </w: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(463,087)</w:t>
            </w:r>
          </w:p>
        </w:tc>
      </w:tr>
      <w:tr>
        <w:trPr>
          <w:trHeight w:val="18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1,097,812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956,152</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795,237</w:t>
            </w:r>
          </w:p>
        </w:tc>
      </w:tr>
      <w:tr>
        <w:trPr>
          <w:trHeight w:val="20"/>
        </w:trPr>
        <w:tc>
          <w:tcPr>
            <w:tcW w:w="9800" w:type="dxa"/>
            <w:vAlign w:val="bottom"/>
            <w:tcBorders>
              <w:bottom w:val="single" w:sz="8" w:color="auto"/>
            </w:tcBorders>
            <w:gridSpan w:val="5"/>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1"/>
        </w:trPr>
        <w:tc>
          <w:tcPr>
            <w:tcW w:w="9800" w:type="dxa"/>
            <w:vAlign w:val="bottom"/>
            <w:gridSpan w:val="5"/>
          </w:tcPr>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6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gridSpan w:val="2"/>
          </w:tcPr>
          <w:p>
            <w:pPr>
              <w:spacing w:after="0"/>
              <w:rPr>
                <w:sz w:val="20"/>
                <w:szCs w:val="20"/>
                <w:color w:val="auto"/>
              </w:rPr>
            </w:pPr>
          </w:p>
        </w:tc>
        <w:tc>
          <w:tcPr>
            <w:tcW w:w="1440" w:type="dxa"/>
            <w:vAlign w:val="bottom"/>
            <w:gridSpan w:val="2"/>
          </w:tcPr>
          <w:p>
            <w:pPr>
              <w:spacing w:after="0"/>
              <w:rPr>
                <w:sz w:val="20"/>
                <w:szCs w:val="20"/>
                <w:color w:val="auto"/>
              </w:rPr>
            </w:pPr>
          </w:p>
        </w:tc>
      </w:tr>
      <w:tr>
        <w:trPr>
          <w:trHeight w:val="197"/>
        </w:trPr>
        <w:tc>
          <w:tcPr>
            <w:tcW w:w="69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6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Pr>
          <w:p>
            <w:pPr>
              <w:spacing w:after="0"/>
              <w:rPr>
                <w:sz w:val="16"/>
                <w:szCs w:val="16"/>
                <w:color w:val="auto"/>
              </w:rPr>
            </w:pPr>
          </w:p>
        </w:tc>
      </w:tr>
      <w:tr>
        <w:trPr>
          <w:trHeight w:val="197"/>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234,175</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199,051</w:t>
            </w:r>
          </w:p>
        </w:tc>
      </w:tr>
      <w:tr>
        <w:trPr>
          <w:trHeight w:val="196"/>
        </w:trPr>
        <w:tc>
          <w:tcPr>
            <w:tcW w:w="6920" w:type="dxa"/>
            <w:vAlign w:val="bottom"/>
          </w:tcPr>
          <w:p>
            <w:pPr>
              <w:ind w:left="20"/>
              <w:spacing w:after="0"/>
              <w:rPr>
                <w:sz w:val="20"/>
                <w:szCs w:val="20"/>
                <w:color w:val="auto"/>
              </w:rPr>
            </w:pPr>
            <w:r>
              <w:rPr>
                <w:rFonts w:ascii="Arial" w:cs="Arial" w:eastAsia="Arial" w:hAnsi="Arial"/>
                <w:sz w:val="15"/>
                <w:szCs w:val="15"/>
                <w:color w:val="auto"/>
              </w:rPr>
              <w:t>Rest of Europe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88,556</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94,046</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145,391</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159,245</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62,359</w:t>
            </w: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49,175</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530,481</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501,517</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b w:val="1"/>
          <w:bCs w:val="1"/>
          <w:color w:val="auto"/>
        </w:rPr>
        <w:t>23. Net Income Per Ordinary Share</w:t>
      </w:r>
    </w:p>
    <w:p>
      <w:pPr>
        <w:spacing w:after="0" w:line="222" w:lineRule="exact"/>
        <w:rPr>
          <w:sz w:val="20"/>
          <w:szCs w:val="20"/>
          <w:color w:val="auto"/>
        </w:rPr>
      </w:pPr>
    </w:p>
    <w:p>
      <w:pPr>
        <w:jc w:val="both"/>
        <w:ind w:firstLine="591"/>
        <w:spacing w:after="0" w:line="286" w:lineRule="auto"/>
        <w:rPr>
          <w:sz w:val="20"/>
          <w:szCs w:val="20"/>
          <w:color w:val="auto"/>
        </w:rPr>
      </w:pPr>
      <w:r>
        <w:rPr>
          <w:rFonts w:ascii="Arial" w:cs="Arial" w:eastAsia="Arial" w:hAnsi="Arial"/>
          <w:sz w:val="15"/>
          <w:szCs w:val="15"/>
          <w:color w:val="auto"/>
        </w:rPr>
        <w:t>Basic net income per ordinary share has been computed by dividing net income available to ordinary shareholders by the weighted average number of ordinary shares outstanding during the period.</w:t>
      </w:r>
    </w:p>
    <w:p>
      <w:pPr>
        <w:spacing w:after="0" w:line="131" w:lineRule="exact"/>
        <w:rPr>
          <w:sz w:val="20"/>
          <w:szCs w:val="20"/>
          <w:color w:val="auto"/>
        </w:rPr>
      </w:pPr>
    </w:p>
    <w:p>
      <w:pPr>
        <w:jc w:val="both"/>
        <w:ind w:firstLine="591"/>
        <w:spacing w:after="0" w:line="254" w:lineRule="auto"/>
        <w:rPr>
          <w:sz w:val="20"/>
          <w:szCs w:val="20"/>
          <w:color w:val="auto"/>
        </w:rPr>
      </w:pPr>
      <w:r>
        <w:rPr>
          <w:rFonts w:ascii="Arial" w:cs="Arial" w:eastAsia="Arial" w:hAnsi="Arial"/>
          <w:sz w:val="15"/>
          <w:szCs w:val="15"/>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is no difference in net income used for basic and diluted net income per ordinary share.</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per ordinary share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b w:val="1"/>
                <w:bCs w:val="1"/>
                <w:color w:val="auto"/>
              </w:rPr>
              <w:t>Year ended</w:t>
            </w:r>
          </w:p>
        </w:tc>
        <w:tc>
          <w:tcPr>
            <w:tcW w:w="1200" w:type="dxa"/>
            <w:vAlign w:val="bottom"/>
            <w:tcBorders>
              <w:bottom w:val="single" w:sz="8" w:color="auto"/>
            </w:tcBorders>
            <w:shd w:val="clear" w:color="auto" w:fill="CCEEFF"/>
          </w:tcPr>
          <w:p>
            <w:pPr>
              <w:spacing w:after="0"/>
              <w:rPr>
                <w:sz w:val="17"/>
                <w:szCs w:val="17"/>
                <w:color w:val="auto"/>
              </w:rPr>
            </w:pPr>
          </w:p>
        </w:tc>
      </w:tr>
      <w:tr>
        <w:trPr>
          <w:trHeight w:val="140"/>
        </w:trPr>
        <w:tc>
          <w:tcPr>
            <w:tcW w:w="6920" w:type="dxa"/>
            <w:vAlign w:val="bottom"/>
          </w:tcPr>
          <w:p>
            <w:pPr>
              <w:spacing w:after="0"/>
              <w:rPr>
                <w:sz w:val="12"/>
                <w:szCs w:val="12"/>
                <w:color w:val="auto"/>
              </w:rPr>
            </w:pPr>
          </w:p>
        </w:tc>
        <w:tc>
          <w:tcPr>
            <w:tcW w:w="1600" w:type="dxa"/>
            <w:vAlign w:val="bottom"/>
          </w:tcPr>
          <w:p>
            <w:pPr>
              <w:jc w:val="right"/>
              <w:ind w:right="106"/>
              <w:spacing w:after="0" w:line="141" w:lineRule="exact"/>
              <w:rPr>
                <w:sz w:val="20"/>
                <w:szCs w:val="20"/>
                <w:color w:val="auto"/>
              </w:rPr>
            </w:pPr>
            <w:r>
              <w:rPr>
                <w:rFonts w:ascii="Arial" w:cs="Arial" w:eastAsia="Arial" w:hAnsi="Arial"/>
                <w:sz w:val="15"/>
                <w:szCs w:val="15"/>
                <w:b w:val="1"/>
                <w:bCs w:val="1"/>
                <w:color w:val="auto"/>
              </w:rPr>
              <w:t>December 31,</w:t>
            </w:r>
          </w:p>
        </w:tc>
        <w:tc>
          <w:tcPr>
            <w:tcW w:w="1520" w:type="dxa"/>
            <w:vAlign w:val="bottom"/>
          </w:tcPr>
          <w:p>
            <w:pPr>
              <w:jc w:val="right"/>
              <w:ind w:right="166"/>
              <w:spacing w:after="0" w:line="141" w:lineRule="exact"/>
              <w:rPr>
                <w:sz w:val="20"/>
                <w:szCs w:val="20"/>
                <w:color w:val="auto"/>
              </w:rPr>
            </w:pPr>
            <w:r>
              <w:rPr>
                <w:rFonts w:ascii="Arial" w:cs="Arial" w:eastAsia="Arial" w:hAnsi="Arial"/>
                <w:sz w:val="15"/>
                <w:szCs w:val="15"/>
                <w:b w:val="1"/>
                <w:bCs w:val="1"/>
                <w:color w:val="auto"/>
              </w:rPr>
              <w:t>December 31,</w:t>
            </w:r>
          </w:p>
        </w:tc>
        <w:tc>
          <w:tcPr>
            <w:tcW w:w="120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69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2024</w:t>
            </w:r>
          </w:p>
        </w:tc>
        <w:tc>
          <w:tcPr>
            <w:tcW w:w="15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basic net income per ordinary share</w:t>
            </w:r>
          </w:p>
        </w:tc>
        <w:tc>
          <w:tcPr>
            <w:tcW w:w="16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82,482,764</w:t>
            </w:r>
          </w:p>
        </w:tc>
        <w:tc>
          <w:tcPr>
            <w:tcW w:w="152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82,101,813</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81,532,320</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8"/>
              </w:rPr>
              <w:t>Effect of dilutive share options and other awards outstanding under share based compensation programs</w:t>
            </w:r>
          </w:p>
        </w:tc>
        <w:tc>
          <w:tcPr>
            <w:tcW w:w="16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549,660</w:t>
            </w:r>
          </w:p>
        </w:tc>
        <w:tc>
          <w:tcPr>
            <w:tcW w:w="15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615,827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936,043</w:t>
            </w: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diluted net income per ordinary share</w:t>
            </w:r>
          </w:p>
        </w:tc>
        <w:tc>
          <w:tcPr>
            <w:tcW w:w="16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83,032,424</w:t>
            </w:r>
          </w:p>
        </w:tc>
        <w:tc>
          <w:tcPr>
            <w:tcW w:w="15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rPr>
              <w:t>82,717,640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82,468,363</w:t>
            </w: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6"/>
              </w:rPr>
              <w:t>Year ended</w:t>
            </w: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r>
      <w:tr>
        <w:trPr>
          <w:trHeight w:val="140"/>
        </w:trPr>
        <w:tc>
          <w:tcPr>
            <w:tcW w:w="4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1"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2"/>
                <w:szCs w:val="12"/>
                <w:color w:val="auto"/>
              </w:rPr>
            </w:pPr>
          </w:p>
        </w:tc>
        <w:tc>
          <w:tcPr>
            <w:tcW w:w="12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42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46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2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5"/>
                <w:szCs w:val="15"/>
                <w:color w:val="auto"/>
              </w:rPr>
              <w:t>Basic</w:t>
            </w:r>
          </w:p>
        </w:tc>
        <w:tc>
          <w:tcPr>
            <w:tcW w:w="2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9.60</w:t>
            </w:r>
          </w:p>
        </w:tc>
        <w:tc>
          <w:tcPr>
            <w:tcW w:w="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7.46</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6.20</w:t>
            </w:r>
          </w:p>
        </w:tc>
        <w:tc>
          <w:tcPr>
            <w:tcW w:w="20" w:type="dxa"/>
            <w:vAlign w:val="bottom"/>
          </w:tcPr>
          <w:p>
            <w:pPr>
              <w:spacing w:after="0"/>
              <w:rPr>
                <w:sz w:val="17"/>
                <w:szCs w:val="17"/>
                <w:color w:val="auto"/>
              </w:rPr>
            </w:pPr>
          </w:p>
        </w:tc>
      </w:tr>
      <w:tr>
        <w:trPr>
          <w:trHeight w:val="197"/>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20" w:type="dxa"/>
            <w:vAlign w:val="bottom"/>
            <w:tcBorders>
              <w:bottom w:val="single" w:sz="8" w:color="auto"/>
            </w:tcBorders>
            <w:shd w:val="clear" w:color="auto" w:fill="CCEEFF"/>
          </w:tcPr>
          <w:p>
            <w:pPr>
              <w:spacing w:after="0"/>
              <w:rPr>
                <w:sz w:val="17"/>
                <w:szCs w:val="17"/>
                <w:color w:val="auto"/>
              </w:rPr>
            </w:pPr>
          </w:p>
        </w:tc>
      </w:tr>
      <w:tr>
        <w:trPr>
          <w:trHeight w:val="639"/>
        </w:trPr>
        <w:tc>
          <w:tcPr>
            <w:tcW w:w="4660" w:type="dxa"/>
            <w:vAlign w:val="bottom"/>
          </w:tcPr>
          <w:p>
            <w:pPr>
              <w:spacing w:after="0"/>
              <w:rPr>
                <w:sz w:val="20"/>
                <w:szCs w:val="20"/>
                <w:color w:val="auto"/>
              </w:rPr>
            </w:pPr>
            <w:r>
              <w:rPr>
                <w:rFonts w:ascii="Arial" w:cs="Arial" w:eastAsia="Arial" w:hAnsi="Arial"/>
                <w:sz w:val="15"/>
                <w:szCs w:val="15"/>
                <w:b w:val="1"/>
                <w:bCs w:val="1"/>
                <w:color w:val="auto"/>
              </w:rPr>
              <w:t>24. Accumulated Other Comprehensive Loss</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46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40"/>
        </w:trPr>
        <w:tc>
          <w:tcPr>
            <w:tcW w:w="4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420" w:type="dxa"/>
            <w:vAlign w:val="bottom"/>
          </w:tcPr>
          <w:p>
            <w:pPr>
              <w:spacing w:after="0"/>
              <w:rPr>
                <w:sz w:val="12"/>
                <w:szCs w:val="12"/>
                <w:color w:val="auto"/>
              </w:rPr>
            </w:pPr>
          </w:p>
        </w:tc>
        <w:tc>
          <w:tcPr>
            <w:tcW w:w="1020" w:type="dxa"/>
            <w:vAlign w:val="bottom"/>
            <w:gridSpan w:val="2"/>
          </w:tcPr>
          <w:p>
            <w:pPr>
              <w:jc w:val="right"/>
              <w:ind w:right="40"/>
              <w:spacing w:after="0" w:line="141" w:lineRule="exact"/>
              <w:rPr>
                <w:sz w:val="20"/>
                <w:szCs w:val="20"/>
                <w:color w:val="auto"/>
              </w:rPr>
            </w:pPr>
            <w:r>
              <w:rPr>
                <w:rFonts w:ascii="Arial" w:cs="Arial" w:eastAsia="Arial" w:hAnsi="Arial"/>
                <w:sz w:val="15"/>
                <w:szCs w:val="15"/>
                <w:b w:val="1"/>
                <w:bCs w:val="1"/>
                <w:color w:val="auto"/>
                <w:w w:val="98"/>
              </w:rPr>
              <w:t>December 31,</w:t>
            </w:r>
          </w:p>
        </w:tc>
      </w:tr>
      <w:tr>
        <w:trPr>
          <w:trHeight w:val="197"/>
        </w:trPr>
        <w:tc>
          <w:tcPr>
            <w:tcW w:w="46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7"/>
                <w:szCs w:val="17"/>
                <w:color w:val="auto"/>
              </w:rPr>
            </w:pPr>
          </w:p>
        </w:tc>
      </w:tr>
      <w:tr>
        <w:trPr>
          <w:trHeight w:val="189"/>
        </w:trPr>
        <w:tc>
          <w:tcPr>
            <w:tcW w:w="46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jc w:val="right"/>
              <w:ind w:right="846"/>
              <w:spacing w:after="0"/>
              <w:rPr>
                <w:sz w:val="20"/>
                <w:szCs w:val="20"/>
                <w:color w:val="auto"/>
              </w:rPr>
            </w:pPr>
            <w:r>
              <w:rPr>
                <w:rFonts w:ascii="Arial" w:cs="Arial" w:eastAsia="Arial" w:hAnsi="Arial"/>
                <w:sz w:val="15"/>
                <w:szCs w:val="15"/>
                <w:b w:val="1"/>
                <w:bCs w:val="1"/>
                <w:color w:val="auto"/>
              </w:rPr>
              <w:t>(in thousands)</w:t>
            </w:r>
          </w:p>
        </w:tc>
        <w:tc>
          <w:tcPr>
            <w:tcW w:w="20" w:type="dxa"/>
            <w:vAlign w:val="bottom"/>
          </w:tcPr>
          <w:p>
            <w:pPr>
              <w:spacing w:after="0"/>
              <w:rPr>
                <w:sz w:val="16"/>
                <w:szCs w:val="16"/>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5"/>
                <w:szCs w:val="15"/>
                <w:color w:val="auto"/>
              </w:rPr>
              <w:t>Currency translation adjustments</w:t>
            </w: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(234,075)</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(149,148)</w:t>
            </w:r>
          </w:p>
        </w:tc>
        <w:tc>
          <w:tcPr>
            <w:tcW w:w="20" w:type="dxa"/>
            <w:vAlign w:val="bottom"/>
          </w:tcPr>
          <w:p>
            <w:pPr>
              <w:spacing w:after="0"/>
              <w:rPr>
                <w:sz w:val="17"/>
                <w:szCs w:val="17"/>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Remeasurement of retirement benefit obligations</w:t>
            </w:r>
          </w:p>
        </w:tc>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1,726</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7,803</w:t>
            </w:r>
          </w:p>
        </w:tc>
        <w:tc>
          <w:tcPr>
            <w:tcW w:w="20" w:type="dxa"/>
            <w:vAlign w:val="bottom"/>
          </w:tcPr>
          <w:p>
            <w:pPr>
              <w:spacing w:after="0"/>
              <w:rPr>
                <w:sz w:val="17"/>
                <w:szCs w:val="17"/>
                <w:color w:val="auto"/>
              </w:rPr>
            </w:pPr>
          </w:p>
        </w:tc>
      </w:tr>
      <w:tr>
        <w:trPr>
          <w:trHeight w:val="19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Gain / (loss) on cash flow hedge</w:t>
            </w:r>
          </w:p>
        </w:tc>
        <w:tc>
          <w:tcPr>
            <w:tcW w:w="2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2,420</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(2,161)</w:t>
            </w:r>
          </w:p>
        </w:tc>
        <w:tc>
          <w:tcPr>
            <w:tcW w:w="20" w:type="dxa"/>
            <w:vAlign w:val="bottom"/>
          </w:tcPr>
          <w:p>
            <w:pPr>
              <w:spacing w:after="0"/>
              <w:rPr>
                <w:sz w:val="17"/>
                <w:szCs w:val="17"/>
                <w:color w:val="auto"/>
              </w:rPr>
            </w:pPr>
          </w:p>
        </w:tc>
      </w:tr>
      <w:tr>
        <w:trPr>
          <w:trHeight w:val="214"/>
        </w:trPr>
        <w:tc>
          <w:tcPr>
            <w:tcW w:w="4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Total</w:t>
            </w:r>
          </w:p>
        </w:tc>
        <w:tc>
          <w:tcPr>
            <w:tcW w:w="22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(229,929)</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(143,506)</w:t>
            </w:r>
          </w:p>
        </w:tc>
        <w:tc>
          <w:tcPr>
            <w:tcW w:w="20" w:type="dxa"/>
            <w:vAlign w:val="bottom"/>
          </w:tcPr>
          <w:p>
            <w:pPr>
              <w:spacing w:after="0"/>
              <w:rPr>
                <w:sz w:val="18"/>
                <w:szCs w:val="18"/>
                <w:color w:val="auto"/>
              </w:rPr>
            </w:pP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4"/>
        </w:trPr>
        <w:tc>
          <w:tcPr>
            <w:tcW w:w="4660" w:type="dxa"/>
            <w:vAlign w:val="bottom"/>
          </w:tcPr>
          <w:p>
            <w:pPr>
              <w:spacing w:after="0"/>
              <w:rPr>
                <w:sz w:val="20"/>
                <w:szCs w:val="20"/>
                <w:color w:val="auto"/>
              </w:rPr>
            </w:pPr>
            <w:r>
              <w:rPr>
                <w:rFonts w:ascii="Arial" w:cs="Arial" w:eastAsia="Arial" w:hAnsi="Arial"/>
                <w:sz w:val="15"/>
                <w:szCs w:val="15"/>
                <w:b w:val="1"/>
                <w:bCs w:val="1"/>
                <w:color w:val="auto"/>
              </w:rPr>
              <w:t>25. Supplemental Disclosure of Cash Flow Information</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9"/>
        </w:trPr>
        <w:tc>
          <w:tcPr>
            <w:tcW w:w="466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7"/>
        </w:trPr>
        <w:tc>
          <w:tcPr>
            <w:tcW w:w="46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6"/>
              </w:rPr>
              <w:t>Year ended</w:t>
            </w: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r>
      <w:tr>
        <w:trPr>
          <w:trHeight w:val="140"/>
        </w:trPr>
        <w:tc>
          <w:tcPr>
            <w:tcW w:w="4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1"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2"/>
                <w:szCs w:val="12"/>
                <w:color w:val="auto"/>
              </w:rPr>
            </w:pPr>
          </w:p>
        </w:tc>
        <w:tc>
          <w:tcPr>
            <w:tcW w:w="1280" w:type="dxa"/>
            <w:vAlign w:val="bottom"/>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c>
          <w:tcPr>
            <w:tcW w:w="42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46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2022</w:t>
            </w:r>
          </w:p>
        </w:tc>
      </w:tr>
      <w:tr>
        <w:trPr>
          <w:trHeight w:val="189"/>
        </w:trPr>
        <w:tc>
          <w:tcPr>
            <w:tcW w:w="46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66"/>
              <w:spacing w:after="0"/>
              <w:rPr>
                <w:sz w:val="20"/>
                <w:szCs w:val="20"/>
                <w:color w:val="auto"/>
              </w:rPr>
            </w:pPr>
            <w:r>
              <w:rPr>
                <w:rFonts w:ascii="Arial" w:cs="Arial" w:eastAsia="Arial" w:hAnsi="Arial"/>
                <w:sz w:val="15"/>
                <w:szCs w:val="15"/>
                <w:b w:val="1"/>
                <w:bCs w:val="1"/>
                <w:color w:val="auto"/>
                <w:w w:val="98"/>
              </w:rPr>
              <w:t>(in thousands)</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2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196,622</w:t>
            </w:r>
          </w:p>
        </w:tc>
        <w:tc>
          <w:tcPr>
            <w:tcW w:w="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317,975</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210,918</w:t>
            </w:r>
          </w:p>
        </w:tc>
        <w:tc>
          <w:tcPr>
            <w:tcW w:w="20" w:type="dxa"/>
            <w:vAlign w:val="bottom"/>
          </w:tcPr>
          <w:p>
            <w:pPr>
              <w:spacing w:after="0"/>
              <w:rPr>
                <w:sz w:val="17"/>
                <w:szCs w:val="17"/>
                <w:color w:val="auto"/>
              </w:rPr>
            </w:pPr>
          </w:p>
        </w:tc>
      </w:tr>
      <w:tr>
        <w:trPr>
          <w:trHeight w:val="197"/>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paid for income taxes (net of refunds)</w:t>
            </w:r>
          </w:p>
        </w:tc>
        <w:tc>
          <w:tcPr>
            <w:tcW w:w="2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140,718</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163,778</w:t>
            </w: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116,322</w:t>
            </w:r>
          </w:p>
        </w:tc>
        <w:tc>
          <w:tcPr>
            <w:tcW w:w="20" w:type="dxa"/>
            <w:vAlign w:val="bottom"/>
            <w:tcBorders>
              <w:bottom w:val="single" w:sz="8" w:color="auto"/>
            </w:tcBorders>
            <w:shd w:val="clear" w:color="auto" w:fill="CCEEFF"/>
          </w:tcPr>
          <w:p>
            <w:pPr>
              <w:spacing w:after="0"/>
              <w:rPr>
                <w:sz w:val="17"/>
                <w:szCs w:val="17"/>
                <w:color w:val="auto"/>
              </w:rPr>
            </w:pPr>
          </w:p>
        </w:tc>
      </w:tr>
      <w:tr>
        <w:trPr>
          <w:trHeight w:val="1050"/>
        </w:trPr>
        <w:tc>
          <w:tcPr>
            <w:tcW w:w="4660" w:type="dxa"/>
            <w:vAlign w:val="bottom"/>
          </w:tcPr>
          <w:p>
            <w:pPr>
              <w:spacing w:after="0"/>
              <w:rPr>
                <w:sz w:val="24"/>
                <w:szCs w:val="24"/>
                <w:color w:val="auto"/>
              </w:rPr>
            </w:pPr>
          </w:p>
        </w:tc>
        <w:tc>
          <w:tcPr>
            <w:tcW w:w="2260" w:type="dxa"/>
            <w:vAlign w:val="bottom"/>
          </w:tcPr>
          <w:p>
            <w:pPr>
              <w:jc w:val="right"/>
              <w:ind w:right="1106"/>
              <w:spacing w:after="0"/>
              <w:rPr>
                <w:sz w:val="20"/>
                <w:szCs w:val="20"/>
                <w:color w:val="auto"/>
              </w:rPr>
            </w:pPr>
            <w:r>
              <w:rPr>
                <w:rFonts w:ascii="Arial" w:cs="Arial" w:eastAsia="Arial" w:hAnsi="Arial"/>
                <w:sz w:val="15"/>
                <w:szCs w:val="15"/>
                <w:color w:val="auto"/>
              </w:rPr>
              <w:t>138</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6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b w:val="1"/>
          <w:bCs w:val="1"/>
          <w:color w:val="auto"/>
        </w:rPr>
        <w:t>26. Related Parties</w:t>
      </w:r>
    </w:p>
    <w:p>
      <w:pPr>
        <w:spacing w:after="0" w:line="210"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During the year, subsidiaries of the Company earned revenue of $0.3 million (December 31, 2023: $0.2 million) from Corvus Pharmaceuticals. Dr. Linda Grais serves as a Director and shareholder of Corvus Pharmaceuticals. At December 31, 2024, $0.1 million (December 31, 2023: $0.1 million) was noted as due from Corvus Pharmaceuticals .</w:t>
      </w:r>
    </w:p>
    <w:p>
      <w:pPr>
        <w:spacing w:after="0" w:line="197" w:lineRule="exact"/>
        <w:rPr>
          <w:sz w:val="20"/>
          <w:szCs w:val="20"/>
          <w:color w:val="auto"/>
        </w:rPr>
      </w:pPr>
    </w:p>
    <w:p>
      <w:pPr>
        <w:jc w:val="both"/>
        <w:ind w:firstLine="591"/>
        <w:spacing w:after="0" w:line="246" w:lineRule="auto"/>
        <w:rPr>
          <w:sz w:val="20"/>
          <w:szCs w:val="20"/>
          <w:color w:val="auto"/>
        </w:rPr>
      </w:pPr>
      <w:r>
        <w:rPr>
          <w:rFonts w:ascii="Arial" w:cs="Arial" w:eastAsia="Arial" w:hAnsi="Arial"/>
          <w:sz w:val="15"/>
          <w:szCs w:val="15"/>
          <w:color w:val="auto"/>
        </w:rPr>
        <w:t>During the year, subsidiaries of the Company earned revenue of $nil (December 31, 2023: $0.05 million) from Afimmune Limited. Dr. John Climax is Chief Executive Officer and a Director and shareholder of Afimmune Limited. At December 31, 2024, $0.1 million was noted as due from Afimmune Limited (December 31, 2023: $0.05 million).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Subsequent Events</w:t>
      </w:r>
    </w:p>
    <w:p>
      <w:pPr>
        <w:spacing w:after="0" w:line="21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The Company has evaluated subsequent events from the Balance Sheet date through February 21, 2025, the date at which the consolidated financial statements were available to be issued.</w:t>
      </w:r>
    </w:p>
    <w:p>
      <w:pPr>
        <w:spacing w:after="0" w:line="180" w:lineRule="exact"/>
        <w:rPr>
          <w:sz w:val="20"/>
          <w:szCs w:val="20"/>
          <w:color w:val="auto"/>
        </w:rPr>
      </w:pPr>
    </w:p>
    <w:p>
      <w:pPr>
        <w:jc w:val="both"/>
        <w:ind w:firstLine="591"/>
        <w:spacing w:after="0" w:line="269" w:lineRule="auto"/>
        <w:rPr>
          <w:sz w:val="20"/>
          <w:szCs w:val="20"/>
          <w:color w:val="auto"/>
        </w:rPr>
      </w:pPr>
      <w:r>
        <w:rPr>
          <w:rFonts w:ascii="Arial" w:cs="Arial" w:eastAsia="Arial" w:hAnsi="Arial"/>
          <w:sz w:val="15"/>
          <w:szCs w:val="15"/>
          <w:color w:val="auto"/>
        </w:rPr>
        <w:t>On February 18, 2025, the Company's Board of Directors authorized an additional buyback program of up to $750.0 million of the outstanding ordinary shares of the Company. Along with unutilized amounts under the previous authorizations, this permits the Company to repurchase up to $1 billion worth of ordinary shares.</w:t>
      </w:r>
    </w:p>
    <w:p>
      <w:pPr>
        <w:spacing w:after="0" w:line="180" w:lineRule="exact"/>
        <w:rPr>
          <w:sz w:val="20"/>
          <w:szCs w:val="20"/>
          <w:color w:val="auto"/>
        </w:rPr>
      </w:pPr>
    </w:p>
    <w:p>
      <w:pPr>
        <w:jc w:val="both"/>
        <w:ind w:firstLine="591"/>
        <w:spacing w:after="0" w:line="242" w:lineRule="auto"/>
        <w:rPr>
          <w:sz w:val="20"/>
          <w:szCs w:val="20"/>
          <w:color w:val="auto"/>
        </w:rPr>
      </w:pPr>
      <w:r>
        <w:rPr>
          <w:rFonts w:ascii="Arial" w:cs="Arial" w:eastAsia="Arial" w:hAnsi="Arial"/>
          <w:sz w:val="15"/>
          <w:szCs w:val="15"/>
          <w:color w:val="auto"/>
        </w:rPr>
        <w:t>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has determined that there are no other items to disclose.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716978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b w:val="1"/>
          <w:bCs w:val="1"/>
          <w:color w:val="auto"/>
        </w:rPr>
        <w:t xml:space="preserve">Item 19. </w:t>
      </w:r>
      <w:r>
        <w:rPr>
          <w:rFonts w:ascii="Arial" w:cs="Arial" w:eastAsia="Arial" w:hAnsi="Arial"/>
          <w:sz w:val="15"/>
          <w:szCs w:val="15"/>
          <w:b w:val="1"/>
          <w:bCs w:val="1"/>
          <w:i w:val="1"/>
          <w:iCs w:val="1"/>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28510" cy="195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28510" cy="19558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ind w:left="20"/>
        <w:spacing w:after="0"/>
        <w:tabs>
          <w:tab w:leader="none" w:pos="19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285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28510" cy="762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0" w:type="dxa"/>
            <w:vAlign w:val="bottom"/>
            <w:gridSpan w:val="4"/>
            <w:shd w:val="clear" w:color="auto" w:fill="CCEEFF"/>
          </w:tcPr>
          <w:p>
            <w:pPr>
              <w:ind w:left="20"/>
              <w:spacing w:after="0"/>
              <w:rPr>
                <w:rFonts w:ascii="Arial" w:cs="Arial" w:eastAsia="Arial" w:hAnsi="Arial"/>
                <w:sz w:val="13"/>
                <w:szCs w:val="13"/>
                <w:color w:val="0000FF"/>
              </w:rPr>
            </w:pPr>
            <w:hyperlink r:id="rId176">
              <w:r>
                <w:rPr>
                  <w:rFonts w:ascii="Arial" w:cs="Arial" w:eastAsia="Arial" w:hAnsi="Arial"/>
                  <w:sz w:val="13"/>
                  <w:szCs w:val="13"/>
                  <w:color w:val="0000FF"/>
                </w:rPr>
                <w:t>2.</w:t>
              </w:r>
              <w:r>
                <w:rPr>
                  <w:rFonts w:ascii="Arial" w:cs="Arial" w:eastAsia="Arial" w:hAnsi="Arial"/>
                  <w:sz w:val="13"/>
                  <w:szCs w:val="13"/>
                  <w:u w:val="single" w:color="auto"/>
                  <w:color w:val="0000FF"/>
                </w:rPr>
                <w:t>1</w:t>
              </w:r>
            </w:hyperlink>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Agreement and Plan of Merger, dated as of February 24, 2021, by and among ICON plc, ICON US Holdings Inc., Indigo Merger Sub, Inc and PRA Health</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Sciences, Inc. (incorporated by reference to exhibit 2.1 to the Form 6-K (file No. 333-08704) filed on February 24, 2021).</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65"/>
        </w:trPr>
        <w:tc>
          <w:tcPr>
            <w:tcW w:w="2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0000FF"/>
              </w:rPr>
              <w:t>2.</w:t>
            </w:r>
            <w:r>
              <w:rPr>
                <w:rFonts w:ascii="Arial" w:cs="Arial" w:eastAsia="Arial" w:hAnsi="Arial"/>
                <w:sz w:val="13"/>
                <w:szCs w:val="13"/>
                <w:u w:val="single" w:color="auto"/>
                <w:color w:val="0000FF"/>
              </w:rPr>
              <w:t>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Description of Securities Registered Under Section 12 of the Exchange Act.</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48"/>
        </w:trPr>
        <w:tc>
          <w:tcPr>
            <w:tcW w:w="240" w:type="dxa"/>
            <w:vAlign w:val="bottom"/>
            <w:gridSpan w:val="4"/>
            <w:shd w:val="clear" w:color="auto" w:fill="CCEEFF"/>
          </w:tcPr>
          <w:p>
            <w:pPr>
              <w:ind w:left="20"/>
              <w:spacing w:after="0" w:line="148" w:lineRule="exact"/>
              <w:rPr>
                <w:rFonts w:ascii="Arial" w:cs="Arial" w:eastAsia="Arial" w:hAnsi="Arial"/>
                <w:sz w:val="13"/>
                <w:szCs w:val="13"/>
                <w:color w:val="0000FF"/>
              </w:rPr>
            </w:pPr>
            <w:hyperlink r:id="rId177">
              <w:r>
                <w:rPr>
                  <w:rFonts w:ascii="Arial" w:cs="Arial" w:eastAsia="Arial" w:hAnsi="Arial"/>
                  <w:sz w:val="13"/>
                  <w:szCs w:val="13"/>
                  <w:color w:val="0000FF"/>
                </w:rPr>
                <w:t>2.</w:t>
              </w:r>
              <w:r>
                <w:rPr>
                  <w:rFonts w:ascii="Arial" w:cs="Arial" w:eastAsia="Arial" w:hAnsi="Arial"/>
                  <w:sz w:val="13"/>
                  <w:szCs w:val="13"/>
                  <w:u w:val="single" w:color="auto"/>
                  <w:color w:val="0000FF"/>
                </w:rPr>
                <w:t>3</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Credit Agreement, dated as of July 1, 2021, by and among ICON Luxembourg, S.À R.L., ICON Clinical Investments, LLC, Indigo Merger Sub, Inc. (which, after</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60" w:type="dxa"/>
            <w:vAlign w:val="bottom"/>
            <w:tcBorders>
              <w:top w:val="single" w:sz="8" w:color="CCEEFF"/>
            </w:tcBorders>
            <w:shd w:val="clear" w:color="auto" w:fill="CCEEFF"/>
          </w:tcPr>
          <w:p>
            <w:pPr>
              <w:ind w:left="780"/>
              <w:spacing w:after="0" w:line="133" w:lineRule="exact"/>
              <w:rPr>
                <w:sz w:val="20"/>
                <w:szCs w:val="20"/>
                <w:color w:val="auto"/>
              </w:rPr>
            </w:pPr>
            <w:r>
              <w:rPr>
                <w:rFonts w:ascii="Arial" w:cs="Arial" w:eastAsia="Arial" w:hAnsi="Arial"/>
                <w:sz w:val="13"/>
                <w:szCs w:val="13"/>
                <w:color w:val="auto"/>
              </w:rPr>
              <w:t>giving effect to the Merger on the Closing Date was succeeded by PRA Health Sciences, Inc.), ICON Public Limited Company, the other borrowers party</w:t>
            </w:r>
          </w:p>
        </w:tc>
      </w:tr>
      <w:tr>
        <w:trPr>
          <w:trHeight w:val="148"/>
        </w:trPr>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thereto from time to time, the subsidiary guarantors party thereto from time to time, lenders party thereto Citibank, N.A., as administrative agent, and Citibank,</w:t>
            </w:r>
          </w:p>
        </w:tc>
      </w:tr>
      <w:tr>
        <w:trPr>
          <w:trHeight w:val="192"/>
        </w:trPr>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N.A., London Branch, as collateral agent (incorporated by reference to exhibit 99.1 to the Form 6-K (File No. 333-08704) filed on July 1, 2021).</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8"/>
        </w:trPr>
        <w:tc>
          <w:tcPr>
            <w:tcW w:w="240" w:type="dxa"/>
            <w:vAlign w:val="bottom"/>
            <w:gridSpan w:val="4"/>
            <w:shd w:val="clear" w:color="auto" w:fill="CCEEFF"/>
          </w:tcPr>
          <w:p>
            <w:pPr>
              <w:ind w:left="20"/>
              <w:spacing w:after="0" w:line="148" w:lineRule="exact"/>
              <w:rPr>
                <w:rFonts w:ascii="Arial" w:cs="Arial" w:eastAsia="Arial" w:hAnsi="Arial"/>
                <w:sz w:val="13"/>
                <w:szCs w:val="13"/>
                <w:color w:val="0000FF"/>
              </w:rPr>
            </w:pPr>
            <w:hyperlink r:id="rId178">
              <w:r>
                <w:rPr>
                  <w:rFonts w:ascii="Arial" w:cs="Arial" w:eastAsia="Arial" w:hAnsi="Arial"/>
                  <w:sz w:val="13"/>
                  <w:szCs w:val="13"/>
                  <w:color w:val="0000FF"/>
                </w:rPr>
                <w:t>2.</w:t>
              </w:r>
              <w:r>
                <w:rPr>
                  <w:rFonts w:ascii="Arial" w:cs="Arial" w:eastAsia="Arial" w:hAnsi="Arial"/>
                  <w:sz w:val="13"/>
                  <w:szCs w:val="13"/>
                  <w:u w:val="single" w:color="auto"/>
                  <w:color w:val="0000FF"/>
                </w:rPr>
                <w:t>4</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Indenture, dated as of July 1, 2021, by and among Indigo Merger Sub, Inc., PRA Health Sciences, Inc., the guarantors party thereto and Citibank, N.A., London</w:t>
            </w: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60" w:type="dxa"/>
            <w:vAlign w:val="bottom"/>
            <w:tcBorders>
              <w:top w:val="single" w:sz="8" w:color="CCEEFF"/>
            </w:tcBorders>
            <w:shd w:val="clear" w:color="auto" w:fill="CCEEFF"/>
          </w:tcPr>
          <w:p>
            <w:pPr>
              <w:ind w:left="780"/>
              <w:spacing w:after="0" w:line="133" w:lineRule="exact"/>
              <w:rPr>
                <w:sz w:val="20"/>
                <w:szCs w:val="20"/>
                <w:color w:val="auto"/>
              </w:rPr>
            </w:pPr>
            <w:r>
              <w:rPr>
                <w:rFonts w:ascii="Arial" w:cs="Arial" w:eastAsia="Arial" w:hAnsi="Arial"/>
                <w:sz w:val="13"/>
                <w:szCs w:val="13"/>
                <w:color w:val="auto"/>
              </w:rPr>
              <w:t>Branch as trustee, notes collateral agent, paying agent, transfer agent and registrar (incorporated by reference to exhibit 99.2 to the Form 6-K (File No. 333-</w:t>
            </w:r>
          </w:p>
        </w:tc>
      </w:tr>
      <w:tr>
        <w:trPr>
          <w:trHeight w:val="192"/>
        </w:trPr>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08704) filed on July 1, 2021).</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8"/>
        </w:trPr>
        <w:tc>
          <w:tcPr>
            <w:tcW w:w="240" w:type="dxa"/>
            <w:vAlign w:val="bottom"/>
            <w:gridSpan w:val="4"/>
            <w:shd w:val="clear" w:color="auto" w:fill="CCEEFF"/>
          </w:tcPr>
          <w:p>
            <w:pPr>
              <w:ind w:left="20"/>
              <w:spacing w:after="0" w:line="148" w:lineRule="exact"/>
              <w:rPr>
                <w:rFonts w:ascii="Arial" w:cs="Arial" w:eastAsia="Arial" w:hAnsi="Arial"/>
                <w:sz w:val="13"/>
                <w:szCs w:val="13"/>
                <w:color w:val="0000FF"/>
              </w:rPr>
            </w:pPr>
            <w:hyperlink r:id="rId179">
              <w:r>
                <w:rPr>
                  <w:rFonts w:ascii="Arial" w:cs="Arial" w:eastAsia="Arial" w:hAnsi="Arial"/>
                  <w:sz w:val="13"/>
                  <w:szCs w:val="13"/>
                  <w:color w:val="0000FF"/>
                </w:rPr>
                <w:t>2.</w:t>
              </w:r>
              <w:r>
                <w:rPr>
                  <w:rFonts w:ascii="Arial" w:cs="Arial" w:eastAsia="Arial" w:hAnsi="Arial"/>
                  <w:sz w:val="13"/>
                  <w:szCs w:val="13"/>
                  <w:u w:val="single" w:color="auto"/>
                  <w:color w:val="0000FF"/>
                </w:rPr>
                <w:t>5</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Amendment No. 1 to the Credit Agreement referred to at Exhibit 2.3, dated as of November 29, 2022, by and among ICON Public Limited Company and</w:t>
            </w: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Citibank, N.A., as administrative agent. (incorporated by reference to exhibit 2.5 to the Form 20-F (File No. 333-08704) filed on February 24, 2023).</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0"/>
        </w:trPr>
        <w:tc>
          <w:tcPr>
            <w:tcW w:w="240" w:type="dxa"/>
            <w:vAlign w:val="bottom"/>
            <w:gridSpan w:val="4"/>
            <w:shd w:val="clear" w:color="auto" w:fill="CCEEFF"/>
          </w:tcPr>
          <w:p>
            <w:pPr>
              <w:ind w:left="20"/>
              <w:spacing w:after="0" w:line="136" w:lineRule="exact"/>
              <w:rPr>
                <w:rFonts w:ascii="Arial" w:cs="Arial" w:eastAsia="Arial" w:hAnsi="Arial"/>
                <w:sz w:val="13"/>
                <w:szCs w:val="13"/>
                <w:color w:val="0000FF"/>
              </w:rPr>
            </w:pPr>
            <w:hyperlink r:id="rId180">
              <w:r>
                <w:rPr>
                  <w:rFonts w:ascii="Arial" w:cs="Arial" w:eastAsia="Arial" w:hAnsi="Arial"/>
                  <w:sz w:val="13"/>
                  <w:szCs w:val="13"/>
                  <w:color w:val="0000FF"/>
                </w:rPr>
                <w:t>2.</w:t>
              </w:r>
              <w:r>
                <w:rPr>
                  <w:rFonts w:ascii="Arial" w:cs="Arial" w:eastAsia="Arial" w:hAnsi="Arial"/>
                  <w:sz w:val="13"/>
                  <w:szCs w:val="13"/>
                  <w:u w:val="single" w:color="auto"/>
                  <w:color w:val="0000FF"/>
                </w:rPr>
                <w:t>6</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Second Amendment to Credit Agreement, dated as of May 2, 2023, by and among various subsidiaries of ICON plc, Citibank, N.A., as administrative agent and</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swingline lender, and various revolving lenders. (incorporated by reference to exhibit 99.1 to the Form 6-K (File No. 333-08704) filed on July 28, 2023).</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0"/>
        </w:trPr>
        <w:tc>
          <w:tcPr>
            <w:tcW w:w="240" w:type="dxa"/>
            <w:vAlign w:val="bottom"/>
            <w:gridSpan w:val="4"/>
            <w:shd w:val="clear" w:color="auto" w:fill="CCEEFF"/>
          </w:tcPr>
          <w:p>
            <w:pPr>
              <w:ind w:left="20"/>
              <w:spacing w:after="0" w:line="136" w:lineRule="exact"/>
              <w:rPr>
                <w:rFonts w:ascii="Arial" w:cs="Arial" w:eastAsia="Arial" w:hAnsi="Arial"/>
                <w:sz w:val="13"/>
                <w:szCs w:val="13"/>
                <w:color w:val="0000FF"/>
              </w:rPr>
            </w:pPr>
            <w:hyperlink r:id="rId181">
              <w:r>
                <w:rPr>
                  <w:rFonts w:ascii="Arial" w:cs="Arial" w:eastAsia="Arial" w:hAnsi="Arial"/>
                  <w:sz w:val="13"/>
                  <w:szCs w:val="13"/>
                  <w:color w:val="0000FF"/>
                </w:rPr>
                <w:t>2.</w:t>
              </w:r>
              <w:r>
                <w:rPr>
                  <w:rFonts w:ascii="Arial" w:cs="Arial" w:eastAsia="Arial" w:hAnsi="Arial"/>
                  <w:sz w:val="13"/>
                  <w:szCs w:val="13"/>
                  <w:u w:val="single" w:color="auto"/>
                  <w:color w:val="0000FF"/>
                </w:rPr>
                <w:t>7</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Third Amendment to Credit Agreement, dated as of March 14, 2024, by and among various subsidiaries of ICON plc, Citibank, N.A., as administrative agent</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and swingline lender, and various revolving lenders (incorporated by reference to exhibit 99.1 to the Form 6-K (File No. 333-08704) filed on April 25, 2024).</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0"/>
        </w:trPr>
        <w:tc>
          <w:tcPr>
            <w:tcW w:w="240" w:type="dxa"/>
            <w:vAlign w:val="bottom"/>
            <w:gridSpan w:val="4"/>
            <w:shd w:val="clear" w:color="auto" w:fill="CCEEFF"/>
          </w:tcPr>
          <w:p>
            <w:pPr>
              <w:ind w:left="20"/>
              <w:spacing w:after="0" w:line="136" w:lineRule="exact"/>
              <w:rPr>
                <w:rFonts w:ascii="Arial" w:cs="Arial" w:eastAsia="Arial" w:hAnsi="Arial"/>
                <w:sz w:val="13"/>
                <w:szCs w:val="13"/>
                <w:color w:val="0000FF"/>
              </w:rPr>
            </w:pPr>
            <w:hyperlink r:id="rId182">
              <w:r>
                <w:rPr>
                  <w:rFonts w:ascii="Arial" w:cs="Arial" w:eastAsia="Arial" w:hAnsi="Arial"/>
                  <w:sz w:val="13"/>
                  <w:szCs w:val="13"/>
                  <w:color w:val="0000FF"/>
                </w:rPr>
                <w:t>2.</w:t>
              </w:r>
              <w:r>
                <w:rPr>
                  <w:rFonts w:ascii="Arial" w:cs="Arial" w:eastAsia="Arial" w:hAnsi="Arial"/>
                  <w:sz w:val="13"/>
                  <w:szCs w:val="13"/>
                  <w:u w:val="single" w:color="auto"/>
                  <w:color w:val="0000FF"/>
                </w:rPr>
                <w:t>8</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Indenture, dated May 8, 2024, among ICON Investments Six Designated Activity Company, ICON public limited company and Citibank, N.A., as trustee</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(incorporated by reference to exhibit 4.1 to the Form 6-K (File No. 333-08704) filed on May 8, 2024).</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0"/>
        </w:trPr>
        <w:tc>
          <w:tcPr>
            <w:tcW w:w="240" w:type="dxa"/>
            <w:vAlign w:val="bottom"/>
            <w:gridSpan w:val="4"/>
            <w:shd w:val="clear" w:color="auto" w:fill="CCEEFF"/>
          </w:tcPr>
          <w:p>
            <w:pPr>
              <w:ind w:left="20"/>
              <w:spacing w:after="0" w:line="136" w:lineRule="exact"/>
              <w:rPr>
                <w:rFonts w:ascii="Arial" w:cs="Arial" w:eastAsia="Arial" w:hAnsi="Arial"/>
                <w:sz w:val="13"/>
                <w:szCs w:val="13"/>
                <w:color w:val="0000FF"/>
              </w:rPr>
            </w:pPr>
            <w:hyperlink r:id="rId183">
              <w:r>
                <w:rPr>
                  <w:rFonts w:ascii="Arial" w:cs="Arial" w:eastAsia="Arial" w:hAnsi="Arial"/>
                  <w:sz w:val="13"/>
                  <w:szCs w:val="13"/>
                  <w:color w:val="0000FF"/>
                </w:rPr>
                <w:t>2.</w:t>
              </w:r>
              <w:r>
                <w:rPr>
                  <w:rFonts w:ascii="Arial" w:cs="Arial" w:eastAsia="Arial" w:hAnsi="Arial"/>
                  <w:sz w:val="13"/>
                  <w:szCs w:val="13"/>
                  <w:u w:val="single" w:color="auto"/>
                  <w:color w:val="0000FF"/>
                </w:rPr>
                <w:t>9</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First Supplemental Indenture, dated May 8, 2024, among ICON Investments Six Designated Activity Company, ICON public limited company, the other</w:t>
            </w:r>
          </w:p>
        </w:tc>
      </w:tr>
      <w:tr>
        <w:trPr>
          <w:trHeight w:val="103"/>
        </w:trPr>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10060" w:type="dxa"/>
            <w:vAlign w:val="bottom"/>
            <w:tcBorders>
              <w:top w:val="single" w:sz="8" w:color="CCEEFF"/>
            </w:tcBorders>
            <w:shd w:val="clear" w:color="auto" w:fill="CCEEFF"/>
          </w:tcPr>
          <w:p>
            <w:pPr>
              <w:ind w:left="780"/>
              <w:spacing w:after="0" w:line="103" w:lineRule="exact"/>
              <w:rPr>
                <w:sz w:val="20"/>
                <w:szCs w:val="20"/>
                <w:color w:val="auto"/>
              </w:rPr>
            </w:pPr>
            <w:r>
              <w:rPr>
                <w:rFonts w:ascii="Arial" w:cs="Arial" w:eastAsia="Arial" w:hAnsi="Arial"/>
                <w:sz w:val="11"/>
                <w:szCs w:val="11"/>
                <w:color w:val="auto"/>
              </w:rPr>
              <w:t>guarantors party thereto, Citibank N.A., as trustee and Citibank, N.A., London Branch, as notes collateral agent, including the Forms of 5.809% Senior Secured</w:t>
            </w:r>
          </w:p>
        </w:tc>
      </w:tr>
      <w:tr>
        <w:trPr>
          <w:trHeight w:val="136"/>
        </w:trPr>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Note due 2027, 5.849% Senior Secured Note due 2029 and 6.000% Senior Secured Note due 2034 (incorporated by reference to exhibit 4.2 to the Form 6-K</w:t>
            </w:r>
          </w:p>
        </w:tc>
      </w:tr>
      <w:tr>
        <w:trPr>
          <w:trHeight w:val="180"/>
        </w:trPr>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(File No. 333-08704) filed on May 8, 2024).</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65"/>
        </w:trPr>
        <w:tc>
          <w:tcPr>
            <w:tcW w:w="240" w:type="dxa"/>
            <w:vAlign w:val="bottom"/>
            <w:gridSpan w:val="4"/>
            <w:shd w:val="clear" w:color="auto" w:fill="CCEEFF"/>
          </w:tcPr>
          <w:p>
            <w:pPr>
              <w:ind w:left="20"/>
              <w:spacing w:after="0" w:line="148" w:lineRule="exact"/>
              <w:rPr>
                <w:rFonts w:ascii="Arial" w:cs="Arial" w:eastAsia="Arial" w:hAnsi="Arial"/>
                <w:sz w:val="13"/>
                <w:szCs w:val="13"/>
                <w:color w:val="0000FF"/>
              </w:rPr>
            </w:pPr>
            <w:hyperlink r:id="rId184">
              <w:r>
                <w:rPr>
                  <w:rFonts w:ascii="Arial" w:cs="Arial" w:eastAsia="Arial" w:hAnsi="Arial"/>
                  <w:sz w:val="13"/>
                  <w:szCs w:val="13"/>
                  <w:color w:val="0000FF"/>
                </w:rPr>
                <w:t>3.</w:t>
              </w:r>
              <w:r>
                <w:rPr>
                  <w:rFonts w:ascii="Arial" w:cs="Arial" w:eastAsia="Arial" w:hAnsi="Arial"/>
                  <w:sz w:val="13"/>
                  <w:szCs w:val="13"/>
                  <w:u w:val="single" w:color="auto"/>
                  <w:color w:val="0000FF"/>
                </w:rPr>
                <w:t>1</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Description of the Constitution of the Company (incorporated by reference to exhibit 99.2 to the Form 6K (File No. 333-08704) filed on July 25, 2016).</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5"/>
        </w:trPr>
        <w:tc>
          <w:tcPr>
            <w:tcW w:w="32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0000FF"/>
                <w:w w:val="92"/>
              </w:rPr>
              <w:t>11.</w:t>
            </w:r>
            <w:r>
              <w:rPr>
                <w:rFonts w:ascii="Arial" w:cs="Arial" w:eastAsia="Arial" w:hAnsi="Arial"/>
                <w:sz w:val="13"/>
                <w:szCs w:val="13"/>
                <w:u w:val="single" w:color="auto"/>
                <w:color w:val="0000FF"/>
                <w:w w:val="92"/>
              </w:rPr>
              <w:t>1*</w:t>
            </w:r>
          </w:p>
        </w:tc>
        <w:tc>
          <w:tcPr>
            <w:tcW w:w="84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Share Trading Policy.</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5"/>
        </w:trPr>
        <w:tc>
          <w:tcPr>
            <w:tcW w:w="1160" w:type="dxa"/>
            <w:vAlign w:val="bottom"/>
            <w:gridSpan w:val="7"/>
            <w:shd w:val="clear" w:color="auto" w:fill="CCEEFF"/>
          </w:tcPr>
          <w:p>
            <w:pPr>
              <w:ind w:left="20"/>
              <w:spacing w:after="0" w:line="148" w:lineRule="exact"/>
              <w:rPr>
                <w:sz w:val="20"/>
                <w:szCs w:val="20"/>
                <w:color w:val="auto"/>
              </w:rPr>
            </w:pPr>
            <w:r>
              <w:rPr>
                <w:rFonts w:ascii="Arial" w:cs="Arial" w:eastAsia="Arial" w:hAnsi="Arial"/>
                <w:sz w:val="13"/>
                <w:szCs w:val="13"/>
                <w:color w:val="0000FF"/>
              </w:rPr>
              <w:t>12.</w:t>
            </w:r>
            <w:r>
              <w:rPr>
                <w:rFonts w:ascii="Arial" w:cs="Arial" w:eastAsia="Arial" w:hAnsi="Arial"/>
                <w:sz w:val="13"/>
                <w:szCs w:val="13"/>
                <w:u w:val="single" w:color="auto"/>
                <w:color w:val="0000FF"/>
              </w:rPr>
              <w:t>1*</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302 certifications.</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5"/>
        </w:trPr>
        <w:tc>
          <w:tcPr>
            <w:tcW w:w="1160" w:type="dxa"/>
            <w:vAlign w:val="bottom"/>
            <w:gridSpan w:val="7"/>
            <w:shd w:val="clear" w:color="auto" w:fill="CCEEFF"/>
          </w:tcPr>
          <w:p>
            <w:pPr>
              <w:ind w:left="20"/>
              <w:spacing w:after="0" w:line="148" w:lineRule="exact"/>
              <w:rPr>
                <w:sz w:val="20"/>
                <w:szCs w:val="20"/>
                <w:color w:val="auto"/>
              </w:rPr>
            </w:pPr>
            <w:r>
              <w:rPr>
                <w:rFonts w:ascii="Arial" w:cs="Arial" w:eastAsia="Arial" w:hAnsi="Arial"/>
                <w:sz w:val="13"/>
                <w:szCs w:val="13"/>
                <w:color w:val="0000FF"/>
              </w:rPr>
              <w:t>12.</w:t>
            </w:r>
            <w:r>
              <w:rPr>
                <w:rFonts w:ascii="Arial" w:cs="Arial" w:eastAsia="Arial" w:hAnsi="Arial"/>
                <w:sz w:val="13"/>
                <w:szCs w:val="13"/>
                <w:u w:val="single" w:color="auto"/>
                <w:color w:val="0000FF"/>
              </w:rPr>
              <w:t>2*</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906 certifications.</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5"/>
        </w:trPr>
        <w:tc>
          <w:tcPr>
            <w:tcW w:w="1160" w:type="dxa"/>
            <w:vAlign w:val="bottom"/>
            <w:gridSpan w:val="7"/>
            <w:shd w:val="clear" w:color="auto" w:fill="CCEEFF"/>
          </w:tcPr>
          <w:p>
            <w:pPr>
              <w:ind w:left="20"/>
              <w:spacing w:after="0" w:line="148" w:lineRule="exact"/>
              <w:rPr>
                <w:sz w:val="20"/>
                <w:szCs w:val="20"/>
                <w:color w:val="auto"/>
              </w:rPr>
            </w:pPr>
            <w:r>
              <w:rPr>
                <w:rFonts w:ascii="Arial" w:cs="Arial" w:eastAsia="Arial" w:hAnsi="Arial"/>
                <w:sz w:val="13"/>
                <w:szCs w:val="13"/>
                <w:color w:val="0000FF"/>
              </w:rPr>
              <w:t>16.</w:t>
            </w:r>
            <w:r>
              <w:rPr>
                <w:rFonts w:ascii="Arial" w:cs="Arial" w:eastAsia="Arial" w:hAnsi="Arial"/>
                <w:sz w:val="13"/>
                <w:szCs w:val="13"/>
                <w:u w:val="single" w:color="auto"/>
                <w:color w:val="0000FF"/>
              </w:rPr>
              <w:t>1*</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Letter from KPMG to the Securities and Exchange Commission, dated February 21, 2025.</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5"/>
        </w:trPr>
        <w:tc>
          <w:tcPr>
            <w:tcW w:w="32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0000FF"/>
              </w:rPr>
              <w:t>21.</w:t>
            </w:r>
            <w:r>
              <w:rPr>
                <w:rFonts w:ascii="Arial" w:cs="Arial" w:eastAsia="Arial" w:hAnsi="Arial"/>
                <w:sz w:val="13"/>
                <w:szCs w:val="13"/>
                <w:u w:val="single" w:color="auto"/>
                <w:color w:val="0000FF"/>
              </w:rPr>
              <w:t>1</w:t>
            </w:r>
          </w:p>
        </w:tc>
        <w:tc>
          <w:tcPr>
            <w:tcW w:w="84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List of Subsidiaries (incorporated by reference to Item 4 of Form 20-F filed herewith).</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40"/>
        </w:trPr>
        <w:tc>
          <w:tcPr>
            <w:tcW w:w="1160" w:type="dxa"/>
            <w:vAlign w:val="bottom"/>
            <w:gridSpan w:val="7"/>
            <w:shd w:val="clear" w:color="auto" w:fill="CCEEFF"/>
          </w:tcPr>
          <w:p>
            <w:pPr>
              <w:ind w:left="20"/>
              <w:spacing w:after="0" w:line="136" w:lineRule="exact"/>
              <w:rPr>
                <w:sz w:val="20"/>
                <w:szCs w:val="20"/>
                <w:color w:val="auto"/>
              </w:rPr>
            </w:pPr>
            <w:r>
              <w:rPr>
                <w:rFonts w:ascii="Arial" w:cs="Arial" w:eastAsia="Arial" w:hAnsi="Arial"/>
                <w:sz w:val="13"/>
                <w:szCs w:val="13"/>
                <w:color w:val="0000FF"/>
              </w:rPr>
              <w:t>22.</w:t>
            </w:r>
            <w:r>
              <w:rPr>
                <w:rFonts w:ascii="Arial" w:cs="Arial" w:eastAsia="Arial" w:hAnsi="Arial"/>
                <w:sz w:val="13"/>
                <w:szCs w:val="13"/>
                <w:u w:val="single" w:color="auto"/>
                <w:color w:val="0000FF"/>
              </w:rPr>
              <w:t>1*</w:t>
            </w: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List of Subsidiary Guarantors and Issuer of Guaranteed Debt Securities and Affiliates Whose Securities Collateralize Securities of ICON Investments Six</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Designated Activity Company.</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65"/>
        </w:trPr>
        <w:tc>
          <w:tcPr>
            <w:tcW w:w="1160" w:type="dxa"/>
            <w:vAlign w:val="bottom"/>
            <w:gridSpan w:val="7"/>
            <w:shd w:val="clear" w:color="auto" w:fill="CCEEFF"/>
          </w:tcPr>
          <w:p>
            <w:pPr>
              <w:ind w:left="20"/>
              <w:spacing w:after="0" w:line="148" w:lineRule="exact"/>
              <w:rPr>
                <w:sz w:val="20"/>
                <w:szCs w:val="20"/>
                <w:color w:val="auto"/>
              </w:rPr>
            </w:pPr>
            <w:r>
              <w:rPr>
                <w:rFonts w:ascii="Arial" w:cs="Arial" w:eastAsia="Arial" w:hAnsi="Arial"/>
                <w:sz w:val="13"/>
                <w:szCs w:val="13"/>
                <w:color w:val="0000FF"/>
              </w:rPr>
              <w:t>23.</w:t>
            </w:r>
            <w:r>
              <w:rPr>
                <w:rFonts w:ascii="Arial" w:cs="Arial" w:eastAsia="Arial" w:hAnsi="Arial"/>
                <w:sz w:val="13"/>
                <w:szCs w:val="13"/>
                <w:u w:val="single" w:color="auto"/>
                <w:color w:val="0000FF"/>
              </w:rPr>
              <w:t>1*</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Consent of KPMG, Independent Registered Public Accounting Firm.</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40"/>
        </w:trPr>
        <w:tc>
          <w:tcPr>
            <w:tcW w:w="240" w:type="dxa"/>
            <w:vAlign w:val="bottom"/>
            <w:gridSpan w:val="4"/>
            <w:shd w:val="clear" w:color="auto" w:fill="CCEEFF"/>
          </w:tcPr>
          <w:p>
            <w:pPr>
              <w:ind w:left="20"/>
              <w:spacing w:after="0" w:line="136" w:lineRule="exact"/>
              <w:rPr>
                <w:sz w:val="20"/>
                <w:szCs w:val="20"/>
                <w:color w:val="auto"/>
              </w:rPr>
            </w:pPr>
            <w:r>
              <w:rPr>
                <w:rFonts w:ascii="Arial" w:cs="Arial" w:eastAsia="Arial" w:hAnsi="Arial"/>
                <w:sz w:val="13"/>
                <w:szCs w:val="13"/>
                <w:color w:val="0000FF"/>
              </w:rPr>
              <w:t>97</w:t>
            </w:r>
            <w:r>
              <w:rPr>
                <w:rFonts w:ascii="Arial" w:cs="Arial" w:eastAsia="Arial" w:hAnsi="Arial"/>
                <w:sz w:val="13"/>
                <w:szCs w:val="13"/>
                <w:color w:val="000000"/>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36" w:lineRule="exact"/>
              <w:rPr>
                <w:sz w:val="20"/>
                <w:szCs w:val="20"/>
                <w:color w:val="auto"/>
              </w:rPr>
            </w:pPr>
            <w:r>
              <w:rPr>
                <w:rFonts w:ascii="Arial" w:cs="Arial" w:eastAsia="Arial" w:hAnsi="Arial"/>
                <w:sz w:val="13"/>
                <w:szCs w:val="13"/>
                <w:color w:val="auto"/>
              </w:rPr>
              <w:t>ICON plc Clawback Policy, adopted on July 25, 2023 and amended on February 18, 2025 relating to recovery of erroneously awarded compensation, as</w:t>
            </w: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8" w:lineRule="exact"/>
              <w:rPr>
                <w:sz w:val="20"/>
                <w:szCs w:val="20"/>
                <w:color w:val="auto"/>
              </w:rPr>
            </w:pPr>
            <w:r>
              <w:rPr>
                <w:rFonts w:ascii="Arial" w:cs="Arial" w:eastAsia="Arial" w:hAnsi="Arial"/>
                <w:sz w:val="13"/>
                <w:szCs w:val="13"/>
                <w:color w:val="auto"/>
              </w:rPr>
              <w:t>required by applicable listing standards adopted pursuant to 17 CFR 240.10D-1.</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85"/>
        </w:trPr>
        <w:tc>
          <w:tcPr>
            <w:tcW w:w="1160" w:type="dxa"/>
            <w:vAlign w:val="bottom"/>
            <w:gridSpan w:val="7"/>
            <w:shd w:val="clear" w:color="auto" w:fill="CCEEFF"/>
          </w:tcPr>
          <w:p>
            <w:pPr>
              <w:ind w:left="20"/>
              <w:spacing w:after="0"/>
              <w:rPr>
                <w:sz w:val="20"/>
                <w:szCs w:val="20"/>
                <w:color w:val="auto"/>
              </w:rPr>
            </w:pPr>
            <w:r>
              <w:rPr>
                <w:rFonts w:ascii="Arial" w:cs="Arial" w:eastAsia="Arial" w:hAnsi="Arial"/>
                <w:sz w:val="13"/>
                <w:szCs w:val="13"/>
                <w:color w:val="auto"/>
              </w:rPr>
              <w:t>101.1*</w:t>
            </w: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Interactive Data Files (Inline XBRL – Related Documents).</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85"/>
        </w:trPr>
        <w:tc>
          <w:tcPr>
            <w:tcW w:w="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2"/>
              </w:rPr>
              <w:t>104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Cover Page Interactive Data File (embedded within the Inline XBRL document and included in Exhibit 101).</w:t>
            </w:r>
          </w:p>
        </w:tc>
      </w:tr>
    </w:tbl>
    <w:p>
      <w:pPr>
        <w:spacing w:after="0" w:line="62" w:lineRule="exact"/>
        <w:rPr>
          <w:sz w:val="20"/>
          <w:szCs w:val="20"/>
          <w:color w:val="auto"/>
        </w:rPr>
      </w:pPr>
    </w:p>
    <w:p>
      <w:pPr>
        <w:spacing w:after="0"/>
        <w:tabs>
          <w:tab w:leader="none" w:pos="1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Filed herewith</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716978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830" w:right="35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b w:val="1"/>
          <w:bCs w:val="1"/>
          <w:color w:val="auto"/>
        </w:rPr>
        <w:t>SIGNATURES</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ICON plc</w:t>
            </w:r>
          </w:p>
        </w:tc>
      </w:tr>
      <w:tr>
        <w:trPr>
          <w:trHeight w:val="353"/>
        </w:trPr>
        <w:tc>
          <w:tcPr>
            <w:tcW w:w="53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/s/ Nigel Clerkin</w:t>
            </w:r>
          </w:p>
        </w:tc>
      </w:tr>
      <w:tr>
        <w:trPr>
          <w:trHeight w:val="285"/>
        </w:trPr>
        <w:tc>
          <w:tcPr>
            <w:tcW w:w="5320" w:type="dxa"/>
            <w:vAlign w:val="bottom"/>
          </w:tcPr>
          <w:p>
            <w:pPr>
              <w:spacing w:after="0"/>
              <w:rPr>
                <w:sz w:val="24"/>
                <w:szCs w:val="24"/>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Nigel Clerkin</w:t>
            </w:r>
          </w:p>
        </w:tc>
        <w:tc>
          <w:tcPr>
            <w:tcW w:w="420" w:type="dxa"/>
            <w:vAlign w:val="bottom"/>
          </w:tcPr>
          <w:p>
            <w:pPr>
              <w:spacing w:after="0"/>
              <w:rPr>
                <w:sz w:val="24"/>
                <w:szCs w:val="24"/>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5"/>
                <w:szCs w:val="15"/>
                <w:color w:val="auto"/>
              </w:rPr>
              <w:t>Date: February 21, 2025</w:t>
            </w:r>
          </w:p>
        </w:tc>
        <w:tc>
          <w:tcPr>
            <w:tcW w:w="1460" w:type="dxa"/>
            <w:vAlign w:val="bottom"/>
            <w:gridSpan w:val="2"/>
          </w:tcPr>
          <w:p>
            <w:pPr>
              <w:spacing w:after="0"/>
              <w:rPr>
                <w:sz w:val="20"/>
                <w:szCs w:val="20"/>
                <w:color w:val="auto"/>
              </w:rPr>
            </w:pPr>
            <w:r>
              <w:rPr>
                <w:rFonts w:ascii="Arial" w:cs="Arial" w:eastAsia="Arial" w:hAnsi="Arial"/>
                <w:sz w:val="15"/>
                <w:szCs w:val="15"/>
                <w:color w:val="auto"/>
                <w:w w:val="97"/>
              </w:rPr>
              <w:t>Chief Financial Officer</w:t>
            </w:r>
          </w:p>
        </w:tc>
      </w:tr>
      <w:tr>
        <w:trPr>
          <w:trHeight w:val="789"/>
        </w:trPr>
        <w:tc>
          <w:tcPr>
            <w:tcW w:w="53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5"/>
                <w:szCs w:val="15"/>
                <w:color w:val="auto"/>
              </w:rPr>
              <w:t>141</w:t>
            </w:r>
          </w:p>
        </w:tc>
        <w:tc>
          <w:tcPr>
            <w:tcW w:w="420" w:type="dxa"/>
            <w:vAlign w:val="bottom"/>
          </w:tcPr>
          <w:p>
            <w:pPr>
              <w:spacing w:after="0"/>
              <w:rPr>
                <w:sz w:val="24"/>
                <w:szCs w:val="24"/>
                <w:color w:val="auto"/>
              </w:rPr>
            </w:pPr>
          </w:p>
        </w:tc>
      </w:tr>
    </w:tbl>
    <w:p>
      <w:pPr>
        <w:sectPr>
          <w:pgSz w:w="11900" w:h="16838" w:orient="portrait"/>
          <w:cols w:equalWidth="0" w:num="1">
            <w:col w:w="11240"/>
          </w:cols>
          <w:pgMar w:left="320" w:top="83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5"/>
          <w:szCs w:val="15"/>
          <w:b w:val="1"/>
          <w:bCs w:val="1"/>
          <w:color w:val="auto"/>
        </w:rPr>
        <w:t>Exhibit 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Registered Under Section 12 of the Exchange Act</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2024 ICON plc (“we,” “us,” and “our”) had the following series of securities registered pursuant to Section 12(b) of the Exchange Act:</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Title of each class</w:t>
            </w:r>
          </w:p>
        </w:tc>
        <w:tc>
          <w:tcPr>
            <w:tcW w:w="340" w:type="dxa"/>
            <w:vAlign w:val="bottom"/>
          </w:tcPr>
          <w:p>
            <w:pPr>
              <w:spacing w:after="0"/>
              <w:rPr>
                <w:sz w:val="17"/>
                <w:szCs w:val="17"/>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Trading symbol</w:t>
            </w:r>
          </w:p>
        </w:tc>
        <w:tc>
          <w:tcPr>
            <w:tcW w:w="340" w:type="dxa"/>
            <w:vAlign w:val="bottom"/>
          </w:tcPr>
          <w:p>
            <w:pPr>
              <w:spacing w:after="0"/>
              <w:rPr>
                <w:sz w:val="17"/>
                <w:szCs w:val="17"/>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68"/>
        </w:trPr>
        <w:tc>
          <w:tcPr>
            <w:tcW w:w="4300" w:type="dxa"/>
            <w:vAlign w:val="bottom"/>
            <w:gridSpan w:val="2"/>
          </w:tcPr>
          <w:p>
            <w:pPr>
              <w:spacing w:after="0"/>
              <w:rPr>
                <w:sz w:val="20"/>
                <w:szCs w:val="20"/>
                <w:color w:val="auto"/>
              </w:rPr>
            </w:pPr>
            <w:r>
              <w:rPr>
                <w:rFonts w:ascii="Arial" w:cs="Arial" w:eastAsia="Arial" w:hAnsi="Arial"/>
                <w:sz w:val="15"/>
                <w:szCs w:val="15"/>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5"/>
                <w:szCs w:val="15"/>
                <w:b w:val="1"/>
                <w:bCs w:val="1"/>
                <w:color w:val="auto"/>
              </w:rPr>
              <w:t>ICLR</w:t>
            </w:r>
          </w:p>
        </w:tc>
        <w:tc>
          <w:tcPr>
            <w:tcW w:w="3960" w:type="dxa"/>
            <w:vAlign w:val="bottom"/>
          </w:tcPr>
          <w:p>
            <w:pPr>
              <w:ind w:left="20"/>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200" w:lineRule="exact"/>
        <w:rPr>
          <w:sz w:val="20"/>
          <w:szCs w:val="20"/>
          <w:color w:val="auto"/>
        </w:rPr>
      </w:pPr>
    </w:p>
    <w:p>
      <w:pPr>
        <w:spacing w:after="0" w:line="338"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Ordinary Shares</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10.General</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10.A.1. Limitations or qualifications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10.A.2. Other rights</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10.A.3. Type and class of securities</w:t>
      </w:r>
    </w:p>
    <w:p>
      <w:pPr>
        <w:spacing w:after="0" w:line="49"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5"/>
          <w:szCs w:val="15"/>
          <w:color w:val="auto"/>
        </w:rPr>
        <w:t>Each ICON plc share has nominal value of €0.06 per share. The respective number of shares that have been issued as of December 31, 2024 is given in the Consolidated Balance Sheet of the annual report on Form 20-F for the fiscal year ended December 31, 2024. All ICON shares have equal voting rights and carry equal entitlements to dividends. No participation certificates, non-voting equity securities or profit-sharing certificates have been issued.</w:t>
      </w:r>
    </w:p>
    <w:p>
      <w:pPr>
        <w:spacing w:after="0" w:line="12" w:lineRule="exact"/>
        <w:rPr>
          <w:sz w:val="20"/>
          <w:szCs w:val="20"/>
          <w:color w:val="auto"/>
        </w:rPr>
      </w:pPr>
    </w:p>
    <w:p>
      <w:pPr>
        <w:jc w:val="center"/>
        <w:ind w:right="9080"/>
        <w:spacing w:after="0"/>
        <w:rPr>
          <w:sz w:val="20"/>
          <w:szCs w:val="20"/>
          <w:color w:val="auto"/>
        </w:rPr>
      </w:pPr>
      <w:r>
        <w:rPr>
          <w:rFonts w:ascii="Arial" w:cs="Arial" w:eastAsia="Arial" w:hAnsi="Arial"/>
          <w:sz w:val="14"/>
          <w:szCs w:val="14"/>
          <w:b w:val="1"/>
          <w:bCs w:val="1"/>
          <w:color w:val="auto"/>
        </w:rPr>
        <w:t>Item 10.A.4. Pre-emptive rights</w:t>
      </w:r>
    </w:p>
    <w:p>
      <w:pPr>
        <w:spacing w:after="0" w:line="73" w:lineRule="exact"/>
        <w:rPr>
          <w:sz w:val="20"/>
          <w:szCs w:val="20"/>
          <w:color w:val="auto"/>
        </w:rPr>
      </w:pPr>
    </w:p>
    <w:p>
      <w:pPr>
        <w:jc w:val="center"/>
        <w:ind w:right="9080"/>
        <w:spacing w:after="0"/>
        <w:rPr>
          <w:sz w:val="20"/>
          <w:szCs w:val="20"/>
          <w:color w:val="auto"/>
        </w:rPr>
      </w:pPr>
      <w:r>
        <w:rPr>
          <w:rFonts w:ascii="Arial" w:cs="Arial" w:eastAsia="Arial" w:hAnsi="Arial"/>
          <w:sz w:val="15"/>
          <w:szCs w:val="15"/>
          <w:color w:val="auto"/>
        </w:rPr>
        <w:t>Not applicable.</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10.B Memorandum and articles of association</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10.B.1 Shareholder Rights, Preferences and Dividends Attaching to Shares</w:t>
      </w:r>
    </w:p>
    <w:p>
      <w:pPr>
        <w:spacing w:after="0" w:line="49" w:lineRule="exact"/>
        <w:rPr>
          <w:sz w:val="20"/>
          <w:szCs w:val="20"/>
          <w:color w:val="auto"/>
        </w:rPr>
      </w:pPr>
    </w:p>
    <w:p>
      <w:pPr>
        <w:jc w:val="both"/>
        <w:ind w:firstLine="179"/>
        <w:spacing w:after="0" w:line="251" w:lineRule="auto"/>
        <w:rPr>
          <w:sz w:val="20"/>
          <w:szCs w:val="20"/>
          <w:color w:val="auto"/>
        </w:rPr>
      </w:pPr>
      <w:r>
        <w:rPr>
          <w:rFonts w:ascii="Arial" w:cs="Arial" w:eastAsia="Arial" w:hAnsi="Arial"/>
          <w:sz w:val="15"/>
          <w:szCs w:val="15"/>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10.B.2. Action Necessary to Change the Rights of Shareholders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rights attaching to shares in the Company may be varied by special resolutions passed at class meetings of that class of shareholders of the Company.</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10.B.3 Annual and General Meetings</w:t>
      </w:r>
    </w:p>
    <w:p>
      <w:pPr>
        <w:spacing w:after="0" w:line="62" w:lineRule="exact"/>
        <w:rPr>
          <w:sz w:val="20"/>
          <w:szCs w:val="20"/>
          <w:color w:val="auto"/>
        </w:rPr>
      </w:pPr>
    </w:p>
    <w:p>
      <w:pPr>
        <w:jc w:val="both"/>
        <w:ind w:firstLine="195"/>
        <w:spacing w:after="0" w:line="251" w:lineRule="auto"/>
        <w:rPr>
          <w:sz w:val="20"/>
          <w:szCs w:val="20"/>
          <w:color w:val="auto"/>
        </w:rPr>
      </w:pPr>
      <w:r>
        <w:rPr>
          <w:rFonts w:ascii="Arial" w:cs="Arial" w:eastAsia="Arial" w:hAnsi="Arial"/>
          <w:sz w:val="15"/>
          <w:szCs w:val="15"/>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30" w:right="33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b w:val="1"/>
          <w:bCs w:val="1"/>
          <w:color w:val="auto"/>
        </w:rPr>
        <w:t>10.B.4 Limitations on the Right to Own Shares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There are no limitations on the right to own shares in the Constitution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10.B.5 Disclosure of Share Ownership</w:t>
      </w:r>
    </w:p>
    <w:p>
      <w:pPr>
        <w:spacing w:after="0" w:line="49" w:lineRule="exact"/>
        <w:rPr>
          <w:sz w:val="20"/>
          <w:szCs w:val="20"/>
          <w:color w:val="auto"/>
        </w:rPr>
      </w:pPr>
    </w:p>
    <w:p>
      <w:pPr>
        <w:jc w:val="both"/>
        <w:ind w:firstLine="186"/>
        <w:spacing w:after="0" w:line="256" w:lineRule="auto"/>
        <w:rPr>
          <w:sz w:val="20"/>
          <w:szCs w:val="20"/>
          <w:color w:val="auto"/>
        </w:rPr>
      </w:pPr>
      <w:r>
        <w:rPr>
          <w:rFonts w:ascii="Arial" w:cs="Arial" w:eastAsia="Arial" w:hAnsi="Arial"/>
          <w:sz w:val="15"/>
          <w:szCs w:val="15"/>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10.B.6 Other Provisions of the Constitution</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There are no provisions in the Constitution of the Company:</w:t>
      </w:r>
    </w:p>
    <w:p>
      <w:pPr>
        <w:spacing w:after="0" w:line="49" w:lineRule="exact"/>
        <w:rPr>
          <w:sz w:val="20"/>
          <w:szCs w:val="20"/>
          <w:color w:val="auto"/>
        </w:rPr>
      </w:pPr>
    </w:p>
    <w:p>
      <w:pPr>
        <w:ind w:left="760" w:hanging="170"/>
        <w:spacing w:after="0"/>
        <w:tabs>
          <w:tab w:leader="none" w:pos="7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delaying or prohibiting a change in the control of the Company, but which operate only with respect to a merger, acquisition or corporate restructuring;</w:t>
      </w:r>
    </w:p>
    <w:p>
      <w:pPr>
        <w:spacing w:after="0" w:line="14" w:lineRule="exact"/>
        <w:rPr>
          <w:rFonts w:ascii="Arial" w:cs="Arial" w:eastAsia="Arial" w:hAnsi="Arial"/>
          <w:sz w:val="15"/>
          <w:szCs w:val="15"/>
          <w:color w:val="auto"/>
        </w:rPr>
      </w:pPr>
    </w:p>
    <w:p>
      <w:pPr>
        <w:ind w:left="800" w:hanging="210"/>
        <w:spacing w:after="0"/>
        <w:tabs>
          <w:tab w:leader="none" w:pos="8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discriminating against any existing or prospective holder of shares as a result of such shareholder owning a substantial number of shares; or</w:t>
      </w:r>
    </w:p>
    <w:p>
      <w:pPr>
        <w:spacing w:after="0" w:line="7" w:lineRule="exact"/>
        <w:rPr>
          <w:rFonts w:ascii="Arial" w:cs="Arial" w:eastAsia="Arial" w:hAnsi="Arial"/>
          <w:sz w:val="15"/>
          <w:szCs w:val="15"/>
          <w:color w:val="auto"/>
        </w:rPr>
      </w:pPr>
    </w:p>
    <w:p>
      <w:pPr>
        <w:ind w:left="820" w:hanging="230"/>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governing changes in capital, in each case, where such provisions are more stringent than those required by law.</w:t>
      </w:r>
    </w:p>
    <w:p>
      <w:pPr>
        <w:sectPr>
          <w:pgSz w:w="11900" w:h="16838" w:orient="portrait"/>
          <w:cols w:equalWidth="0" w:num="1">
            <w:col w:w="11240"/>
          </w:cols>
          <w:pgMar w:left="320" w:top="14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5"/>
          <w:szCs w:val="15"/>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774700</wp:posOffset>
            </wp:positionV>
            <wp:extent cx="1478915" cy="398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1478915"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321"/>
        <w:spacing w:after="0"/>
        <w:rPr>
          <w:sz w:val="20"/>
          <w:szCs w:val="20"/>
          <w:color w:val="auto"/>
        </w:rPr>
      </w:pPr>
      <w:r>
        <w:rPr>
          <w:rFonts w:ascii="Arial" w:cs="Arial" w:eastAsia="Arial" w:hAnsi="Arial"/>
          <w:sz w:val="18"/>
          <w:szCs w:val="18"/>
          <w:b w:val="1"/>
          <w:bCs w:val="1"/>
          <w:color w:val="auto"/>
        </w:rPr>
        <w:t>ICON plc Share Trading Policy</w:t>
      </w:r>
    </w:p>
    <w:p>
      <w:pPr>
        <w:ind w:left="4281"/>
        <w:spacing w:after="0" w:line="215" w:lineRule="auto"/>
        <w:rPr>
          <w:sz w:val="20"/>
          <w:szCs w:val="20"/>
          <w:color w:val="auto"/>
        </w:rPr>
      </w:pPr>
      <w:r>
        <w:rPr>
          <w:rFonts w:ascii="Arial" w:cs="Arial" w:eastAsia="Arial" w:hAnsi="Arial"/>
          <w:sz w:val="18"/>
          <w:szCs w:val="18"/>
          <w:i w:val="1"/>
          <w:iCs w:val="1"/>
          <w:color w:val="auto"/>
        </w:rPr>
        <w:t>Adopted on 13</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August 2013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on 25</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April 2017, 23</w:t>
      </w:r>
      <w:r>
        <w:rPr>
          <w:rFonts w:ascii="Arial" w:cs="Arial" w:eastAsia="Arial" w:hAnsi="Arial"/>
          <w:sz w:val="23"/>
          <w:szCs w:val="23"/>
          <w:i w:val="1"/>
          <w:iCs w:val="1"/>
          <w:color w:val="auto"/>
          <w:vertAlign w:val="superscript"/>
        </w:rPr>
        <w:t>rd</w:t>
      </w:r>
      <w:r>
        <w:rPr>
          <w:rFonts w:ascii="Arial" w:cs="Arial" w:eastAsia="Arial" w:hAnsi="Arial"/>
          <w:sz w:val="18"/>
          <w:szCs w:val="18"/>
          <w:i w:val="1"/>
          <w:iCs w:val="1"/>
          <w:color w:val="auto"/>
        </w:rPr>
        <w:t xml:space="preserve"> April 2018,19</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June 2021, 21</w:t>
      </w:r>
      <w:r>
        <w:rPr>
          <w:rFonts w:ascii="Arial" w:cs="Arial" w:eastAsia="Arial" w:hAnsi="Arial"/>
          <w:sz w:val="23"/>
          <w:szCs w:val="23"/>
          <w:i w:val="1"/>
          <w:iCs w:val="1"/>
          <w:color w:val="auto"/>
          <w:vertAlign w:val="superscript"/>
        </w:rPr>
        <w:t>st</w:t>
      </w:r>
      <w:r>
        <w:rPr>
          <w:rFonts w:ascii="Arial" w:cs="Arial" w:eastAsia="Arial" w:hAnsi="Arial"/>
          <w:sz w:val="18"/>
          <w:szCs w:val="18"/>
          <w:i w:val="1"/>
          <w:iCs w:val="1"/>
          <w:color w:val="auto"/>
        </w:rPr>
        <w:t xml:space="preserve"> February 2023 and 18</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February 2025</w:t>
      </w:r>
    </w:p>
    <w:p>
      <w:pPr>
        <w:spacing w:after="0" w:line="141" w:lineRule="exact"/>
        <w:rPr>
          <w:sz w:val="20"/>
          <w:szCs w:val="20"/>
          <w:color w:val="auto"/>
        </w:rPr>
      </w:pPr>
    </w:p>
    <w:p>
      <w:pPr>
        <w:jc w:val="both"/>
        <w:ind w:left="1"/>
        <w:spacing w:after="0" w:line="295" w:lineRule="auto"/>
        <w:rPr>
          <w:sz w:val="20"/>
          <w:szCs w:val="20"/>
          <w:color w:val="auto"/>
        </w:rPr>
      </w:pPr>
      <w:r>
        <w:rPr>
          <w:rFonts w:ascii="Arial" w:cs="Arial" w:eastAsia="Arial" w:hAnsi="Arial"/>
          <w:sz w:val="18"/>
          <w:szCs w:val="18"/>
          <w:color w:val="auto"/>
        </w:rPr>
        <w:t>This Share Trading Policy provides the standards of ICON plc and its Subsidiaries (together the “</w:t>
      </w:r>
      <w:r>
        <w:rPr>
          <w:rFonts w:ascii="Arial" w:cs="Arial" w:eastAsia="Arial" w:hAnsi="Arial"/>
          <w:sz w:val="18"/>
          <w:szCs w:val="18"/>
          <w:b w:val="1"/>
          <w:bCs w:val="1"/>
          <w:color w:val="auto"/>
        </w:rPr>
        <w:t>Group</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ICON</w:t>
      </w:r>
      <w:r>
        <w:rPr>
          <w:rFonts w:ascii="Arial" w:cs="Arial" w:eastAsia="Arial" w:hAnsi="Arial"/>
          <w:sz w:val="18"/>
          <w:szCs w:val="18"/>
          <w:color w:val="auto"/>
        </w:rPr>
        <w:t>”) on trading and causing the trading of ICON’s securities or securities of other publicly-traded companies while in possession of material, non-public information. The Policy has been designed to ensure that all relevant persons know their responsibilities when trading in ICON securities (and / or securities of other companies while in possession of material, non-public information obtained as a result of working with ICON) and to promote transparency and market confidence in the operations of ICON.</w:t>
      </w:r>
    </w:p>
    <w:p>
      <w:pPr>
        <w:spacing w:after="0" w:line="145" w:lineRule="exact"/>
        <w:rPr>
          <w:sz w:val="20"/>
          <w:szCs w:val="20"/>
          <w:color w:val="auto"/>
        </w:rPr>
      </w:pPr>
    </w:p>
    <w:p>
      <w:pPr>
        <w:jc w:val="both"/>
        <w:ind w:left="1"/>
        <w:spacing w:after="0" w:line="332" w:lineRule="auto"/>
        <w:rPr>
          <w:sz w:val="20"/>
          <w:szCs w:val="20"/>
          <w:color w:val="auto"/>
        </w:rPr>
      </w:pPr>
      <w:r>
        <w:rPr>
          <w:rFonts w:ascii="Arial" w:cs="Arial" w:eastAsia="Arial" w:hAnsi="Arial"/>
          <w:sz w:val="18"/>
          <w:szCs w:val="18"/>
          <w:color w:val="auto"/>
        </w:rPr>
        <w:t>Various applicable securities laws and regulations (such as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the listing rules of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prohibit “insider trading”.</w:t>
      </w:r>
    </w:p>
    <w:p>
      <w:pPr>
        <w:spacing w:after="0" w:line="117" w:lineRule="exact"/>
        <w:rPr>
          <w:sz w:val="20"/>
          <w:szCs w:val="20"/>
          <w:color w:val="auto"/>
        </w:rPr>
      </w:pPr>
    </w:p>
    <w:p>
      <w:pPr>
        <w:jc w:val="both"/>
        <w:ind w:left="1"/>
        <w:spacing w:after="0" w:line="304" w:lineRule="auto"/>
        <w:rPr>
          <w:sz w:val="20"/>
          <w:szCs w:val="20"/>
          <w:color w:val="auto"/>
        </w:rPr>
      </w:pPr>
      <w:r>
        <w:rPr>
          <w:rFonts w:ascii="Arial" w:cs="Arial" w:eastAsia="Arial" w:hAnsi="Arial"/>
          <w:sz w:val="18"/>
          <w:szCs w:val="18"/>
          <w:color w:val="auto"/>
        </w:rPr>
        <w:t>Simply stated, insider trading occurs when a person uses “material non-public” information to make decisions to purchase, sell, give away or otherwise trade securities or provides that information to others outside the Company to enable such trading, sometimes referred to as “tipping”. These terms are defined in this Policy under Section 3 below.</w:t>
      </w:r>
    </w:p>
    <w:p>
      <w:pPr>
        <w:spacing w:after="0" w:line="162" w:lineRule="exact"/>
        <w:rPr>
          <w:sz w:val="20"/>
          <w:szCs w:val="20"/>
          <w:color w:val="auto"/>
        </w:rPr>
      </w:pPr>
    </w:p>
    <w:p>
      <w:pPr>
        <w:ind w:left="581" w:hanging="581"/>
        <w:spacing w:after="0"/>
        <w:tabs>
          <w:tab w:leader="none" w:pos="58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Applicability</w:t>
      </w:r>
    </w:p>
    <w:p>
      <w:pPr>
        <w:spacing w:after="0" w:line="237" w:lineRule="exact"/>
        <w:rPr>
          <w:sz w:val="20"/>
          <w:szCs w:val="20"/>
          <w:color w:val="auto"/>
        </w:rPr>
      </w:pPr>
    </w:p>
    <w:p>
      <w:pPr>
        <w:jc w:val="both"/>
        <w:ind w:left="1"/>
        <w:spacing w:after="0" w:line="290" w:lineRule="auto"/>
        <w:rPr>
          <w:sz w:val="20"/>
          <w:szCs w:val="20"/>
          <w:color w:val="auto"/>
        </w:rPr>
      </w:pPr>
      <w:r>
        <w:rPr>
          <w:rFonts w:ascii="Arial" w:cs="Arial" w:eastAsia="Arial" w:hAnsi="Arial"/>
          <w:sz w:val="18"/>
          <w:szCs w:val="18"/>
          <w:color w:val="auto"/>
        </w:rPr>
        <w:t>This Policy applies to all members of the Board of Directors, officers and employees of ICON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 This Policy applies to all transactions by Covered Persons in ICON’s securities, including common stock, restricted share units, options and any other securities that ICON may issue, such as preferred stock, notes, bonds and convertible securities, as well as to derivative securities relating to any of ICON’s securities, whether or not issued by ICON, and to all transactions in such securities by a Covered Person’s immediate family members (parents, siblings, spouses, children) and other persons living in a Covered Person’s household, or by persons or entities over which a Covered Person exercises control.</w:t>
      </w:r>
    </w:p>
    <w:p>
      <w:pPr>
        <w:spacing w:after="0" w:line="163" w:lineRule="exact"/>
        <w:rPr>
          <w:sz w:val="20"/>
          <w:szCs w:val="20"/>
          <w:color w:val="auto"/>
        </w:rPr>
      </w:pPr>
    </w:p>
    <w:p>
      <w:pPr>
        <w:jc w:val="both"/>
        <w:ind w:left="1"/>
        <w:spacing w:after="0" w:line="323" w:lineRule="auto"/>
        <w:rPr>
          <w:sz w:val="20"/>
          <w:szCs w:val="20"/>
          <w:color w:val="auto"/>
        </w:rPr>
      </w:pPr>
      <w:r>
        <w:rPr>
          <w:rFonts w:ascii="Arial" w:cs="Arial" w:eastAsia="Arial" w:hAnsi="Arial"/>
          <w:sz w:val="18"/>
          <w:szCs w:val="18"/>
          <w:color w:val="auto"/>
        </w:rPr>
        <w:t>The terms of this Policy apply to all share trades irrespective of whether the shares are obtained on the open market or via ICON’s employee share schemes and whether they conducted via ICON’s chosen broker or platform or via any other platform, broker, online or otherwise.</w:t>
      </w:r>
    </w:p>
    <w:p>
      <w:pPr>
        <w:spacing w:after="0" w:line="133" w:lineRule="exact"/>
        <w:rPr>
          <w:sz w:val="20"/>
          <w:szCs w:val="20"/>
          <w:color w:val="auto"/>
        </w:rPr>
      </w:pPr>
    </w:p>
    <w:p>
      <w:pPr>
        <w:jc w:val="both"/>
        <w:ind w:left="1"/>
        <w:spacing w:after="0" w:line="309" w:lineRule="auto"/>
        <w:rPr>
          <w:sz w:val="20"/>
          <w:szCs w:val="20"/>
          <w:color w:val="auto"/>
        </w:rPr>
      </w:pPr>
      <w:r>
        <w:rPr>
          <w:rFonts w:ascii="Arial" w:cs="Arial" w:eastAsia="Arial" w:hAnsi="Arial"/>
          <w:sz w:val="18"/>
          <w:szCs w:val="18"/>
          <w:color w:val="auto"/>
        </w:rPr>
        <w:t>The Policy also applies to all transactions in an external company’s securities that a Covered Person has material non-public information about due to a Covered Person’s involvement with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1"/>
          </w:cols>
          <w:pgMar w:left="319" w:top="127" w:right="339" w:bottom="1440" w:gutter="0" w:footer="0" w:header="0"/>
        </w:sectPr>
      </w:pPr>
    </w:p>
    <w:bookmarkStart w:id="146" w:name="page147"/>
    <w:bookmarkEnd w:id="146"/>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jc w:val="both"/>
        <w:ind w:left="1"/>
        <w:spacing w:after="0" w:line="326" w:lineRule="auto"/>
        <w:rPr>
          <w:sz w:val="20"/>
          <w:szCs w:val="20"/>
          <w:color w:val="auto"/>
        </w:rPr>
      </w:pPr>
      <w:r>
        <w:rPr>
          <w:rFonts w:ascii="Arial" w:cs="Arial" w:eastAsia="Arial" w:hAnsi="Arial"/>
          <w:sz w:val="18"/>
          <w:szCs w:val="18"/>
          <w:color w:val="auto"/>
        </w:rPr>
        <w:t>or work for ICON. This again includes common stock, restricted share units, options and any other securities that companies may issue, such as preferred stock, notes, bonds and convertible securities, as well as to derivative securities, whether or not issued by the company itself.</w:t>
      </w:r>
    </w:p>
    <w:p>
      <w:pPr>
        <w:spacing w:after="0" w:line="362" w:lineRule="exact"/>
        <w:rPr>
          <w:sz w:val="20"/>
          <w:szCs w:val="20"/>
          <w:color w:val="auto"/>
        </w:rPr>
      </w:pPr>
    </w:p>
    <w:p>
      <w:pPr>
        <w:jc w:val="both"/>
        <w:ind w:left="1"/>
        <w:spacing w:after="0" w:line="298" w:lineRule="auto"/>
        <w:rPr>
          <w:sz w:val="20"/>
          <w:szCs w:val="20"/>
          <w:color w:val="auto"/>
        </w:rPr>
      </w:pPr>
      <w:r>
        <w:rPr>
          <w:rFonts w:ascii="Arial" w:cs="Arial" w:eastAsia="Arial" w:hAnsi="Arial"/>
          <w:sz w:val="18"/>
          <w:szCs w:val="18"/>
          <w:color w:val="auto"/>
        </w:rPr>
        <w:t>This Policy also applies to the Company, as applicable. From time to time, the Company may engage in transactions in its own securities, including sales of securities and repurchases. It is the Company’s policy to comply with all applicable securities and state laws (including appropriate approvals by the Board of Directors if required) when engaging in transactions in its own securities, including any applicable restrictions on insider trading.</w:t>
      </w:r>
    </w:p>
    <w:p>
      <w:pPr>
        <w:spacing w:after="0" w:line="278" w:lineRule="exact"/>
        <w:rPr>
          <w:sz w:val="20"/>
          <w:szCs w:val="20"/>
          <w:color w:val="auto"/>
        </w:rPr>
      </w:pPr>
    </w:p>
    <w:p>
      <w:pPr>
        <w:ind w:left="581" w:hanging="581"/>
        <w:spacing w:after="0"/>
        <w:tabs>
          <w:tab w:leader="none" w:pos="581"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Policy: No Trading or Causing Trading While in Possession of Material Non-Public Information</w:t>
      </w:r>
    </w:p>
    <w:p>
      <w:pPr>
        <w:spacing w:after="0" w:line="224" w:lineRule="exact"/>
        <w:rPr>
          <w:rFonts w:ascii="Arial" w:cs="Arial" w:eastAsia="Arial" w:hAnsi="Arial"/>
          <w:sz w:val="18"/>
          <w:szCs w:val="18"/>
          <w:b w:val="1"/>
          <w:bCs w:val="1"/>
          <w:color w:val="auto"/>
        </w:rPr>
      </w:pPr>
    </w:p>
    <w:p>
      <w:pPr>
        <w:jc w:val="both"/>
        <w:ind w:left="601" w:hanging="306"/>
        <w:spacing w:after="0" w:line="304" w:lineRule="auto"/>
        <w:tabs>
          <w:tab w:leader="none" w:pos="5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Covered Person may purchase, sell or otherwise transfer (except for the exercise of stock options so long as common stock is retained) any ICON securities while in possession of material non-public information about ICON. (The terms “material” and “non-public” are defined in Section 3(c) and (d) below.)</w:t>
      </w:r>
    </w:p>
    <w:p>
      <w:pPr>
        <w:spacing w:after="0" w:line="150" w:lineRule="exact"/>
        <w:rPr>
          <w:rFonts w:ascii="Arial" w:cs="Arial" w:eastAsia="Arial" w:hAnsi="Arial"/>
          <w:sz w:val="18"/>
          <w:szCs w:val="18"/>
          <w:color w:val="auto"/>
        </w:rPr>
      </w:pPr>
    </w:p>
    <w:p>
      <w:pPr>
        <w:ind w:left="601" w:hanging="306"/>
        <w:spacing w:after="0" w:line="323" w:lineRule="auto"/>
        <w:tabs>
          <w:tab w:leader="none" w:pos="5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Covered Person who knows of any material non-public information about ICON may communicate that information to any other person outside ICON, including family and / or friends.</w:t>
      </w:r>
    </w:p>
    <w:p>
      <w:pPr>
        <w:spacing w:after="0" w:line="120" w:lineRule="exact"/>
        <w:rPr>
          <w:rFonts w:ascii="Arial" w:cs="Arial" w:eastAsia="Arial" w:hAnsi="Arial"/>
          <w:sz w:val="18"/>
          <w:szCs w:val="18"/>
          <w:color w:val="auto"/>
        </w:rPr>
      </w:pPr>
    </w:p>
    <w:p>
      <w:pPr>
        <w:jc w:val="both"/>
        <w:ind w:left="601" w:hanging="306"/>
        <w:spacing w:after="0" w:line="298" w:lineRule="auto"/>
        <w:tabs>
          <w:tab w:leader="none" w:pos="5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addition, no Covered Person may purchase or sell any security of any other company while in possession of material non-public information about that company that was obtained in the course of his or her involvement with ICON. No Covered Person who knows of any such material non-public information may communicate that information to any other person outside ICON, including family and / or friends.</w:t>
      </w:r>
    </w:p>
    <w:p>
      <w:pPr>
        <w:spacing w:after="0" w:line="154" w:lineRule="exact"/>
        <w:rPr>
          <w:rFonts w:ascii="Arial" w:cs="Arial" w:eastAsia="Arial" w:hAnsi="Arial"/>
          <w:sz w:val="18"/>
          <w:szCs w:val="18"/>
          <w:color w:val="auto"/>
        </w:rPr>
      </w:pPr>
    </w:p>
    <w:p>
      <w:pPr>
        <w:jc w:val="both"/>
        <w:ind w:left="601" w:hanging="306"/>
        <w:spacing w:after="0" w:line="293" w:lineRule="auto"/>
        <w:tabs>
          <w:tab w:leader="none" w:pos="5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For compliance purposes, you should never trade, tip or recommend securities (or otherwise cause the purchase, sale or other transfer of securities) while in possession of information that you have reason to believe is material and non-public (which is defined in Section 3(c) and (d) below) unless you first consult with the </w:t>
      </w:r>
      <w:r>
        <w:rPr>
          <w:rFonts w:ascii="Arial" w:cs="Arial" w:eastAsia="Arial" w:hAnsi="Arial"/>
          <w:sz w:val="18"/>
          <w:szCs w:val="18"/>
          <w:b w:val="1"/>
          <w:bCs w:val="1"/>
          <w:color w:val="auto"/>
        </w:rPr>
        <w:t>Corporate Governance team</w:t>
      </w:r>
      <w:r>
        <w:rPr>
          <w:rFonts w:ascii="Arial" w:cs="Arial" w:eastAsia="Arial" w:hAnsi="Arial"/>
          <w:sz w:val="18"/>
          <w:szCs w:val="18"/>
          <w:color w:val="auto"/>
        </w:rPr>
        <w:t>, and obtain the advance approval of the General Counsel.</w:t>
      </w:r>
    </w:p>
    <w:p>
      <w:pPr>
        <w:spacing w:after="0" w:line="159" w:lineRule="exact"/>
        <w:rPr>
          <w:rFonts w:ascii="Arial" w:cs="Arial" w:eastAsia="Arial" w:hAnsi="Arial"/>
          <w:sz w:val="18"/>
          <w:szCs w:val="18"/>
          <w:color w:val="auto"/>
        </w:rPr>
      </w:pPr>
    </w:p>
    <w:p>
      <w:pPr>
        <w:jc w:val="both"/>
        <w:ind w:left="601" w:hanging="306"/>
        <w:spacing w:after="0" w:line="297" w:lineRule="auto"/>
        <w:tabs>
          <w:tab w:leader="none" w:pos="5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Restricted Covered Persons (as defined in Section 5) are also prohibited from trading in ICON’s securities during blackout periods as set out in Section 5. Restricted Covered Persons that are not in possession of any material non-public information are permitted to trade in ICON’s securities only when no blackout period is in effect as set out in Section 6.</w:t>
      </w:r>
    </w:p>
    <w:p>
      <w:pPr>
        <w:spacing w:after="0" w:line="155" w:lineRule="exact"/>
        <w:rPr>
          <w:rFonts w:ascii="Arial" w:cs="Arial" w:eastAsia="Arial" w:hAnsi="Arial"/>
          <w:sz w:val="18"/>
          <w:szCs w:val="18"/>
          <w:color w:val="auto"/>
        </w:rPr>
      </w:pPr>
    </w:p>
    <w:p>
      <w:pPr>
        <w:ind w:left="601" w:hanging="306"/>
        <w:spacing w:after="0" w:line="323" w:lineRule="auto"/>
        <w:tabs>
          <w:tab w:leader="none" w:pos="601"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Individuals listed on the Insider List (as defined in Section 7) must “pre-clear” all trading in securities of ICON in accordance with the procedures set forth in Section 8 below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1"/>
          </w:cols>
          <w:pgMar w:left="319" w:top="1440" w:right="339" w:bottom="1440" w:gutter="0" w:footer="0" w:header="0"/>
        </w:sectPr>
      </w:pPr>
    </w:p>
    <w:bookmarkStart w:id="147" w:name="page148"/>
    <w:bookmarkEnd w:id="147"/>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ind w:left="601"/>
        <w:spacing w:after="0" w:line="323" w:lineRule="auto"/>
        <w:rPr>
          <w:sz w:val="20"/>
          <w:szCs w:val="20"/>
          <w:color w:val="auto"/>
        </w:rPr>
      </w:pPr>
      <w:r>
        <w:rPr>
          <w:rFonts w:ascii="Arial" w:cs="Arial" w:eastAsia="Arial" w:hAnsi="Arial"/>
          <w:sz w:val="18"/>
          <w:szCs w:val="18"/>
          <w:color w:val="auto"/>
        </w:rPr>
        <w:t>are also prohibited from engaging in the transactions set out in Section 9 unless advance approval is obtained from the General Counsel.</w:t>
      </w:r>
    </w:p>
    <w:p>
      <w:pPr>
        <w:spacing w:after="0" w:line="158" w:lineRule="exact"/>
        <w:rPr>
          <w:sz w:val="20"/>
          <w:szCs w:val="20"/>
          <w:color w:val="auto"/>
        </w:rPr>
      </w:pPr>
    </w:p>
    <w:p>
      <w:pPr>
        <w:jc w:val="both"/>
        <w:ind w:left="601" w:hanging="306"/>
        <w:spacing w:after="0" w:line="290" w:lineRule="auto"/>
        <w:tabs>
          <w:tab w:leader="none" w:pos="5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You should exercise care when speaking with other personnel who do not have a “need to know” and when communicating with family, friends and others who are not associated with us, even if they are subject to this Policy. To avoid even the appearance of impropriety, please refrain from discussing our business or prospects or making recommendations about buying or selling our securities or the securities of other companies with which we have a relationship. The concept of unlawful tipping includes passing on information to friends, family members or acquaintances under circumstances that suggest that you were trying to help them make a profit or avoid a loss, or obtain some other benefit from the information.</w:t>
      </w:r>
    </w:p>
    <w:p>
      <w:pPr>
        <w:spacing w:after="0" w:line="175" w:lineRule="exact"/>
        <w:rPr>
          <w:rFonts w:ascii="Arial" w:cs="Arial" w:eastAsia="Arial" w:hAnsi="Arial"/>
          <w:sz w:val="18"/>
          <w:szCs w:val="18"/>
          <w:color w:val="auto"/>
        </w:rPr>
      </w:pPr>
    </w:p>
    <w:p>
      <w:pPr>
        <w:jc w:val="both"/>
        <w:ind w:left="601" w:hanging="306"/>
        <w:spacing w:after="0" w:line="309" w:lineRule="auto"/>
        <w:tabs>
          <w:tab w:leader="none" w:pos="599"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 xml:space="preserve">In an effort to prevent unauthorized disclosure of our information, you are prohibited from any unauthorized posting or responding to any posting on or in Internet message boards, chat rooms, discussion groups, or other publicly accessible forums, with respect to us. Keep in mind that any inquiries about ICON should be directed to </w:t>
      </w:r>
      <w:r>
        <w:rPr>
          <w:rFonts w:ascii="Arial" w:cs="Arial" w:eastAsia="Arial" w:hAnsi="Arial"/>
          <w:sz w:val="18"/>
          <w:szCs w:val="18"/>
          <w:b w:val="1"/>
          <w:bCs w:val="1"/>
          <w:color w:val="auto"/>
        </w:rPr>
        <w:t>ICON’s Marketing team.</w:t>
      </w:r>
    </w:p>
    <w:p>
      <w:pPr>
        <w:spacing w:after="0" w:line="260" w:lineRule="exact"/>
        <w:rPr>
          <w:rFonts w:ascii="Arial" w:cs="Arial" w:eastAsia="Arial" w:hAnsi="Arial"/>
          <w:sz w:val="18"/>
          <w:szCs w:val="18"/>
          <w:b w:val="1"/>
          <w:bCs w:val="1"/>
          <w:color w:val="auto"/>
        </w:rPr>
      </w:pPr>
    </w:p>
    <w:p>
      <w:pPr>
        <w:ind w:left="581" w:hanging="581"/>
        <w:spacing w:after="0"/>
        <w:tabs>
          <w:tab w:leader="none" w:pos="58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36" w:lineRule="exact"/>
        <w:rPr>
          <w:rFonts w:ascii="Arial" w:cs="Arial" w:eastAsia="Arial" w:hAnsi="Arial"/>
          <w:sz w:val="18"/>
          <w:szCs w:val="18"/>
          <w:b w:val="1"/>
          <w:bCs w:val="1"/>
          <w:color w:val="auto"/>
        </w:rPr>
      </w:pPr>
    </w:p>
    <w:p>
      <w:pPr>
        <w:jc w:val="both"/>
        <w:ind w:left="601" w:hanging="306"/>
        <w:spacing w:after="0" w:line="297" w:lineRule="auto"/>
        <w:tabs>
          <w:tab w:leader="none" w:pos="590"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Cybersecurity</w:t>
      </w:r>
      <w:r>
        <w:rPr>
          <w:rFonts w:ascii="Arial" w:cs="Arial" w:eastAsia="Arial" w:hAnsi="Arial"/>
          <w:sz w:val="18"/>
          <w:szCs w:val="18"/>
          <w:color w:val="auto"/>
        </w:rPr>
        <w:t>- the activity or process, ability or capability, or state whereby information and communications systems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contained within these systems are protected from and / or defended against damage, unauthorized use or modification, or exploitation.</w:t>
      </w:r>
    </w:p>
    <w:p>
      <w:pPr>
        <w:spacing w:after="0" w:line="155" w:lineRule="exact"/>
        <w:rPr>
          <w:rFonts w:ascii="Arial" w:cs="Arial" w:eastAsia="Arial" w:hAnsi="Arial"/>
          <w:sz w:val="18"/>
          <w:szCs w:val="18"/>
          <w:color w:val="auto"/>
        </w:rPr>
      </w:pPr>
    </w:p>
    <w:p>
      <w:pPr>
        <w:ind w:left="601" w:hanging="306"/>
        <w:spacing w:after="0" w:line="323" w:lineRule="auto"/>
        <w:tabs>
          <w:tab w:leader="none" w:pos="590"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Cybersecurity Incident</w:t>
      </w:r>
      <w:r>
        <w:rPr>
          <w:rFonts w:ascii="Arial" w:cs="Arial" w:eastAsia="Arial" w:hAnsi="Arial"/>
          <w:sz w:val="18"/>
          <w:szCs w:val="18"/>
          <w:color w:val="auto"/>
        </w:rPr>
        <w:t>- An occurrence that actually or potentially results in adverse consequences to an information system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that the system processes, stores, or transmits and that may require a response action to mitigate the consequences.</w:t>
      </w:r>
    </w:p>
    <w:p>
      <w:pPr>
        <w:spacing w:after="0" w:line="132"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8"/>
          <w:szCs w:val="18"/>
          <w:color w:val="auto"/>
        </w:rPr>
        <w:t>A cybersecurity incident can result from unintentional events or deliberate attacks.</w:t>
      </w:r>
    </w:p>
    <w:p>
      <w:pPr>
        <w:spacing w:after="0" w:line="224" w:lineRule="exact"/>
        <w:rPr>
          <w:rFonts w:ascii="Arial" w:cs="Arial" w:eastAsia="Arial" w:hAnsi="Arial"/>
          <w:sz w:val="18"/>
          <w:szCs w:val="18"/>
          <w:color w:val="auto"/>
        </w:rPr>
      </w:pPr>
    </w:p>
    <w:p>
      <w:pPr>
        <w:jc w:val="both"/>
        <w:ind w:left="601"/>
        <w:spacing w:after="0" w:line="304" w:lineRule="auto"/>
        <w:rPr>
          <w:rFonts w:ascii="Arial" w:cs="Arial" w:eastAsia="Arial" w:hAnsi="Arial"/>
          <w:sz w:val="18"/>
          <w:szCs w:val="18"/>
          <w:color w:val="auto"/>
        </w:rPr>
      </w:pPr>
      <w:r>
        <w:rPr>
          <w:rFonts w:ascii="Arial" w:cs="Arial" w:eastAsia="Arial" w:hAnsi="Arial"/>
          <w:sz w:val="18"/>
          <w:szCs w:val="18"/>
          <w:color w:val="auto"/>
        </w:rPr>
        <w:t>For example, the use of stolen access credentials, malware, ransomware, phishing or other unauthorized information systems action to: (i) access, steal or destroy financial assets, intellectual property, or other sensitive information belonging to ICON (including an ICON acquisition), clients or business partners; or (ii) otherwise materially disrupt operations.</w:t>
      </w:r>
    </w:p>
    <w:p>
      <w:pPr>
        <w:spacing w:after="0" w:line="150" w:lineRule="exact"/>
        <w:rPr>
          <w:rFonts w:ascii="Arial" w:cs="Arial" w:eastAsia="Arial" w:hAnsi="Arial"/>
          <w:sz w:val="18"/>
          <w:szCs w:val="18"/>
          <w:color w:val="auto"/>
        </w:rPr>
      </w:pPr>
    </w:p>
    <w:p>
      <w:pPr>
        <w:jc w:val="both"/>
        <w:ind w:left="601" w:hanging="306"/>
        <w:spacing w:after="0" w:line="293" w:lineRule="auto"/>
        <w:tabs>
          <w:tab w:leader="none" w:pos="592"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Materiality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generally regarded as “material” if there is a substantial likelihood that a reasonable investor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the information important in making a decision to buy, hold or sell a security. If the public dissemination of the information would, or reasonably could be expected to, affect the market price of securities (whether positively or negatively) such information should be considered 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1"/>
          </w:cols>
          <w:pgMar w:left="319" w:top="1440" w:right="339" w:bottom="1440" w:gutter="0" w:footer="0" w:header="0"/>
        </w:sectPr>
      </w:pPr>
    </w:p>
    <w:bookmarkStart w:id="148" w:name="page149"/>
    <w:bookmarkEnd w:id="148"/>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18"/>
          <w:szCs w:val="18"/>
          <w:color w:val="auto"/>
        </w:rPr>
        <w:t>While, depending on the circumstances, any type of information could be deemed material, information dealing with the following subjects should be assumed to be reasonably likely to be found material in particular situations:</w:t>
      </w:r>
    </w:p>
    <w:p>
      <w:pPr>
        <w:spacing w:after="0" w:line="133" w:lineRule="exact"/>
        <w:rPr>
          <w:sz w:val="20"/>
          <w:szCs w:val="20"/>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significant changes in ICON’s prospects;</w:t>
      </w:r>
    </w:p>
    <w:p>
      <w:pPr>
        <w:spacing w:after="0" w:line="224"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significant write-downs in assets or increases in reserves;</w:t>
      </w:r>
    </w:p>
    <w:p>
      <w:pPr>
        <w:spacing w:after="0" w:line="236"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developments regarding significant litigation or government agency investigations;</w:t>
      </w:r>
    </w:p>
    <w:p>
      <w:pPr>
        <w:spacing w:after="0" w:line="236" w:lineRule="exact"/>
        <w:rPr>
          <w:rFonts w:ascii="Arial" w:cs="Arial" w:eastAsia="Arial" w:hAnsi="Arial"/>
          <w:sz w:val="18"/>
          <w:szCs w:val="18"/>
          <w:color w:val="auto"/>
        </w:rPr>
      </w:pPr>
    </w:p>
    <w:p>
      <w:pPr>
        <w:ind w:left="560" w:hanging="27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liquidity problems;</w:t>
      </w:r>
    </w:p>
    <w:p>
      <w:pPr>
        <w:spacing w:after="0" w:line="236" w:lineRule="exact"/>
        <w:rPr>
          <w:rFonts w:ascii="Arial" w:cs="Arial" w:eastAsia="Arial" w:hAnsi="Arial"/>
          <w:sz w:val="18"/>
          <w:szCs w:val="18"/>
          <w:color w:val="auto"/>
        </w:rPr>
      </w:pPr>
    </w:p>
    <w:p>
      <w:pPr>
        <w:ind w:left="560" w:hanging="27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earnings estimates or unusual gains or losses in major operations;</w:t>
      </w:r>
    </w:p>
    <w:p>
      <w:pPr>
        <w:spacing w:after="0" w:line="236"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success or otherwise or the status of a clinical trial;</w:t>
      </w:r>
    </w:p>
    <w:p>
      <w:pPr>
        <w:spacing w:after="0" w:line="224"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management, other major personnel changes or labour negotiation;</w:t>
      </w:r>
    </w:p>
    <w:p>
      <w:pPr>
        <w:spacing w:after="0" w:line="236"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dividends;</w:t>
      </w:r>
    </w:p>
    <w:p>
      <w:pPr>
        <w:spacing w:after="0" w:line="236"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extraordinary borrowings;</w:t>
      </w:r>
    </w:p>
    <w:p>
      <w:pPr>
        <w:spacing w:after="0" w:line="236" w:lineRule="exact"/>
        <w:rPr>
          <w:rFonts w:ascii="Arial" w:cs="Arial" w:eastAsia="Arial" w:hAnsi="Arial"/>
          <w:sz w:val="18"/>
          <w:szCs w:val="18"/>
          <w:color w:val="auto"/>
        </w:rPr>
      </w:pPr>
    </w:p>
    <w:p>
      <w:pPr>
        <w:ind w:left="580" w:hanging="294"/>
        <w:spacing w:after="0" w:line="323" w:lineRule="auto"/>
        <w:tabs>
          <w:tab w:leader="none" w:pos="5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gain or loss of a significant contract, customer or supplier or significant material changes in the profitability status of a current significant contract;</w:t>
      </w:r>
    </w:p>
    <w:p>
      <w:pPr>
        <w:spacing w:after="0" w:line="120"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debt ratings;</w:t>
      </w:r>
    </w:p>
    <w:p>
      <w:pPr>
        <w:spacing w:after="0" w:line="236" w:lineRule="exact"/>
        <w:rPr>
          <w:rFonts w:ascii="Arial" w:cs="Arial" w:eastAsia="Arial" w:hAnsi="Arial"/>
          <w:sz w:val="18"/>
          <w:szCs w:val="18"/>
          <w:color w:val="auto"/>
        </w:rPr>
      </w:pPr>
    </w:p>
    <w:p>
      <w:pPr>
        <w:ind w:left="580" w:hanging="294"/>
        <w:spacing w:after="0" w:line="323" w:lineRule="auto"/>
        <w:tabs>
          <w:tab w:leader="none" w:pos="5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proposals, plans or agreements, even if preliminary in nature, involving mergers, acquisitions, divestitures, recapitalizations, strategic alliances, licensing arrangements, or purchases or sales of substantial assets;</w:t>
      </w:r>
    </w:p>
    <w:p>
      <w:pPr>
        <w:spacing w:after="0" w:line="34"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development or release of a new product or service;</w:t>
      </w:r>
    </w:p>
    <w:p>
      <w:pPr>
        <w:spacing w:after="0" w:line="236" w:lineRule="exact"/>
        <w:rPr>
          <w:rFonts w:ascii="Arial" w:cs="Arial" w:eastAsia="Arial" w:hAnsi="Arial"/>
          <w:sz w:val="18"/>
          <w:szCs w:val="18"/>
          <w:color w:val="auto"/>
        </w:rPr>
      </w:pPr>
    </w:p>
    <w:p>
      <w:pPr>
        <w:ind w:left="560" w:hanging="27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a previously announced schedule for the development or release of a new product or service;</w:t>
      </w:r>
    </w:p>
    <w:p>
      <w:pPr>
        <w:spacing w:after="0" w:line="224" w:lineRule="exact"/>
        <w:rPr>
          <w:rFonts w:ascii="Arial" w:cs="Arial" w:eastAsia="Arial" w:hAnsi="Arial"/>
          <w:sz w:val="18"/>
          <w:szCs w:val="18"/>
          <w:color w:val="auto"/>
        </w:rPr>
      </w:pPr>
    </w:p>
    <w:p>
      <w:pPr>
        <w:ind w:left="560" w:hanging="27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Cybersecurity Incident;</w:t>
      </w:r>
    </w:p>
    <w:p>
      <w:pPr>
        <w:spacing w:after="0" w:line="236" w:lineRule="exact"/>
        <w:rPr>
          <w:rFonts w:ascii="Arial" w:cs="Arial" w:eastAsia="Arial" w:hAnsi="Arial"/>
          <w:sz w:val="18"/>
          <w:szCs w:val="18"/>
          <w:color w:val="auto"/>
        </w:rPr>
      </w:pPr>
    </w:p>
    <w:p>
      <w:pPr>
        <w:ind w:left="580" w:hanging="294"/>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public or private offerings of securities; and</w:t>
      </w:r>
    </w:p>
    <w:p>
      <w:pPr>
        <w:spacing w:after="0" w:line="236" w:lineRule="exact"/>
        <w:rPr>
          <w:rFonts w:ascii="Arial" w:cs="Arial" w:eastAsia="Arial" w:hAnsi="Arial"/>
          <w:sz w:val="18"/>
          <w:szCs w:val="18"/>
          <w:color w:val="auto"/>
        </w:rPr>
      </w:pPr>
    </w:p>
    <w:p>
      <w:pPr>
        <w:ind w:left="580" w:hanging="294"/>
        <w:spacing w:after="0" w:line="323"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pending statistical reports (such as reports relating to treasury information, awards information or interest rate developments).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w:t>
      </w:r>
    </w:p>
    <w:p>
      <w:pPr>
        <w:spacing w:after="0" w:line="200" w:lineRule="exact"/>
        <w:rPr>
          <w:sz w:val="20"/>
          <w:szCs w:val="20"/>
          <w:color w:val="auto"/>
        </w:rPr>
      </w:pPr>
    </w:p>
    <w:p>
      <w:pPr>
        <w:spacing w:after="0" w:line="3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640"/>
          </w:cols>
          <w:pgMar w:left="920" w:top="1440" w:right="339" w:bottom="1440" w:gutter="0" w:footer="0" w:header="0"/>
        </w:sectPr>
      </w:pPr>
    </w:p>
    <w:bookmarkStart w:id="149" w:name="page150"/>
    <w:bookmarkEnd w:id="149"/>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jc w:val="both"/>
        <w:ind w:left="306"/>
        <w:spacing w:after="0" w:line="304" w:lineRule="auto"/>
        <w:rPr>
          <w:sz w:val="20"/>
          <w:szCs w:val="20"/>
          <w:color w:val="auto"/>
        </w:rPr>
      </w:pPr>
      <w:r>
        <w:rPr>
          <w:rFonts w:ascii="Arial" w:cs="Arial" w:eastAsia="Arial" w:hAnsi="Arial"/>
          <w:sz w:val="18"/>
          <w:szCs w:val="18"/>
          <w:color w:val="auto"/>
        </w:rPr>
        <w:t>be material is determined by balancing the probability that the event will occur against the magnitude of the effect the event would have on ICON’s operations or stock price should it occur. Thus, information concerning an event that would have a large effect on stock price, such as a merger, may be material even if the possibility that the event will occur is relatively small.</w:t>
      </w:r>
    </w:p>
    <w:p>
      <w:pPr>
        <w:spacing w:after="0" w:line="138" w:lineRule="exact"/>
        <w:rPr>
          <w:sz w:val="20"/>
          <w:szCs w:val="20"/>
          <w:color w:val="auto"/>
        </w:rPr>
      </w:pPr>
    </w:p>
    <w:p>
      <w:pPr>
        <w:ind w:left="306"/>
        <w:spacing w:after="0"/>
        <w:rPr>
          <w:sz w:val="20"/>
          <w:szCs w:val="20"/>
          <w:color w:val="auto"/>
        </w:rPr>
      </w:pPr>
      <w:r>
        <w:rPr>
          <w:rFonts w:ascii="Arial" w:cs="Arial" w:eastAsia="Arial" w:hAnsi="Arial"/>
          <w:sz w:val="18"/>
          <w:szCs w:val="18"/>
          <w:color w:val="auto"/>
        </w:rPr>
        <w:t>When in doubt about whether particular non-public information is material, presume it is material.</w:t>
      </w:r>
    </w:p>
    <w:p>
      <w:pPr>
        <w:spacing w:after="0" w:line="237" w:lineRule="exact"/>
        <w:rPr>
          <w:sz w:val="20"/>
          <w:szCs w:val="20"/>
          <w:color w:val="auto"/>
        </w:rPr>
      </w:pPr>
    </w:p>
    <w:p>
      <w:pPr>
        <w:jc w:val="both"/>
        <w:ind w:left="306"/>
        <w:spacing w:after="0" w:line="309" w:lineRule="auto"/>
        <w:rPr>
          <w:sz w:val="20"/>
          <w:szCs w:val="20"/>
          <w:color w:val="auto"/>
        </w:rPr>
      </w:pPr>
      <w:r>
        <w:rPr>
          <w:rFonts w:ascii="Arial" w:cs="Arial" w:eastAsia="Arial" w:hAnsi="Arial"/>
          <w:sz w:val="18"/>
          <w:szCs w:val="18"/>
          <w:b w:val="1"/>
          <w:bCs w:val="1"/>
          <w:color w:val="auto"/>
        </w:rPr>
        <w:t>If you are unsure whether information is material, you should consult the Corporate Governance team before making any decision to disclose such information (other than to persons who need to know it in the ordinary course of the Company’s business) or to trade in or recommend securities to which that information relates.</w:t>
      </w:r>
    </w:p>
    <w:p>
      <w:pPr>
        <w:spacing w:after="0" w:line="137" w:lineRule="exact"/>
        <w:rPr>
          <w:sz w:val="20"/>
          <w:szCs w:val="20"/>
          <w:color w:val="auto"/>
        </w:rPr>
      </w:pPr>
    </w:p>
    <w:p>
      <w:pPr>
        <w:jc w:val="both"/>
        <w:ind w:left="306" w:hanging="306"/>
        <w:spacing w:after="0" w:line="286" w:lineRule="auto"/>
        <w:tabs>
          <w:tab w:leader="none" w:pos="294"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 that information has been disclosed to a few members of the public does not make it public for</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purposes. In order for information to be considered public, it must be widely disseminated in a manner making it generally available to investors. Typically this is done through publication in a widely-available newspaper, magazine or news website, such as Dow Jones, Reuters Economic Services, The Wall Street Journal, Associated Press, or through a broadcast on widely-available radio or television programs, publication in a widely-available newspaper, magazine or news website, or public disclosure documents filed with the SEC or that are available on the SEC’s website. Even after a public announcement, a reasonable period of time must elapse in order for the market to absorb the information. What is a reasonable period of time is dependent on the facts and circumstances of the situation. In order to provide clarity, this policy requires that Covered Persons should allow two full trading days to lapse following publication before such information is deemed to be public.</w:t>
      </w:r>
    </w:p>
    <w:p>
      <w:pPr>
        <w:spacing w:after="0" w:line="170" w:lineRule="exact"/>
        <w:rPr>
          <w:rFonts w:ascii="Arial" w:cs="Arial" w:eastAsia="Arial" w:hAnsi="Arial"/>
          <w:sz w:val="18"/>
          <w:szCs w:val="18"/>
          <w:color w:val="auto"/>
        </w:rPr>
      </w:pPr>
    </w:p>
    <w:p>
      <w:pPr>
        <w:ind w:left="306"/>
        <w:spacing w:after="0"/>
        <w:rPr>
          <w:rFonts w:ascii="Arial" w:cs="Arial" w:eastAsia="Arial" w:hAnsi="Arial"/>
          <w:sz w:val="18"/>
          <w:szCs w:val="18"/>
          <w:color w:val="auto"/>
        </w:rPr>
      </w:pPr>
      <w:r>
        <w:rPr>
          <w:rFonts w:ascii="Arial" w:cs="Arial" w:eastAsia="Arial" w:hAnsi="Arial"/>
          <w:sz w:val="18"/>
          <w:szCs w:val="18"/>
          <w:u w:val="single" w:color="auto"/>
          <w:color w:val="auto"/>
        </w:rPr>
        <w:t>Non-public information may include:</w:t>
      </w:r>
    </w:p>
    <w:p>
      <w:pPr>
        <w:spacing w:after="0" w:line="236" w:lineRule="exact"/>
        <w:rPr>
          <w:rFonts w:ascii="Arial" w:cs="Arial" w:eastAsia="Arial" w:hAnsi="Arial"/>
          <w:sz w:val="18"/>
          <w:szCs w:val="18"/>
          <w:color w:val="auto"/>
        </w:rPr>
      </w:pPr>
    </w:p>
    <w:p>
      <w:pPr>
        <w:ind w:left="886" w:hanging="294"/>
        <w:spacing w:after="0"/>
        <w:tabs>
          <w:tab w:leader="none" w:pos="886"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information available to a select group of analysts or brokers or institutional investors;</w:t>
      </w:r>
    </w:p>
    <w:p>
      <w:pPr>
        <w:spacing w:after="0" w:line="224" w:lineRule="exact"/>
        <w:rPr>
          <w:rFonts w:ascii="Arial" w:cs="Arial" w:eastAsia="Arial" w:hAnsi="Arial"/>
          <w:sz w:val="18"/>
          <w:szCs w:val="18"/>
          <w:color w:val="auto"/>
        </w:rPr>
      </w:pPr>
    </w:p>
    <w:p>
      <w:pPr>
        <w:ind w:left="886" w:hanging="294"/>
        <w:spacing w:after="0"/>
        <w:tabs>
          <w:tab w:leader="none" w:pos="886" w:val="left"/>
        </w:tabs>
        <w:numPr>
          <w:ilvl w:val="1"/>
          <w:numId w:val="91"/>
        </w:numPr>
        <w:rPr>
          <w:rFonts w:ascii="Arial" w:cs="Arial" w:eastAsia="Arial" w:hAnsi="Arial"/>
          <w:sz w:val="18"/>
          <w:szCs w:val="18"/>
          <w:color w:val="auto"/>
        </w:rPr>
      </w:pPr>
      <w:r>
        <w:rPr>
          <w:rFonts w:ascii="Arial" w:cs="Arial" w:eastAsia="Arial" w:hAnsi="Arial"/>
          <w:sz w:val="18"/>
          <w:szCs w:val="18"/>
          <w:color w:val="auto"/>
        </w:rPr>
        <w:t>undisclosed facts that are the subject of rumours, even if the rumours are widely circulated; and</w:t>
      </w:r>
    </w:p>
    <w:p>
      <w:pPr>
        <w:spacing w:after="0" w:line="236" w:lineRule="exact"/>
        <w:rPr>
          <w:rFonts w:ascii="Arial" w:cs="Arial" w:eastAsia="Arial" w:hAnsi="Arial"/>
          <w:sz w:val="18"/>
          <w:szCs w:val="18"/>
          <w:color w:val="auto"/>
        </w:rPr>
      </w:pPr>
    </w:p>
    <w:p>
      <w:pPr>
        <w:jc w:val="both"/>
        <w:ind w:left="886" w:hanging="294"/>
        <w:spacing w:after="0" w:line="298" w:lineRule="auto"/>
        <w:tabs>
          <w:tab w:leader="none" w:pos="883"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information that has been entrusted to ICON on a confidential basis until a public announcement of the information has been made and enough time has elapsed for the market to respond to a public announcement of the information. An example of this may be the results of a clinical trial or news of a potential merger of our clients or other material information about clients which you may hear in the course of your employment.</w:t>
      </w:r>
    </w:p>
    <w:p>
      <w:pPr>
        <w:spacing w:after="0" w:line="200" w:lineRule="exact"/>
        <w:rPr>
          <w:sz w:val="20"/>
          <w:szCs w:val="20"/>
          <w:color w:val="auto"/>
        </w:rPr>
      </w:pPr>
    </w:p>
    <w:p>
      <w:pPr>
        <w:spacing w:after="0" w:line="345"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46"/>
          </w:cols>
          <w:pgMar w:left="614" w:top="1440" w:right="339" w:bottom="1440" w:gutter="0" w:footer="0" w:header="0"/>
        </w:sectPr>
      </w:pPr>
    </w:p>
    <w:bookmarkStart w:id="150" w:name="page151"/>
    <w:bookmarkEnd w:id="150"/>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ind w:left="601"/>
        <w:spacing w:after="0" w:line="332" w:lineRule="auto"/>
        <w:rPr>
          <w:sz w:val="20"/>
          <w:szCs w:val="20"/>
          <w:color w:val="auto"/>
        </w:rPr>
      </w:pPr>
      <w:r>
        <w:rPr>
          <w:rFonts w:ascii="Arial" w:cs="Arial" w:eastAsia="Arial" w:hAnsi="Arial"/>
          <w:sz w:val="18"/>
          <w:szCs w:val="18"/>
          <w:b w:val="1"/>
          <w:bCs w:val="1"/>
          <w:color w:val="auto"/>
        </w:rPr>
        <w:t>As with questions of materiality, if you are not sure whether information is considered non-public, you should either consult with the Corporate Governance team or assume that the information is “non-public” and treat it as confidential.</w:t>
      </w:r>
    </w:p>
    <w:p>
      <w:pPr>
        <w:spacing w:after="0" w:line="117" w:lineRule="exact"/>
        <w:rPr>
          <w:sz w:val="20"/>
          <w:szCs w:val="20"/>
          <w:color w:val="auto"/>
        </w:rPr>
      </w:pPr>
    </w:p>
    <w:p>
      <w:pPr>
        <w:ind w:left="601" w:hanging="306"/>
        <w:spacing w:after="0" w:line="309" w:lineRule="auto"/>
        <w:tabs>
          <w:tab w:leader="none" w:pos="59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ICON has appointed the General Counsel to oversee the implementation and governance of this Policy. The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but are not limited to, the following:</w:t>
      </w:r>
    </w:p>
    <w:p>
      <w:pPr>
        <w:spacing w:after="0" w:line="144" w:lineRule="exact"/>
        <w:rPr>
          <w:rFonts w:ascii="Arial" w:cs="Arial" w:eastAsia="Arial" w:hAnsi="Arial"/>
          <w:sz w:val="18"/>
          <w:szCs w:val="18"/>
          <w:color w:val="auto"/>
        </w:rPr>
      </w:pPr>
    </w:p>
    <w:p>
      <w:pPr>
        <w:ind w:left="1181" w:hanging="294"/>
        <w:spacing w:after="0"/>
        <w:tabs>
          <w:tab w:leader="none" w:pos="1181"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assisting with implementation of this Policy;</w:t>
      </w:r>
    </w:p>
    <w:p>
      <w:pPr>
        <w:spacing w:after="0" w:line="236" w:lineRule="exact"/>
        <w:rPr>
          <w:rFonts w:ascii="Arial" w:cs="Arial" w:eastAsia="Arial" w:hAnsi="Arial"/>
          <w:sz w:val="18"/>
          <w:szCs w:val="18"/>
          <w:color w:val="auto"/>
        </w:rPr>
      </w:pPr>
    </w:p>
    <w:p>
      <w:pPr>
        <w:ind w:left="1181" w:hanging="294"/>
        <w:spacing w:after="0" w:line="323" w:lineRule="auto"/>
        <w:tabs>
          <w:tab w:leader="none" w:pos="11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circulating this Policy to all employees and ensuring that this Policy is amended as necessary to remain up-to-date with insider trading laws;</w:t>
      </w:r>
    </w:p>
    <w:p>
      <w:pPr>
        <w:spacing w:after="0" w:line="132" w:lineRule="exact"/>
        <w:rPr>
          <w:rFonts w:ascii="Arial" w:cs="Arial" w:eastAsia="Arial" w:hAnsi="Arial"/>
          <w:sz w:val="18"/>
          <w:szCs w:val="18"/>
          <w:color w:val="auto"/>
        </w:rPr>
      </w:pPr>
    </w:p>
    <w:p>
      <w:pPr>
        <w:ind w:left="1181" w:hanging="294"/>
        <w:spacing w:after="0" w:line="309" w:lineRule="auto"/>
        <w:tabs>
          <w:tab w:leader="none" w:pos="11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notifying the applicable Covered Persons as appropriate of the Company’s imposition of a special “blackout” period as described Section 5 below;</w:t>
      </w:r>
    </w:p>
    <w:p>
      <w:pPr>
        <w:spacing w:after="0" w:line="144" w:lineRule="exact"/>
        <w:rPr>
          <w:rFonts w:ascii="Arial" w:cs="Arial" w:eastAsia="Arial" w:hAnsi="Arial"/>
          <w:sz w:val="18"/>
          <w:szCs w:val="18"/>
          <w:color w:val="auto"/>
        </w:rPr>
      </w:pPr>
    </w:p>
    <w:p>
      <w:pPr>
        <w:ind w:left="1161" w:hanging="274"/>
        <w:spacing w:after="0"/>
        <w:tabs>
          <w:tab w:leader="none" w:pos="1161"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maintaining the Insider List as set out in Section 7;</w:t>
      </w:r>
    </w:p>
    <w:p>
      <w:pPr>
        <w:spacing w:after="0" w:line="236" w:lineRule="exact"/>
        <w:rPr>
          <w:rFonts w:ascii="Arial" w:cs="Arial" w:eastAsia="Arial" w:hAnsi="Arial"/>
          <w:sz w:val="18"/>
          <w:szCs w:val="18"/>
          <w:color w:val="auto"/>
        </w:rPr>
      </w:pPr>
    </w:p>
    <w:p>
      <w:pPr>
        <w:ind w:left="1181" w:hanging="294"/>
        <w:spacing w:after="0" w:line="323"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setting up procedures for pre-clearing all trading in securities of ICON by persons on the Insider List in accordance with the procedures set forth in Section 8 below; and</w:t>
      </w:r>
    </w:p>
    <w:p>
      <w:pPr>
        <w:spacing w:after="0" w:line="132" w:lineRule="exact"/>
        <w:rPr>
          <w:rFonts w:ascii="Arial" w:cs="Arial" w:eastAsia="Arial" w:hAnsi="Arial"/>
          <w:sz w:val="18"/>
          <w:szCs w:val="18"/>
          <w:color w:val="auto"/>
        </w:rPr>
      </w:pPr>
    </w:p>
    <w:p>
      <w:pPr>
        <w:ind w:left="1181" w:hanging="294"/>
        <w:spacing w:after="0"/>
        <w:tabs>
          <w:tab w:leader="none" w:pos="1181"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reviewing requests from individuals listed on the insider list to engage in transactions set out in Section 9 below.</w:t>
      </w:r>
    </w:p>
    <w:p>
      <w:pPr>
        <w:spacing w:after="0" w:line="224" w:lineRule="exact"/>
        <w:rPr>
          <w:sz w:val="20"/>
          <w:szCs w:val="20"/>
          <w:color w:val="auto"/>
        </w:rPr>
      </w:pPr>
    </w:p>
    <w:p>
      <w:pPr>
        <w:jc w:val="both"/>
        <w:ind w:left="601"/>
        <w:spacing w:after="0" w:line="323" w:lineRule="auto"/>
        <w:rPr>
          <w:sz w:val="20"/>
          <w:szCs w:val="20"/>
          <w:color w:val="auto"/>
        </w:rPr>
      </w:pPr>
      <w:r>
        <w:rPr>
          <w:rFonts w:ascii="Arial" w:cs="Arial" w:eastAsia="Arial" w:hAnsi="Arial"/>
          <w:sz w:val="18"/>
          <w:szCs w:val="18"/>
          <w:color w:val="auto"/>
        </w:rPr>
        <w:t>The Compliance duties of the General Counsel set out in this Policy may also be fulfilled by the Chief Financial Officer or the Chief Executive Officer when the General Counsel is absent or unavailable.</w:t>
      </w:r>
    </w:p>
    <w:p>
      <w:pPr>
        <w:spacing w:after="0" w:line="133" w:lineRule="exact"/>
        <w:rPr>
          <w:sz w:val="20"/>
          <w:szCs w:val="20"/>
          <w:color w:val="auto"/>
        </w:rPr>
      </w:pPr>
    </w:p>
    <w:p>
      <w:pPr>
        <w:jc w:val="both"/>
        <w:ind w:left="601"/>
        <w:spacing w:after="0" w:line="304" w:lineRule="auto"/>
        <w:rPr>
          <w:sz w:val="20"/>
          <w:szCs w:val="20"/>
          <w:color w:val="auto"/>
        </w:rPr>
      </w:pPr>
      <w:r>
        <w:rPr>
          <w:rFonts w:ascii="Arial" w:cs="Arial" w:eastAsia="Arial" w:hAnsi="Arial"/>
          <w:sz w:val="18"/>
          <w:szCs w:val="18"/>
          <w:color w:val="auto"/>
        </w:rPr>
        <w:t xml:space="preserve">If any person has any doubt as to whether information in his or her possession is material and non-public, such person shall not disclose that information without first contacting the </w:t>
      </w:r>
      <w:r>
        <w:rPr>
          <w:rFonts w:ascii="Arial" w:cs="Arial" w:eastAsia="Arial" w:hAnsi="Arial"/>
          <w:sz w:val="18"/>
          <w:szCs w:val="18"/>
          <w:b w:val="1"/>
          <w:bCs w:val="1"/>
          <w:color w:val="auto"/>
        </w:rPr>
        <w:t>Corporate Governance team</w:t>
      </w:r>
      <w:r>
        <w:rPr>
          <w:rFonts w:ascii="Arial" w:cs="Arial" w:eastAsia="Arial" w:hAnsi="Arial"/>
          <w:sz w:val="18"/>
          <w:szCs w:val="18"/>
          <w:color w:val="auto"/>
        </w:rPr>
        <w:t xml:space="preserve"> who will liaise with the General Counsel as required.</w:t>
      </w:r>
    </w:p>
    <w:p>
      <w:pPr>
        <w:spacing w:after="0" w:line="261" w:lineRule="exact"/>
        <w:rPr>
          <w:sz w:val="20"/>
          <w:szCs w:val="20"/>
          <w:color w:val="auto"/>
        </w:rPr>
      </w:pPr>
    </w:p>
    <w:p>
      <w:pPr>
        <w:ind w:left="581" w:hanging="581"/>
        <w:spacing w:after="0"/>
        <w:tabs>
          <w:tab w:leader="none" w:pos="58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Violations of Insider Trading Laws</w:t>
      </w:r>
    </w:p>
    <w:p>
      <w:pPr>
        <w:spacing w:after="0" w:line="236" w:lineRule="exact"/>
        <w:rPr>
          <w:rFonts w:ascii="Arial" w:cs="Arial" w:eastAsia="Arial" w:hAnsi="Arial"/>
          <w:sz w:val="18"/>
          <w:szCs w:val="18"/>
          <w:b w:val="1"/>
          <w:bCs w:val="1"/>
          <w:color w:val="auto"/>
        </w:rPr>
      </w:pPr>
    </w:p>
    <w:p>
      <w:pPr>
        <w:jc w:val="both"/>
        <w:ind w:left="601"/>
        <w:spacing w:after="0" w:line="304" w:lineRule="auto"/>
        <w:rPr>
          <w:rFonts w:ascii="Arial" w:cs="Arial" w:eastAsia="Arial" w:hAnsi="Arial"/>
          <w:sz w:val="18"/>
          <w:szCs w:val="18"/>
          <w:b w:val="1"/>
          <w:bCs w:val="1"/>
          <w:color w:val="auto"/>
        </w:rPr>
      </w:pPr>
      <w:r>
        <w:rPr>
          <w:rFonts w:ascii="Arial" w:cs="Arial" w:eastAsia="Arial" w:hAnsi="Arial"/>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50" w:lineRule="exact"/>
        <w:rPr>
          <w:rFonts w:ascii="Arial" w:cs="Arial" w:eastAsia="Arial" w:hAnsi="Arial"/>
          <w:sz w:val="18"/>
          <w:szCs w:val="18"/>
          <w:b w:val="1"/>
          <w:bCs w:val="1"/>
          <w:color w:val="auto"/>
        </w:rPr>
      </w:pPr>
    </w:p>
    <w:p>
      <w:pPr>
        <w:jc w:val="both"/>
        <w:ind w:left="601"/>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 xml:space="preserve">In addition, a person who “tips” others may also be liable for transactions by the </w:t>
      </w:r>
      <w:r>
        <w:rPr>
          <w:rFonts w:ascii="Arial" w:cs="Arial" w:eastAsia="Arial" w:hAnsi="Arial"/>
          <w:sz w:val="18"/>
          <w:szCs w:val="18"/>
          <w:i w:val="1"/>
          <w:iCs w:val="1"/>
          <w:color w:val="auto"/>
        </w:rPr>
        <w:t>tippees</w:t>
      </w:r>
      <w:r>
        <w:rPr>
          <w:rFonts w:ascii="Arial" w:cs="Arial" w:eastAsia="Arial" w:hAnsi="Arial"/>
          <w:sz w:val="18"/>
          <w:szCs w:val="18"/>
          <w:color w:val="auto"/>
        </w:rPr>
        <w:t xml:space="preserve"> to whom he or she has disclosed material non-public information. Tippers can be subject to the same penalties and sanctions as the </w:t>
      </w:r>
      <w:r>
        <w:rPr>
          <w:rFonts w:ascii="Arial" w:cs="Arial" w:eastAsia="Arial" w:hAnsi="Arial"/>
          <w:sz w:val="18"/>
          <w:szCs w:val="18"/>
          <w:i w:val="1"/>
          <w:iCs w:val="1"/>
          <w:color w:val="auto"/>
        </w:rPr>
        <w:t>tippees</w:t>
      </w:r>
      <w:r>
        <w:rPr>
          <w:rFonts w:ascii="Arial" w:cs="Arial" w:eastAsia="Arial" w:hAnsi="Arial"/>
          <w:sz w:val="18"/>
          <w:szCs w:val="18"/>
          <w:color w:val="auto"/>
        </w:rPr>
        <w:t>, and large penalties have been imposed even when the tipper did not profit from the transaction. Similarly, aiding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1"/>
          </w:cols>
          <w:pgMar w:left="319" w:top="1440" w:right="339" w:bottom="1440" w:gutter="0" w:footer="0" w:header="0"/>
        </w:sectPr>
      </w:pPr>
    </w:p>
    <w:bookmarkStart w:id="151" w:name="page152"/>
    <w:bookmarkEnd w:id="151"/>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jc w:val="both"/>
        <w:ind w:left="601"/>
        <w:spacing w:after="0" w:line="323" w:lineRule="auto"/>
        <w:rPr>
          <w:sz w:val="20"/>
          <w:szCs w:val="20"/>
          <w:color w:val="auto"/>
        </w:rPr>
      </w:pPr>
      <w:r>
        <w:rPr>
          <w:rFonts w:ascii="Arial" w:cs="Arial" w:eastAsia="Arial" w:hAnsi="Arial"/>
          <w:sz w:val="18"/>
          <w:szCs w:val="18"/>
          <w:color w:val="auto"/>
        </w:rPr>
        <w:t>abetting claims for securities fraud violations may be brought against secondary actors for providing knowing and substantial assistance to a primary securities law violator.</w:t>
      </w:r>
    </w:p>
    <w:p>
      <w:pPr>
        <w:spacing w:after="0" w:line="133" w:lineRule="exact"/>
        <w:rPr>
          <w:sz w:val="20"/>
          <w:szCs w:val="20"/>
          <w:color w:val="auto"/>
        </w:rPr>
      </w:pPr>
    </w:p>
    <w:p>
      <w:pPr>
        <w:jc w:val="both"/>
        <w:ind w:left="601"/>
        <w:spacing w:after="0" w:line="297" w:lineRule="auto"/>
        <w:rPr>
          <w:sz w:val="20"/>
          <w:szCs w:val="20"/>
          <w:color w:val="auto"/>
        </w:rPr>
      </w:pPr>
      <w:r>
        <w:rPr>
          <w:rFonts w:ascii="Arial" w:cs="Arial" w:eastAsia="Arial" w:hAnsi="Arial"/>
          <w:sz w:val="18"/>
          <w:szCs w:val="18"/>
          <w:color w:val="auto"/>
        </w:rPr>
        <w:t>The SEC can also seek substantial penalties from any person who, at the time of an insider trading violation, “directly or indirectly controlled the person who committed such violation,” which could apply to ICON and/or management and supervisory personnel. Civil plaintiffs may also bring control person claims against management or directors in private litigation.</w:t>
      </w:r>
    </w:p>
    <w:p>
      <w:pPr>
        <w:spacing w:after="0" w:line="156" w:lineRule="exact"/>
        <w:rPr>
          <w:sz w:val="20"/>
          <w:szCs w:val="20"/>
          <w:color w:val="auto"/>
        </w:rPr>
      </w:pPr>
    </w:p>
    <w:p>
      <w:pPr>
        <w:jc w:val="both"/>
        <w:ind w:left="601"/>
        <w:spacing w:after="0" w:line="293" w:lineRule="auto"/>
        <w:rPr>
          <w:sz w:val="20"/>
          <w:szCs w:val="20"/>
          <w:color w:val="auto"/>
        </w:rPr>
      </w:pPr>
      <w:r>
        <w:rPr>
          <w:rFonts w:ascii="Arial" w:cs="Arial" w:eastAsia="Arial" w:hAnsi="Arial"/>
          <w:sz w:val="18"/>
          <w:szCs w:val="18"/>
          <w:color w:val="auto"/>
        </w:rPr>
        <w:t>Non-compliance with insider trading laws and / or this Policy is also a non-compliance with ICON’s Global Code of Ethical Conduct. Employees who violate this Policy may be subject to disciplinary action by ICON, including dismissal for cause. Any exceptions to the above requirements, if permitted, may only be granted by the General Counsel in writing and must be provided before any activity contrary to these requirements takes place.</w:t>
      </w:r>
    </w:p>
    <w:p>
      <w:pPr>
        <w:spacing w:after="0" w:line="185" w:lineRule="exact"/>
        <w:rPr>
          <w:sz w:val="20"/>
          <w:szCs w:val="20"/>
          <w:color w:val="auto"/>
        </w:rPr>
      </w:pPr>
    </w:p>
    <w:p>
      <w:pPr>
        <w:ind w:left="581" w:hanging="581"/>
        <w:spacing w:after="0"/>
        <w:tabs>
          <w:tab w:leader="none" w:pos="58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Blackout Periods</w:t>
      </w:r>
    </w:p>
    <w:p>
      <w:pPr>
        <w:spacing w:after="0" w:line="236" w:lineRule="exact"/>
        <w:rPr>
          <w:rFonts w:ascii="Arial" w:cs="Arial" w:eastAsia="Arial" w:hAnsi="Arial"/>
          <w:sz w:val="18"/>
          <w:szCs w:val="18"/>
          <w:b w:val="1"/>
          <w:bCs w:val="1"/>
          <w:color w:val="auto"/>
        </w:rPr>
      </w:pPr>
    </w:p>
    <w:p>
      <w:pPr>
        <w:jc w:val="both"/>
        <w:ind w:left="601"/>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All Covered Persons who are (i) directors, officers or employees at the level of Vice President and above or (ii) designated by the General Counsel, and (iii) immediate family members (parents, siblings, spouses, children) and other persons living in such persons household and (iv) any persons or entities each of them controls (collectively, “</w:t>
      </w:r>
      <w:r>
        <w:rPr>
          <w:rFonts w:ascii="Arial" w:cs="Arial" w:eastAsia="Arial" w:hAnsi="Arial"/>
          <w:sz w:val="18"/>
          <w:szCs w:val="18"/>
          <w:b w:val="1"/>
          <w:bCs w:val="1"/>
          <w:color w:val="auto"/>
        </w:rPr>
        <w:t>Restricted Covered Persons</w:t>
      </w:r>
      <w:r>
        <w:rPr>
          <w:rFonts w:ascii="Arial" w:cs="Arial" w:eastAsia="Arial" w:hAnsi="Arial"/>
          <w:sz w:val="18"/>
          <w:szCs w:val="18"/>
          <w:color w:val="auto"/>
        </w:rPr>
        <w:t>”) are prohibited from trading in ICON’s securities during blackout periods.</w:t>
      </w:r>
    </w:p>
    <w:p>
      <w:pPr>
        <w:spacing w:after="0" w:line="159" w:lineRule="exact"/>
        <w:rPr>
          <w:rFonts w:ascii="Arial" w:cs="Arial" w:eastAsia="Arial" w:hAnsi="Arial"/>
          <w:sz w:val="18"/>
          <w:szCs w:val="18"/>
          <w:b w:val="1"/>
          <w:bCs w:val="1"/>
          <w:color w:val="auto"/>
        </w:rPr>
      </w:pPr>
    </w:p>
    <w:p>
      <w:pPr>
        <w:jc w:val="both"/>
        <w:ind w:left="601" w:hanging="306"/>
        <w:spacing w:after="0" w:line="298" w:lineRule="auto"/>
        <w:tabs>
          <w:tab w:leader="none" w:pos="590" w:val="left"/>
        </w:tabs>
        <w:numPr>
          <w:ilvl w:val="1"/>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Quarterly Blackout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in ICON’s securities is prohibited during the period beginning at the close of the market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nineteenth day of the last month of each fiscal quarter and ending at the close of the market on the second full trading day following the date ICON’s financial results are publicly disclosed. During these periods, Restricted Covered Persons may generally be presumed to possess material non-public information about ICON’s financial results.</w:t>
      </w:r>
    </w:p>
    <w:p>
      <w:pPr>
        <w:spacing w:after="0" w:line="143" w:lineRule="exact"/>
        <w:rPr>
          <w:sz w:val="20"/>
          <w:szCs w:val="20"/>
          <w:color w:val="auto"/>
        </w:rPr>
      </w:pPr>
    </w:p>
    <w:p>
      <w:pPr>
        <w:ind w:left="601"/>
        <w:spacing w:after="0"/>
        <w:rPr>
          <w:sz w:val="20"/>
          <w:szCs w:val="20"/>
          <w:color w:val="auto"/>
        </w:rPr>
      </w:pPr>
      <w:r>
        <w:rPr>
          <w:rFonts w:ascii="Arial" w:cs="Arial" w:eastAsia="Arial" w:hAnsi="Arial"/>
          <w:sz w:val="18"/>
          <w:szCs w:val="18"/>
          <w:color w:val="auto"/>
        </w:rPr>
        <w:t>ICON’s fiscal quarters are: Q1: January - March, Q2: April - June, Q3: July - September, Q4: October - December.</w:t>
      </w:r>
    </w:p>
    <w:p>
      <w:pPr>
        <w:spacing w:after="0" w:line="138" w:lineRule="exact"/>
        <w:rPr>
          <w:sz w:val="20"/>
          <w:szCs w:val="20"/>
          <w:color w:val="auto"/>
        </w:rPr>
      </w:pPr>
    </w:p>
    <w:p>
      <w:pPr>
        <w:ind w:left="201"/>
        <w:spacing w:after="0"/>
        <w:rPr>
          <w:sz w:val="20"/>
          <w:szCs w:val="20"/>
          <w:color w:val="auto"/>
        </w:rPr>
      </w:pPr>
      <w:r>
        <w:rPr>
          <w:rFonts w:ascii="Arial" w:cs="Arial" w:eastAsia="Arial" w:hAnsi="Arial"/>
          <w:sz w:val="18"/>
          <w:szCs w:val="18"/>
          <w:color w:val="auto"/>
        </w:rPr>
        <w:t>The specific dates of the blackout periods are available from the MyICON homepage.</w:t>
      </w:r>
    </w:p>
    <w:p>
      <w:pPr>
        <w:spacing w:after="0" w:line="237" w:lineRule="exact"/>
        <w:rPr>
          <w:sz w:val="20"/>
          <w:szCs w:val="20"/>
          <w:color w:val="auto"/>
        </w:rPr>
      </w:pPr>
    </w:p>
    <w:p>
      <w:pPr>
        <w:jc w:val="both"/>
        <w:ind w:left="601" w:hanging="306"/>
        <w:spacing w:after="0" w:line="291" w:lineRule="auto"/>
        <w:tabs>
          <w:tab w:leader="none" w:pos="59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Blackout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other types of material non-public information regarding ICON (such as negotiation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mergers, acquisitions or dispositions, the identification of a significant Cybersecurity risk or Incident or new product developments) may be pending and not be publicly disclosed. Until such material non-public information is publicly disclosed, ICON may impose special blackout periods during which Covered Persons with knowledge of or access to such material non-public information are prohibited from trading in ICON’s securities.</w:t>
      </w:r>
    </w:p>
    <w:p>
      <w:pPr>
        <w:spacing w:after="0" w:line="11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8"/>
          <w:szCs w:val="18"/>
          <w:color w:val="auto"/>
        </w:rPr>
        <w:t>If ICON imposes a special blackout period, it will notify the Covered Persons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1"/>
          </w:cols>
          <w:pgMar w:left="319" w:top="1440" w:right="339" w:bottom="1440" w:gutter="0" w:footer="0" w:header="0"/>
        </w:sectPr>
      </w:pPr>
    </w:p>
    <w:bookmarkStart w:id="152" w:name="page153"/>
    <w:bookmarkEnd w:id="152"/>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jc w:val="both"/>
        <w:ind w:left="485" w:hanging="306"/>
        <w:spacing w:after="0" w:line="304" w:lineRule="auto"/>
        <w:tabs>
          <w:tab w:leader="none" w:pos="475"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and Restricted Share Unit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 Close Period, for the purposes of interpretation of Option and Restricted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Unit Plans, Agreements and terms and conditions, refers to any period where the relevant Covered Person is subject to either a quarterly blackout period or special blackout period.</w:t>
      </w:r>
    </w:p>
    <w:p>
      <w:pPr>
        <w:spacing w:after="0" w:line="137" w:lineRule="exact"/>
        <w:rPr>
          <w:rFonts w:ascii="Arial" w:cs="Arial" w:eastAsia="Arial" w:hAnsi="Arial"/>
          <w:sz w:val="18"/>
          <w:szCs w:val="18"/>
          <w:color w:val="auto"/>
        </w:rPr>
      </w:pPr>
    </w:p>
    <w:p>
      <w:pPr>
        <w:ind w:left="485" w:hanging="306"/>
        <w:spacing w:after="0" w:line="332" w:lineRule="auto"/>
        <w:tabs>
          <w:tab w:leader="none" w:pos="473"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Exception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prohibition on trading in ICON securities while in possession of material non-public information does not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under a written plan, contract, instruction, or arrangement under Rule 10b5-1 (an “</w:t>
      </w:r>
      <w:r>
        <w:rPr>
          <w:rFonts w:ascii="Arial" w:cs="Arial" w:eastAsia="Arial" w:hAnsi="Arial"/>
          <w:sz w:val="18"/>
          <w:szCs w:val="18"/>
          <w:b w:val="1"/>
          <w:bCs w:val="1"/>
          <w:color w:val="auto"/>
        </w:rPr>
        <w:t>Approved 10b5-1 Plan</w:t>
      </w:r>
      <w:r>
        <w:rPr>
          <w:rFonts w:ascii="Arial" w:cs="Arial" w:eastAsia="Arial" w:hAnsi="Arial"/>
          <w:sz w:val="18"/>
          <w:szCs w:val="18"/>
          <w:color w:val="auto"/>
        </w:rPr>
        <w:t>”) that:</w:t>
      </w:r>
    </w:p>
    <w:p>
      <w:pPr>
        <w:spacing w:after="0" w:line="117" w:lineRule="exact"/>
        <w:rPr>
          <w:rFonts w:ascii="Arial" w:cs="Arial" w:eastAsia="Arial" w:hAnsi="Arial"/>
          <w:sz w:val="18"/>
          <w:szCs w:val="18"/>
          <w:color w:val="auto"/>
        </w:rPr>
      </w:pPr>
    </w:p>
    <w:p>
      <w:pPr>
        <w:ind w:left="765" w:hanging="290"/>
        <w:spacing w:after="0" w:line="323" w:lineRule="auto"/>
        <w:tabs>
          <w:tab w:leader="none" w:pos="757" w:val="left"/>
        </w:tabs>
        <w:numPr>
          <w:ilvl w:val="1"/>
          <w:numId w:val="96"/>
        </w:numPr>
        <w:rPr>
          <w:rFonts w:ascii="Arial" w:cs="Arial" w:eastAsia="Arial" w:hAnsi="Arial"/>
          <w:sz w:val="18"/>
          <w:szCs w:val="18"/>
          <w:color w:val="auto"/>
        </w:rPr>
      </w:pPr>
      <w:r>
        <w:rPr>
          <w:rFonts w:ascii="Arial" w:cs="Arial" w:eastAsia="Arial" w:hAnsi="Arial"/>
          <w:sz w:val="18"/>
          <w:szCs w:val="18"/>
          <w:color w:val="auto"/>
        </w:rPr>
        <w:t>has been reviewed and approved by the General Counsel prior to adoption of the plan (or, if revised or amended, such revisions or amendments have been reviewed and approved by the General Counsel prior to adoption of such revisions or amendments);</w:t>
      </w:r>
    </w:p>
    <w:p>
      <w:pPr>
        <w:spacing w:after="0" w:line="132" w:lineRule="exact"/>
        <w:rPr>
          <w:rFonts w:ascii="Arial" w:cs="Arial" w:eastAsia="Arial" w:hAnsi="Arial"/>
          <w:sz w:val="18"/>
          <w:szCs w:val="18"/>
          <w:color w:val="auto"/>
        </w:rPr>
      </w:pPr>
    </w:p>
    <w:p>
      <w:pPr>
        <w:jc w:val="both"/>
        <w:ind w:left="765" w:hanging="290"/>
        <w:spacing w:after="0" w:line="272" w:lineRule="auto"/>
        <w:tabs>
          <w:tab w:leader="none" w:pos="7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requires a “cooling off” period before any transactions may be initiated for at least 30 days after adoption of the plan or any revisions or amendments to the plan; and, if the Covered Person is a director of ICON plc, an executive officer of ICON</w:t>
      </w:r>
      <w:r>
        <w:rPr>
          <w:rFonts w:ascii="Arial" w:cs="Arial" w:eastAsia="Arial" w:hAnsi="Arial"/>
          <w:sz w:val="23"/>
          <w:szCs w:val="23"/>
          <w:color w:val="auto"/>
          <w:vertAlign w:val="superscript"/>
        </w:rPr>
        <w:t>1</w:t>
      </w:r>
      <w:r>
        <w:rPr>
          <w:rFonts w:ascii="Arial" w:cs="Arial" w:eastAsia="Arial" w:hAnsi="Arial"/>
          <w:sz w:val="18"/>
          <w:szCs w:val="18"/>
          <w:color w:val="auto"/>
        </w:rPr>
        <w:t>, or otherwise designated by the General Counsel, no transactions may be initiated until at least 90 days or (if later) two business days following disclosure of ICON’s financial results (for ICON's financial quarter in which the plan was adopted) in a Form 20-F or 6-K (but not more than 120 days) after adoption of (or any revisions or amendments to) the plan;</w:t>
      </w:r>
    </w:p>
    <w:p>
      <w:pPr>
        <w:spacing w:after="0" w:line="179" w:lineRule="exact"/>
        <w:rPr>
          <w:rFonts w:ascii="Arial" w:cs="Arial" w:eastAsia="Arial" w:hAnsi="Arial"/>
          <w:sz w:val="18"/>
          <w:szCs w:val="18"/>
          <w:color w:val="auto"/>
        </w:rPr>
      </w:pPr>
    </w:p>
    <w:p>
      <w:pPr>
        <w:jc w:val="both"/>
        <w:ind w:left="765" w:hanging="290"/>
        <w:spacing w:after="0" w:line="272" w:lineRule="auto"/>
        <w:tabs>
          <w:tab w:leader="none" w:pos="763" w:val="left"/>
        </w:tabs>
        <w:numPr>
          <w:ilvl w:val="1"/>
          <w:numId w:val="96"/>
        </w:numPr>
        <w:rPr>
          <w:rFonts w:ascii="Arial" w:cs="Arial" w:eastAsia="Arial" w:hAnsi="Arial"/>
          <w:sz w:val="18"/>
          <w:szCs w:val="18"/>
          <w:color w:val="auto"/>
        </w:rPr>
      </w:pPr>
      <w:r>
        <w:rPr>
          <w:rFonts w:ascii="Arial" w:cs="Arial" w:eastAsia="Arial" w:hAnsi="Arial"/>
          <w:sz w:val="18"/>
          <w:szCs w:val="18"/>
          <w:color w:val="auto"/>
        </w:rPr>
        <w:t>was entered into in good faith by the Covered Person at a time when the Covered Person was not in possession of material non-public information about ICON; and, if the Covered Person is a director of ICON plc, an executive officer of ICON</w:t>
      </w:r>
      <w:r>
        <w:rPr>
          <w:rFonts w:ascii="Arial" w:cs="Arial" w:eastAsia="Arial" w:hAnsi="Arial"/>
          <w:sz w:val="23"/>
          <w:szCs w:val="23"/>
          <w:color w:val="auto"/>
          <w:vertAlign w:val="superscript"/>
        </w:rPr>
        <w:t>2</w:t>
      </w:r>
      <w:r>
        <w:rPr>
          <w:rFonts w:ascii="Arial" w:cs="Arial" w:eastAsia="Arial" w:hAnsi="Arial"/>
          <w:sz w:val="18"/>
          <w:szCs w:val="18"/>
          <w:color w:val="auto"/>
        </w:rPr>
        <w:t>, or otherwise designated by the General Counsel, the plan (and any revisions or amendments) includes a representation certifying that the Covered Person was not aware of material non-public information and that it was adopted in good faith and not as part of a plan or scheme to evade Rule 10b5-1;</w:t>
      </w:r>
    </w:p>
    <w:p>
      <w:pPr>
        <w:spacing w:after="0" w:line="179" w:lineRule="exact"/>
        <w:rPr>
          <w:rFonts w:ascii="Arial" w:cs="Arial" w:eastAsia="Arial" w:hAnsi="Arial"/>
          <w:sz w:val="18"/>
          <w:szCs w:val="18"/>
          <w:color w:val="auto"/>
        </w:rPr>
      </w:pPr>
    </w:p>
    <w:p>
      <w:pPr>
        <w:jc w:val="both"/>
        <w:ind w:left="765" w:hanging="290"/>
        <w:spacing w:after="0" w:line="293" w:lineRule="auto"/>
        <w:tabs>
          <w:tab w:leader="none" w:pos="7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gives a third party the discretionary authority to execute such purchases and sales, outside the control of the Covered Person, so long as such third party does not possess any material non-public information about ICON; or explicitly specifies the security or securities to be purchased or sold, the number of shares, the prices and/or dates of transactions, or other formula(s) describing such transactions; and</w:t>
      </w:r>
    </w:p>
    <w:p>
      <w:pPr>
        <w:spacing w:after="0" w:line="159" w:lineRule="exact"/>
        <w:rPr>
          <w:rFonts w:ascii="Arial" w:cs="Arial" w:eastAsia="Arial" w:hAnsi="Arial"/>
          <w:sz w:val="18"/>
          <w:szCs w:val="18"/>
          <w:color w:val="auto"/>
        </w:rPr>
      </w:pPr>
    </w:p>
    <w:p>
      <w:pPr>
        <w:ind w:left="745" w:hanging="270"/>
        <w:spacing w:after="0"/>
        <w:tabs>
          <w:tab w:leader="none" w:pos="745" w:val="left"/>
        </w:tabs>
        <w:numPr>
          <w:ilvl w:val="1"/>
          <w:numId w:val="96"/>
        </w:numPr>
        <w:rPr>
          <w:rFonts w:ascii="Arial" w:cs="Arial" w:eastAsia="Arial" w:hAnsi="Arial"/>
          <w:sz w:val="18"/>
          <w:szCs w:val="18"/>
          <w:color w:val="auto"/>
        </w:rPr>
      </w:pPr>
      <w:r>
        <w:rPr>
          <w:rFonts w:ascii="Arial" w:cs="Arial" w:eastAsia="Arial" w:hAnsi="Arial"/>
          <w:sz w:val="18"/>
          <w:szCs w:val="18"/>
          <w:color w:val="auto"/>
        </w:rPr>
        <w:t>otherwise satisfies the requirements of Rule 10b5-1(c), including the limitations on overlapping and single-trade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15024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1502410" cy="7620"/>
                    </a:xfrm>
                    <a:prstGeom prst="rect">
                      <a:avLst/>
                    </a:prstGeom>
                    <a:noFill/>
                  </pic:spPr>
                </pic:pic>
              </a:graphicData>
            </a:graphic>
          </wp:anchor>
        </w:drawing>
      </w:r>
    </w:p>
    <w:p>
      <w:pPr>
        <w:spacing w:after="0" w:line="266" w:lineRule="exact"/>
        <w:rPr>
          <w:sz w:val="20"/>
          <w:szCs w:val="20"/>
          <w:color w:val="auto"/>
        </w:rPr>
      </w:pPr>
    </w:p>
    <w:p>
      <w:pPr>
        <w:ind w:left="125" w:right="200" w:hanging="125"/>
        <w:spacing w:after="0" w:line="195" w:lineRule="auto"/>
        <w:tabs>
          <w:tab w:leader="none" w:pos="128" w:val="left"/>
        </w:tabs>
        <w:numPr>
          <w:ilvl w:val="0"/>
          <w:numId w:val="97"/>
        </w:numPr>
        <w:rPr>
          <w:rFonts w:ascii="Times New Roman" w:cs="Times New Roman" w:eastAsia="Times New Roman" w:hAnsi="Times New Roman"/>
          <w:sz w:val="30"/>
          <w:szCs w:val="30"/>
          <w:color w:val="auto"/>
          <w:vertAlign w:val="superscript"/>
        </w:rPr>
      </w:pPr>
      <w:r>
        <w:rPr>
          <w:rFonts w:ascii="Arial" w:cs="Arial" w:eastAsia="Arial" w:hAnsi="Arial"/>
          <w:sz w:val="18"/>
          <w:szCs w:val="18"/>
          <w:color w:val="auto"/>
        </w:rPr>
        <w:t>Within the meaning of NASDAQ Listing Rule 5608 and Exchange Act Rule 10D-1, including any “officer” under Exchange Act Rule 16a-1(f).</w:t>
      </w:r>
    </w:p>
    <w:p>
      <w:pPr>
        <w:spacing w:after="0" w:line="180" w:lineRule="exact"/>
        <w:rPr>
          <w:sz w:val="20"/>
          <w:szCs w:val="20"/>
          <w:color w:val="auto"/>
        </w:rPr>
      </w:pPr>
    </w:p>
    <w:p>
      <w:pPr>
        <w:ind w:left="125" w:right="200" w:hanging="125"/>
        <w:spacing w:after="0" w:line="195" w:lineRule="auto"/>
        <w:tabs>
          <w:tab w:leader="none" w:pos="128" w:val="left"/>
        </w:tabs>
        <w:numPr>
          <w:ilvl w:val="0"/>
          <w:numId w:val="98"/>
        </w:numPr>
        <w:rPr>
          <w:rFonts w:ascii="Times New Roman" w:cs="Times New Roman" w:eastAsia="Times New Roman" w:hAnsi="Times New Roman"/>
          <w:sz w:val="30"/>
          <w:szCs w:val="30"/>
          <w:color w:val="auto"/>
          <w:vertAlign w:val="superscript"/>
        </w:rPr>
      </w:pPr>
      <w:r>
        <w:rPr>
          <w:rFonts w:ascii="Arial" w:cs="Arial" w:eastAsia="Arial" w:hAnsi="Arial"/>
          <w:sz w:val="18"/>
          <w:szCs w:val="18"/>
          <w:color w:val="auto"/>
        </w:rPr>
        <w:t>Within the meaning of NASDAQ Listing Rule 5608 and Exchange Act Rule 10D-1, including any “officer” under Exchange Act Rule 16a-1(f).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25"/>
          </w:cols>
          <w:pgMar w:left="435" w:top="1440" w:right="339" w:bottom="1440" w:gutter="0" w:footer="0" w:header="0"/>
        </w:sectPr>
      </w:pPr>
    </w:p>
    <w:bookmarkStart w:id="153" w:name="page154"/>
    <w:bookmarkEnd w:id="15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ind w:left="581" w:hanging="581"/>
        <w:spacing w:after="0"/>
        <w:tabs>
          <w:tab w:leader="none" w:pos="58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Trading Windows</w:t>
      </w:r>
    </w:p>
    <w:p>
      <w:pPr>
        <w:spacing w:after="0" w:line="236" w:lineRule="exact"/>
        <w:rPr>
          <w:rFonts w:ascii="Arial" w:cs="Arial" w:eastAsia="Arial" w:hAnsi="Arial"/>
          <w:sz w:val="18"/>
          <w:szCs w:val="18"/>
          <w:b w:val="1"/>
          <w:bCs w:val="1"/>
          <w:color w:val="auto"/>
        </w:rPr>
      </w:pPr>
    </w:p>
    <w:p>
      <w:pPr>
        <w:jc w:val="both"/>
        <w:ind w:left="581"/>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In general, Covered Persons who are not Restricted Covered Persons, who have not been notified that they are subject to a special blackout period and are not otherwise in possession of material non-public information are permitted to trade in ICON’s securities without restriction.</w:t>
      </w:r>
    </w:p>
    <w:p>
      <w:pPr>
        <w:spacing w:after="0" w:line="155" w:lineRule="exact"/>
        <w:rPr>
          <w:rFonts w:ascii="Arial" w:cs="Arial" w:eastAsia="Arial" w:hAnsi="Arial"/>
          <w:sz w:val="18"/>
          <w:szCs w:val="18"/>
          <w:b w:val="1"/>
          <w:bCs w:val="1"/>
          <w:color w:val="auto"/>
        </w:rPr>
      </w:pPr>
    </w:p>
    <w:p>
      <w:pPr>
        <w:jc w:val="both"/>
        <w:ind w:left="581"/>
        <w:spacing w:after="0" w:line="288" w:lineRule="auto"/>
        <w:rPr>
          <w:rFonts w:ascii="Arial" w:cs="Arial" w:eastAsia="Arial" w:hAnsi="Arial"/>
          <w:sz w:val="18"/>
          <w:szCs w:val="18"/>
          <w:b w:val="1"/>
          <w:bCs w:val="1"/>
          <w:color w:val="auto"/>
        </w:rPr>
      </w:pPr>
      <w:r>
        <w:rPr>
          <w:rFonts w:ascii="Arial" w:cs="Arial" w:eastAsia="Arial" w:hAnsi="Arial"/>
          <w:sz w:val="18"/>
          <w:szCs w:val="18"/>
          <w:color w:val="auto"/>
        </w:rPr>
        <w:t>Restricted Covered Persons that are not in possession of any material non-public information are permitted to trade in ICON’s securities only when no blackout period is in effect. Generally, this means that Restricted Covered Persons that are not in possession of any material non-public information can trade only during the period beginning on the third full trading day following the date ICON’s financial results are publicly disclosed and ending at the close of the market on the nineteenth day of the last month of each fiscal quarter. However, even during a trading window, a Restricted Covered Person who is in possession of any material non-public information would not be permitted to trade in ICON’s securities until the information has been made publicly available or is no longer material. In addition, ICON may close this trading window for Restricted Covered Persons if a special blackout period under Section 5(b) above is imposed and will re-open the trading window once the special blackout period has ended. The fact that a special blackout period has been designated must also be kept confidential and must not be disclosed.</w:t>
      </w:r>
    </w:p>
    <w:p>
      <w:pPr>
        <w:spacing w:after="0" w:line="278" w:lineRule="exact"/>
        <w:rPr>
          <w:rFonts w:ascii="Arial" w:cs="Arial" w:eastAsia="Arial" w:hAnsi="Arial"/>
          <w:sz w:val="18"/>
          <w:szCs w:val="18"/>
          <w:b w:val="1"/>
          <w:bCs w:val="1"/>
          <w:color w:val="auto"/>
        </w:rPr>
      </w:pPr>
    </w:p>
    <w:p>
      <w:pPr>
        <w:ind w:left="581" w:hanging="581"/>
        <w:spacing w:after="0"/>
        <w:tabs>
          <w:tab w:leader="none" w:pos="58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ICON Insider List</w:t>
      </w:r>
    </w:p>
    <w:p>
      <w:pPr>
        <w:spacing w:after="0" w:line="261" w:lineRule="exact"/>
        <w:rPr>
          <w:rFonts w:ascii="Arial" w:cs="Arial" w:eastAsia="Arial" w:hAnsi="Arial"/>
          <w:sz w:val="18"/>
          <w:szCs w:val="18"/>
          <w:b w:val="1"/>
          <w:bCs w:val="1"/>
          <w:color w:val="auto"/>
        </w:rPr>
      </w:pPr>
    </w:p>
    <w:p>
      <w:pPr>
        <w:ind w:left="601"/>
        <w:spacing w:after="0"/>
        <w:rPr>
          <w:rFonts w:ascii="Arial" w:cs="Arial" w:eastAsia="Arial" w:hAnsi="Arial"/>
          <w:sz w:val="18"/>
          <w:szCs w:val="18"/>
          <w:b w:val="1"/>
          <w:bCs w:val="1"/>
          <w:color w:val="auto"/>
        </w:rPr>
      </w:pPr>
      <w:r>
        <w:rPr>
          <w:rFonts w:ascii="Arial" w:cs="Arial" w:eastAsia="Arial" w:hAnsi="Arial"/>
          <w:sz w:val="18"/>
          <w:szCs w:val="18"/>
          <w:color w:val="auto"/>
        </w:rPr>
        <w:t>For purposes of this policy, ICON maintains an Insider List which includes the following individuals:</w:t>
      </w:r>
    </w:p>
    <w:p>
      <w:pPr>
        <w:spacing w:after="0" w:line="261" w:lineRule="exact"/>
        <w:rPr>
          <w:sz w:val="20"/>
          <w:szCs w:val="20"/>
          <w:color w:val="auto"/>
        </w:rPr>
      </w:pPr>
    </w:p>
    <w:p>
      <w:pPr>
        <w:ind w:left="1181" w:hanging="294"/>
        <w:spacing w:after="0"/>
        <w:tabs>
          <w:tab w:leader="none" w:pos="118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directors of ICON plc;</w:t>
      </w:r>
    </w:p>
    <w:p>
      <w:pPr>
        <w:spacing w:after="0" w:line="39" w:lineRule="exact"/>
        <w:rPr>
          <w:sz w:val="20"/>
          <w:szCs w:val="20"/>
          <w:color w:val="auto"/>
        </w:rPr>
      </w:pPr>
    </w:p>
    <w:p>
      <w:pPr>
        <w:ind w:left="881" w:right="2420" w:firstLine="6"/>
        <w:spacing w:after="0" w:line="323" w:lineRule="auto"/>
        <w:tabs>
          <w:tab w:leader="none" w:pos="116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officers and employees of ICON who are members of ICON plc Leadership Team (“</w:t>
      </w:r>
      <w:r>
        <w:rPr>
          <w:rFonts w:ascii="Arial" w:cs="Arial" w:eastAsia="Arial" w:hAnsi="Arial"/>
          <w:sz w:val="18"/>
          <w:szCs w:val="18"/>
          <w:b w:val="1"/>
          <w:bCs w:val="1"/>
          <w:color w:val="auto"/>
        </w:rPr>
        <w:t>ILT</w:t>
      </w:r>
      <w:r>
        <w:rPr>
          <w:rFonts w:ascii="Arial" w:cs="Arial" w:eastAsia="Arial" w:hAnsi="Arial"/>
          <w:sz w:val="18"/>
          <w:szCs w:val="18"/>
          <w:color w:val="auto"/>
        </w:rPr>
        <w:t>”); and III. other key employees and officers designated by the General Counsel.</w:t>
      </w:r>
    </w:p>
    <w:p>
      <w:pPr>
        <w:spacing w:after="0" w:line="145" w:lineRule="exact"/>
        <w:rPr>
          <w:sz w:val="20"/>
          <w:szCs w:val="20"/>
          <w:color w:val="auto"/>
        </w:rPr>
      </w:pPr>
    </w:p>
    <w:p>
      <w:pPr>
        <w:ind w:left="581"/>
        <w:spacing w:after="0"/>
        <w:rPr>
          <w:sz w:val="20"/>
          <w:szCs w:val="20"/>
          <w:color w:val="auto"/>
        </w:rPr>
      </w:pPr>
      <w:r>
        <w:rPr>
          <w:rFonts w:ascii="Arial" w:cs="Arial" w:eastAsia="Arial" w:hAnsi="Arial"/>
          <w:sz w:val="18"/>
          <w:szCs w:val="18"/>
          <w:color w:val="auto"/>
        </w:rPr>
        <w:t>Individuals listed on the Insider List are subject to the additional obligations and restrictions as set out in Section 8 and Section 9.</w:t>
      </w:r>
    </w:p>
    <w:p>
      <w:pPr>
        <w:spacing w:after="0" w:line="261" w:lineRule="exact"/>
        <w:rPr>
          <w:sz w:val="20"/>
          <w:szCs w:val="20"/>
          <w:color w:val="auto"/>
        </w:rPr>
      </w:pPr>
    </w:p>
    <w:p>
      <w:pPr>
        <w:ind w:left="581"/>
        <w:spacing w:after="0" w:line="323" w:lineRule="auto"/>
        <w:rPr>
          <w:sz w:val="20"/>
          <w:szCs w:val="20"/>
          <w:color w:val="auto"/>
        </w:rPr>
      </w:pPr>
      <w:r>
        <w:rPr>
          <w:rFonts w:ascii="Arial" w:cs="Arial" w:eastAsia="Arial" w:hAnsi="Arial"/>
          <w:sz w:val="18"/>
          <w:szCs w:val="18"/>
          <w:color w:val="auto"/>
        </w:rPr>
        <w:t>ICON notifies each director, officer or employee when they are placed on the Insider List and they are required to acknowledge the additional obligations and restrictions that are set out in this Share Trading Policy.</w:t>
      </w:r>
    </w:p>
    <w:p>
      <w:pPr>
        <w:spacing w:after="0" w:line="158" w:lineRule="exact"/>
        <w:rPr>
          <w:sz w:val="20"/>
          <w:szCs w:val="20"/>
          <w:color w:val="auto"/>
        </w:rPr>
      </w:pPr>
    </w:p>
    <w:p>
      <w:pPr>
        <w:ind w:left="581" w:hanging="581"/>
        <w:spacing w:after="0"/>
        <w:tabs>
          <w:tab w:leader="none" w:pos="581"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Pre-clearance of Securities Transactions</w:t>
      </w:r>
    </w:p>
    <w:p>
      <w:pPr>
        <w:spacing w:after="0" w:line="236" w:lineRule="exact"/>
        <w:rPr>
          <w:rFonts w:ascii="Arial" w:cs="Arial" w:eastAsia="Arial" w:hAnsi="Arial"/>
          <w:sz w:val="18"/>
          <w:szCs w:val="18"/>
          <w:b w:val="1"/>
          <w:bCs w:val="1"/>
          <w:color w:val="auto"/>
        </w:rPr>
      </w:pPr>
    </w:p>
    <w:p>
      <w:pPr>
        <w:ind w:left="581"/>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ICON requires all persons on the Insider List to refrain from trading, even during a trading window, without first pre-clearing all transactions in ICON’s securities, because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1"/>
          </w:cols>
          <w:pgMar w:left="319" w:top="1440" w:right="339" w:bottom="1440" w:gutter="0" w:footer="0" w:header="0"/>
        </w:sectPr>
      </w:pPr>
    </w:p>
    <w:bookmarkStart w:id="154" w:name="page155"/>
    <w:bookmarkEnd w:id="154"/>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jc w:val="both"/>
        <w:ind w:left="581"/>
        <w:spacing w:after="0" w:line="293" w:lineRule="auto"/>
        <w:rPr>
          <w:sz w:val="20"/>
          <w:szCs w:val="20"/>
          <w:color w:val="auto"/>
        </w:rPr>
      </w:pPr>
      <w:r>
        <w:rPr>
          <w:rFonts w:ascii="Arial" w:cs="Arial" w:eastAsia="Arial" w:hAnsi="Arial"/>
          <w:sz w:val="18"/>
          <w:szCs w:val="18"/>
          <w:color w:val="auto"/>
        </w:rPr>
        <w:t>they are likely to be exposed to material non-public information on a regular basis. These pre-clearance procedures also apply to transactions by such person’s immediate family members (parents, siblings, spouses, children) and other persons living in such person’s household and by persons and entities over which such person exercises control. These pre-clearance procedures do not override the general prohibition on trading while in possession of material non-public information.</w:t>
      </w:r>
    </w:p>
    <w:p>
      <w:pPr>
        <w:spacing w:after="0" w:line="61" w:lineRule="exact"/>
        <w:rPr>
          <w:sz w:val="20"/>
          <w:szCs w:val="20"/>
          <w:color w:val="auto"/>
        </w:rPr>
      </w:pPr>
    </w:p>
    <w:p>
      <w:pPr>
        <w:jc w:val="both"/>
        <w:ind w:left="581" w:hanging="288"/>
        <w:spacing w:after="0" w:line="304" w:lineRule="auto"/>
        <w:tabs>
          <w:tab w:leader="none" w:pos="57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person listed on the Insider List may, directly or indirectly, purchase or sell (or otherwise make any transfer, gift, pledge or loan of, except for the exercise of stock options so long as the common stock is retained) any ICON security at any time without first obtaining prior approval from the General Counsel.</w:t>
      </w:r>
    </w:p>
    <w:p>
      <w:pPr>
        <w:spacing w:after="0" w:line="51" w:lineRule="exact"/>
        <w:rPr>
          <w:rFonts w:ascii="Arial" w:cs="Arial" w:eastAsia="Arial" w:hAnsi="Arial"/>
          <w:sz w:val="18"/>
          <w:szCs w:val="18"/>
          <w:color w:val="auto"/>
        </w:rPr>
      </w:pPr>
    </w:p>
    <w:p>
      <w:pPr>
        <w:ind w:left="601" w:hanging="306"/>
        <w:spacing w:after="0" w:line="309" w:lineRule="auto"/>
        <w:tabs>
          <w:tab w:leader="none" w:pos="5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Any person on the Insider List seeking to trade should contact the </w:t>
      </w:r>
      <w:r>
        <w:rPr>
          <w:rFonts w:ascii="Arial" w:cs="Arial" w:eastAsia="Arial" w:hAnsi="Arial"/>
          <w:sz w:val="18"/>
          <w:szCs w:val="18"/>
          <w:b w:val="1"/>
          <w:bCs w:val="1"/>
          <w:color w:val="auto"/>
        </w:rPr>
        <w:t>Corporate Governance team</w:t>
      </w:r>
      <w:r>
        <w:rPr>
          <w:rFonts w:ascii="Arial" w:cs="Arial" w:eastAsia="Arial" w:hAnsi="Arial"/>
          <w:sz w:val="18"/>
          <w:szCs w:val="18"/>
          <w:color w:val="auto"/>
        </w:rPr>
        <w:t xml:space="preserve"> in order to request the requisite permissions from the General Counsel.</w:t>
      </w:r>
    </w:p>
    <w:p>
      <w:pPr>
        <w:spacing w:after="0" w:line="144" w:lineRule="exact"/>
        <w:rPr>
          <w:rFonts w:ascii="Arial" w:cs="Arial" w:eastAsia="Arial" w:hAnsi="Arial"/>
          <w:sz w:val="18"/>
          <w:szCs w:val="18"/>
          <w:color w:val="auto"/>
        </w:rPr>
      </w:pPr>
    </w:p>
    <w:p>
      <w:pPr>
        <w:jc w:val="both"/>
        <w:ind w:left="601" w:hanging="306"/>
        <w:spacing w:after="0" w:line="304" w:lineRule="auto"/>
        <w:tabs>
          <w:tab w:leader="none" w:pos="5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date each request is received and the date and time each request is approved or disapproved shall be recorded. Unless revoked, a grant of permission will normally remain valid until the close of trading two trading days following the day on which it was granted. If the transaction does not occur during that period, pre-clearance of the transaction must be re-requested.</w:t>
      </w:r>
    </w:p>
    <w:p>
      <w:pPr>
        <w:spacing w:after="0" w:line="150" w:lineRule="exact"/>
        <w:rPr>
          <w:rFonts w:ascii="Arial" w:cs="Arial" w:eastAsia="Arial" w:hAnsi="Arial"/>
          <w:sz w:val="18"/>
          <w:szCs w:val="18"/>
          <w:color w:val="auto"/>
        </w:rPr>
      </w:pPr>
    </w:p>
    <w:p>
      <w:pPr>
        <w:ind w:left="581" w:hanging="286"/>
        <w:spacing w:after="0"/>
        <w:tabs>
          <w:tab w:leader="none" w:pos="58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General Counsel must obtain approval to trade from either the Chief Financial Officer or the Chief Executive Officer.</w:t>
      </w:r>
    </w:p>
    <w:p>
      <w:pPr>
        <w:spacing w:after="0" w:line="224" w:lineRule="exact"/>
        <w:rPr>
          <w:rFonts w:ascii="Arial" w:cs="Arial" w:eastAsia="Arial" w:hAnsi="Arial"/>
          <w:sz w:val="18"/>
          <w:szCs w:val="18"/>
          <w:color w:val="auto"/>
        </w:rPr>
      </w:pPr>
    </w:p>
    <w:p>
      <w:pPr>
        <w:jc w:val="both"/>
        <w:ind w:left="601" w:hanging="306"/>
        <w:spacing w:after="0" w:line="309" w:lineRule="auto"/>
        <w:tabs>
          <w:tab w:leader="none" w:pos="5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pre-clearance is not required for purchases and sales of securities under an Approved 10b5-1 Plan. With respect to any purchase or sale under an Approved 10b5-1 Plan, the third party effecting transactions on behalf of the Covered Person should be instructed to send duplicate confirmations of all such transactions to the </w:t>
      </w:r>
      <w:r>
        <w:rPr>
          <w:rFonts w:ascii="Arial" w:cs="Arial" w:eastAsia="Arial" w:hAnsi="Arial"/>
          <w:sz w:val="18"/>
          <w:szCs w:val="18"/>
          <w:b w:val="1"/>
          <w:bCs w:val="1"/>
          <w:color w:val="auto"/>
        </w:rPr>
        <w:t>Corporate Governance team</w:t>
      </w:r>
      <w:r>
        <w:rPr>
          <w:rFonts w:ascii="Arial" w:cs="Arial" w:eastAsia="Arial" w:hAnsi="Arial"/>
          <w:sz w:val="18"/>
          <w:szCs w:val="18"/>
          <w:color w:val="auto"/>
        </w:rPr>
        <w:t>.</w:t>
      </w:r>
    </w:p>
    <w:p>
      <w:pPr>
        <w:spacing w:after="0" w:line="260" w:lineRule="exact"/>
        <w:rPr>
          <w:rFonts w:ascii="Arial" w:cs="Arial" w:eastAsia="Arial" w:hAnsi="Arial"/>
          <w:sz w:val="18"/>
          <w:szCs w:val="18"/>
          <w:color w:val="auto"/>
        </w:rPr>
      </w:pPr>
    </w:p>
    <w:p>
      <w:pPr>
        <w:ind w:left="581" w:hanging="581"/>
        <w:spacing w:after="0"/>
        <w:tabs>
          <w:tab w:leader="none" w:pos="581"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Prohibited Transactions</w:t>
      </w:r>
    </w:p>
    <w:p>
      <w:pPr>
        <w:spacing w:after="0" w:line="236" w:lineRule="exact"/>
        <w:rPr>
          <w:rFonts w:ascii="Arial" w:cs="Arial" w:eastAsia="Arial" w:hAnsi="Arial"/>
          <w:sz w:val="18"/>
          <w:szCs w:val="18"/>
          <w:b w:val="1"/>
          <w:bCs w:val="1"/>
          <w:color w:val="auto"/>
        </w:rPr>
      </w:pPr>
    </w:p>
    <w:p>
      <w:pPr>
        <w:jc w:val="both"/>
        <w:ind w:left="581"/>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Certain types of transactions increase ICON’s exposure to legal risks and may create the appearance of improper or inappropriate conduct. Therefore, persons on the Insider List may not engage in any of the following transactions, even if they do not possess material non-public information, unless advance approval is obtained from the General Counsel. These prohibitions also apply to transactions by such person’s immediate family members (parents, siblings, spouses, children) and by other persons living in such person’s household and by entities over which such person exercises control.</w:t>
      </w:r>
    </w:p>
    <w:p>
      <w:pPr>
        <w:spacing w:after="0" w:line="162" w:lineRule="exact"/>
        <w:rPr>
          <w:rFonts w:ascii="Arial" w:cs="Arial" w:eastAsia="Arial" w:hAnsi="Arial"/>
          <w:sz w:val="18"/>
          <w:szCs w:val="18"/>
          <w:b w:val="1"/>
          <w:bCs w:val="1"/>
          <w:color w:val="auto"/>
        </w:rPr>
      </w:pPr>
    </w:p>
    <w:p>
      <w:pPr>
        <w:ind w:left="641" w:hanging="292"/>
        <w:spacing w:after="0" w:line="309" w:lineRule="auto"/>
        <w:tabs>
          <w:tab w:leader="none" w:pos="629" w:val="left"/>
        </w:tabs>
        <w:numPr>
          <w:ilvl w:val="2"/>
          <w:numId w:val="104"/>
        </w:numPr>
        <w:rPr>
          <w:rFonts w:ascii="Arial" w:cs="Arial" w:eastAsia="Arial" w:hAnsi="Arial"/>
          <w:sz w:val="18"/>
          <w:szCs w:val="18"/>
          <w:color w:val="auto"/>
        </w:rPr>
      </w:pPr>
      <w:r>
        <w:rPr>
          <w:rFonts w:ascii="Arial" w:cs="Arial" w:eastAsia="Arial" w:hAnsi="Arial"/>
          <w:sz w:val="18"/>
          <w:szCs w:val="18"/>
          <w:u w:val="single" w:color="auto"/>
          <w:color w:val="auto"/>
        </w:rPr>
        <w:t>Short-term trading-</w:t>
      </w:r>
      <w:r>
        <w:rPr>
          <w:rFonts w:ascii="Arial" w:cs="Arial" w:eastAsia="Arial" w:hAnsi="Arial"/>
          <w:sz w:val="18"/>
          <w:szCs w:val="18"/>
          <w:color w:val="auto"/>
        </w:rPr>
        <w:t xml:space="preserve"> Persons on the Insider List who purchase ICON securities in the open market may not sell any of the ICON securities of the same class during the six months following the transaction. Persons on the Insider List who sell ICON securities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1"/>
          </w:cols>
          <w:pgMar w:left="319" w:top="1440" w:right="339" w:bottom="1440" w:gutter="0" w:footer="0" w:header="0"/>
        </w:sectPr>
      </w:pPr>
    </w:p>
    <w:bookmarkStart w:id="155" w:name="page156"/>
    <w:bookmarkEnd w:id="155"/>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798195" cy="2190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98195" cy="2190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the open market may not purchase any ICON securities of the same class during the six months following the transaction.</w:t>
      </w:r>
    </w:p>
    <w:p>
      <w:pPr>
        <w:spacing w:after="0" w:line="237" w:lineRule="exact"/>
        <w:rPr>
          <w:sz w:val="20"/>
          <w:szCs w:val="20"/>
          <w:color w:val="auto"/>
        </w:rPr>
      </w:pPr>
    </w:p>
    <w:p>
      <w:pPr>
        <w:jc w:val="both"/>
        <w:ind w:left="300" w:hanging="292"/>
        <w:spacing w:after="0" w:line="293" w:lineRule="auto"/>
        <w:tabs>
          <w:tab w:leader="none" w:pos="28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Short sales of stock-</w:t>
      </w:r>
      <w:r>
        <w:rPr>
          <w:rFonts w:ascii="Arial" w:cs="Arial" w:eastAsia="Arial" w:hAnsi="Arial"/>
          <w:sz w:val="18"/>
          <w:szCs w:val="18"/>
          <w:color w:val="auto"/>
        </w:rPr>
        <w:t xml:space="preserve"> “Short” sales of stock are transactions where you borrow stock, sell it, and then buy stock at a later date to replace the borrowed shares. Short sales of our securities by persons on the Insider List are prohibited. These also include hedging or monetization transactions (such as zero-cost collars and forward sale contracts) that involve the establishment of a short position. See “Hedging transactions” below for more information.</w:t>
      </w:r>
    </w:p>
    <w:p>
      <w:pPr>
        <w:spacing w:after="0" w:line="159" w:lineRule="exact"/>
        <w:rPr>
          <w:rFonts w:ascii="Arial" w:cs="Arial" w:eastAsia="Arial" w:hAnsi="Arial"/>
          <w:sz w:val="18"/>
          <w:szCs w:val="18"/>
          <w:color w:val="auto"/>
        </w:rPr>
      </w:pPr>
    </w:p>
    <w:p>
      <w:pPr>
        <w:jc w:val="both"/>
        <w:ind w:left="300" w:hanging="292"/>
        <w:spacing w:after="0" w:line="304" w:lineRule="auto"/>
        <w:tabs>
          <w:tab w:leader="none" w:pos="29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Publicly traded options-</w:t>
      </w:r>
      <w:r>
        <w:rPr>
          <w:rFonts w:ascii="Arial" w:cs="Arial" w:eastAsia="Arial" w:hAnsi="Arial"/>
          <w:sz w:val="18"/>
          <w:szCs w:val="18"/>
          <w:color w:val="auto"/>
        </w:rPr>
        <w:t xml:space="preserve"> A put is an option or right to sell a specific stock at a specific price before a set date, and a call is an option or right to buy a specific stock at a specific price before a set date. Any transactions in put options, call options or other derivative securities by persons on the Insider List are prohibited by this Policy.</w:t>
      </w:r>
    </w:p>
    <w:p>
      <w:pPr>
        <w:spacing w:after="0" w:line="137" w:lineRule="exact"/>
        <w:rPr>
          <w:rFonts w:ascii="Arial" w:cs="Arial" w:eastAsia="Arial" w:hAnsi="Arial"/>
          <w:sz w:val="18"/>
          <w:szCs w:val="18"/>
          <w:color w:val="auto"/>
        </w:rPr>
      </w:pPr>
    </w:p>
    <w:p>
      <w:pPr>
        <w:ind w:left="300" w:hanging="292"/>
        <w:spacing w:after="0" w:line="323" w:lineRule="auto"/>
        <w:tabs>
          <w:tab w:leader="none" w:pos="28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Trading on margin-</w:t>
      </w:r>
      <w:r>
        <w:rPr>
          <w:rFonts w:ascii="Arial" w:cs="Arial" w:eastAsia="Arial" w:hAnsi="Arial"/>
          <w:sz w:val="18"/>
          <w:szCs w:val="18"/>
          <w:color w:val="auto"/>
        </w:rPr>
        <w:t xml:space="preserve"> Persons on the Insider List may not hold ICON securities in a margin account or pledge ICON securities as collateral for a loan.</w:t>
      </w:r>
    </w:p>
    <w:p>
      <w:pPr>
        <w:spacing w:after="0" w:line="132" w:lineRule="exact"/>
        <w:rPr>
          <w:rFonts w:ascii="Arial" w:cs="Arial" w:eastAsia="Arial" w:hAnsi="Arial"/>
          <w:sz w:val="18"/>
          <w:szCs w:val="18"/>
          <w:color w:val="auto"/>
        </w:rPr>
      </w:pPr>
    </w:p>
    <w:p>
      <w:pPr>
        <w:jc w:val="both"/>
        <w:ind w:left="300" w:hanging="292"/>
        <w:spacing w:after="0" w:line="304" w:lineRule="auto"/>
        <w:tabs>
          <w:tab w:leader="none" w:pos="28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Hedging transactions-</w:t>
      </w:r>
      <w:r>
        <w:rPr>
          <w:rFonts w:ascii="Arial" w:cs="Arial" w:eastAsia="Arial" w:hAnsi="Arial"/>
          <w:sz w:val="18"/>
          <w:szCs w:val="18"/>
          <w:color w:val="auto"/>
        </w:rPr>
        <w:t xml:space="preserve"> Hedging or monetization transactions can be accomplished through the use of various financial instruments, including prepaid variable forwards, equity swaps, collars and exchange funds. Persons on the Insider List may not enter into hedging or monetization transactions or similar arrangements with respect to ICON securities.</w:t>
      </w:r>
    </w:p>
    <w:p>
      <w:pPr>
        <w:spacing w:after="0" w:line="41" w:lineRule="exact"/>
        <w:rPr>
          <w:sz w:val="20"/>
          <w:szCs w:val="20"/>
          <w:color w:val="auto"/>
        </w:rPr>
      </w:pPr>
    </w:p>
    <w:p>
      <w:pPr>
        <w:jc w:val="both"/>
        <w:ind w:left="240"/>
        <w:spacing w:after="0" w:line="297" w:lineRule="auto"/>
        <w:rPr>
          <w:sz w:val="20"/>
          <w:szCs w:val="20"/>
          <w:color w:val="auto"/>
        </w:rPr>
      </w:pPr>
      <w:r>
        <w:rPr>
          <w:rFonts w:ascii="Arial" w:cs="Arial" w:eastAsia="Arial" w:hAnsi="Arial"/>
          <w:sz w:val="18"/>
          <w:szCs w:val="18"/>
          <w:i w:val="1"/>
          <w:iCs w:val="1"/>
          <w:color w:val="auto"/>
        </w:rPr>
        <w:t>If you have a managed account (where another person has been given discretion or authority to trade without your prior approval), you must not advise your broker or investment adviser to trade in our securities at any time or to trade in securities of any other company while in possession of material non-public information about that company that was obtained in the course of his or her involvement with ICON. In such managed accounts, you must exercise no discretion to direct investments in the fund.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900"/>
          </w:cols>
          <w:pgMar w:left="660" w:top="1440" w:right="339" w:bottom="1440" w:gutter="0" w:footer="0" w:header="0"/>
        </w:sectPr>
      </w:pPr>
    </w:p>
    <w:bookmarkStart w:id="156" w:name="page157"/>
    <w:bookmarkEnd w:id="156"/>
    <w:p>
      <w:pPr>
        <w:ind w:left="10260"/>
        <w:spacing w:after="0"/>
        <w:rPr>
          <w:sz w:val="20"/>
          <w:szCs w:val="20"/>
          <w:color w:val="auto"/>
        </w:rPr>
      </w:pPr>
      <w:r>
        <w:rPr>
          <w:rFonts w:ascii="Arial" w:cs="Arial" w:eastAsia="Arial" w:hAnsi="Arial"/>
          <w:sz w:val="15"/>
          <w:szCs w:val="15"/>
          <w:b w:val="1"/>
          <w:bCs w:val="1"/>
          <w:color w:val="auto"/>
        </w:rPr>
        <w:t>Exhibit 12.1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I, Nigel Clerkin, certify that:</w:t>
      </w:r>
    </w:p>
    <w:p>
      <w:pPr>
        <w:spacing w:after="0" w:line="197" w:lineRule="exact"/>
        <w:rPr>
          <w:sz w:val="20"/>
          <w:szCs w:val="20"/>
          <w:color w:val="auto"/>
        </w:rPr>
      </w:pPr>
    </w:p>
    <w:p>
      <w:pPr>
        <w:ind w:left="180" w:hanging="171"/>
        <w:spacing w:after="0"/>
        <w:tabs>
          <w:tab w:leader="none" w:pos="1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ICON plc ("the registrant").</w:t>
      </w:r>
    </w:p>
    <w:p>
      <w:pPr>
        <w:spacing w:after="0" w:line="221" w:lineRule="exact"/>
        <w:rPr>
          <w:rFonts w:ascii="Arial" w:cs="Arial" w:eastAsia="Arial" w:hAnsi="Arial"/>
          <w:sz w:val="15"/>
          <w:szCs w:val="15"/>
          <w:color w:val="auto"/>
        </w:rPr>
      </w:pPr>
    </w:p>
    <w:p>
      <w:pPr>
        <w:ind w:firstLine="9"/>
        <w:spacing w:after="0" w:line="269" w:lineRule="auto"/>
        <w:tabs>
          <w:tab w:leader="none" w:pos="16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5"/>
          <w:szCs w:val="15"/>
          <w:color w:val="auto"/>
        </w:rPr>
      </w:pPr>
    </w:p>
    <w:p>
      <w:pPr>
        <w:ind w:firstLine="9"/>
        <w:spacing w:after="0" w:line="269" w:lineRule="auto"/>
        <w:tabs>
          <w:tab w:leader="none" w:pos="17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Arial" w:cs="Arial" w:eastAsia="Arial" w:hAnsi="Arial"/>
          <w:sz w:val="15"/>
          <w:szCs w:val="15"/>
          <w:color w:val="auto"/>
        </w:rPr>
      </w:pPr>
    </w:p>
    <w:p>
      <w:pPr>
        <w:ind w:left="180" w:hanging="171"/>
        <w:spacing w:after="0"/>
        <w:tabs>
          <w:tab w:leader="none" w:pos="1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1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2" w:lineRule="exact"/>
        <w:rPr>
          <w:rFonts w:ascii="Arial" w:cs="Arial" w:eastAsia="Arial" w:hAnsi="Arial"/>
          <w:sz w:val="15"/>
          <w:szCs w:val="15"/>
          <w:color w:val="auto"/>
        </w:rPr>
      </w:pPr>
    </w:p>
    <w:p>
      <w:pPr>
        <w:ind w:left="600" w:hanging="369"/>
        <w:spacing w:after="0" w:line="263" w:lineRule="auto"/>
        <w:tabs>
          <w:tab w:leader="none" w:pos="41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5"/>
          <w:szCs w:val="15"/>
          <w:color w:val="auto"/>
        </w:rPr>
      </w:pPr>
    </w:p>
    <w:p>
      <w:pPr>
        <w:ind w:left="600" w:hanging="369"/>
        <w:spacing w:after="0" w:line="263" w:lineRule="auto"/>
        <w:tabs>
          <w:tab w:leader="none" w:pos="41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5"/>
          <w:szCs w:val="15"/>
          <w:color w:val="auto"/>
        </w:rPr>
      </w:pPr>
    </w:p>
    <w:p>
      <w:pPr>
        <w:ind w:left="600" w:hanging="369"/>
        <w:spacing w:after="0" w:line="286" w:lineRule="auto"/>
        <w:tabs>
          <w:tab w:leader="none" w:pos="40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5"/>
          <w:szCs w:val="15"/>
          <w:color w:val="auto"/>
        </w:rPr>
      </w:pPr>
    </w:p>
    <w:p>
      <w:pPr>
        <w:ind w:left="600" w:hanging="369"/>
        <w:spacing w:after="0" w:line="286" w:lineRule="auto"/>
        <w:tabs>
          <w:tab w:leader="none" w:pos="403" w:val="left"/>
        </w:tabs>
        <w:numPr>
          <w:ilvl w:val="1"/>
          <w:numId w:val="10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0" w:lineRule="exact"/>
        <w:rPr>
          <w:rFonts w:ascii="Arial" w:cs="Arial" w:eastAsia="Arial" w:hAnsi="Arial"/>
          <w:sz w:val="15"/>
          <w:szCs w:val="15"/>
          <w:color w:val="auto"/>
        </w:rPr>
      </w:pPr>
    </w:p>
    <w:p>
      <w:pPr>
        <w:ind w:firstLine="9"/>
        <w:spacing w:after="0" w:line="286" w:lineRule="auto"/>
        <w:tabs>
          <w:tab w:leader="none" w:pos="16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sz w:val="20"/>
          <w:szCs w:val="20"/>
          <w:color w:val="auto"/>
        </w:rPr>
      </w:pPr>
    </w:p>
    <w:p>
      <w:pPr>
        <w:ind w:firstLine="9"/>
        <w:spacing w:after="0" w:line="269" w:lineRule="auto"/>
        <w:tabs>
          <w:tab w:leader="none" w:pos="17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Arial" w:cs="Arial" w:eastAsia="Arial" w:hAnsi="Arial"/>
          <w:sz w:val="15"/>
          <w:szCs w:val="15"/>
          <w:color w:val="auto"/>
        </w:rPr>
      </w:pPr>
    </w:p>
    <w:p>
      <w:pPr>
        <w:ind w:right="40" w:firstLine="9"/>
        <w:spacing w:after="0" w:line="557" w:lineRule="auto"/>
        <w:tabs>
          <w:tab w:leader="none" w:pos="17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 Dated: February 21, 2025</w:t>
      </w:r>
    </w:p>
    <w:p>
      <w:pPr>
        <w:spacing w:after="0"/>
        <w:rPr>
          <w:sz w:val="20"/>
          <w:szCs w:val="20"/>
          <w:color w:val="auto"/>
        </w:rPr>
      </w:pPr>
      <w:r>
        <w:rPr>
          <w:rFonts w:ascii="Arial" w:cs="Arial" w:eastAsia="Arial" w:hAnsi="Arial"/>
          <w:sz w:val="15"/>
          <w:szCs w:val="15"/>
          <w:u w:val="single" w:color="auto"/>
          <w:color w:val="auto"/>
        </w:rPr>
        <w:t>/s/ Nigel Clerkin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Nigel Clerkin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100"/>
          </w:cols>
          <w:pgMar w:left="400" w:top="781" w:right="39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I, Steve Cutler, certify that:</w:t>
      </w:r>
    </w:p>
    <w:p>
      <w:pPr>
        <w:spacing w:after="0" w:line="210" w:lineRule="exact"/>
        <w:rPr>
          <w:sz w:val="20"/>
          <w:szCs w:val="20"/>
          <w:color w:val="auto"/>
        </w:rPr>
      </w:pPr>
    </w:p>
    <w:p>
      <w:pPr>
        <w:ind w:left="180" w:hanging="171"/>
        <w:spacing w:after="0"/>
        <w:tabs>
          <w:tab w:leader="none" w:pos="1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ICON plc ("the registrant").</w:t>
      </w:r>
    </w:p>
    <w:p>
      <w:pPr>
        <w:spacing w:after="0" w:line="209" w:lineRule="exact"/>
        <w:rPr>
          <w:rFonts w:ascii="Arial" w:cs="Arial" w:eastAsia="Arial" w:hAnsi="Arial"/>
          <w:sz w:val="15"/>
          <w:szCs w:val="15"/>
          <w:color w:val="auto"/>
        </w:rPr>
      </w:pPr>
    </w:p>
    <w:p>
      <w:pPr>
        <w:ind w:firstLine="9"/>
        <w:spacing w:after="0" w:line="269" w:lineRule="auto"/>
        <w:tabs>
          <w:tab w:leader="none" w:pos="16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5"/>
          <w:szCs w:val="15"/>
          <w:color w:val="auto"/>
        </w:rPr>
      </w:pPr>
    </w:p>
    <w:p>
      <w:pPr>
        <w:ind w:firstLine="9"/>
        <w:spacing w:after="0" w:line="286" w:lineRule="auto"/>
        <w:tabs>
          <w:tab w:leader="none" w:pos="174"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180" w:hanging="171"/>
        <w:spacing w:after="0"/>
        <w:tabs>
          <w:tab w:leader="none" w:pos="1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2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25" w:lineRule="exact"/>
        <w:rPr>
          <w:rFonts w:ascii="Arial" w:cs="Arial" w:eastAsia="Arial" w:hAnsi="Arial"/>
          <w:sz w:val="15"/>
          <w:szCs w:val="15"/>
          <w:color w:val="auto"/>
        </w:rPr>
      </w:pPr>
    </w:p>
    <w:p>
      <w:pPr>
        <w:ind w:left="600" w:hanging="369"/>
        <w:spacing w:after="0" w:line="263" w:lineRule="auto"/>
        <w:tabs>
          <w:tab w:leader="none" w:pos="415" w:val="left"/>
        </w:tabs>
        <w:numPr>
          <w:ilvl w:val="1"/>
          <w:numId w:val="10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5"/>
          <w:szCs w:val="15"/>
          <w:color w:val="auto"/>
        </w:rPr>
      </w:pPr>
    </w:p>
    <w:p>
      <w:pPr>
        <w:ind w:left="600" w:hanging="369"/>
        <w:spacing w:after="0" w:line="263" w:lineRule="auto"/>
        <w:tabs>
          <w:tab w:leader="none" w:pos="415" w:val="left"/>
        </w:tabs>
        <w:numPr>
          <w:ilvl w:val="1"/>
          <w:numId w:val="10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5"/>
          <w:szCs w:val="15"/>
          <w:color w:val="auto"/>
        </w:rPr>
      </w:pPr>
    </w:p>
    <w:p>
      <w:pPr>
        <w:ind w:left="600" w:hanging="369"/>
        <w:spacing w:after="0" w:line="286" w:lineRule="auto"/>
        <w:tabs>
          <w:tab w:leader="none" w:pos="407"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5"/>
          <w:szCs w:val="15"/>
          <w:color w:val="auto"/>
        </w:rPr>
      </w:pPr>
    </w:p>
    <w:p>
      <w:pPr>
        <w:ind w:left="600" w:hanging="369"/>
        <w:spacing w:after="0" w:line="286" w:lineRule="auto"/>
        <w:tabs>
          <w:tab w:leader="none" w:pos="403" w:val="left"/>
        </w:tabs>
        <w:numPr>
          <w:ilvl w:val="1"/>
          <w:numId w:val="10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92" w:lineRule="exact"/>
        <w:rPr>
          <w:rFonts w:ascii="Arial" w:cs="Arial" w:eastAsia="Arial" w:hAnsi="Arial"/>
          <w:sz w:val="15"/>
          <w:szCs w:val="15"/>
          <w:color w:val="auto"/>
        </w:rPr>
      </w:pPr>
    </w:p>
    <w:p>
      <w:pPr>
        <w:ind w:firstLine="9"/>
        <w:spacing w:after="0" w:line="269" w:lineRule="auto"/>
        <w:tabs>
          <w:tab w:leader="none" w:pos="16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sz w:val="20"/>
          <w:szCs w:val="20"/>
          <w:color w:val="auto"/>
        </w:rPr>
      </w:pPr>
    </w:p>
    <w:p>
      <w:pPr>
        <w:ind w:firstLine="9"/>
        <w:spacing w:after="0" w:line="269" w:lineRule="auto"/>
        <w:tabs>
          <w:tab w:leader="none" w:pos="17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Arial" w:cs="Arial" w:eastAsia="Arial" w:hAnsi="Arial"/>
          <w:sz w:val="15"/>
          <w:szCs w:val="15"/>
          <w:color w:val="auto"/>
        </w:rPr>
      </w:pPr>
    </w:p>
    <w:p>
      <w:pPr>
        <w:ind w:right="40" w:firstLine="9"/>
        <w:spacing w:after="0" w:line="595" w:lineRule="auto"/>
        <w:tabs>
          <w:tab w:leader="none" w:pos="17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 Dated: February 21, 2025</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/s/ Steve Cutler</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Steve Cutler</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100"/>
          </w:cols>
          <w:pgMar w:left="400" w:top="780" w:right="399" w:bottom="1440" w:gutter="0" w:footer="0" w:header="0"/>
        </w:sectPr>
      </w:pPr>
    </w:p>
    <w:bookmarkStart w:id="158" w:name="page159"/>
    <w:bookmarkEnd w:id="158"/>
    <w:p>
      <w:pPr>
        <w:ind w:left="10260"/>
        <w:spacing w:after="0"/>
        <w:rPr>
          <w:sz w:val="20"/>
          <w:szCs w:val="20"/>
          <w:color w:val="auto"/>
        </w:rPr>
      </w:pPr>
      <w:r>
        <w:rPr>
          <w:rFonts w:ascii="Arial" w:cs="Arial" w:eastAsia="Arial" w:hAnsi="Arial"/>
          <w:sz w:val="15"/>
          <w:szCs w:val="15"/>
          <w:b w:val="1"/>
          <w:bCs w:val="1"/>
          <w:color w:val="auto"/>
        </w:rPr>
        <w:t>Exhibit 12.2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In connection with the Annual Report of ICON plc (the "Company") on Form 20-F for the year ending December 31, 2024 as filed with the Securities and Exchange Commission on the date hereof (the "Report"), I, Nigel Clerkin, Chief Financial Officer of the Company, certify, pursuant to 18 U.S.C. § 1350, as adopted pursuant to §</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906 of the Sarbanes-Oxley Act of 2002, that to my knowledge:</w:t>
      </w:r>
    </w:p>
    <w:p>
      <w:pPr>
        <w:spacing w:after="0" w:line="213" w:lineRule="exact"/>
        <w:rPr>
          <w:sz w:val="20"/>
          <w:szCs w:val="20"/>
          <w:color w:val="auto"/>
        </w:rPr>
      </w:pPr>
    </w:p>
    <w:p>
      <w:pPr>
        <w:ind w:left="240" w:hanging="231"/>
        <w:spacing w:after="0"/>
        <w:tabs>
          <w:tab w:leader="none" w:pos="2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21" w:lineRule="exact"/>
        <w:rPr>
          <w:rFonts w:ascii="Arial" w:cs="Arial" w:eastAsia="Arial" w:hAnsi="Arial"/>
          <w:sz w:val="15"/>
          <w:szCs w:val="15"/>
          <w:color w:val="auto"/>
        </w:rPr>
      </w:pPr>
    </w:p>
    <w:p>
      <w:pPr>
        <w:ind w:right="1600" w:firstLine="9"/>
        <w:spacing w:after="0" w:line="578" w:lineRule="auto"/>
        <w:tabs>
          <w:tab w:leader="none" w:pos="22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 Date: February 21, 2025</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Nigel Clerkin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Nigel Clerkin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46"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100"/>
          </w:cols>
          <w:pgMar w:left="400" w:top="780" w:right="399" w:bottom="1440" w:gutter="0" w:footer="0" w:header="0"/>
        </w:sectPr>
      </w:pPr>
    </w:p>
    <w:bookmarkStart w:id="159" w:name="page160"/>
    <w:bookmarkEnd w:id="159"/>
    <w:p>
      <w:pPr>
        <w:jc w:val="center"/>
        <w:ind w:right="40"/>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connection with the Annual Report of ICON plc (the "Company") on Form 20-F for the year ending December 31, 2024 as filed with the Securities and Exchange Commission on the date hereof (the "Report"), I, Steve Cutler, Chief Executive Officer of the Company, certify, pursuant to 18 U.S.C. § 1350, as adopted pursuant to §</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906 of the Sarbanes-Oxley Act of 2002, that to my knowledge:</w:t>
      </w:r>
    </w:p>
    <w:p>
      <w:pPr>
        <w:spacing w:after="0" w:line="220" w:lineRule="exact"/>
        <w:rPr>
          <w:sz w:val="20"/>
          <w:szCs w:val="20"/>
          <w:color w:val="auto"/>
        </w:rPr>
      </w:pPr>
    </w:p>
    <w:p>
      <w:pPr>
        <w:ind w:left="240" w:hanging="231"/>
        <w:spacing w:after="0"/>
        <w:tabs>
          <w:tab w:leader="none" w:pos="2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9" w:lineRule="exact"/>
        <w:rPr>
          <w:rFonts w:ascii="Arial" w:cs="Arial" w:eastAsia="Arial" w:hAnsi="Arial"/>
          <w:sz w:val="15"/>
          <w:szCs w:val="15"/>
          <w:color w:val="auto"/>
        </w:rPr>
      </w:pPr>
    </w:p>
    <w:p>
      <w:pPr>
        <w:ind w:right="1620" w:firstLine="9"/>
        <w:spacing w:after="0" w:line="561" w:lineRule="auto"/>
        <w:tabs>
          <w:tab w:leader="none" w:pos="22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 Date: February 21,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/s/ Steve Cutler</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Steve Cutler</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Chief Executive Officer</w:t>
      </w: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120"/>
          </w:cols>
          <w:pgMar w:left="400" w:top="780" w:right="3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5"/>
          <w:szCs w:val="15"/>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2025</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currently principal accountants for ICON plc and, under the date of February 21, 2025, we reported on the consolidated financial statements of ICON plc as of and for the years ended December 31, 2024 and 2023 and the effectiveness of internal control over financial reporting as of December 31, 2024. In 2024 we were notified that ICON plc intend to appoint Ernst &amp; Young Chartered Accountants as its principal accountant for the year ending December 31, 2025 and that the auditor-client relationship with KPMG will cease upon completion of the audit of ICON plc's consolidated financial statements as of and for the year ended December 31, 2024, and the effectiveness of internal control over financial reporting as of December 31, 2024, and the issuance of our reports thereon. We have read ICON plc’s statements included under Item 16F of its Form 20-F dated February 21, 2025, and we agree with such statements, except that we are not in a position to agree or disagree with ICON plc’s statement that the appointment will be subject to the passing of an ordinary resolution confirming the appointment at the Company's 2025 Annual General Meeting.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ectPr>
          <w:pgSz w:w="11900" w:h="16838" w:orient="portrait"/>
          <w:cols w:equalWidth="0" w:num="1">
            <w:col w:w="11160"/>
          </w:cols>
          <w:pgMar w:left="320" w:top="114" w:right="419" w:bottom="1440" w:gutter="0" w:footer="0" w:header="0"/>
        </w:sectPr>
      </w:pPr>
    </w:p>
    <w:bookmarkStart w:id="161" w:name="page162"/>
    <w:bookmarkEnd w:id="161"/>
    <w:p>
      <w:pPr>
        <w:ind w:left="10400"/>
        <w:spacing w:after="0"/>
        <w:rPr>
          <w:sz w:val="20"/>
          <w:szCs w:val="20"/>
          <w:color w:val="auto"/>
        </w:rPr>
      </w:pPr>
      <w:r>
        <w:rPr>
          <w:rFonts w:ascii="Times New Roman" w:cs="Times New Roman" w:eastAsia="Times New Roman" w:hAnsi="Times New Roman"/>
          <w:sz w:val="16"/>
          <w:szCs w:val="16"/>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SUBSIDIARY GUARANTORS AND ISSUER OF GUARANTEED SECURITIES AND AFFILIATES WHOSE SECURITIES COLLATERALIZE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INVESTMENTS SIX DESIGNATED ACTIVITY COMPANY</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60"/>
        </w:trPr>
        <w:tc>
          <w:tcPr>
            <w:tcW w:w="8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INCORPORATION OR</w:t>
            </w:r>
          </w:p>
        </w:tc>
        <w:tc>
          <w:tcPr>
            <w:tcW w:w="0" w:type="dxa"/>
            <w:vAlign w:val="bottom"/>
          </w:tcPr>
          <w:p>
            <w:pPr>
              <w:spacing w:after="0"/>
              <w:rPr>
                <w:sz w:val="1"/>
                <w:szCs w:val="1"/>
                <w:color w:val="auto"/>
              </w:rPr>
            </w:pPr>
          </w:p>
        </w:tc>
      </w:tr>
      <w:tr>
        <w:trPr>
          <w:trHeight w:val="222"/>
        </w:trPr>
        <w:tc>
          <w:tcPr>
            <w:tcW w:w="8260" w:type="dxa"/>
            <w:vAlign w:val="bottom"/>
            <w:gridSpan w:val="2"/>
            <w:vMerge w:val="continue"/>
          </w:tcPr>
          <w:p>
            <w:pPr>
              <w:spacing w:after="0"/>
              <w:rPr>
                <w:sz w:val="19"/>
                <w:szCs w:val="19"/>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98"/>
        </w:trPr>
        <w:tc>
          <w:tcPr>
            <w:tcW w:w="6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w:t>
            </w:r>
          </w:p>
        </w:tc>
        <w:tc>
          <w:tcPr>
            <w:tcW w:w="1320" w:type="dxa"/>
            <w:vAlign w:val="bottom"/>
          </w:tcPr>
          <w:p>
            <w:pPr>
              <w:spacing w:after="0"/>
              <w:rPr>
                <w:sz w:val="17"/>
                <w:szCs w:val="17"/>
                <w:color w:val="auto"/>
              </w:rPr>
            </w:pPr>
          </w:p>
        </w:tc>
        <w:tc>
          <w:tcPr>
            <w:tcW w:w="29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Property Development (Ireland)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Early Phase Services,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Texas</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Beacon Bioscience,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Laboratory Services,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MolecularMD Corp.</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PriceSpective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DOCS Global,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 Jersey</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US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North Carolina</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Clinical Resource Network,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Illinois</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Investments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Health Sciences,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Source Healthcare Analytics,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Symphony Health Solutions Corporation</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Holdings,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International,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Global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Parent Holding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Roy RPS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4"/>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issued and outstanding equity securities of the following subsidiaries of the Company, subject to the limitations set forth below, collateralize the Issuer’s 5.809%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Secured Notes due 2027, 5.849% Senior Secured Notes due 2029 and 6.000% Senior Secured Notes due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9"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NAME (STATE OR OTHER JURISDICTION OF</w:t>
            </w:r>
          </w:p>
        </w:tc>
        <w:tc>
          <w:tcPr>
            <w:tcW w:w="478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5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2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4780" w:type="dxa"/>
            <w:vAlign w:val="bottom"/>
            <w:gridSpan w:val="2"/>
            <w:vMerge w:val="continue"/>
          </w:tcPr>
          <w:p>
            <w:pPr>
              <w:spacing w:after="0"/>
              <w:rPr>
                <w:sz w:val="19"/>
                <w:szCs w:val="19"/>
                <w:color w:val="auto"/>
              </w:rPr>
            </w:pPr>
          </w:p>
        </w:tc>
        <w:tc>
          <w:tcPr>
            <w:tcW w:w="15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0" w:type="dxa"/>
            <w:vAlign w:val="bottom"/>
          </w:tcPr>
          <w:p>
            <w:pPr>
              <w:spacing w:after="0"/>
              <w:rPr>
                <w:sz w:val="1"/>
                <w:szCs w:val="1"/>
                <w:color w:val="auto"/>
              </w:rPr>
            </w:pPr>
          </w:p>
        </w:tc>
      </w:tr>
      <w:tr>
        <w:trPr>
          <w:trHeight w:val="198"/>
        </w:trPr>
        <w:tc>
          <w:tcPr>
            <w:tcW w:w="4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Investments Six Designated Activity Company (Ireland)</w:t>
            </w:r>
          </w:p>
        </w:tc>
        <w:tc>
          <w:tcPr>
            <w:tcW w:w="480" w:type="dxa"/>
            <w:vAlign w:val="bottom"/>
          </w:tcPr>
          <w:p>
            <w:pPr>
              <w:spacing w:after="0"/>
              <w:rPr>
                <w:sz w:val="17"/>
                <w:szCs w:val="17"/>
                <w:color w:val="auto"/>
              </w:rPr>
            </w:pPr>
          </w:p>
        </w:tc>
        <w:tc>
          <w:tcPr>
            <w:tcW w:w="4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28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7"/>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Clinical Research Property Holdings (Ireland) Limited</w:t>
            </w:r>
          </w:p>
        </w:tc>
        <w:tc>
          <w:tcPr>
            <w:tcW w:w="47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plc</w:t>
            </w:r>
          </w:p>
        </w:tc>
        <w:tc>
          <w:tcPr>
            <w:tcW w:w="15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(LR) Limited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Clinical Research International Limited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Limited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 (Ireland)</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 (Luxembourg)</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Early Phase Services, LLC (f/k/a Healthcare Discoveries,</w:t>
            </w:r>
          </w:p>
        </w:tc>
        <w:tc>
          <w:tcPr>
            <w:tcW w:w="47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LLC) (Texas)</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Beacon Bioscience, Inc.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Laboratory Services, Inc. (f/k/a ICON Central Laboratories,</w:t>
            </w:r>
          </w:p>
        </w:tc>
        <w:tc>
          <w:tcPr>
            <w:tcW w:w="47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ICON US Holdings Inc.</w:t>
            </w:r>
          </w:p>
        </w:tc>
        <w:tc>
          <w:tcPr>
            <w:tcW w:w="15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 (Delaware)</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6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MolecularMD Corp. (Delaware)</w:t>
            </w:r>
          </w:p>
        </w:tc>
        <w:tc>
          <w:tcPr>
            <w:tcW w:w="478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ICON Laboratory Services, Inc. (f/k/a ICON Central Laboratories,</w:t>
            </w:r>
          </w:p>
        </w:tc>
        <w:tc>
          <w:tcPr>
            <w:tcW w:w="15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4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PriceSpective LLC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7"/>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Investments, LLC (Delaware)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Clinical Resource Network, LLC (d/b/a Symphony Clinical</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(Illinois)</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DOCS Global, Inc. (New Jersey)</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US Inc. (North Carolina)</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Bermuda, Ltd. (Bermuda)</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Services de Recherche Pharmaceutique Srl (Canada)</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Health Sciences Colombia Ltda. (Colombia)</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Pharmaceutical Research Associates Hungary Research and</w:t>
            </w:r>
          </w:p>
        </w:tc>
        <w:tc>
          <w:tcPr>
            <w:tcW w:w="47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5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Development Ltd. (Hungary)</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Italy S.r.l. (Italy)</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24"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Mexico S. de R.L. de C. V.</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68"/>
        </w:trPr>
        <w:tc>
          <w:tcPr>
            <w:tcW w:w="46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Pharmaceutical Research Associates Mexico S. de R.L. de C. V.</w:t>
            </w:r>
          </w:p>
        </w:tc>
        <w:tc>
          <w:tcPr>
            <w:tcW w:w="4300" w:type="dxa"/>
            <w:vAlign w:val="bottom"/>
          </w:tcPr>
          <w:p>
            <w:pPr>
              <w:ind w:left="280"/>
              <w:spacing w:after="0" w:line="168" w:lineRule="exact"/>
              <w:rPr>
                <w:sz w:val="20"/>
                <w:szCs w:val="20"/>
                <w:color w:val="auto"/>
              </w:rPr>
            </w:pPr>
            <w:r>
              <w:rPr>
                <w:rFonts w:ascii="Times New Roman" w:cs="Times New Roman" w:eastAsia="Times New Roman" w:hAnsi="Times New Roman"/>
                <w:sz w:val="16"/>
                <w:szCs w:val="16"/>
                <w:color w:val="auto"/>
              </w:rPr>
              <w:t>PRA International, LLC</w:t>
            </w:r>
          </w:p>
        </w:tc>
        <w:tc>
          <w:tcPr>
            <w:tcW w:w="1640" w:type="dxa"/>
            <w:vAlign w:val="bottom"/>
          </w:tcPr>
          <w:p>
            <w:pPr>
              <w:jc w:val="center"/>
              <w:ind w:left="1178"/>
              <w:spacing w:after="0" w:line="168" w:lineRule="exact"/>
              <w:rPr>
                <w:sz w:val="20"/>
                <w:szCs w:val="20"/>
                <w:color w:val="auto"/>
              </w:rPr>
            </w:pPr>
            <w:r>
              <w:rPr>
                <w:rFonts w:ascii="Times New Roman" w:cs="Times New Roman" w:eastAsia="Times New Roman" w:hAnsi="Times New Roman"/>
                <w:sz w:val="16"/>
                <w:szCs w:val="16"/>
                <w:color w:val="auto"/>
              </w:rPr>
              <w:t>65%</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Netherlands B.V. (Netherlands)</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RPS Perú S.A.C. (Peru)</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Puerto Rico, Inc. (Puerto Rico)</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Romania S.R.L. (Romania)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España, S.A.U. (Spain)</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PRA International Sweden AB (Sweden)</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RPS Research (Thailand) Co., Ltd. (Thailand)</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Sterling Synergy Systems Limited (United Kingdom)</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ClinStar LLC (California)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Nextrials, Inc. (California)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Care Innovations,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CRI NewCo,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Medical Technical Consultants,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Parallel 6,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164"/>
        </w:trPr>
        <w:tc>
          <w:tcPr>
            <w:tcW w:w="46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PRA Early Development Research, Inc. (f/k/a Pharma Bio-</w:t>
            </w:r>
          </w:p>
        </w:tc>
        <w:tc>
          <w:tcPr>
            <w:tcW w:w="4300" w:type="dxa"/>
            <w:vAlign w:val="bottom"/>
          </w:tcPr>
          <w:p>
            <w:pPr>
              <w:ind w:left="280"/>
              <w:spacing w:after="0" w:line="165"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line="165" w:lineRule="exact"/>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Research USA, Inc.) (Delaware)</w:t>
            </w:r>
          </w:p>
        </w:tc>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PRA Health Sciences,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ICON US Holdings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PRA Holdings,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PRA Health Sciences,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PRA Receivables,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Inc.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Roy RPS Holdings,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Source Healthcare Analytics,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Symphony Health Solutions Corporation</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Sunset Hills,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Symphony Health Solutions Corporation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Inc. (Virginia)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PRA International,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PRA International,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PRA Holdings,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Roy RPS Holdings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RPS Parent Holding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RPS Global Holdings,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PRA Holdings,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RPS Parent Holding LLC (Delaware)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RPS Global Holdings,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ICON Government and Public Health Solutions, Inc. (Virginia)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ICON US Holdings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Bristol, LLC (Tennessee)</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Charleston, LLC (South Carolina)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Charlotte, LLC (North Carolina)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Christie Clinic, LLC (Illinois)</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Hickory, LLC (North Carolina)</w:t>
            </w:r>
          </w:p>
        </w:tc>
        <w:tc>
          <w:tcPr>
            <w:tcW w:w="4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20"/>
          </w:cols>
          <w:pgMar w:left="380" w:top="1324" w:right="8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Raleigh, LLC (North Carolina)</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Rocky Mount, LLC (North Carolina)</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Salisbury, LLC (North Carolina)</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Wilmington, LLC (North Carolina)</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Winston-Salem, LLC (North Carolina)</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Averion Europe GmbH (Germany)</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CHC Group, LLC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PubsHub LLC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Global Pharmaceutical Strategies Group, LLC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MMMM Group, LLC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Tennessee, LLC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ADDPLAN, Inc.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LP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LP (Delaware)</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Tennessee,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18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CRN North America, LLC (d/b/a Symphony Clinical Staffing)</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CRN Holdings,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43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Symphony Clinical Research Sp. Z O O. (Poland)</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CRN Holdings, LLC</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65%</w:t>
            </w:r>
          </w:p>
        </w:tc>
      </w:tr>
      <w:tr>
        <w:trPr>
          <w:trHeight w:val="164"/>
        </w:trPr>
        <w:tc>
          <w:tcPr>
            <w:tcW w:w="46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ICON Clinical Research Holdings (U.K.) Limited (United</w:t>
            </w:r>
          </w:p>
        </w:tc>
        <w:tc>
          <w:tcPr>
            <w:tcW w:w="4380" w:type="dxa"/>
            <w:vAlign w:val="bottom"/>
          </w:tcPr>
          <w:p>
            <w:pPr>
              <w:ind w:left="360"/>
              <w:spacing w:after="0" w:line="165"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640" w:type="dxa"/>
            <w:vAlign w:val="bottom"/>
          </w:tcPr>
          <w:p>
            <w:pPr>
              <w:jc w:val="center"/>
              <w:ind w:left="1178"/>
              <w:spacing w:after="0" w:line="165" w:lineRule="exact"/>
              <w:rPr>
                <w:sz w:val="20"/>
                <w:szCs w:val="20"/>
                <w:color w:val="auto"/>
              </w:rPr>
            </w:pPr>
            <w:r>
              <w:rPr>
                <w:rFonts w:ascii="Times New Roman" w:cs="Times New Roman" w:eastAsia="Times New Roman" w:hAnsi="Times New Roman"/>
                <w:sz w:val="16"/>
                <w:szCs w:val="16"/>
                <w:color w:val="auto"/>
              </w:rPr>
              <w:t>65%</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Kingdom)</w:t>
            </w:r>
          </w:p>
        </w:tc>
        <w:tc>
          <w:tcPr>
            <w:tcW w:w="43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Oncacare Limited (Ireland)</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Holdings (Ireland) Unlimited Company</w:t>
            </w:r>
          </w:p>
        </w:tc>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640" w:type="dxa"/>
            <w:vAlign w:val="bottom"/>
          </w:tcPr>
          <w:p>
            <w:pPr>
              <w:jc w:val="center"/>
              <w:ind w:left="117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(Ireland)</w:t>
            </w:r>
          </w:p>
        </w:tc>
        <w:tc>
          <w:tcPr>
            <w:tcW w:w="438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620"/>
          </w:cols>
          <w:pgMar w:left="380" w:top="1343" w:right="8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5"/>
          <w:szCs w:val="15"/>
          <w:b w:val="1"/>
          <w:bCs w:val="1"/>
          <w:color w:val="auto"/>
        </w:rPr>
        <w:t>Exhibit 23.1</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82"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We consent to the incorporation by reference in the registration statements (No. 333-282826, 333-231527, 333-204153, 333-190068, 333-152802, 333-257578 and 333-254891) on Form S-8 and registration statement (No. 333-278943) on Form F-3 of our reports dated February 21, 2025 with respect to the consolidated financial statements of ICON plc and the effectiveness of internal control over financial reporting.</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KPMG</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2025</w:t>
      </w:r>
    </w:p>
    <w:p>
      <w:pPr>
        <w:sectPr>
          <w:pgSz w:w="11900" w:h="16838" w:orient="portrait"/>
          <w:cols w:equalWidth="0" w:num="1">
            <w:col w:w="11160"/>
          </w:cols>
          <w:pgMar w:left="320" w:top="916" w:right="419" w:bottom="1440" w:gutter="0" w:footer="0" w:header="0"/>
        </w:sectPr>
      </w:pPr>
    </w:p>
    <w:bookmarkStart w:id="166" w:name="page167"/>
    <w:bookmarkEnd w:id="166"/>
    <w:p>
      <w:pPr>
        <w:ind w:left="10461"/>
        <w:spacing w:after="0"/>
        <w:rPr>
          <w:sz w:val="20"/>
          <w:szCs w:val="20"/>
          <w:color w:val="auto"/>
        </w:rPr>
      </w:pPr>
      <w:r>
        <w:rPr>
          <w:rFonts w:ascii="Arial" w:cs="Arial" w:eastAsia="Arial" w:hAnsi="Arial"/>
          <w:sz w:val="15"/>
          <w:szCs w:val="15"/>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783590</wp:posOffset>
            </wp:positionV>
            <wp:extent cx="1478915" cy="398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1478915"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 Clawback Policy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Adopted on 25 July 2023 and amended on 18 February 2025</w:t>
      </w:r>
    </w:p>
    <w:p>
      <w:pPr>
        <w:spacing w:after="0" w:line="379" w:lineRule="exact"/>
        <w:rPr>
          <w:sz w:val="20"/>
          <w:szCs w:val="20"/>
          <w:color w:val="auto"/>
        </w:rPr>
      </w:pPr>
    </w:p>
    <w:p>
      <w:pPr>
        <w:jc w:val="both"/>
        <w:ind w:left="1"/>
        <w:spacing w:after="0" w:line="258" w:lineRule="auto"/>
        <w:rPr>
          <w:sz w:val="20"/>
          <w:szCs w:val="20"/>
          <w:color w:val="auto"/>
        </w:rPr>
      </w:pPr>
      <w:r>
        <w:rPr>
          <w:rFonts w:ascii="Arial" w:cs="Arial" w:eastAsia="Arial" w:hAnsi="Arial"/>
          <w:sz w:val="18"/>
          <w:szCs w:val="18"/>
          <w:color w:val="auto"/>
        </w:rPr>
        <w:t>This Clawback Policy (this “</w:t>
      </w:r>
      <w:r>
        <w:rPr>
          <w:rFonts w:ascii="Arial" w:cs="Arial" w:eastAsia="Arial" w:hAnsi="Arial"/>
          <w:sz w:val="18"/>
          <w:szCs w:val="18"/>
          <w:b w:val="1"/>
          <w:bCs w:val="1"/>
          <w:color w:val="auto"/>
        </w:rPr>
        <w:t>Policy</w:t>
      </w:r>
      <w:r>
        <w:rPr>
          <w:rFonts w:ascii="Arial" w:cs="Arial" w:eastAsia="Arial" w:hAnsi="Arial"/>
          <w:sz w:val="18"/>
          <w:szCs w:val="18"/>
          <w:color w:val="auto"/>
        </w:rPr>
        <w:t>”) provides the standards for the recoupment of certain erroneously awarded executive compensation in the event of an accounting restatement due to the material noncompliance of ICON plc (“</w:t>
      </w:r>
      <w:r>
        <w:rPr>
          <w:rFonts w:ascii="Arial" w:cs="Arial" w:eastAsia="Arial" w:hAnsi="Arial"/>
          <w:sz w:val="18"/>
          <w:szCs w:val="18"/>
          <w:b w:val="1"/>
          <w:bCs w:val="1"/>
          <w:color w:val="auto"/>
        </w:rPr>
        <w:t>ICON</w:t>
      </w:r>
      <w:r>
        <w:rPr>
          <w:rFonts w:ascii="Arial" w:cs="Arial" w:eastAsia="Arial" w:hAnsi="Arial"/>
          <w:sz w:val="18"/>
          <w:szCs w:val="18"/>
          <w:color w:val="auto"/>
        </w:rPr>
        <w:t>”) with any reporting requirement under the securities laws. This Policy has been designed to ensure that ICON is in compliance with the requirements of Section 10D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Rule 10D-1 promulgated by the Securities and Exchange Commission under the Exchange Act and the listing rules of the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This Policy applies with respect to all incentive compensation, including annual cash incentives and restricted share units subject to performance conditions, received by current and former executive officers of ICON, each as provided below.</w:t>
      </w:r>
    </w:p>
    <w:p>
      <w:pPr>
        <w:spacing w:after="0" w:line="205" w:lineRule="exact"/>
        <w:rPr>
          <w:sz w:val="20"/>
          <w:szCs w:val="20"/>
          <w:color w:val="auto"/>
        </w:rPr>
      </w:pPr>
    </w:p>
    <w:p>
      <w:pPr>
        <w:ind w:left="581" w:hanging="581"/>
        <w:spacing w:after="0"/>
        <w:tabs>
          <w:tab w:leader="none" w:pos="58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Persons Covered</w:t>
      </w:r>
    </w:p>
    <w:p>
      <w:pPr>
        <w:spacing w:after="0" w:line="212"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This Policy applies to all current or former executive officers of ICON within the meaning of NASDAQ Listing Rule 5608 and Exchange Act Rule 10D-1. This Policy will also apply to other members of senior management of ICON designated by the Board of Directors of ICON (the “</w:t>
      </w:r>
      <w:r>
        <w:rPr>
          <w:rFonts w:ascii="Arial" w:cs="Arial" w:eastAsia="Arial" w:hAnsi="Arial"/>
          <w:sz w:val="18"/>
          <w:szCs w:val="18"/>
          <w:b w:val="1"/>
          <w:bCs w:val="1"/>
          <w:color w:val="auto"/>
        </w:rPr>
        <w:t>Board</w:t>
      </w:r>
      <w:r>
        <w:rPr>
          <w:rFonts w:ascii="Arial" w:cs="Arial" w:eastAsia="Arial" w:hAnsi="Arial"/>
          <w:sz w:val="18"/>
          <w:szCs w:val="18"/>
          <w:color w:val="auto"/>
        </w:rPr>
        <w:t>”) from time to time. Each executive officer or other individual to whom this Policy applies is referred to as a “</w:t>
      </w:r>
      <w:r>
        <w:rPr>
          <w:rFonts w:ascii="Arial" w:cs="Arial" w:eastAsia="Arial" w:hAnsi="Arial"/>
          <w:sz w:val="18"/>
          <w:szCs w:val="18"/>
          <w:b w:val="1"/>
          <w:bCs w:val="1"/>
          <w:color w:val="auto"/>
        </w:rPr>
        <w:t>Covered Executive</w:t>
      </w:r>
      <w:r>
        <w:rPr>
          <w:rFonts w:ascii="Arial" w:cs="Arial" w:eastAsia="Arial" w:hAnsi="Arial"/>
          <w:sz w:val="18"/>
          <w:szCs w:val="18"/>
          <w:color w:val="auto"/>
        </w:rPr>
        <w:t>”.</w:t>
      </w:r>
    </w:p>
    <w:p>
      <w:pPr>
        <w:spacing w:after="0" w:line="193" w:lineRule="exact"/>
        <w:rPr>
          <w:sz w:val="20"/>
          <w:szCs w:val="20"/>
          <w:color w:val="auto"/>
        </w:rPr>
      </w:pPr>
    </w:p>
    <w:p>
      <w:pPr>
        <w:ind w:left="581" w:hanging="581"/>
        <w:spacing w:after="0"/>
        <w:tabs>
          <w:tab w:leader="none" w:pos="58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00" w:lineRule="exact"/>
        <w:rPr>
          <w:sz w:val="20"/>
          <w:szCs w:val="20"/>
          <w:color w:val="auto"/>
        </w:rPr>
      </w:pPr>
    </w:p>
    <w:p>
      <w:pPr>
        <w:jc w:val="both"/>
        <w:ind w:left="1"/>
        <w:spacing w:after="0" w:line="263" w:lineRule="auto"/>
        <w:rPr>
          <w:sz w:val="20"/>
          <w:szCs w:val="20"/>
          <w:color w:val="auto"/>
        </w:rPr>
      </w:pPr>
      <w:r>
        <w:rPr>
          <w:rFonts w:ascii="Arial" w:cs="Arial" w:eastAsia="Arial" w:hAnsi="Arial"/>
          <w:sz w:val="18"/>
          <w:szCs w:val="18"/>
          <w:color w:val="auto"/>
        </w:rPr>
        <w:t>This Policy applies with respect to compensation, including annual cash incentives and restricted share units subject to performance conditions, that is granted, earned or vested based wholly or in part upon the attainment of a financial reporting measure within the meaning of NASDAQ Listing Rule 5608, including the attainment of earnings per share (“</w:t>
      </w:r>
      <w:r>
        <w:rPr>
          <w:rFonts w:ascii="Arial" w:cs="Arial" w:eastAsia="Arial" w:hAnsi="Arial"/>
          <w:sz w:val="18"/>
          <w:szCs w:val="18"/>
          <w:b w:val="1"/>
          <w:bCs w:val="1"/>
          <w:color w:val="auto"/>
        </w:rPr>
        <w:t>Incentive-Based Compensation</w:t>
      </w:r>
      <w:r>
        <w:rPr>
          <w:rFonts w:ascii="Arial" w:cs="Arial" w:eastAsia="Arial" w:hAnsi="Arial"/>
          <w:sz w:val="18"/>
          <w:szCs w:val="18"/>
          <w:color w:val="auto"/>
        </w:rPr>
        <w:t>”). Incentive-Based Compensation does not include stock options or restricted stock units that vest (without any performance condition) upon completion of a specified employment period or bonus awards that are discretionary or based on subjective goals unrelated to financial performance.</w:t>
      </w:r>
    </w:p>
    <w:p>
      <w:pPr>
        <w:spacing w:after="0" w:line="197" w:lineRule="exact"/>
        <w:rPr>
          <w:sz w:val="20"/>
          <w:szCs w:val="20"/>
          <w:color w:val="auto"/>
        </w:rPr>
      </w:pPr>
    </w:p>
    <w:p>
      <w:pPr>
        <w:ind w:left="581" w:hanging="581"/>
        <w:spacing w:after="0"/>
        <w:tabs>
          <w:tab w:leader="none" w:pos="581"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p>
    <w:p>
      <w:pPr>
        <w:spacing w:after="0" w:line="212"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This Policy is effective as of 2 October 2023 (the “</w:t>
      </w:r>
      <w:r>
        <w:rPr>
          <w:rFonts w:ascii="Arial" w:cs="Arial" w:eastAsia="Arial" w:hAnsi="Arial"/>
          <w:sz w:val="18"/>
          <w:szCs w:val="18"/>
          <w:b w:val="1"/>
          <w:bCs w:val="1"/>
          <w:color w:val="auto"/>
        </w:rPr>
        <w:t>Effective Date</w:t>
      </w:r>
      <w:r>
        <w:rPr>
          <w:rFonts w:ascii="Arial" w:cs="Arial" w:eastAsia="Arial" w:hAnsi="Arial"/>
          <w:sz w:val="18"/>
          <w:szCs w:val="18"/>
          <w:color w:val="auto"/>
        </w:rPr>
        <w:t>”) and applies to all Incentive-Based Compensation received on or after the Effective Date by any Covered Executive at any time during the performance period that is covered by the Incentive-Based Compensation. For purposes of this Policy, Incentive-Based Compensation is “</w:t>
      </w:r>
      <w:r>
        <w:rPr>
          <w:rFonts w:ascii="Arial" w:cs="Arial" w:eastAsia="Arial" w:hAnsi="Arial"/>
          <w:sz w:val="18"/>
          <w:szCs w:val="18"/>
          <w:b w:val="1"/>
          <w:bCs w:val="1"/>
          <w:color w:val="auto"/>
        </w:rPr>
        <w:t>received</w:t>
      </w:r>
      <w:r>
        <w:rPr>
          <w:rFonts w:ascii="Arial" w:cs="Arial" w:eastAsia="Arial" w:hAnsi="Arial"/>
          <w:sz w:val="18"/>
          <w:szCs w:val="18"/>
          <w:color w:val="auto"/>
        </w:rPr>
        <w:t>” in ICON’s fiscal period during which the financial reporting measure specified for the compensation has been attained.</w:t>
      </w:r>
    </w:p>
    <w:p>
      <w:pPr>
        <w:sectPr>
          <w:pgSz w:w="11900" w:h="16838" w:orient="portrait"/>
          <w:cols w:equalWidth="0" w:num="1">
            <w:col w:w="11241"/>
          </w:cols>
          <w:pgMar w:left="319" w:top="114" w:right="339" w:bottom="1440" w:gutter="0" w:footer="0" w:header="0"/>
        </w:sectPr>
      </w:pPr>
    </w:p>
    <w:bookmarkStart w:id="167" w:name="page168"/>
    <w:bookmarkEnd w:id="167"/>
    <w:p>
      <w:pPr>
        <w:spacing w:after="0" w:line="109" w:lineRule="exact"/>
        <w:rPr>
          <w:sz w:val="20"/>
          <w:szCs w:val="20"/>
          <w:color w:val="auto"/>
        </w:rPr>
      </w:pPr>
    </w:p>
    <w:p>
      <w:pPr>
        <w:ind w:left="581" w:hanging="581"/>
        <w:spacing w:after="0"/>
        <w:tabs>
          <w:tab w:leader="none" w:pos="581"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Restatement</w:t>
      </w:r>
    </w:p>
    <w:p>
      <w:pPr>
        <w:spacing w:after="0" w:line="212" w:lineRule="exact"/>
        <w:rPr>
          <w:sz w:val="20"/>
          <w:szCs w:val="20"/>
          <w:color w:val="auto"/>
        </w:rPr>
      </w:pPr>
    </w:p>
    <w:p>
      <w:pPr>
        <w:jc w:val="both"/>
        <w:ind w:left="1"/>
        <w:spacing w:after="0" w:line="261" w:lineRule="auto"/>
        <w:rPr>
          <w:sz w:val="20"/>
          <w:szCs w:val="20"/>
          <w:color w:val="auto"/>
        </w:rPr>
      </w:pPr>
      <w:r>
        <w:rPr>
          <w:rFonts w:ascii="Arial" w:cs="Arial" w:eastAsia="Arial" w:hAnsi="Arial"/>
          <w:sz w:val="18"/>
          <w:szCs w:val="18"/>
          <w:color w:val="auto"/>
        </w:rPr>
        <w:t>Incentive-Based Compensation may be subject to recovery under this Policy in the event ICON is required to prepare an accounting restatement due to the material noncompliance of ICON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Arial" w:cs="Arial" w:eastAsia="Arial" w:hAnsi="Arial"/>
          <w:sz w:val="18"/>
          <w:szCs w:val="18"/>
          <w:b w:val="1"/>
          <w:bCs w:val="1"/>
          <w:color w:val="auto"/>
        </w:rPr>
        <w:t>Restatement</w:t>
      </w:r>
      <w:r>
        <w:rPr>
          <w:rFonts w:ascii="Arial" w:cs="Arial" w:eastAsia="Arial" w:hAnsi="Arial"/>
          <w:sz w:val="18"/>
          <w:szCs w:val="18"/>
          <w:color w:val="auto"/>
        </w:rPr>
        <w:t>”).</w:t>
      </w:r>
    </w:p>
    <w:p>
      <w:pPr>
        <w:spacing w:after="0" w:line="205" w:lineRule="exact"/>
        <w:rPr>
          <w:sz w:val="20"/>
          <w:szCs w:val="20"/>
          <w:color w:val="auto"/>
        </w:rPr>
      </w:pPr>
    </w:p>
    <w:p>
      <w:pPr>
        <w:ind w:left="581" w:hanging="581"/>
        <w:spacing w:after="0"/>
        <w:tabs>
          <w:tab w:leader="none" w:pos="58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Recovery Period</w:t>
      </w:r>
    </w:p>
    <w:p>
      <w:pPr>
        <w:spacing w:after="0" w:line="200" w:lineRule="exact"/>
        <w:rPr>
          <w:sz w:val="20"/>
          <w:szCs w:val="20"/>
          <w:color w:val="auto"/>
        </w:rPr>
      </w:pPr>
    </w:p>
    <w:p>
      <w:pPr>
        <w:jc w:val="both"/>
        <w:ind w:left="1"/>
        <w:spacing w:after="0" w:line="258" w:lineRule="auto"/>
        <w:rPr>
          <w:sz w:val="20"/>
          <w:szCs w:val="20"/>
          <w:color w:val="auto"/>
        </w:rPr>
      </w:pPr>
      <w:r>
        <w:rPr>
          <w:rFonts w:ascii="Arial" w:cs="Arial" w:eastAsia="Arial" w:hAnsi="Arial"/>
          <w:sz w:val="18"/>
          <w:szCs w:val="18"/>
          <w:color w:val="auto"/>
        </w:rPr>
        <w:t xml:space="preserve">Incentive-Based Compensation received by a Covered Executive on or after the Effective Date is subject to recovery under this Policy if the Covered Executive served in any position as a Covered Executive at any time during the performance period,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Incentive-Based Compensation is received after the beginning of the Covered Executive’s service as a Covered Executive and during the last three completed fiscal years immediately preceding the date that ICON is required to prepare a Restatement (the “</w:t>
      </w:r>
      <w:r>
        <w:rPr>
          <w:rFonts w:ascii="Arial" w:cs="Arial" w:eastAsia="Arial" w:hAnsi="Arial"/>
          <w:sz w:val="18"/>
          <w:szCs w:val="18"/>
          <w:b w:val="1"/>
          <w:bCs w:val="1"/>
          <w:color w:val="auto"/>
        </w:rPr>
        <w:t>Recovery Period</w:t>
      </w:r>
      <w:r>
        <w:rPr>
          <w:rFonts w:ascii="Arial" w:cs="Arial" w:eastAsia="Arial" w:hAnsi="Arial"/>
          <w:sz w:val="18"/>
          <w:szCs w:val="18"/>
          <w:color w:val="auto"/>
        </w:rPr>
        <w:t>”). The date that ICON is required to prepare a Restatement is the earlier of (x) the date the Board, a committee of the Board, or the officer or officers of ICON authorized to take such action if Board action is not required, concludes, or reasonably should have concluded, that ICON is required to prepare a Restatement, or (y) the date a court, regulator or other legally authorized body directs ICON to prepare a Restatement.</w:t>
      </w:r>
    </w:p>
    <w:p>
      <w:pPr>
        <w:spacing w:after="0" w:line="205" w:lineRule="exact"/>
        <w:rPr>
          <w:sz w:val="20"/>
          <w:szCs w:val="20"/>
          <w:color w:val="auto"/>
        </w:rPr>
      </w:pPr>
    </w:p>
    <w:p>
      <w:pPr>
        <w:ind w:left="581" w:hanging="581"/>
        <w:spacing w:after="0"/>
        <w:tabs>
          <w:tab w:leader="none" w:pos="581"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Recovery Amount</w:t>
      </w:r>
    </w:p>
    <w:p>
      <w:pPr>
        <w:spacing w:after="0" w:line="212"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In the event ICON is required to prepare a Restatement, ICON will recover reasonably promptly the amount of Incentive-Based Compensation received during the Recovery Period that exceeds the amount of the Incentive-Based Compensation that would have been received had it been determined based on the Restatement, without regard to taxes paid (the “</w:t>
      </w:r>
      <w:r>
        <w:rPr>
          <w:rFonts w:ascii="Arial" w:cs="Arial" w:eastAsia="Arial" w:hAnsi="Arial"/>
          <w:sz w:val="18"/>
          <w:szCs w:val="18"/>
          <w:b w:val="1"/>
          <w:bCs w:val="1"/>
          <w:color w:val="auto"/>
        </w:rPr>
        <w:t>Recovery Amount</w:t>
      </w:r>
      <w:r>
        <w:rPr>
          <w:rFonts w:ascii="Arial" w:cs="Arial" w:eastAsia="Arial" w:hAnsi="Arial"/>
          <w:sz w:val="18"/>
          <w:szCs w:val="18"/>
          <w:color w:val="auto"/>
        </w:rPr>
        <w:t>”). For any Incentive-Based Compensation based on share price or total shareholder return, and where the Recovery Amount is not subject to mathematical recalculation directly from the information in the Restatement, the Recovery Amount will instead be determined based on a reasonable estimate of the effect of the Restatement on the share price or total shareholder return.</w:t>
      </w:r>
    </w:p>
    <w:p>
      <w:pPr>
        <w:spacing w:after="0" w:line="151"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ICON will recover the Recovery Amount in compliance with this Policy except to the extent that the Compensation &amp; Organisation Committee of the Board (the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has determined that recovery would be impracticable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 the direct expense paid to a third party to assist in enforcing this Policy would exceed the amount to be recovered and ICON has made a reasonable attempt to recover the Recovery Amount, (ii) recovery would violate home country law adopted prior to November 28, 2022, or (iii) recovery would likely cause an otherwise tax-qualified retirement plan, under which benefits are broadly available to ICON employees, to fail to meet the requirements of 26 U.S.C. 401(a)(13 or 26 U.S. C. 411(a)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1"/>
          </w:cols>
          <w:pgMar w:left="319" w:top="1440" w:right="339" w:bottom="1440" w:gutter="0" w:footer="0" w:header="0"/>
        </w:sectPr>
      </w:pPr>
    </w:p>
    <w:bookmarkStart w:id="168" w:name="page169"/>
    <w:bookmarkEnd w:id="168"/>
    <w:p>
      <w:pPr>
        <w:spacing w:after="0" w:line="109" w:lineRule="exact"/>
        <w:rPr>
          <w:sz w:val="20"/>
          <w:szCs w:val="20"/>
          <w:color w:val="auto"/>
        </w:rPr>
      </w:pPr>
    </w:p>
    <w:p>
      <w:pPr>
        <w:ind w:left="581" w:hanging="581"/>
        <w:spacing w:after="0"/>
        <w:tabs>
          <w:tab w:leader="none" w:pos="581"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12" w:lineRule="exact"/>
        <w:rPr>
          <w:sz w:val="20"/>
          <w:szCs w:val="20"/>
          <w:color w:val="auto"/>
        </w:rPr>
      </w:pPr>
    </w:p>
    <w:p>
      <w:pPr>
        <w:jc w:val="both"/>
        <w:ind w:left="1"/>
        <w:spacing w:after="0" w:line="260" w:lineRule="auto"/>
        <w:rPr>
          <w:sz w:val="20"/>
          <w:szCs w:val="20"/>
          <w:color w:val="auto"/>
        </w:rPr>
      </w:pPr>
      <w:r>
        <w:rPr>
          <w:rFonts w:ascii="Arial" w:cs="Arial" w:eastAsia="Arial" w:hAnsi="Arial"/>
          <w:sz w:val="18"/>
          <w:szCs w:val="18"/>
          <w:color w:val="auto"/>
        </w:rPr>
        <w:t>The Board and, if designated by the Board, the Committee will administer and will have full authority to interpret and to enforce this Policy consistent with the requirements of NASDAQ Listing Rule 5608 and Exchange Act Rule 10D-1 and to determine the method for recovering Incentive-Based Compensation subject to recovery under this Policy. Any determinations made by the Board or Committee in accordance with this Policy shall be final and binding on all persons.</w:t>
      </w:r>
    </w:p>
    <w:p>
      <w:pPr>
        <w:spacing w:after="0" w:line="212" w:lineRule="exact"/>
        <w:rPr>
          <w:sz w:val="20"/>
          <w:szCs w:val="20"/>
          <w:color w:val="auto"/>
        </w:rPr>
      </w:pPr>
    </w:p>
    <w:p>
      <w:pPr>
        <w:ind w:left="581" w:hanging="581"/>
        <w:spacing w:after="0"/>
        <w:tabs>
          <w:tab w:leader="none" w:pos="581"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11" w:lineRule="exact"/>
        <w:rPr>
          <w:rFonts w:ascii="Arial" w:cs="Arial" w:eastAsia="Arial" w:hAnsi="Arial"/>
          <w:sz w:val="18"/>
          <w:szCs w:val="18"/>
          <w:b w:val="1"/>
          <w:bCs w:val="1"/>
          <w:color w:val="auto"/>
        </w:rPr>
      </w:pPr>
    </w:p>
    <w:p>
      <w:pPr>
        <w:ind w:left="581" w:hanging="286"/>
        <w:spacing w:after="0"/>
        <w:tabs>
          <w:tab w:leader="none" w:pos="5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ICON may not indemnify any Covered Executive against the loss of Incentive-Based Compensation.</w:t>
      </w:r>
    </w:p>
    <w:p>
      <w:pPr>
        <w:spacing w:after="0" w:line="199" w:lineRule="exact"/>
        <w:rPr>
          <w:rFonts w:ascii="Arial" w:cs="Arial" w:eastAsia="Arial" w:hAnsi="Arial"/>
          <w:sz w:val="18"/>
          <w:szCs w:val="18"/>
          <w:color w:val="auto"/>
        </w:rPr>
      </w:pPr>
    </w:p>
    <w:p>
      <w:pPr>
        <w:ind w:left="601" w:hanging="306"/>
        <w:spacing w:after="0" w:line="294" w:lineRule="auto"/>
        <w:tabs>
          <w:tab w:leader="none" w:pos="59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Policy will be binding on and enforceable against all Covered Executives and each of their beneficiaries, heirs, executors, administrators and legal representatives.</w:t>
      </w:r>
    </w:p>
    <w:p>
      <w:pPr>
        <w:spacing w:after="0" w:line="121" w:lineRule="exact"/>
        <w:rPr>
          <w:rFonts w:ascii="Arial" w:cs="Arial" w:eastAsia="Arial" w:hAnsi="Arial"/>
          <w:sz w:val="18"/>
          <w:szCs w:val="18"/>
          <w:color w:val="auto"/>
        </w:rPr>
      </w:pPr>
    </w:p>
    <w:p>
      <w:pPr>
        <w:ind w:left="581" w:hanging="286"/>
        <w:spacing w:after="0"/>
        <w:tabs>
          <w:tab w:leader="none" w:pos="5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Board may amend, modify or terminate this Policy in whole or in part and at any time.</w:t>
      </w:r>
    </w:p>
    <w:p>
      <w:pPr>
        <w:spacing w:after="0" w:line="261" w:lineRule="exact"/>
        <w:rPr>
          <w:rFonts w:ascii="Arial" w:cs="Arial" w:eastAsia="Arial" w:hAnsi="Arial"/>
          <w:sz w:val="18"/>
          <w:szCs w:val="18"/>
          <w:color w:val="auto"/>
        </w:rPr>
      </w:pPr>
    </w:p>
    <w:p>
      <w:pPr>
        <w:ind w:left="581" w:hanging="581"/>
        <w:spacing w:after="0"/>
        <w:tabs>
          <w:tab w:leader="none" w:pos="581"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w:t>
      </w:r>
    </w:p>
    <w:p>
      <w:pPr>
        <w:spacing w:after="0" w:line="212"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ICON intends that this Policy will be applied to the fullest extent of the law and may require that any employment agreement, equity award agreement, or similar agreement require a Covered Executive to agree to abide by the terms of this Policy as a condition to the grant of any right or benefit thereunder. Any right of recovery under this Policy is in addition to, and not in lieu of, any other remedies or rights of recoupment or recovery that may be available pursuant to the terms of any similar clawback or recovery policy or in any employment agreement, equity award agreement, or similar agreement, or any other rights or remedies available under applicable law.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241"/>
      </w:cols>
      <w:pgMar w:left="319"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lvl w:ilvl="1">
      <w:lvlJc w:val="left"/>
      <w:lvlText w:val="☒"/>
      <w:numFmt w:val="bullet"/>
      <w:start w:val="1"/>
    </w:lvl>
  </w:abstractNum>
  <w:abstractNum w:abstractNumId="1">
    <w:nsid w:val="D34B6A8"/>
    <w:multiLevelType w:val="hybridMultilevel"/>
    <w:lvl w:ilvl="0">
      <w:lvlJc w:val="left"/>
      <w:lvlText w:val="☐"/>
      <w:numFmt w:val="bullet"/>
      <w:start w:val="1"/>
    </w:lvl>
    <w:lvl w:ilvl="1">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1"/>
      <w:numFmt w:val="bullet"/>
      <w:start w:val="1"/>
    </w:lvl>
  </w:abstractNum>
  <w:abstractNum w:abstractNumId="41">
    <w:nsid w:val="4962813B"/>
    <w:multiLevelType w:val="hybridMultilevel"/>
    <w:lvl w:ilvl="0">
      <w:lvlJc w:val="left"/>
      <w:lvlText w:val="2"/>
      <w:numFmt w:val="bullet"/>
      <w:start w:val="1"/>
    </w:lvl>
  </w:abstractNum>
  <w:abstractNum w:abstractNumId="42">
    <w:nsid w:val="60B6DF70"/>
    <w:multiLevelType w:val="hybridMultilevel"/>
    <w:lvl w:ilvl="0">
      <w:lvlJc w:val="left"/>
      <w:lvlText w:val="%1."/>
      <w:numFmt w:val="upperLetter"/>
      <w:start w:val="1"/>
    </w:lvl>
  </w:abstractNum>
  <w:abstractNum w:abstractNumId="43">
    <w:nsid w:val="6A5EE64"/>
    <w:multiLevelType w:val="hybridMultilevel"/>
    <w:lvl w:ilvl="0">
      <w:lvlJc w:val="left"/>
      <w:lvlText w:val="%1."/>
      <w:numFmt w:val="upperLetter"/>
      <w:start w:val="2"/>
    </w:lvl>
  </w:abstractNum>
  <w:abstractNum w:abstractNumId="44">
    <w:nsid w:val="14330624"/>
    <w:multiLevelType w:val="hybridMultilevel"/>
    <w:lvl w:ilvl="0">
      <w:lvlJc w:val="left"/>
      <w:lvlText w:val="%1."/>
      <w:numFmt w:val="upperLetter"/>
      <w:start w:val="3"/>
    </w:lvl>
  </w:abstractNum>
  <w:abstractNum w:abstractNumId="45">
    <w:nsid w:val="7FFFCA11"/>
    <w:multiLevelType w:val="hybridMultilevel"/>
    <w:lvl w:ilvl="0">
      <w:lvlJc w:val="left"/>
      <w:lvlText w:val="%1."/>
      <w:numFmt w:val="upperLetter"/>
      <w:start w:val="4"/>
    </w:lvl>
  </w:abstractNum>
  <w:abstractNum w:abstractNumId="46">
    <w:nsid w:val="1A27709E"/>
    <w:multiLevelType w:val="hybridMultilevel"/>
    <w:lvl w:ilvl="0">
      <w:lvlJc w:val="left"/>
      <w:lvlText w:val="%1."/>
      <w:numFmt w:val="upperLetter"/>
      <w:start w:val="5"/>
    </w:lvl>
  </w:abstractNum>
  <w:abstractNum w:abstractNumId="47">
    <w:nsid w:val="71EA1109"/>
    <w:multiLevelType w:val="hybridMultilevel"/>
    <w:lvl w:ilvl="0">
      <w:lvlJc w:val="left"/>
      <w:lvlText w:val="%1."/>
      <w:numFmt w:val="upperLetter"/>
      <w:start w:val="6"/>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1)"/>
      <w:numFmt w:val="lowerLetter"/>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upperLetter"/>
      <w:start w:val="2"/>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upperLetter"/>
      <w:start w:val="5"/>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1."/>
      <w:numFmt w:val="upperLetter"/>
      <w:start w:val="6"/>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1."/>
      <w:numFmt w:val="upperLetter"/>
      <w:start w:val="1"/>
    </w:lvl>
  </w:abstractNum>
  <w:abstractNum w:abstractNumId="61">
    <w:nsid w:val="2DF6D648"/>
    <w:multiLevelType w:val="hybridMultilevel"/>
    <w:lvl w:ilvl="0">
      <w:lvlJc w:val="left"/>
      <w:lvlText w:val="%1."/>
      <w:numFmt w:val="upperLetter"/>
      <w:start w:val="2"/>
    </w:lvl>
  </w:abstractNum>
  <w:abstractNum w:abstractNumId="62">
    <w:nsid w:val="46B7D447"/>
    <w:multiLevelType w:val="hybridMultilevel"/>
    <w:lvl w:ilvl="0">
      <w:lvlJc w:val="left"/>
      <w:lvlText w:val="%1."/>
      <w:numFmt w:val="upperLetter"/>
      <w:start w:val="3"/>
    </w:lvl>
  </w:abstractNum>
  <w:abstractNum w:abstractNumId="63">
    <w:nsid w:val="4A2AC315"/>
    <w:multiLevelType w:val="hybridMultilevel"/>
    <w:lvl w:ilvl="0">
      <w:lvlJc w:val="left"/>
      <w:lvlText w:val="%1."/>
      <w:numFmt w:val="upperLetter"/>
      <w:start w:val="1"/>
    </w:lvl>
  </w:abstractNum>
  <w:abstractNum w:abstractNumId="64">
    <w:nsid w:val="39EE015C"/>
    <w:multiLevelType w:val="hybridMultilevel"/>
    <w:lvl w:ilvl="0">
      <w:lvlJc w:val="left"/>
      <w:lvlText w:val="%1"/>
      <w:numFmt w:val="upperLetter"/>
      <w:start w:val="1"/>
    </w:lvl>
    <w:lvl w:ilvl="1">
      <w:lvlJc w:val="left"/>
      <w:lvlText w:val="(%2)"/>
      <w:numFmt w:val="lowerRoman"/>
      <w:start w:val="1"/>
    </w:lvl>
  </w:abstractNum>
  <w:abstractNum w:abstractNumId="65">
    <w:nsid w:val="57FC4FBB"/>
    <w:multiLevelType w:val="hybridMultilevel"/>
    <w:lvl w:ilvl="0">
      <w:lvlJc w:val="left"/>
      <w:lvlText w:val="%1."/>
      <w:numFmt w:val="upperLetter"/>
      <w:start w:val="4"/>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1."/>
      <w:numFmt w:val="upperLetter"/>
      <w:start w:val="6"/>
    </w:lvl>
  </w:abstractNum>
  <w:abstractNum w:abstractNumId="75">
    <w:nsid w:val="488AC1A"/>
    <w:multiLevelType w:val="hybridMultilevel"/>
    <w:lvl w:ilvl="0">
      <w:lvlJc w:val="left"/>
      <w:lvlText w:val="%1."/>
      <w:numFmt w:val="upperLetter"/>
      <w:start w:val="9"/>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upperLetter"/>
      <w:start w:val="2"/>
    </w:lvl>
  </w:abstractNum>
  <w:abstractNum w:abstractNumId="78">
    <w:nsid w:val="7672BD23"/>
    <w:multiLevelType w:val="hybridMultilevel"/>
    <w:lvl w:ilvl="0">
      <w:lvlJc w:val="left"/>
      <w:lvlText w:val="\endash "/>
      <w:numFmt w:val="bullet"/>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1."/>
      <w:numFmt w:val="decimal"/>
      <w:start w:val="14"/>
    </w:lvl>
  </w:abstractNum>
  <w:abstractNum w:abstractNumId="82">
    <w:nsid w:val="5F3534A4"/>
    <w:multiLevelType w:val="hybridMultilevel"/>
    <w:lvl w:ilvl="0">
      <w:lvlJc w:val="left"/>
      <w:lvlText w:val="%1"/>
      <w:numFmt w:val="decimal"/>
      <w:start w:val="1"/>
    </w:lvl>
    <w:lvl w:ilvl="1">
      <w:lvlJc w:val="left"/>
      <w:lvlText w:val="(%2)"/>
      <w:numFmt w:val="decimal"/>
      <w:start w:val="1"/>
    </w:lvl>
  </w:abstractNum>
  <w:abstractNum w:abstractNumId="83">
    <w:nsid w:val="73A1821B"/>
    <w:multiLevelType w:val="hybridMultilevel"/>
    <w:lvl w:ilvl="0">
      <w:lvlJc w:val="left"/>
      <w:lvlText w:val="%1."/>
      <w:numFmt w:val="decimal"/>
      <w:start w:val="20"/>
    </w:lvl>
    <w:lvl w:ilvl="1">
      <w:lvlJc w:val="left"/>
      <w:lvlText w:val="%2"/>
      <w:numFmt w:val="decimal"/>
      <w:start w:val="1"/>
    </w:lvl>
  </w:abstractNum>
  <w:abstractNum w:abstractNumId="84">
    <w:nsid w:val="7DE67713"/>
    <w:multiLevelType w:val="hybridMultilevel"/>
    <w:lvl w:ilvl="0">
      <w:lvlJc w:val="left"/>
      <w:lvlText w:val="(%1)"/>
      <w:numFmt w:val="lowerRoman"/>
      <w:start w:val="1"/>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2"/>
    </w:lvl>
    <w:lvl w:ilvl="1">
      <w:lvlJc w:val="left"/>
      <w:lvlText w:val="%2)"/>
      <w:numFmt w:val="lowerLetter"/>
      <w:start w:val="1"/>
    </w:lvl>
  </w:abstractNum>
  <w:abstractNum w:abstractNumId="87">
    <w:nsid w:val="14FCE74E"/>
    <w:multiLevelType w:val="hybridMultilevel"/>
    <w:lvl w:ilvl="0">
      <w:lvlJc w:val="left"/>
      <w:lvlText w:val="%1"/>
      <w:numFmt w:val="decimal"/>
      <w:start w:val="1"/>
    </w:lvl>
    <w:lvl w:ilvl="1">
      <w:lvlJc w:val="left"/>
      <w:lvlText w:val="%2)"/>
      <w:numFmt w:val="lowerLetter"/>
      <w:start w:val="7"/>
    </w:lvl>
  </w:abstractNum>
  <w:abstractNum w:abstractNumId="88">
    <w:nsid w:val="6A3DD3E8"/>
    <w:multiLevelType w:val="hybridMultilevel"/>
    <w:lvl w:ilvl="0">
      <w:lvlJc w:val="left"/>
      <w:lvlText w:val="%1."/>
      <w:numFmt w:val="decimal"/>
      <w:start w:val="3"/>
    </w:lvl>
    <w:lvl w:ilvl="1">
      <w:lvlJc w:val="left"/>
      <w:lvlText w:val="%2)"/>
      <w:numFmt w:val="lowerLetter"/>
      <w:start w:val="1"/>
    </w:lvl>
  </w:abstractNum>
  <w:abstractNum w:abstractNumId="89">
    <w:nsid w:val="71C91298"/>
    <w:multiLevelType w:val="hybridMultilevel"/>
    <w:lvl w:ilvl="0">
      <w:lvlJc w:val="left"/>
      <w:lvlText w:val="%1."/>
      <w:numFmt w:val="lowerRoman"/>
      <w:start w:val="1"/>
    </w:lvl>
  </w:abstractNum>
  <w:abstractNum w:abstractNumId="90">
    <w:nsid w:val="9DAF632"/>
    <w:multiLevelType w:val="hybridMultilevel"/>
    <w:lvl w:ilvl="0">
      <w:lvlJc w:val="left"/>
      <w:lvlText w:val="%1)"/>
      <w:numFmt w:val="lowerLetter"/>
      <w:start w:val="4"/>
    </w:lvl>
    <w:lvl w:ilvl="1">
      <w:lvlJc w:val="left"/>
      <w:lvlText w:val="%2."/>
      <w:numFmt w:val="lowerRoman"/>
      <w:start w:val="1"/>
    </w:lvl>
  </w:abstractNum>
  <w:abstractNum w:abstractNumId="91">
    <w:nsid w:val="53299938"/>
    <w:multiLevelType w:val="hybridMultilevel"/>
    <w:lvl w:ilvl="0">
      <w:lvlJc w:val="left"/>
      <w:lvlText w:val="%1)"/>
      <w:numFmt w:val="lowerLetter"/>
      <w:start w:val="5"/>
    </w:lvl>
    <w:lvl w:ilvl="1">
      <w:lvlJc w:val="left"/>
      <w:lvlText w:val="%2."/>
      <w:numFmt w:val="lowerRoman"/>
      <w:start w:val="1"/>
    </w:lvl>
  </w:abstractNum>
  <w:abstractNum w:abstractNumId="92">
    <w:nsid w:val="1FBFE8E0"/>
    <w:multiLevelType w:val="hybridMultilevel"/>
    <w:lvl w:ilvl="0">
      <w:lvlJc w:val="left"/>
      <w:lvlText w:val="%1."/>
      <w:numFmt w:val="decimal"/>
      <w:start w:val="4"/>
    </w:lvl>
  </w:abstractNum>
  <w:abstractNum w:abstractNumId="93">
    <w:nsid w:val="5092CA79"/>
    <w:multiLevelType w:val="hybridMultilevel"/>
    <w:lvl w:ilvl="0">
      <w:lvlJc w:val="left"/>
      <w:lvlText w:val="%1."/>
      <w:numFmt w:val="decimal"/>
      <w:start w:val="5"/>
    </w:lvl>
    <w:lvl w:ilvl="1">
      <w:lvlJc w:val="left"/>
      <w:lvlText w:val="%2)"/>
      <w:numFmt w:val="lowerLetter"/>
      <w:start w:val="1"/>
    </w:lvl>
  </w:abstractNum>
  <w:abstractNum w:abstractNumId="94">
    <w:nsid w:val="1D545C4D"/>
    <w:multiLevelType w:val="hybridMultilevel"/>
    <w:lvl w:ilvl="0">
      <w:lvlJc w:val="left"/>
      <w:lvlText w:val="%1)"/>
      <w:numFmt w:val="lowerLetter"/>
      <w:start w:val="2"/>
    </w:lvl>
  </w:abstractNum>
  <w:abstractNum w:abstractNumId="95">
    <w:nsid w:val="59ADEA3D"/>
    <w:multiLevelType w:val="hybridMultilevel"/>
    <w:lvl w:ilvl="0">
      <w:lvlJc w:val="left"/>
      <w:lvlText w:val="%1)"/>
      <w:numFmt w:val="lowerLetter"/>
      <w:start w:val="3"/>
    </w:lvl>
    <w:lvl w:ilvl="1">
      <w:lvlJc w:val="left"/>
      <w:lvlText w:val="%2."/>
      <w:numFmt w:val="lowerRoman"/>
      <w:start w:val="1"/>
    </w:lvl>
  </w:abstractNum>
  <w:abstractNum w:abstractNumId="96">
    <w:nsid w:val="288F1A34"/>
    <w:multiLevelType w:val="hybridMultilevel"/>
    <w:lvl w:ilvl="0">
      <w:lvlJc w:val="left"/>
      <w:lvlText w:val="1"/>
      <w:numFmt w:val="bullet"/>
      <w:start w:val="1"/>
    </w:lvl>
  </w:abstractNum>
  <w:abstractNum w:abstractNumId="97">
    <w:nsid w:val="2A155DBC"/>
    <w:multiLevelType w:val="hybridMultilevel"/>
    <w:lvl w:ilvl="0">
      <w:lvlJc w:val="left"/>
      <w:lvlText w:val="2"/>
      <w:numFmt w:val="bullet"/>
      <w:start w:val="1"/>
    </w:lvl>
  </w:abstractNum>
  <w:abstractNum w:abstractNumId="98">
    <w:nsid w:val="1D9F6E5F"/>
    <w:multiLevelType w:val="hybridMultilevel"/>
    <w:lvl w:ilvl="0">
      <w:lvlJc w:val="left"/>
      <w:lvlText w:val="%1."/>
      <w:numFmt w:val="decimal"/>
      <w:start w:val="6"/>
    </w:lvl>
  </w:abstractNum>
  <w:abstractNum w:abstractNumId="99">
    <w:nsid w:val="97E1B4E"/>
    <w:multiLevelType w:val="hybridMultilevel"/>
    <w:lvl w:ilvl="0">
      <w:lvlJc w:val="left"/>
      <w:lvlText w:val="%1."/>
      <w:numFmt w:val="upperLetter"/>
      <w:start w:val="9"/>
    </w:lvl>
  </w:abstractNum>
  <w:abstractNum w:abstractNumId="100">
    <w:nsid w:val="51088277"/>
    <w:multiLevelType w:val="hybridMultilevel"/>
    <w:lvl w:ilvl="0">
      <w:lvlJc w:val="left"/>
      <w:lvlText w:val="%1."/>
      <w:numFmt w:val="upperLetter"/>
      <w:start w:val="35"/>
    </w:lvl>
  </w:abstractNum>
  <w:abstractNum w:abstractNumId="101">
    <w:nsid w:val="1CA0C5FA"/>
    <w:multiLevelType w:val="hybridMultilevel"/>
    <w:lvl w:ilvl="0">
      <w:lvlJc w:val="left"/>
      <w:lvlText w:val="%1."/>
      <w:numFmt w:val="decimal"/>
      <w:start w:val="8"/>
    </w:lvl>
  </w:abstractNum>
  <w:abstractNum w:abstractNumId="102">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3">
    <w:nsid w:val="415E286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04">
    <w:nsid w:val="7C58FD05"/>
    <w:multiLevelType w:val="hybridMultilevel"/>
    <w:lvl w:ilvl="0">
      <w:lvlJc w:val="left"/>
      <w:lvlText w:val="%1)"/>
      <w:numFmt w:val="lowerLetter"/>
      <w:start w:val="2"/>
    </w:lvl>
  </w:abstractNum>
  <w:abstractNum w:abstractNumId="105">
    <w:nsid w:val="23D86AAC"/>
    <w:multiLevelType w:val="hybridMultilevel"/>
    <w:lvl w:ilvl="0">
      <w:lvlJc w:val="left"/>
      <w:lvlText w:val="%1."/>
      <w:numFmt w:val="decimal"/>
      <w:start w:val="1"/>
    </w:lvl>
    <w:lvl w:ilvl="1">
      <w:lvlJc w:val="left"/>
      <w:lvlText w:val="%2)"/>
      <w:numFmt w:val="lowerLetter"/>
      <w:start w:val="1"/>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decimal"/>
      <w:start w:val="1"/>
    </w:lvl>
    <w:lvl w:ilvl="1">
      <w:lvlJc w:val="left"/>
      <w:lvlText w:val="%2)"/>
      <w:numFmt w:val="lowerLetter"/>
      <w:start w:val="1"/>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1."/>
      <w:numFmt w:val="decimal"/>
      <w:start w:val="1"/>
    </w:lvl>
  </w:abstractNum>
  <w:abstractNum w:abstractNumId="112">
    <w:nsid w:val="39B7AAA2"/>
    <w:multiLevelType w:val="hybridMultilevel"/>
    <w:lvl w:ilvl="0">
      <w:lvlJc w:val="left"/>
      <w:lvlText w:val="%1."/>
      <w:numFmt w:val="decimal"/>
      <w:start w:val="2"/>
    </w:lvl>
  </w:abstractNum>
  <w:abstractNum w:abstractNumId="113">
    <w:nsid w:val="2B0D8DBE"/>
    <w:multiLevelType w:val="hybridMultilevel"/>
    <w:lvl w:ilvl="0">
      <w:lvlJc w:val="left"/>
      <w:lvlText w:val="%1."/>
      <w:numFmt w:val="decimal"/>
      <w:start w:val="3"/>
    </w:lvl>
  </w:abstractNum>
  <w:abstractNum w:abstractNumId="114">
    <w:nsid w:val="6C80EC70"/>
    <w:multiLevelType w:val="hybridMultilevel"/>
    <w:lvl w:ilvl="0">
      <w:lvlJc w:val="left"/>
      <w:lvlText w:val="%1."/>
      <w:numFmt w:val="decimal"/>
      <w:start w:val="4"/>
    </w:lvl>
  </w:abstractNum>
  <w:abstractNum w:abstractNumId="115">
    <w:nsid w:val="379E21B5"/>
    <w:multiLevelType w:val="hybridMultilevel"/>
    <w:lvl w:ilvl="0">
      <w:lvlJc w:val="left"/>
      <w:lvlText w:val="%1."/>
      <w:numFmt w:val="decimal"/>
      <w:start w:val="5"/>
    </w:lvl>
  </w:abstractNum>
  <w:abstractNum w:abstractNumId="116">
    <w:nsid w:val="69E373"/>
    <w:multiLevelType w:val="hybridMultilevel"/>
    <w:lvl w:ilvl="0">
      <w:lvlJc w:val="left"/>
      <w:lvlText w:val="%1."/>
      <w:numFmt w:val="decimal"/>
      <w:start w:val="6"/>
    </w:lvl>
  </w:abstractNum>
  <w:abstractNum w:abstractNumId="117">
    <w:nsid w:val="2C27173B"/>
    <w:multiLevelType w:val="hybridMultilevel"/>
    <w:lvl w:ilvl="0">
      <w:lvlJc w:val="left"/>
      <w:lvlText w:val="%1."/>
      <w:numFmt w:val="decimal"/>
      <w:start w:val="7"/>
    </w:lvl>
  </w:abstractNum>
  <w:abstractNum w:abstractNumId="118">
    <w:nsid w:val="4C9B0904"/>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jpeg"/><Relationship Id="rId187" Type="http://schemas.openxmlformats.org/officeDocument/2006/relationships/image" Target="media/image171.jpeg"/><Relationship Id="rId188" Type="http://schemas.openxmlformats.org/officeDocument/2006/relationships/image" Target="media/image172.jpeg"/><Relationship Id="rId189" Type="http://schemas.openxmlformats.org/officeDocument/2006/relationships/image" Target="media/image173.jpeg"/><Relationship Id="rId190" Type="http://schemas.openxmlformats.org/officeDocument/2006/relationships/image" Target="media/image174.jpeg"/><Relationship Id="rId191" Type="http://schemas.openxmlformats.org/officeDocument/2006/relationships/image" Target="media/image175.jpeg"/><Relationship Id="rId192" Type="http://schemas.openxmlformats.org/officeDocument/2006/relationships/image" Target="media/image176.jpeg"/><Relationship Id="rId193" Type="http://schemas.openxmlformats.org/officeDocument/2006/relationships/image" Target="media/image177.jpeg"/><Relationship Id="rId194" Type="http://schemas.openxmlformats.org/officeDocument/2006/relationships/image" Target="media/image178.png"/><Relationship Id="rId195" Type="http://schemas.openxmlformats.org/officeDocument/2006/relationships/image" Target="media/image179.jpeg"/><Relationship Id="rId196" Type="http://schemas.openxmlformats.org/officeDocument/2006/relationships/image" Target="media/image180.jpeg"/><Relationship Id="rId197" Type="http://schemas.openxmlformats.org/officeDocument/2006/relationships/image" Target="media/image181.jpeg"/><Relationship Id="rId198" Type="http://schemas.openxmlformats.org/officeDocument/2006/relationships/image" Target="media/image182.jpeg"/><Relationship Id="rId176" Type="http://schemas.openxmlformats.org/officeDocument/2006/relationships/hyperlink" Target="https://www.sec.gov/Archives/edgar/data/0001060955/000114036121006002/nc10020781x8_ex2-1.htm" TargetMode="External"/><Relationship Id="rId177" Type="http://schemas.openxmlformats.org/officeDocument/2006/relationships/hyperlink" Target="https://www.sec.gov/Archives/edgar/data/0001060955/000114036121023058/nt10026444x8_ex99-1.htm" TargetMode="External"/><Relationship Id="rId178" Type="http://schemas.openxmlformats.org/officeDocument/2006/relationships/hyperlink" Target="https://www.sec.gov/Archives/edgar/data/0001060955/000114036121023058/nt10026444x8_ex99-2.htm" TargetMode="External"/><Relationship Id="rId179" Type="http://schemas.openxmlformats.org/officeDocument/2006/relationships/hyperlink" Target="https://www.sec.gov/Archives/edgar/data/1060955/000106095523000007/exhibit25-2022.htm" TargetMode="External"/><Relationship Id="rId180" Type="http://schemas.openxmlformats.org/officeDocument/2006/relationships/hyperlink" Target="https://www.sec.gov/Archives/edgar/data/1060955/000106095523000027/exhibit991-q22023.htm" TargetMode="External"/><Relationship Id="rId181" Type="http://schemas.openxmlformats.org/officeDocument/2006/relationships/hyperlink" Target="https://www.sec.gov/Archives/edgar/data/1060955/000106095524000028/ex991icon-amendmentno3.htm" TargetMode="External"/><Relationship Id="rId182" Type="http://schemas.openxmlformats.org/officeDocument/2006/relationships/hyperlink" Target="https://www.sec.gov/Archives/edgar/data/1060955/000114036124024935/ny20027656x5_ex4-1.htm" TargetMode="External"/><Relationship Id="rId183" Type="http://schemas.openxmlformats.org/officeDocument/2006/relationships/hyperlink" Target="https://www.sec.gov/Archives/edgar/data/1060955/000114036124024935/ny20027656x5_ex4-2.htm" TargetMode="External"/><Relationship Id="rId184" Type="http://schemas.openxmlformats.org/officeDocument/2006/relationships/hyperlink" Target="https://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2025-02-21T16:19:34Z</dcterms:created>
  <dcterms:modified xsi:type="dcterms:W3CDTF">2025-02-21T16:19:34Z</dcterms:modified>
</cp:coreProperties>
</file>