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980"/>
        <w:spacing w:after="0"/>
        <w:tabs>
          <w:tab w:leader="none" w:pos="634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980"/>
        <w:spacing w:after="0"/>
        <w:tabs>
          <w:tab w:leader="none" w:pos="63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980"/>
        <w:spacing w:after="0"/>
        <w:tabs>
          <w:tab w:leader="none" w:pos="63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May 30, 2024 - ICON Hosts Investor Day and Updates Full Year 2024 Financial Guidance</w:t>
      </w:r>
    </w:p>
    <w:p>
      <w:pPr>
        <w:sectPr>
          <w:pgSz w:w="11900" w:h="16838" w:orient="portrait"/>
          <w:cols w:equalWidth="0" w:num="1">
            <w:col w:w="10420"/>
          </w:cols>
          <w:pgMar w:left="340" w:top="1440" w:right="11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May 30,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1023620</wp:posOffset>
            </wp:positionV>
            <wp:extent cx="130302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Hosts Investor Day and Updates Full Year 2024 Financial Guidance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1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mid-term financial outlook supported by positive market environment and strengthened, scaled offering.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innovation to drive improved outcomes and efficiency in trial delivery.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2024 financial outlook to incorporate positive impact of debt refinancing.</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adjusted earnings per share* guidance is now expected to be in the range of $14.75 - $15.25, an increase of 15.3% to 19.2% over 2023.</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Dublin, Ireland, May 30, 2024 – </w:t>
      </w:r>
      <w:r>
        <w:rPr>
          <w:rFonts w:ascii="Times New Roman" w:cs="Times New Roman" w:eastAsia="Times New Roman" w:hAnsi="Times New Roman"/>
          <w:sz w:val="18"/>
          <w:szCs w:val="18"/>
          <w:color w:val="auto"/>
        </w:rPr>
        <w:t>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healthcare intelligence and clinical research organization, will host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Investor Day today in New York City. The event will feature presentations from ICON’s executive team and provide further details on the strategic initiatives that will drive the near and long-term outlook for the company. The event will begin at 10 am EST and can be joined via webcast here.</w:t>
      </w:r>
    </w:p>
    <w:p>
      <w:pPr>
        <w:spacing w:after="0" w:line="13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 xml:space="preserve">Dr. Steve Cutler, ICON’s CEO, commented, </w:t>
      </w:r>
      <w:r>
        <w:rPr>
          <w:rFonts w:ascii="Times New Roman" w:cs="Times New Roman" w:eastAsia="Times New Roman" w:hAnsi="Times New Roman"/>
          <w:sz w:val="18"/>
          <w:szCs w:val="18"/>
          <w:i w:val="1"/>
          <w:iCs w:val="1"/>
          <w:color w:val="auto"/>
        </w:rPr>
        <w:t>“We are excited to provide an update on ICON’s strategy and mid-term financial outlook, as our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leading offering continues to evolve to best meet the needs of our customers in a positive demand environment. As the need for innovation, efficiency and delivery continues to drive success in our industry, ICON is well positioned to outperform the market in the mid and long-term.”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ICON is updating its full-year 2024 guidance to incorporate its recent debt refinancing, including the impact of the successful $2 billion investment grade bond offering closed in early May, as well as the repricing in March of the existing Term Loan B facility. This is expected to result in a net interest expense of $200 - $210 million for the full year 2024, a reduction from the previous range of $200 - $230 million for the full year.</w:t>
      </w:r>
    </w:p>
    <w:p>
      <w:pPr>
        <w:spacing w:after="0" w:line="1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Full-year 2024 revenue guidance is reaffirmed in the range of $8,480 - $8,720 million, representing a year over year increase of 4.4% to 7.4%. Full-year 2024 adjusted earnings per share* guidance is now expected to be in the range of $14.75 - $15.25, an increase from the previous range of $14.65 - $15.15. The updated adjusted earnings per share* range represents a year over year increase of 15.3% to 19.2% over full year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102 locations in 54 countries as at March 31, 2024. For further information about ICON, visit: www.iconplc.com.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w:t>
      </w:r>
    </w:p>
    <w:p>
      <w:pPr>
        <w:sectPr>
          <w:pgSz w:w="11900" w:h="16838" w:orient="portrait"/>
          <w:cols w:equalWidth="0" w:num="1">
            <w:col w:w="11240"/>
          </w:cols>
          <w:pgMar w:left="320" w:top="1440" w:right="339" w:bottom="1440" w:gutter="0" w:footer="0" w:header="0"/>
        </w:sectPr>
      </w:pPr>
    </w:p>
    <w:bookmarkStart w:id="4" w:name="page5"/>
    <w:bookmarkEnd w:id="4"/>
    <w:p>
      <w:pPr>
        <w:spacing w:after="0" w:line="1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5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highlight w:val="white"/>
        </w:rPr>
        <w:t>In addition to the financial measures prepared in accordance with generally accepted accounting principles (GAAP), this press release contains certain non-GAAP financial measures, including adjusted earnings per share*.</w:t>
      </w:r>
    </w:p>
    <w:p>
      <w:pPr>
        <w:spacing w:after="0" w:line="1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highlight w:val="white"/>
        </w:rPr>
        <w:t>*Adjusted earnings per share excludes amortization, stock compensation, foreign exchange gains and losses, and restructuring and transaction-related / integration-related adjustments (including transaction related financing costs). While non-GAAP financial measures are not superior to or a substitute for the comparable GAAP measures, ICON believes certain non-GAAP information is useful to investors for historical comparison purposes.</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highlight w:val="white"/>
        </w:rPr>
        <w:t>The full-year 2024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 Relations +1 888 381 7923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 Chief Financial Officer +353 1 291 2000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at ICON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ICON/ICLR-F</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2024-05-30T07:36:18Z</dcterms:created>
  <dcterms:modified xsi:type="dcterms:W3CDTF">2024-05-30T07:36:18Z</dcterms:modified>
</cp:coreProperties>
</file>