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16"/>
          <w:szCs w:val="16"/>
          <w:b w:val="1"/>
          <w:bCs w:val="1"/>
          <w:color w:val="auto"/>
        </w:rPr>
        <w:t>FORM 6-K</w:t>
      </w:r>
    </w:p>
    <w:p>
      <w:pPr>
        <w:spacing w:after="0" w:line="25"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SECURITIES AND EXCHANGE COMMISSION</w:t>
      </w:r>
    </w:p>
    <w:p>
      <w:pPr>
        <w:spacing w:after="0" w:line="248"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Washington, D.C. 20549</w:t>
      </w:r>
    </w:p>
    <w:p>
      <w:pPr>
        <w:spacing w:after="0" w:line="228"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Report of Foreign Private Issuer</w:t>
      </w:r>
    </w:p>
    <w:p>
      <w:pPr>
        <w:spacing w:after="0" w:line="25"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Pursuant to Rule 13a-16 under</w:t>
      </w:r>
    </w:p>
    <w:p>
      <w:pPr>
        <w:spacing w:after="0" w:line="5"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0" w:lineRule="exact"/>
        <w:rPr>
          <w:sz w:val="24"/>
          <w:szCs w:val="24"/>
          <w:color w:val="auto"/>
        </w:rPr>
      </w:pPr>
    </w:p>
    <w:p>
      <w:pPr>
        <w:spacing w:after="0" w:line="29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For</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the month ended July, 2020</w:t>
      </w:r>
    </w:p>
    <w:p>
      <w:pPr>
        <w:spacing w:after="0" w:line="228"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(Registrant's name)</w:t>
      </w:r>
    </w:p>
    <w:p>
      <w:pPr>
        <w:spacing w:after="0" w:line="200" w:lineRule="exact"/>
        <w:rPr>
          <w:sz w:val="24"/>
          <w:szCs w:val="24"/>
          <w:color w:val="auto"/>
        </w:rPr>
      </w:pPr>
    </w:p>
    <w:p>
      <w:pPr>
        <w:spacing w:after="0" w:line="29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333-08704</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(Commission file number)</w:t>
      </w:r>
    </w:p>
    <w:p>
      <w:pPr>
        <w:spacing w:after="0" w:line="200" w:lineRule="exact"/>
        <w:rPr>
          <w:sz w:val="24"/>
          <w:szCs w:val="24"/>
          <w:color w:val="auto"/>
        </w:rPr>
      </w:pPr>
    </w:p>
    <w:p>
      <w:pPr>
        <w:spacing w:after="0" w:line="29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South County Business Park, Leopardstown, Dublin 18, Ireland</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(Address of principal executive offices)</w:t>
      </w:r>
    </w:p>
    <w:p>
      <w:pPr>
        <w:spacing w:after="0" w:line="200" w:lineRule="exact"/>
        <w:rPr>
          <w:sz w:val="24"/>
          <w:szCs w:val="24"/>
          <w:color w:val="auto"/>
        </w:rPr>
      </w:pPr>
    </w:p>
    <w:p>
      <w:pPr>
        <w:spacing w:after="0" w:line="29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Brendan Brennan, CFO</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South County Business Park, Leopardstown, Dublin 18, Ireland</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Brendan.Brennan@iconplc.com</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+353-1-291-2000</w:t>
      </w:r>
    </w:p>
    <w:p>
      <w:pPr>
        <w:spacing w:after="0" w:line="5" w:lineRule="exact"/>
        <w:rPr>
          <w:sz w:val="24"/>
          <w:szCs w:val="24"/>
          <w:color w:val="auto"/>
        </w:rPr>
      </w:pPr>
    </w:p>
    <w:p>
      <w:pPr>
        <w:jc w:val="center"/>
        <w:ind w:right="-859"/>
        <w:spacing w:after="0"/>
        <w:rPr>
          <w:sz w:val="20"/>
          <w:szCs w:val="20"/>
          <w:color w:val="auto"/>
        </w:rPr>
      </w:pPr>
      <w:r>
        <w:rPr>
          <w:rFonts w:ascii="Arial" w:cs="Arial" w:eastAsia="Arial" w:hAnsi="Arial"/>
          <w:sz w:val="16"/>
          <w:szCs w:val="16"/>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53" w:lineRule="exact"/>
        <w:rPr>
          <w:sz w:val="24"/>
          <w:szCs w:val="24"/>
          <w:color w:val="auto"/>
        </w:rPr>
      </w:pPr>
    </w:p>
    <w:p>
      <w:pPr>
        <w:ind w:left="4400"/>
        <w:spacing w:after="0"/>
        <w:tabs>
          <w:tab w:leader="none" w:pos="6540" w:val="left"/>
        </w:tabs>
        <w:rPr>
          <w:sz w:val="20"/>
          <w:szCs w:val="20"/>
          <w:color w:val="auto"/>
        </w:rPr>
      </w:pPr>
      <w:r>
        <w:rPr>
          <w:rFonts w:ascii="Arial" w:cs="Arial" w:eastAsia="Arial" w:hAnsi="Arial"/>
          <w:sz w:val="16"/>
          <w:szCs w:val="16"/>
          <w:color w:val="auto"/>
        </w:rPr>
        <w:t>Form 20-F___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16"/>
          <w:szCs w:val="16"/>
          <w:color w:val="auto"/>
        </w:rPr>
        <w:t>Form 40-F______</w:t>
      </w:r>
    </w:p>
    <w:p>
      <w:pPr>
        <w:spacing w:after="0" w:line="32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53" w:lineRule="exact"/>
        <w:rPr>
          <w:sz w:val="24"/>
          <w:szCs w:val="24"/>
          <w:color w:val="auto"/>
        </w:rPr>
      </w:pPr>
    </w:p>
    <w:p>
      <w:pPr>
        <w:ind w:left="4400"/>
        <w:spacing w:after="0"/>
        <w:tabs>
          <w:tab w:leader="none" w:pos="654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5"/>
          <w:szCs w:val="15"/>
          <w:color w:val="auto"/>
        </w:rPr>
        <w:t>No___</w:t>
      </w:r>
      <w:r>
        <w:rPr>
          <w:rFonts w:ascii="Arial" w:cs="Arial" w:eastAsia="Arial" w:hAnsi="Arial"/>
          <w:sz w:val="15"/>
          <w:szCs w:val="15"/>
          <w:b w:val="1"/>
          <w:bCs w:val="1"/>
          <w:color w:val="auto"/>
        </w:rPr>
        <w:t>X</w:t>
      </w:r>
      <w:r>
        <w:rPr>
          <w:rFonts w:ascii="Arial" w:cs="Arial" w:eastAsia="Arial" w:hAnsi="Arial"/>
          <w:sz w:val="15"/>
          <w:szCs w:val="15"/>
          <w:color w:val="auto"/>
        </w:rPr>
        <w:t>___</w:t>
      </w:r>
    </w:p>
    <w:p>
      <w:pPr>
        <w:spacing w:after="0" w:line="32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53" w:lineRule="exact"/>
        <w:rPr>
          <w:sz w:val="24"/>
          <w:szCs w:val="24"/>
          <w:color w:val="auto"/>
        </w:rPr>
      </w:pPr>
    </w:p>
    <w:p>
      <w:pPr>
        <w:ind w:left="4400"/>
        <w:spacing w:after="0"/>
        <w:tabs>
          <w:tab w:leader="none" w:pos="654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5"/>
          <w:szCs w:val="15"/>
          <w:color w:val="auto"/>
        </w:rPr>
        <w:t>No___</w:t>
      </w:r>
      <w:r>
        <w:rPr>
          <w:rFonts w:ascii="Arial" w:cs="Arial" w:eastAsia="Arial" w:hAnsi="Arial"/>
          <w:sz w:val="15"/>
          <w:szCs w:val="15"/>
          <w:b w:val="1"/>
          <w:bCs w:val="1"/>
          <w:color w:val="auto"/>
        </w:rPr>
        <w:t>X</w:t>
      </w:r>
      <w:r>
        <w:rPr>
          <w:rFonts w:ascii="Arial" w:cs="Arial" w:eastAsia="Arial" w:hAnsi="Arial"/>
          <w:sz w:val="15"/>
          <w:szCs w:val="15"/>
          <w:color w:val="auto"/>
        </w:rPr>
        <w:t>___</w:t>
      </w:r>
    </w:p>
    <w:p>
      <w:pPr>
        <w:spacing w:after="0" w:line="322"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27" w:lineRule="exact"/>
        <w:rPr>
          <w:sz w:val="24"/>
          <w:szCs w:val="24"/>
          <w:color w:val="auto"/>
        </w:rPr>
      </w:pPr>
    </w:p>
    <w:p>
      <w:pPr>
        <w:ind w:left="4400"/>
        <w:spacing w:after="0"/>
        <w:tabs>
          <w:tab w:leader="none" w:pos="654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5"/>
          <w:szCs w:val="15"/>
          <w:color w:val="auto"/>
        </w:rPr>
        <w:t>No___</w:t>
      </w:r>
      <w:r>
        <w:rPr>
          <w:rFonts w:ascii="Arial" w:cs="Arial" w:eastAsia="Arial" w:hAnsi="Arial"/>
          <w:sz w:val="15"/>
          <w:szCs w:val="15"/>
          <w:b w:val="1"/>
          <w:bCs w:val="1"/>
          <w:color w:val="auto"/>
        </w:rPr>
        <w:t>X</w:t>
      </w:r>
      <w:r>
        <w:rPr>
          <w:rFonts w:ascii="Arial" w:cs="Arial" w:eastAsia="Arial" w:hAnsi="Arial"/>
          <w:sz w:val="15"/>
          <w:szCs w:val="15"/>
          <w:color w:val="auto"/>
        </w:rPr>
        <w:t>___</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If "Yes" is marked, indicate below the file number assigned to the registrant in connection with Rule 12g3-2(b):82 </w:t>
      </w:r>
      <w:r>
        <w:rPr>
          <w:rFonts w:ascii="Arial" w:cs="Arial" w:eastAsia="Arial" w:hAnsi="Arial"/>
          <w:sz w:val="16"/>
          <w:szCs w:val="1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340" w:top="999" w:right="11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ICON plc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Rider A</w:t>
      </w:r>
    </w:p>
    <w:p>
      <w:pPr>
        <w:spacing w:after="0" w:line="187" w:lineRule="exact"/>
        <w:rPr>
          <w:sz w:val="20"/>
          <w:szCs w:val="20"/>
          <w:color w:val="auto"/>
        </w:rPr>
      </w:pPr>
    </w:p>
    <w:p>
      <w:pPr>
        <w:jc w:val="both"/>
        <w:ind w:firstLine="395"/>
        <w:spacing w:after="0" w:line="251" w:lineRule="auto"/>
        <w:rPr>
          <w:sz w:val="20"/>
          <w:szCs w:val="20"/>
          <w:color w:val="auto"/>
        </w:rPr>
      </w:pPr>
      <w:r>
        <w:rPr>
          <w:rFonts w:ascii="Arial" w:cs="Arial" w:eastAsia="Arial" w:hAnsi="Arial"/>
          <w:sz w:val="16"/>
          <w:szCs w:val="16"/>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GENERAL</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used herein, “ICON”, the “Company” and “we” refer to ICON plc and its consolidated subsidiaries, unless the context requires otherwise.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w:t>
      </w:r>
    </w:p>
    <w:p>
      <w:pPr>
        <w:spacing w:after="0" w:line="268" w:lineRule="exact"/>
        <w:rPr>
          <w:sz w:val="20"/>
          <w:szCs w:val="20"/>
          <w:color w:val="auto"/>
        </w:rPr>
      </w:pPr>
    </w:p>
    <w:p>
      <w:pPr>
        <w:jc w:val="both"/>
        <w:ind w:firstLine="402"/>
        <w:spacing w:after="0" w:line="251" w:lineRule="auto"/>
        <w:rPr>
          <w:sz w:val="20"/>
          <w:szCs w:val="20"/>
          <w:color w:val="auto"/>
        </w:rPr>
      </w:pPr>
      <w:r>
        <w:rPr>
          <w:rFonts w:ascii="Arial" w:cs="Arial" w:eastAsia="Arial" w:hAnsi="Arial"/>
          <w:sz w:val="16"/>
          <w:szCs w:val="16"/>
          <w:color w:val="auto"/>
        </w:rPr>
        <w:t>ICON public limited company (“ICON”) is a clinical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229" w:lineRule="exact"/>
        <w:rPr>
          <w:sz w:val="20"/>
          <w:szCs w:val="20"/>
          <w:color w:val="auto"/>
        </w:rPr>
      </w:pPr>
    </w:p>
    <w:p>
      <w:pPr>
        <w:jc w:val="both"/>
        <w:ind w:firstLine="422"/>
        <w:spacing w:after="0" w:line="251"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June 30, 2020 we had approximately 15,150 employees, in 94 locations in 40 countries. During the six months ended June 30, 2020, we derived approximately 31.1%, 58.9% and 10.0% of our revenue in the United States, Europe and Rest of World respectively.</w:t>
      </w:r>
    </w:p>
    <w:p>
      <w:pPr>
        <w:spacing w:after="0" w:line="229" w:lineRule="exact"/>
        <w:rPr>
          <w:sz w:val="20"/>
          <w:szCs w:val="20"/>
          <w:color w:val="auto"/>
        </w:rPr>
      </w:pPr>
    </w:p>
    <w:p>
      <w:pPr>
        <w:jc w:val="both"/>
        <w:ind w:firstLine="383"/>
        <w:spacing w:after="0" w:line="252" w:lineRule="auto"/>
        <w:rPr>
          <w:sz w:val="20"/>
          <w:szCs w:val="20"/>
          <w:color w:val="auto"/>
        </w:rPr>
      </w:pPr>
      <w:r>
        <w:rPr>
          <w:rFonts w:ascii="Arial" w:cs="Arial" w:eastAsia="Arial" w:hAnsi="Arial"/>
          <w:sz w:val="16"/>
          <w:szCs w:val="16"/>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+353-1-291-2000.</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w:t>
      </w:r>
    </w:p>
    <w:p>
      <w:pPr>
        <w:spacing w:after="0" w:line="264" w:lineRule="exact"/>
        <w:rPr>
          <w:sz w:val="20"/>
          <w:szCs w:val="20"/>
          <w:color w:val="auto"/>
        </w:rPr>
      </w:pPr>
    </w:p>
    <w:p>
      <w:pPr>
        <w:jc w:val="both"/>
        <w:ind w:firstLine="522"/>
        <w:spacing w:after="0" w:line="250" w:lineRule="auto"/>
        <w:rPr>
          <w:sz w:val="20"/>
          <w:szCs w:val="20"/>
          <w:color w:val="auto"/>
        </w:rPr>
      </w:pPr>
      <w:r>
        <w:rPr>
          <w:rFonts w:ascii="Arial" w:cs="Arial" w:eastAsia="Arial" w:hAnsi="Arial"/>
          <w:sz w:val="16"/>
          <w:szCs w:val="16"/>
          <w:color w:val="auto"/>
        </w:rPr>
        <w:t>On January 22, 2020 a subsidiary of the Company, ICON Investments Limited acquired 100% of the equity share capital of the MedPass Group ("MedPass"). MedPass is the leading European medical device CRO, regulatory and reimbursement consultancy, that specializes in medical device development and market access. The acquisition of MedPass further enhances ICON's Medical Device and Diagnostic Research Services, through the addition of new regulatory and clinical capabilities in Europe. The integration of Medpass's services brings noted expertise in complex class 3 medical devices, interventional cardiology and structural heart devices. The total consideration for the acquisition of MedPass is $47.6 million.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Redemption of MeDiNova NCI</w:t>
      </w:r>
    </w:p>
    <w:p>
      <w:pPr>
        <w:spacing w:after="0" w:line="26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On March 9, 2020 ICON exercised its option to call the outstanding shares in the noncontrolling interest to take 100% ownership of MeDiNova. Effective from this date, the noncontrolling interest was derecognized and a liability is recognized, representing the assessment of the redemption value of the noncontrolling interest. This liability was settled on July 17, 2020 for $43.9 million.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repurchase program</w:t>
      </w:r>
    </w:p>
    <w:p>
      <w:pPr>
        <w:spacing w:after="0" w:line="248" w:lineRule="exact"/>
        <w:rPr>
          <w:sz w:val="20"/>
          <w:szCs w:val="20"/>
          <w:color w:val="auto"/>
        </w:rPr>
      </w:pPr>
    </w:p>
    <w:p>
      <w:pPr>
        <w:jc w:val="both"/>
        <w:ind w:firstLine="451"/>
        <w:spacing w:after="0" w:line="251" w:lineRule="auto"/>
        <w:rPr>
          <w:sz w:val="20"/>
          <w:szCs w:val="20"/>
          <w:color w:val="auto"/>
        </w:rPr>
      </w:pPr>
      <w:r>
        <w:rPr>
          <w:rFonts w:ascii="Arial" w:cs="Arial" w:eastAsia="Arial" w:hAnsi="Arial"/>
          <w:sz w:val="16"/>
          <w:szCs w:val="16"/>
          <w:color w:val="auto"/>
        </w:rPr>
        <w:t>On January 8, 2019, the Company commenced a share buyback program of up to 1.0 million ordinary shares which was completed during the year ended December 31, 2019 for total consideration of $141.6 million. On October 22, 2019, the Company commenced a further share buyback program. At December 31, 2019, 35,100 ordinary shares were redeemed for a total consideration of $5.3 million. During the six months ended June 30, 2020, 1,235,218 ordinary shares were redeemed by the Company under this buyback program for a total consideration of $175.0 million.</w:t>
      </w:r>
    </w:p>
    <w:p>
      <w:pPr>
        <w:spacing w:after="0" w:line="229" w:lineRule="exact"/>
        <w:rPr>
          <w:sz w:val="20"/>
          <w:szCs w:val="20"/>
          <w:color w:val="auto"/>
        </w:rPr>
      </w:pPr>
    </w:p>
    <w:p>
      <w:pPr>
        <w:jc w:val="both"/>
        <w:ind w:right="20" w:firstLine="515"/>
        <w:spacing w:after="0" w:line="260" w:lineRule="auto"/>
        <w:rPr>
          <w:sz w:val="20"/>
          <w:szCs w:val="20"/>
          <w:color w:val="auto"/>
        </w:rPr>
      </w:pPr>
      <w:r>
        <w:rPr>
          <w:rFonts w:ascii="Arial" w:cs="Arial" w:eastAsia="Arial" w:hAnsi="Arial"/>
          <w:sz w:val="16"/>
          <w:szCs w:val="16"/>
          <w:color w:val="auto"/>
        </w:rPr>
        <w:t>All ordinary shares that were redeemed under the buyback program were canceled in accordance with the Constitution of the Company and the nominal value of these shares transferred to other undenominated capital as required by Irish Company law.</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Assessment of COVID-19 impact on the business</w:t>
      </w:r>
    </w:p>
    <w:p>
      <w:pPr>
        <w:spacing w:after="0" w:line="264" w:lineRule="exact"/>
        <w:rPr>
          <w:sz w:val="20"/>
          <w:szCs w:val="20"/>
          <w:color w:val="auto"/>
        </w:rPr>
      </w:pPr>
    </w:p>
    <w:p>
      <w:pPr>
        <w:jc w:val="both"/>
        <w:ind w:firstLine="409"/>
        <w:spacing w:after="0" w:line="250" w:lineRule="auto"/>
        <w:rPr>
          <w:sz w:val="20"/>
          <w:szCs w:val="20"/>
          <w:color w:val="auto"/>
        </w:rPr>
      </w:pPr>
      <w:r>
        <w:rPr>
          <w:rFonts w:ascii="Arial" w:cs="Arial" w:eastAsia="Arial" w:hAnsi="Arial"/>
          <w:sz w:val="16"/>
          <w:szCs w:val="16"/>
          <w:color w:val="auto"/>
        </w:rPr>
        <w:t>In the period since year-end, as a result of the global spread of COVID-19, the Company has experienced a negative impact on its operations. At this point in time, there continues to be significant uncertainty relating to the long-term effect of COVID-19 on our business. We have experienced restrictions on our ability to ensure laboratory samples are collected and analyzed on time, our ability to monitor our clinical trials, the ability of patients or other service providers to travel, and our ability to travel, as a result of the outbreak. These factors, amongst others, have resulted in a requirement to increase investment in impact prevention and increased operating costs.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both"/>
        <w:ind w:firstLine="648"/>
        <w:spacing w:after="0" w:line="233" w:lineRule="auto"/>
        <w:rPr>
          <w:sz w:val="20"/>
          <w:szCs w:val="20"/>
          <w:color w:val="auto"/>
        </w:rPr>
      </w:pPr>
      <w:r>
        <w:rPr>
          <w:rFonts w:ascii="Arial" w:cs="Arial" w:eastAsia="Arial" w:hAnsi="Arial"/>
          <w:sz w:val="16"/>
          <w:szCs w:val="16"/>
          <w:color w:val="auto"/>
        </w:rPr>
        <w:t>Revenue for the three months ended June 30, 2020 decreased by $74.9 million, or 10.8%, to $620.2 million, compared to $695.1 million for the three months ended June 30, 2019. Revenue decreased by 10.3% in constant currency and decreased by 11.4% in constant dollar organic terms. The decrease in revenues in the three months ended June 30, 2020 is due to the impact the COVID-19 global pandemic has had on operations including; our ability to ensure laboratory samples are collected and analyzed on time, our ability to perform on-site monitoring of clinical trials, the ability of patients or other service providers to travel, and our ability to travel. Certain cost saving measures were introduced in response to COVID-19 including salary reductions. The primary cost saving measure was the application of temporary salary reductions scaled based on seniority of employees.</w:t>
      </w:r>
    </w:p>
    <w:p>
      <w:pPr>
        <w:spacing w:after="0" w:line="238" w:lineRule="exact"/>
        <w:rPr>
          <w:sz w:val="20"/>
          <w:szCs w:val="20"/>
          <w:color w:val="auto"/>
        </w:rPr>
      </w:pPr>
    </w:p>
    <w:p>
      <w:pPr>
        <w:jc w:val="both"/>
        <w:ind w:firstLine="401"/>
        <w:spacing w:after="0" w:line="260" w:lineRule="auto"/>
        <w:rPr>
          <w:sz w:val="20"/>
          <w:szCs w:val="20"/>
          <w:color w:val="auto"/>
        </w:rPr>
      </w:pPr>
      <w:r>
        <w:rPr>
          <w:rFonts w:ascii="Arial" w:cs="Arial" w:eastAsia="Arial" w:hAnsi="Arial"/>
          <w:sz w:val="16"/>
          <w:szCs w:val="16"/>
          <w:color w:val="auto"/>
        </w:rPr>
        <w:t>In light of on-going developments relating to the COVID-19 global pandemic, the Company is supplementing the risk factors previously disclosed in its Form 20-F filed on February 27, 2020 to include the following risk factors.</w:t>
      </w:r>
    </w:p>
    <w:p>
      <w:pPr>
        <w:spacing w:after="0" w:line="222" w:lineRule="exact"/>
        <w:rPr>
          <w:sz w:val="20"/>
          <w:szCs w:val="20"/>
          <w:color w:val="auto"/>
        </w:rPr>
      </w:pPr>
    </w:p>
    <w:p>
      <w:pPr>
        <w:jc w:val="both"/>
        <w:ind w:firstLine="464"/>
        <w:spacing w:after="0" w:line="251" w:lineRule="auto"/>
        <w:rPr>
          <w:sz w:val="20"/>
          <w:szCs w:val="20"/>
          <w:color w:val="auto"/>
        </w:rPr>
      </w:pPr>
      <w:r>
        <w:rPr>
          <w:rFonts w:ascii="Arial" w:cs="Arial" w:eastAsia="Arial" w:hAnsi="Arial"/>
          <w:sz w:val="16"/>
          <w:szCs w:val="16"/>
          <w:color w:val="auto"/>
        </w:rPr>
        <w:t>COVID-19 has, and may continue to, adversely affect our business performance. The Company has begun to experience a negative impact on our operations as a result of the global spread of COVID-19, including restrictions on our ability to ensure laboratory samples are collected and analyzed on time, our ability to monitor our clinical trials, the ability of patients or other service providers to travel, and our ability to travel. We have also experienced an increase in operating costs and investments in impact prevention.</w:t>
      </w:r>
    </w:p>
    <w:p>
      <w:pPr>
        <w:spacing w:after="0" w:line="229" w:lineRule="exact"/>
        <w:rPr>
          <w:sz w:val="20"/>
          <w:szCs w:val="20"/>
          <w:color w:val="auto"/>
        </w:rPr>
      </w:pPr>
    </w:p>
    <w:p>
      <w:pPr>
        <w:jc w:val="both"/>
        <w:ind w:firstLine="398"/>
        <w:spacing w:after="0" w:line="250" w:lineRule="auto"/>
        <w:rPr>
          <w:sz w:val="20"/>
          <w:szCs w:val="20"/>
          <w:color w:val="auto"/>
        </w:rPr>
      </w:pPr>
      <w:r>
        <w:rPr>
          <w:rFonts w:ascii="Arial" w:cs="Arial" w:eastAsia="Arial" w:hAnsi="Arial"/>
          <w:sz w:val="16"/>
          <w:szCs w:val="16"/>
          <w:color w:val="auto"/>
        </w:rPr>
        <w:t>The COVID-19 outbreak continues to evolve. While our site network and office facilities have begun to re-open on a phased basis, the extent to which the outbreak may continue to impact our business will depend on future developments, which are highly uncertain and cannot be predicted with confidence, such as the ultimate geographic spread of COVID-19, additional phases of the outbreak, travel restrictions and actions to contain the outbreak or treat its impact, such as social distancing and quarantines or lock-downs, business closures or business disruptions and the effectiveness of actions taken throughout the world to contain and treat the disease.</w:t>
      </w:r>
    </w:p>
    <w:p>
      <w:pPr>
        <w:spacing w:after="0" w:line="230" w:lineRule="exact"/>
        <w:rPr>
          <w:sz w:val="20"/>
          <w:szCs w:val="20"/>
          <w:color w:val="auto"/>
        </w:rPr>
      </w:pPr>
    </w:p>
    <w:p>
      <w:pPr>
        <w:jc w:val="both"/>
        <w:ind w:firstLine="427"/>
        <w:spacing w:after="0" w:line="251" w:lineRule="auto"/>
        <w:rPr>
          <w:sz w:val="20"/>
          <w:szCs w:val="20"/>
          <w:color w:val="auto"/>
        </w:rPr>
      </w:pPr>
      <w:r>
        <w:rPr>
          <w:rFonts w:ascii="Arial" w:cs="Arial" w:eastAsia="Arial" w:hAnsi="Arial"/>
          <w:sz w:val="16"/>
          <w:szCs w:val="16"/>
          <w:color w:val="auto"/>
        </w:rPr>
        <w:t>Our information systems and those of third parties which we utilize may face increased cybersecurity risks due to the COVID-19 pandemic, including from the significant number of employees that are working remotely or otherwise impacted by stay-at-home orders. Additional remote access points provide new potential vulnerabilities to cybercriminals. Employees of ICON and third parties may be more susceptible to social engineering efforts, and to phishing attempts which can disguise malware as a legitimate effort to circulate important information relating to COVID-19.</w:t>
      </w:r>
    </w:p>
    <w:p>
      <w:pPr>
        <w:spacing w:after="0" w:line="229" w:lineRule="exact"/>
        <w:rPr>
          <w:sz w:val="20"/>
          <w:szCs w:val="20"/>
          <w:color w:val="auto"/>
        </w:rPr>
      </w:pPr>
    </w:p>
    <w:p>
      <w:pPr>
        <w:jc w:val="both"/>
        <w:ind w:firstLine="423"/>
        <w:spacing w:after="0" w:line="260" w:lineRule="auto"/>
        <w:rPr>
          <w:sz w:val="20"/>
          <w:szCs w:val="20"/>
          <w:color w:val="auto"/>
        </w:rPr>
      </w:pPr>
      <w:r>
        <w:rPr>
          <w:rFonts w:ascii="Arial" w:cs="Arial" w:eastAsia="Arial" w:hAnsi="Arial"/>
          <w:sz w:val="16"/>
          <w:szCs w:val="16"/>
          <w:color w:val="auto"/>
        </w:rPr>
        <w:t>Please also refer to the complete Form 20-F filed on February 27, 2020 for additional risks and uncertainties facing the Company that may adversely affect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re-financing</w:t>
      </w:r>
    </w:p>
    <w:p>
      <w:pPr>
        <w:spacing w:after="0" w:line="2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December 15, 2015, ICON Investments Five Unlimited Company issued Senior Notes for aggregate gross proceeds of $350.0 million in a private placement. The Senior Notes will mature on December 15, 2020. This debt will be repaid and new Senior Notes will be drawn in December 2020. In June 2020, the Company entered into an interest rate hedge in respect of the planned refinancing. The interest rate hedge was effective in accordance with Financial Accounting Standards Board (“FASB”) ASC 815 'Derivatives and Hedging'. The fair value of this derivative is recorded within other comprehensive income. The interest rate hedge matured on July 9, 2020 when the interest rates on the issue of new Senior Notes were fixed.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adopted accounting standards</w:t>
      </w:r>
    </w:p>
    <w:p>
      <w:pPr>
        <w:spacing w:after="0" w:line="235" w:lineRule="exact"/>
        <w:rPr>
          <w:sz w:val="20"/>
          <w:szCs w:val="20"/>
          <w:color w:val="auto"/>
        </w:rPr>
      </w:pPr>
    </w:p>
    <w:p>
      <w:pPr>
        <w:jc w:val="both"/>
        <w:ind w:firstLine="481"/>
        <w:spacing w:after="0" w:line="236" w:lineRule="auto"/>
        <w:rPr>
          <w:sz w:val="20"/>
          <w:szCs w:val="20"/>
          <w:color w:val="auto"/>
        </w:rPr>
      </w:pPr>
      <w:r>
        <w:rPr>
          <w:rFonts w:ascii="Arial" w:cs="Arial" w:eastAsia="Arial" w:hAnsi="Arial"/>
          <w:sz w:val="16"/>
          <w:szCs w:val="16"/>
          <w:color w:val="auto"/>
        </w:rPr>
        <w:t>ASU 2020-04 '</w:t>
      </w:r>
      <w:r>
        <w:rPr>
          <w:rFonts w:ascii="Arial" w:cs="Arial" w:eastAsia="Arial" w:hAnsi="Arial"/>
          <w:sz w:val="16"/>
          <w:szCs w:val="16"/>
          <w:i w:val="1"/>
          <w:iCs w:val="1"/>
          <w:color w:val="auto"/>
        </w:rPr>
        <w:t>Reference Rate Reform (Topic 848) - Facilitation of the Effects of Reference Rate Reform on Financial Reporting'</w:t>
      </w:r>
      <w:r>
        <w:rPr>
          <w:rFonts w:ascii="Arial" w:cs="Arial" w:eastAsia="Arial" w:hAnsi="Arial"/>
          <w:sz w:val="16"/>
          <w:szCs w:val="16"/>
          <w:color w:val="auto"/>
        </w:rPr>
        <w:t xml:space="preserve"> provides optional expedients and exceptions for applying Generally Accepted Accounting Principles ("GAAP") to contracts, hedging relationships, and other transactions affected by the reference rate reform. The amendments apply only to contracts and transactions that reference LIBOR or another reference rate expected to be discontinued as part of the reform. This ASU was issued on March 12, 2020 and applies only to contracts or transactions entered into or evaluated before December 31, 2022. This ASU is effective upon issuance and may be adopted on any date on or after March 12, 2020. The impact of adopting ASU 2020-04 is not expected to be material to the Group.</w:t>
      </w:r>
    </w:p>
    <w:p>
      <w:pPr>
        <w:spacing w:after="0" w:line="22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ASU 2016-13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xml:space="preserve"> (ASC 326) was effective, and adopted by the group, from January 1, 2020. ASC 326 introduces an expected loss methodology that is referred to as the current expected credit loss (CECL) methodology. The new standard requires loss provisions to reflect an entity’s current estimate of all expected credit losses. The assessment must include consideration of both past events and current conditions. The methodology requires the use of forecast information to provide more timely and accurate credit loss estimates. The measurement of expected credit losses under the CECL methodology is applicable to financial assets measured at amortized cost, including loan receivables and held-to-maturity debt securities. It also applies to off-balance sheet credit exposures not accounted as insurance (loan commitments, standby letters of credit, financial guarantees, and other similar instruments) and net investments in leases recognized by a lessor in accordance with ASC 842 on leases. The Group adopted ASC 326 using the modified retrospective method. Under this transition method, the new standard is applied from January 1, 2020 without restatement of comparative period amounts. There was no impact of adopting ASC 326 on retained earnings at January 1, 2020.</w:t>
      </w:r>
    </w:p>
    <w:p>
      <w:pPr>
        <w:spacing w:after="0" w:line="216" w:lineRule="exact"/>
        <w:rPr>
          <w:sz w:val="20"/>
          <w:szCs w:val="20"/>
          <w:color w:val="auto"/>
        </w:rPr>
      </w:pPr>
    </w:p>
    <w:p>
      <w:pPr>
        <w:jc w:val="both"/>
        <w:ind w:firstLine="368"/>
        <w:spacing w:after="0" w:line="263" w:lineRule="auto"/>
        <w:rPr>
          <w:sz w:val="20"/>
          <w:szCs w:val="20"/>
          <w:color w:val="auto"/>
        </w:rPr>
      </w:pPr>
      <w:r>
        <w:rPr>
          <w:rFonts w:ascii="Arial" w:cs="Arial" w:eastAsia="Arial" w:hAnsi="Arial"/>
          <w:sz w:val="16"/>
          <w:szCs w:val="16"/>
          <w:color w:val="auto"/>
        </w:rPr>
        <w:t xml:space="preserve">ICON adopted ASU No. 2018-15 </w:t>
      </w:r>
      <w:r>
        <w:rPr>
          <w:rFonts w:ascii="Arial" w:cs="Arial" w:eastAsia="Arial" w:hAnsi="Arial"/>
          <w:sz w:val="16"/>
          <w:szCs w:val="16"/>
          <w:i w:val="1"/>
          <w:iCs w:val="1"/>
          <w:color w:val="auto"/>
        </w:rPr>
        <w:t>'Intangibles – Goodwill and Other – Internal-Use Software (Subtopic 350-40)</w:t>
      </w:r>
      <w:r>
        <w:rPr>
          <w:rFonts w:ascii="Arial" w:cs="Arial" w:eastAsia="Arial" w:hAnsi="Arial"/>
          <w:sz w:val="16"/>
          <w:szCs w:val="16"/>
          <w:color w:val="auto"/>
        </w:rPr>
        <w:t>' (ASU 2018-15) effective from January 1, 2020. ASU 2018-15 provides guidance on when to capitalize implementation costs incurred in hosting arrangements which are accounted for as service contracts. The adoption of ASU 2018-15 did not have an impact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ind w:left="5320"/>
        <w:spacing w:after="0"/>
        <w:rPr>
          <w:sz w:val="20"/>
          <w:szCs w:val="20"/>
          <w:color w:val="auto"/>
        </w:rPr>
      </w:pPr>
      <w:r>
        <w:rPr>
          <w:rFonts w:ascii="Arial" w:cs="Arial" w:eastAsia="Arial" w:hAnsi="Arial"/>
          <w:sz w:val="16"/>
          <w:szCs w:val="16"/>
          <w:b w:val="1"/>
          <w:bCs w:val="1"/>
          <w:color w:val="auto"/>
        </w:rPr>
        <w:t>ICON plc</w:t>
      </w:r>
    </w:p>
    <w:p>
      <w:pPr>
        <w:spacing w:after="0" w:line="31"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AT JUNE 30, 2020 AND DECEMBER 31, 2019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(Unaudited)</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(Audited)</w:t>
            </w:r>
          </w:p>
        </w:tc>
      </w:tr>
      <w:tr>
        <w:trPr>
          <w:trHeight w:val="198"/>
        </w:trPr>
        <w:tc>
          <w:tcPr>
            <w:tcW w:w="7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4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240" w:type="dxa"/>
            <w:vAlign w:val="bottom"/>
            <w:shd w:val="clear" w:color="auto" w:fill="CCEEFF"/>
          </w:tcPr>
          <w:p>
            <w:pPr>
              <w:spacing w:after="0"/>
              <w:rPr>
                <w:sz w:val="21"/>
                <w:szCs w:val="21"/>
                <w:color w:val="auto"/>
              </w:rPr>
            </w:pPr>
          </w:p>
        </w:tc>
        <w:tc>
          <w:tcPr>
            <w:tcW w:w="2600" w:type="dxa"/>
            <w:vAlign w:val="bottom"/>
            <w:gridSpan w:val="3"/>
            <w:shd w:val="clear" w:color="auto" w:fill="CCEEFF"/>
          </w:tcPr>
          <w:p>
            <w:pPr>
              <w:jc w:val="right"/>
              <w:ind w:right="779"/>
              <w:spacing w:after="0"/>
              <w:rPr>
                <w:sz w:val="20"/>
                <w:szCs w:val="20"/>
                <w:color w:val="auto"/>
              </w:rPr>
            </w:pPr>
            <w:r>
              <w:rPr>
                <w:rFonts w:ascii="Arial" w:cs="Arial" w:eastAsia="Arial" w:hAnsi="Arial"/>
                <w:sz w:val="16"/>
                <w:szCs w:val="16"/>
                <w:color w:val="auto"/>
              </w:rPr>
              <w:t>(in thousands)</w:t>
            </w:r>
          </w:p>
        </w:tc>
      </w:tr>
      <w:tr>
        <w:trPr>
          <w:trHeight w:val="233"/>
        </w:trPr>
        <w:tc>
          <w:tcPr>
            <w:tcW w:w="7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3"/>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592,100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520,309</w:t>
            </w:r>
          </w:p>
        </w:tc>
      </w:tr>
      <w:tr>
        <w:trPr>
          <w:trHeight w:val="233"/>
        </w:trPr>
        <w:tc>
          <w:tcPr>
            <w:tcW w:w="7400" w:type="dxa"/>
            <w:vAlign w:val="bottom"/>
          </w:tcPr>
          <w:p>
            <w:pPr>
              <w:ind w:left="340"/>
              <w:spacing w:after="0"/>
              <w:rPr>
                <w:sz w:val="20"/>
                <w:szCs w:val="20"/>
                <w:color w:val="auto"/>
              </w:rPr>
            </w:pPr>
            <w:r>
              <w:rPr>
                <w:rFonts w:ascii="Arial" w:cs="Arial" w:eastAsia="Arial" w:hAnsi="Arial"/>
                <w:sz w:val="16"/>
                <w:szCs w:val="16"/>
                <w:color w:val="auto"/>
              </w:rPr>
              <w:t>Available for sale investments</w:t>
            </w:r>
          </w:p>
        </w:tc>
        <w:tc>
          <w:tcPr>
            <w:tcW w:w="124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1,728</w:t>
            </w:r>
          </w:p>
        </w:tc>
        <w:tc>
          <w:tcPr>
            <w:tcW w:w="2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49,628</w:t>
            </w:r>
          </w:p>
        </w:tc>
      </w:tr>
      <w:tr>
        <w:trPr>
          <w:trHeight w:val="253"/>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net of allowance for credit losses</w:t>
            </w: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473,020</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527,708</w:t>
            </w:r>
          </w:p>
        </w:tc>
      </w:tr>
      <w:tr>
        <w:trPr>
          <w:trHeight w:val="233"/>
        </w:trPr>
        <w:tc>
          <w:tcPr>
            <w:tcW w:w="7400" w:type="dxa"/>
            <w:vAlign w:val="bottom"/>
          </w:tcPr>
          <w:p>
            <w:pPr>
              <w:ind w:left="340"/>
              <w:spacing w:after="0"/>
              <w:rPr>
                <w:sz w:val="20"/>
                <w:szCs w:val="20"/>
                <w:color w:val="auto"/>
              </w:rPr>
            </w:pPr>
            <w:r>
              <w:rPr>
                <w:rFonts w:ascii="Arial" w:cs="Arial" w:eastAsia="Arial" w:hAnsi="Arial"/>
                <w:sz w:val="16"/>
                <w:szCs w:val="16"/>
                <w:color w:val="auto"/>
              </w:rPr>
              <w:t>Unbilled revenue</w:t>
            </w:r>
          </w:p>
        </w:tc>
        <w:tc>
          <w:tcPr>
            <w:tcW w:w="124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410,397</w:t>
            </w:r>
          </w:p>
        </w:tc>
        <w:tc>
          <w:tcPr>
            <w:tcW w:w="2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422,769</w:t>
            </w:r>
          </w:p>
        </w:tc>
      </w:tr>
      <w:tr>
        <w:trPr>
          <w:trHeight w:val="253"/>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receivables</w:t>
            </w: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34,456</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39,290</w:t>
            </w:r>
          </w:p>
        </w:tc>
      </w:tr>
      <w:tr>
        <w:trPr>
          <w:trHeight w:val="233"/>
        </w:trPr>
        <w:tc>
          <w:tcPr>
            <w:tcW w:w="7400" w:type="dxa"/>
            <w:vAlign w:val="bottom"/>
          </w:tcPr>
          <w:p>
            <w:pPr>
              <w:ind w:left="340"/>
              <w:spacing w:after="0"/>
              <w:rPr>
                <w:sz w:val="20"/>
                <w:szCs w:val="20"/>
                <w:color w:val="auto"/>
              </w:rPr>
            </w:pPr>
            <w:r>
              <w:rPr>
                <w:rFonts w:ascii="Arial" w:cs="Arial" w:eastAsia="Arial" w:hAnsi="Arial"/>
                <w:sz w:val="16"/>
                <w:szCs w:val="16"/>
                <w:color w:val="auto"/>
              </w:rPr>
              <w:t>Prepayments and other current assets</w:t>
            </w:r>
          </w:p>
        </w:tc>
        <w:tc>
          <w:tcPr>
            <w:tcW w:w="124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38,108</w:t>
            </w:r>
          </w:p>
        </w:tc>
        <w:tc>
          <w:tcPr>
            <w:tcW w:w="2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41,517</w:t>
            </w:r>
          </w:p>
        </w:tc>
      </w:tr>
      <w:tr>
        <w:trPr>
          <w:trHeight w:val="260"/>
        </w:trPr>
        <w:tc>
          <w:tcPr>
            <w:tcW w:w="74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Income taxes receivable</w:t>
            </w:r>
          </w:p>
        </w:tc>
        <w:tc>
          <w:tcPr>
            <w:tcW w:w="1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28,589</w:t>
            </w: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23,759</w:t>
            </w:r>
          </w:p>
        </w:tc>
      </w:tr>
      <w:tr>
        <w:trPr>
          <w:trHeight w:val="233"/>
        </w:trPr>
        <w:tc>
          <w:tcPr>
            <w:tcW w:w="740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24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1,578,398</w:t>
            </w:r>
          </w:p>
        </w:tc>
        <w:tc>
          <w:tcPr>
            <w:tcW w:w="2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1,624,980</w:t>
            </w:r>
          </w:p>
        </w:tc>
      </w:tr>
      <w:tr>
        <w:trPr>
          <w:trHeight w:val="172"/>
        </w:trPr>
        <w:tc>
          <w:tcPr>
            <w:tcW w:w="7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33"/>
        </w:trPr>
        <w:tc>
          <w:tcPr>
            <w:tcW w:w="74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3"/>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Property, plant and equipment, net</w:t>
            </w: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162,552</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165,087</w:t>
            </w:r>
          </w:p>
        </w:tc>
      </w:tr>
      <w:tr>
        <w:trPr>
          <w:trHeight w:val="233"/>
        </w:trPr>
        <w:tc>
          <w:tcPr>
            <w:tcW w:w="7400" w:type="dxa"/>
            <w:vAlign w:val="bottom"/>
          </w:tcPr>
          <w:p>
            <w:pPr>
              <w:ind w:left="340"/>
              <w:spacing w:after="0"/>
              <w:rPr>
                <w:sz w:val="20"/>
                <w:szCs w:val="20"/>
                <w:color w:val="auto"/>
              </w:rPr>
            </w:pPr>
            <w:r>
              <w:rPr>
                <w:rFonts w:ascii="Arial" w:cs="Arial" w:eastAsia="Arial" w:hAnsi="Arial"/>
                <w:sz w:val="16"/>
                <w:szCs w:val="16"/>
                <w:color w:val="auto"/>
              </w:rPr>
              <w:t>Goodwill</w:t>
            </w:r>
          </w:p>
        </w:tc>
        <w:tc>
          <w:tcPr>
            <w:tcW w:w="124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901,245</w:t>
            </w:r>
          </w:p>
        </w:tc>
        <w:tc>
          <w:tcPr>
            <w:tcW w:w="2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883,170</w:t>
            </w:r>
          </w:p>
        </w:tc>
      </w:tr>
      <w:tr>
        <w:trPr>
          <w:trHeight w:val="253"/>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right-of-use assets</w:t>
            </w: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86,267</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104,977</w:t>
            </w:r>
          </w:p>
        </w:tc>
      </w:tr>
      <w:tr>
        <w:trPr>
          <w:trHeight w:val="233"/>
        </w:trPr>
        <w:tc>
          <w:tcPr>
            <w:tcW w:w="7400" w:type="dxa"/>
            <w:vAlign w:val="bottom"/>
          </w:tcPr>
          <w:p>
            <w:pPr>
              <w:ind w:left="340"/>
              <w:spacing w:after="0"/>
              <w:rPr>
                <w:sz w:val="20"/>
                <w:szCs w:val="20"/>
                <w:color w:val="auto"/>
              </w:rPr>
            </w:pPr>
            <w:r>
              <w:rPr>
                <w:rFonts w:ascii="Arial" w:cs="Arial" w:eastAsia="Arial" w:hAnsi="Arial"/>
                <w:sz w:val="16"/>
                <w:szCs w:val="16"/>
                <w:color w:val="auto"/>
              </w:rPr>
              <w:t>Other non-current assets</w:t>
            </w:r>
          </w:p>
        </w:tc>
        <w:tc>
          <w:tcPr>
            <w:tcW w:w="124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16,939</w:t>
            </w:r>
          </w:p>
        </w:tc>
        <w:tc>
          <w:tcPr>
            <w:tcW w:w="2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17,439</w:t>
            </w:r>
          </w:p>
        </w:tc>
      </w:tr>
      <w:tr>
        <w:trPr>
          <w:trHeight w:val="253"/>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Non-current income taxes receivable</w:t>
            </w: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13,451</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17,230</w:t>
            </w:r>
          </w:p>
        </w:tc>
      </w:tr>
      <w:tr>
        <w:trPr>
          <w:trHeight w:val="233"/>
        </w:trPr>
        <w:tc>
          <w:tcPr>
            <w:tcW w:w="7400" w:type="dxa"/>
            <w:vAlign w:val="bottom"/>
          </w:tcPr>
          <w:p>
            <w:pPr>
              <w:ind w:left="340"/>
              <w:spacing w:after="0"/>
              <w:rPr>
                <w:sz w:val="20"/>
                <w:szCs w:val="20"/>
                <w:color w:val="auto"/>
              </w:rPr>
            </w:pPr>
            <w:r>
              <w:rPr>
                <w:rFonts w:ascii="Arial" w:cs="Arial" w:eastAsia="Arial" w:hAnsi="Arial"/>
                <w:sz w:val="16"/>
                <w:szCs w:val="16"/>
                <w:color w:val="auto"/>
              </w:rPr>
              <w:t>Non-current deferred tax asset</w:t>
            </w:r>
          </w:p>
        </w:tc>
        <w:tc>
          <w:tcPr>
            <w:tcW w:w="124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15,794</w:t>
            </w:r>
          </w:p>
        </w:tc>
        <w:tc>
          <w:tcPr>
            <w:tcW w:w="2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16,682</w:t>
            </w:r>
          </w:p>
        </w:tc>
      </w:tr>
      <w:tr>
        <w:trPr>
          <w:trHeight w:val="253"/>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Investments in equity-long term</w:t>
            </w: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11,326</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10,053</w:t>
            </w:r>
          </w:p>
        </w:tc>
      </w:tr>
      <w:tr>
        <w:trPr>
          <w:trHeight w:val="250"/>
        </w:trPr>
        <w:tc>
          <w:tcPr>
            <w:tcW w:w="74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Intangible assets</w:t>
            </w:r>
          </w:p>
        </w:tc>
        <w:tc>
          <w:tcPr>
            <w:tcW w:w="1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72,748</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67,894</w:t>
            </w:r>
          </w:p>
        </w:tc>
      </w:tr>
      <w:tr>
        <w:trPr>
          <w:trHeight w:val="262"/>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2,858,720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2,907,512</w:t>
            </w:r>
          </w:p>
        </w:tc>
      </w:tr>
      <w:tr>
        <w:trPr>
          <w:trHeight w:val="20"/>
        </w:trPr>
        <w:tc>
          <w:tcPr>
            <w:tcW w:w="7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3"/>
        </w:trPr>
        <w:tc>
          <w:tcPr>
            <w:tcW w:w="740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32,722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24,050</w:t>
            </w:r>
          </w:p>
        </w:tc>
      </w:tr>
      <w:tr>
        <w:trPr>
          <w:trHeight w:val="253"/>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Unearned revenue</w:t>
            </w: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393,217</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366,988</w:t>
            </w:r>
          </w:p>
        </w:tc>
      </w:tr>
      <w:tr>
        <w:trPr>
          <w:trHeight w:val="233"/>
        </w:trPr>
        <w:tc>
          <w:tcPr>
            <w:tcW w:w="7400" w:type="dxa"/>
            <w:vAlign w:val="bottom"/>
          </w:tcPr>
          <w:p>
            <w:pPr>
              <w:ind w:left="340"/>
              <w:spacing w:after="0"/>
              <w:rPr>
                <w:sz w:val="20"/>
                <w:szCs w:val="20"/>
                <w:color w:val="auto"/>
              </w:rPr>
            </w:pPr>
            <w:r>
              <w:rPr>
                <w:rFonts w:ascii="Arial" w:cs="Arial" w:eastAsia="Arial" w:hAnsi="Arial"/>
                <w:sz w:val="16"/>
                <w:szCs w:val="16"/>
                <w:color w:val="auto"/>
              </w:rPr>
              <w:t>Other liabilities</w:t>
            </w:r>
          </w:p>
        </w:tc>
        <w:tc>
          <w:tcPr>
            <w:tcW w:w="124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385,036</w:t>
            </w:r>
          </w:p>
        </w:tc>
        <w:tc>
          <w:tcPr>
            <w:tcW w:w="2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378,543</w:t>
            </w:r>
          </w:p>
        </w:tc>
      </w:tr>
      <w:tr>
        <w:trPr>
          <w:trHeight w:val="253"/>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taxes payable</w:t>
            </w: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9,190</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12,031</w:t>
            </w:r>
          </w:p>
        </w:tc>
      </w:tr>
      <w:tr>
        <w:trPr>
          <w:trHeight w:val="250"/>
        </w:trPr>
        <w:tc>
          <w:tcPr>
            <w:tcW w:w="74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Current bank credit lines and loan facilities</w:t>
            </w:r>
          </w:p>
        </w:tc>
        <w:tc>
          <w:tcPr>
            <w:tcW w:w="1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349,828</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349,640</w:t>
            </w:r>
          </w:p>
        </w:tc>
      </w:tr>
      <w:tr>
        <w:trPr>
          <w:trHeight w:val="243"/>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1,169,993</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1,131,252</w:t>
            </w:r>
          </w:p>
        </w:tc>
      </w:tr>
      <w:tr>
        <w:trPr>
          <w:trHeight w:val="233"/>
        </w:trPr>
        <w:tc>
          <w:tcPr>
            <w:tcW w:w="740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3"/>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Non-current operating lease liabilities</w:t>
            </w: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63,974</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76,593</w:t>
            </w:r>
          </w:p>
        </w:tc>
      </w:tr>
      <w:tr>
        <w:trPr>
          <w:trHeight w:val="233"/>
        </w:trPr>
        <w:tc>
          <w:tcPr>
            <w:tcW w:w="7400" w:type="dxa"/>
            <w:vAlign w:val="bottom"/>
          </w:tcPr>
          <w:p>
            <w:pPr>
              <w:ind w:left="340"/>
              <w:spacing w:after="0"/>
              <w:rPr>
                <w:sz w:val="20"/>
                <w:szCs w:val="20"/>
                <w:color w:val="auto"/>
              </w:rPr>
            </w:pPr>
            <w:r>
              <w:rPr>
                <w:rFonts w:ascii="Arial" w:cs="Arial" w:eastAsia="Arial" w:hAnsi="Arial"/>
                <w:sz w:val="16"/>
                <w:szCs w:val="16"/>
                <w:color w:val="auto"/>
              </w:rPr>
              <w:t>Non-current other liabilities</w:t>
            </w:r>
          </w:p>
        </w:tc>
        <w:tc>
          <w:tcPr>
            <w:tcW w:w="124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21,662</w:t>
            </w:r>
          </w:p>
        </w:tc>
        <w:tc>
          <w:tcPr>
            <w:tcW w:w="2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17,512</w:t>
            </w:r>
          </w:p>
        </w:tc>
      </w:tr>
      <w:tr>
        <w:trPr>
          <w:trHeight w:val="253"/>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Non-current government grants</w:t>
            </w: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792</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813</w:t>
            </w:r>
          </w:p>
        </w:tc>
      </w:tr>
      <w:tr>
        <w:trPr>
          <w:trHeight w:val="233"/>
        </w:trPr>
        <w:tc>
          <w:tcPr>
            <w:tcW w:w="7400" w:type="dxa"/>
            <w:vAlign w:val="bottom"/>
          </w:tcPr>
          <w:p>
            <w:pPr>
              <w:ind w:left="340"/>
              <w:spacing w:after="0"/>
              <w:rPr>
                <w:sz w:val="20"/>
                <w:szCs w:val="20"/>
                <w:color w:val="auto"/>
              </w:rPr>
            </w:pPr>
            <w:r>
              <w:rPr>
                <w:rFonts w:ascii="Arial" w:cs="Arial" w:eastAsia="Arial" w:hAnsi="Arial"/>
                <w:sz w:val="16"/>
                <w:szCs w:val="16"/>
                <w:color w:val="auto"/>
              </w:rPr>
              <w:t>Non-current income taxes payable</w:t>
            </w:r>
          </w:p>
        </w:tc>
        <w:tc>
          <w:tcPr>
            <w:tcW w:w="124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13,351</w:t>
            </w:r>
          </w:p>
        </w:tc>
        <w:tc>
          <w:tcPr>
            <w:tcW w:w="2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14,301</w:t>
            </w:r>
          </w:p>
        </w:tc>
      </w:tr>
      <w:tr>
        <w:trPr>
          <w:trHeight w:val="253"/>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Non-current deferred tax liability</w:t>
            </w: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10,465</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9,476</w:t>
            </w:r>
          </w:p>
        </w:tc>
      </w:tr>
      <w:tr>
        <w:trPr>
          <w:trHeight w:val="250"/>
        </w:trPr>
        <w:tc>
          <w:tcPr>
            <w:tcW w:w="74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Commitments and contingencies</w:t>
            </w:r>
          </w:p>
        </w:tc>
        <w:tc>
          <w:tcPr>
            <w:tcW w:w="1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r>
      <w:tr>
        <w:trPr>
          <w:trHeight w:val="250"/>
        </w:trPr>
        <w:tc>
          <w:tcPr>
            <w:tcW w:w="74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1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1,280,237</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1,249,947</w:t>
            </w:r>
          </w:p>
        </w:tc>
      </w:tr>
      <w:tr>
        <w:trPr>
          <w:trHeight w:val="203"/>
        </w:trPr>
        <w:tc>
          <w:tcPr>
            <w:tcW w:w="7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13"/>
        </w:trPr>
        <w:tc>
          <w:tcPr>
            <w:tcW w:w="7400" w:type="dxa"/>
            <w:vAlign w:val="bottom"/>
          </w:tcPr>
          <w:p>
            <w:pPr>
              <w:ind w:left="360"/>
              <w:spacing w:after="0"/>
              <w:rPr>
                <w:sz w:val="20"/>
                <w:szCs w:val="20"/>
                <w:color w:val="auto"/>
              </w:rPr>
            </w:pPr>
            <w:r>
              <w:rPr>
                <w:rFonts w:ascii="Arial" w:cs="Arial" w:eastAsia="Arial" w:hAnsi="Arial"/>
                <w:sz w:val="16"/>
                <w:szCs w:val="16"/>
                <w:color w:val="auto"/>
              </w:rPr>
              <w:t>Ordinary shares, par value 6 euro cents per share; 100,000,000 shares authorized,</w:t>
            </w: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7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52,629,067 shares issued and outstanding at June 30, 2020 and</w:t>
            </w:r>
          </w:p>
        </w:tc>
        <w:tc>
          <w:tcPr>
            <w:tcW w:w="1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3"/>
        </w:trPr>
        <w:tc>
          <w:tcPr>
            <w:tcW w:w="7400" w:type="dxa"/>
            <w:vAlign w:val="bottom"/>
          </w:tcPr>
          <w:p>
            <w:pPr>
              <w:ind w:left="360"/>
              <w:spacing w:after="0"/>
              <w:rPr>
                <w:sz w:val="20"/>
                <w:szCs w:val="20"/>
                <w:color w:val="auto"/>
              </w:rPr>
            </w:pPr>
            <w:r>
              <w:rPr>
                <w:rFonts w:ascii="Arial" w:cs="Arial" w:eastAsia="Arial" w:hAnsi="Arial"/>
                <w:sz w:val="16"/>
                <w:szCs w:val="16"/>
                <w:color w:val="auto"/>
              </w:rPr>
              <w:t>53,622,206 shares issued and outstanding at December 31, 2019</w:t>
            </w:r>
          </w:p>
        </w:tc>
        <w:tc>
          <w:tcPr>
            <w:tcW w:w="124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4,569</w:t>
            </w:r>
          </w:p>
        </w:tc>
        <w:tc>
          <w:tcPr>
            <w:tcW w:w="2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4,635</w:t>
            </w:r>
          </w:p>
        </w:tc>
      </w:tr>
      <w:tr>
        <w:trPr>
          <w:trHeight w:val="253"/>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592,500</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577,961</w:t>
            </w:r>
          </w:p>
        </w:tc>
      </w:tr>
      <w:tr>
        <w:trPr>
          <w:trHeight w:val="233"/>
        </w:trPr>
        <w:tc>
          <w:tcPr>
            <w:tcW w:w="7400" w:type="dxa"/>
            <w:vAlign w:val="bottom"/>
          </w:tcPr>
          <w:p>
            <w:pPr>
              <w:ind w:left="340"/>
              <w:spacing w:after="0"/>
              <w:rPr>
                <w:sz w:val="20"/>
                <w:szCs w:val="20"/>
                <w:color w:val="auto"/>
              </w:rPr>
            </w:pPr>
            <w:r>
              <w:rPr>
                <w:rFonts w:ascii="Arial" w:cs="Arial" w:eastAsia="Arial" w:hAnsi="Arial"/>
                <w:sz w:val="16"/>
                <w:szCs w:val="16"/>
                <w:color w:val="auto"/>
              </w:rPr>
              <w:t>Other undenominated capital</w:t>
            </w:r>
          </w:p>
        </w:tc>
        <w:tc>
          <w:tcPr>
            <w:tcW w:w="124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1,134</w:t>
            </w:r>
          </w:p>
        </w:tc>
        <w:tc>
          <w:tcPr>
            <w:tcW w:w="2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1,052</w:t>
            </w:r>
          </w:p>
        </w:tc>
      </w:tr>
      <w:tr>
        <w:trPr>
          <w:trHeight w:val="253"/>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income</w:t>
            </w: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(89,740)</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(75,819)</w:t>
            </w:r>
          </w:p>
        </w:tc>
      </w:tr>
      <w:tr>
        <w:trPr>
          <w:trHeight w:val="250"/>
        </w:trPr>
        <w:tc>
          <w:tcPr>
            <w:tcW w:w="74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Retained earnings</w:t>
            </w:r>
          </w:p>
        </w:tc>
        <w:tc>
          <w:tcPr>
            <w:tcW w:w="1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1,070,020</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1,110,226</w:t>
            </w:r>
          </w:p>
        </w:tc>
      </w:tr>
      <w:tr>
        <w:trPr>
          <w:trHeight w:val="243"/>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Shareholders' Equity</w:t>
            </w:r>
          </w:p>
        </w:tc>
        <w:tc>
          <w:tcPr>
            <w:tcW w:w="1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1,578,483</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1,618,055</w:t>
            </w:r>
          </w:p>
        </w:tc>
      </w:tr>
      <w:tr>
        <w:trPr>
          <w:trHeight w:val="250"/>
        </w:trPr>
        <w:tc>
          <w:tcPr>
            <w:tcW w:w="74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Redeemable noncontrolling interest</w:t>
            </w:r>
          </w:p>
        </w:tc>
        <w:tc>
          <w:tcPr>
            <w:tcW w:w="1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39,510</w:t>
            </w:r>
          </w:p>
        </w:tc>
      </w:tr>
      <w:tr>
        <w:trPr>
          <w:trHeight w:val="250"/>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Shareholders' Equity and Redeemable Noncontrolling Interest</w:t>
            </w:r>
          </w:p>
        </w:tc>
        <w:tc>
          <w:tcPr>
            <w:tcW w:w="1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1,578,483</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1,657,565</w:t>
            </w:r>
          </w:p>
        </w:tc>
      </w:tr>
      <w:tr>
        <w:trPr>
          <w:trHeight w:val="236"/>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Shareholders' Equity and Redeemable Noncontrolling Interest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2,858,720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2,907,512</w:t>
            </w:r>
          </w:p>
        </w:tc>
      </w:tr>
      <w:tr>
        <w:trPr>
          <w:trHeight w:val="27"/>
        </w:trPr>
        <w:tc>
          <w:tcPr>
            <w:tcW w:w="7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459" w:right="339" w:bottom="806"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806"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SIX MONTHS ENDED JUNE 30, 2020 AND JUNE 30, 2019</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640" w:type="dxa"/>
            <w:vAlign w:val="bottom"/>
            <w:tcBorders>
              <w:bottom w:val="single" w:sz="8" w:color="auto"/>
            </w:tcBorders>
            <w:gridSpan w:val="3"/>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shd w:val="clear" w:color="auto" w:fill="CCEEFF"/>
          </w:tcPr>
          <w:p>
            <w:pPr>
              <w:spacing w:after="0"/>
              <w:rPr>
                <w:sz w:val="20"/>
                <w:szCs w:val="20"/>
                <w:color w:val="auto"/>
              </w:rPr>
            </w:pPr>
          </w:p>
        </w:tc>
        <w:tc>
          <w:tcPr>
            <w:tcW w:w="2580" w:type="dxa"/>
            <w:vAlign w:val="bottom"/>
            <w:tcBorders>
              <w:bottom w:val="single" w:sz="8" w:color="auto"/>
            </w:tcBorders>
            <w:gridSpan w:val="3"/>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Six Months Ended</w:t>
            </w:r>
          </w:p>
        </w:tc>
      </w:tr>
      <w:tr>
        <w:trPr>
          <w:trHeight w:val="234"/>
        </w:trPr>
        <w:tc>
          <w:tcPr>
            <w:tcW w:w="5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2019</w:t>
            </w:r>
          </w:p>
        </w:tc>
      </w:tr>
      <w:tr>
        <w:trPr>
          <w:trHeight w:val="243"/>
        </w:trPr>
        <w:tc>
          <w:tcPr>
            <w:tcW w:w="56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40" w:type="dxa"/>
            <w:vAlign w:val="bottom"/>
            <w:gridSpan w:val="7"/>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(in thousands except share and per share data)</w:t>
            </w:r>
          </w:p>
        </w:tc>
      </w:tr>
      <w:tr>
        <w:trPr>
          <w:trHeight w:val="270"/>
        </w:trPr>
        <w:tc>
          <w:tcPr>
            <w:tcW w:w="5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620,228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695,137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1,335,330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1,369,989</w:t>
            </w:r>
          </w:p>
        </w:tc>
      </w:tr>
      <w:tr>
        <w:trPr>
          <w:trHeight w:val="270"/>
        </w:trPr>
        <w:tc>
          <w:tcPr>
            <w:tcW w:w="5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3"/>
        </w:trPr>
        <w:tc>
          <w:tcPr>
            <w:tcW w:w="5620" w:type="dxa"/>
            <w:vAlign w:val="bottom"/>
          </w:tcPr>
          <w:p>
            <w:pPr>
              <w:ind w:left="340"/>
              <w:spacing w:after="0"/>
              <w:rPr>
                <w:sz w:val="20"/>
                <w:szCs w:val="20"/>
                <w:color w:val="auto"/>
              </w:rPr>
            </w:pPr>
            <w:r>
              <w:rPr>
                <w:rFonts w:ascii="Arial" w:cs="Arial" w:eastAsia="Arial" w:hAnsi="Arial"/>
                <w:sz w:val="16"/>
                <w:szCs w:val="16"/>
                <w:color w:val="auto"/>
              </w:rPr>
              <w:t>Direct costs</w:t>
            </w:r>
          </w:p>
        </w:tc>
        <w:tc>
          <w:tcPr>
            <w:tcW w:w="1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445,833</w:t>
            </w:r>
          </w:p>
        </w:tc>
        <w:tc>
          <w:tcPr>
            <w:tcW w:w="24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490,656</w:t>
            </w:r>
          </w:p>
        </w:tc>
        <w:tc>
          <w:tcPr>
            <w:tcW w:w="22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951,126</w:t>
            </w:r>
          </w:p>
        </w:tc>
        <w:tc>
          <w:tcPr>
            <w:tcW w:w="2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966,153</w:t>
            </w:r>
          </w:p>
        </w:tc>
      </w:tr>
      <w:tr>
        <w:trPr>
          <w:trHeight w:val="253"/>
        </w:trPr>
        <w:tc>
          <w:tcPr>
            <w:tcW w:w="5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 expense</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83,499</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83,203</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170,695</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165,115</w:t>
            </w:r>
          </w:p>
        </w:tc>
      </w:tr>
      <w:tr>
        <w:trPr>
          <w:trHeight w:val="233"/>
        </w:trPr>
        <w:tc>
          <w:tcPr>
            <w:tcW w:w="562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15,858</w:t>
            </w:r>
          </w:p>
        </w:tc>
        <w:tc>
          <w:tcPr>
            <w:tcW w:w="24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15,188</w:t>
            </w:r>
          </w:p>
        </w:tc>
        <w:tc>
          <w:tcPr>
            <w:tcW w:w="22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32,180</w:t>
            </w:r>
          </w:p>
        </w:tc>
        <w:tc>
          <w:tcPr>
            <w:tcW w:w="2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30,685</w:t>
            </w:r>
          </w:p>
        </w:tc>
      </w:tr>
      <w:tr>
        <w:trPr>
          <w:trHeight w:val="246"/>
        </w:trPr>
        <w:tc>
          <w:tcPr>
            <w:tcW w:w="5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Restructuring</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18,089</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18,089</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5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0"/>
        </w:trPr>
        <w:tc>
          <w:tcPr>
            <w:tcW w:w="5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Total costs and expenses</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563,279</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589,047</w:t>
            </w: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1,172,090</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1,161,953</w:t>
            </w:r>
          </w:p>
        </w:tc>
      </w:tr>
      <w:tr>
        <w:trPr>
          <w:trHeight w:val="243"/>
        </w:trPr>
        <w:tc>
          <w:tcPr>
            <w:tcW w:w="5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56,949</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106,090</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163,240</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208,036</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441</w:t>
            </w:r>
          </w:p>
        </w:tc>
        <w:tc>
          <w:tcPr>
            <w:tcW w:w="24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1,780</w:t>
            </w:r>
          </w:p>
        </w:tc>
        <w:tc>
          <w:tcPr>
            <w:tcW w:w="22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2,250</w:t>
            </w:r>
          </w:p>
        </w:tc>
        <w:tc>
          <w:tcPr>
            <w:tcW w:w="2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3,525</w:t>
            </w:r>
          </w:p>
        </w:tc>
      </w:tr>
      <w:tr>
        <w:trPr>
          <w:trHeight w:val="260"/>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(3,220)</w:t>
            </w: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(3,199)</w:t>
            </w:r>
          </w:p>
        </w:tc>
        <w:tc>
          <w:tcPr>
            <w:tcW w:w="2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(6,401)</w:t>
            </w: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(6,553)</w:t>
            </w:r>
          </w:p>
        </w:tc>
      </w:tr>
      <w:tr>
        <w:trPr>
          <w:trHeight w:val="243"/>
        </w:trPr>
        <w:tc>
          <w:tcPr>
            <w:tcW w:w="5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54,170</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104,671</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159,089</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205,008</w:t>
            </w:r>
          </w:p>
        </w:tc>
      </w:tr>
      <w:tr>
        <w:trPr>
          <w:trHeight w:val="25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(6,410)</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(12,456)</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(19,000)</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(24,496)</w:t>
            </w:r>
          </w:p>
        </w:tc>
      </w:tr>
      <w:tr>
        <w:trPr>
          <w:trHeight w:val="243"/>
        </w:trPr>
        <w:tc>
          <w:tcPr>
            <w:tcW w:w="56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47,760</w:t>
            </w:r>
          </w:p>
        </w:tc>
        <w:tc>
          <w:tcPr>
            <w:tcW w:w="24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92,215</w:t>
            </w:r>
          </w:p>
        </w:tc>
        <w:tc>
          <w:tcPr>
            <w:tcW w:w="22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140,089</w:t>
            </w:r>
          </w:p>
        </w:tc>
        <w:tc>
          <w:tcPr>
            <w:tcW w:w="2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180,512</w:t>
            </w:r>
          </w:p>
        </w:tc>
      </w:tr>
      <w:tr>
        <w:trPr>
          <w:trHeight w:val="260"/>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(358)</w:t>
            </w:r>
          </w:p>
        </w:tc>
        <w:tc>
          <w:tcPr>
            <w:tcW w:w="2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(633)</w:t>
            </w: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(358)</w:t>
            </w:r>
          </w:p>
        </w:tc>
      </w:tr>
      <w:tr>
        <w:trPr>
          <w:trHeight w:val="23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attributable to the Group</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47,760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91,857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139,456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180,154</w:t>
            </w:r>
          </w:p>
        </w:tc>
      </w:tr>
      <w:tr>
        <w:trPr>
          <w:trHeight w:val="21"/>
        </w:trPr>
        <w:tc>
          <w:tcPr>
            <w:tcW w:w="5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9"/>
        </w:trPr>
        <w:tc>
          <w:tcPr>
            <w:tcW w:w="5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Net income per Ordinary Share attributable to the Group (note 10):</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6"/>
        </w:trPr>
        <w:tc>
          <w:tcPr>
            <w:tcW w:w="5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37"/>
        </w:trPr>
        <w:tc>
          <w:tcPr>
            <w:tcW w:w="56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0.91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3.34</w:t>
            </w: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1"/>
        </w:trPr>
        <w:tc>
          <w:tcPr>
            <w:tcW w:w="5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0.90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1.69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3.31</w:t>
            </w:r>
          </w:p>
        </w:tc>
      </w:tr>
      <w:tr>
        <w:trPr>
          <w:trHeight w:val="20"/>
        </w:trPr>
        <w:tc>
          <w:tcPr>
            <w:tcW w:w="5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Ordinary Shares outstanding:</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6"/>
        </w:trPr>
        <w:tc>
          <w:tcPr>
            <w:tcW w:w="5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62"/>
        </w:trPr>
        <w:tc>
          <w:tcPr>
            <w:tcW w:w="5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52,570,104</w:t>
            </w: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53,957,446</w:t>
            </w:r>
          </w:p>
        </w:tc>
        <w:tc>
          <w:tcPr>
            <w:tcW w:w="2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52,959,229</w:t>
            </w: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53,901,427</w:t>
            </w:r>
          </w:p>
        </w:tc>
      </w:tr>
      <w:tr>
        <w:trPr>
          <w:trHeight w:val="20"/>
        </w:trPr>
        <w:tc>
          <w:tcPr>
            <w:tcW w:w="5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1"/>
        </w:trPr>
        <w:tc>
          <w:tcPr>
            <w:tcW w:w="5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53,028,567</w:t>
            </w: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54,449,117</w:t>
            </w:r>
          </w:p>
        </w:tc>
        <w:tc>
          <w:tcPr>
            <w:tcW w:w="2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53,691,138</w:t>
            </w: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54,355,705</w:t>
            </w:r>
          </w:p>
        </w:tc>
      </w:tr>
      <w:tr>
        <w:trPr>
          <w:trHeight w:val="20"/>
        </w:trPr>
        <w:tc>
          <w:tcPr>
            <w:tcW w:w="5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SIX MONTHS ENDED JUNE 30, 2020 AND JUNE 30, 2019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4" w:lineRule="exact"/>
        <w:rPr>
          <w:sz w:val="20"/>
          <w:szCs w:val="20"/>
          <w:color w:val="auto"/>
        </w:rPr>
      </w:pPr>
    </w:p>
    <w:p>
      <w:pPr>
        <w:ind w:left="916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31750</wp:posOffset>
            </wp:positionV>
            <wp:extent cx="174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2019</w:t>
            </w:r>
          </w:p>
        </w:tc>
      </w:tr>
      <w:tr>
        <w:trPr>
          <w:trHeight w:val="243"/>
        </w:trPr>
        <w:tc>
          <w:tcPr>
            <w:tcW w:w="72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580" w:type="dxa"/>
            <w:vAlign w:val="bottom"/>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7240" w:type="dxa"/>
            <w:vAlign w:val="bottom"/>
          </w:tcPr>
          <w:p>
            <w:pPr>
              <w:ind w:left="120"/>
              <w:spacing w:after="0"/>
              <w:rPr>
                <w:sz w:val="20"/>
                <w:szCs w:val="20"/>
                <w:color w:val="auto"/>
              </w:rPr>
            </w:pPr>
            <w:r>
              <w:rPr>
                <w:rFonts w:ascii="Arial" w:cs="Arial" w:eastAsia="Arial" w:hAnsi="Arial"/>
                <w:sz w:val="16"/>
                <w:szCs w:val="16"/>
                <w:b w:val="1"/>
                <w:bCs w:val="1"/>
                <w:color w:val="auto"/>
              </w:rPr>
              <w:t>Cash flows from operating activities:</w:t>
            </w:r>
          </w:p>
        </w:tc>
        <w:tc>
          <w:tcPr>
            <w:tcW w:w="1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3"/>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140,089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180,512</w:t>
            </w:r>
          </w:p>
        </w:tc>
      </w:tr>
      <w:tr>
        <w:trPr>
          <w:trHeight w:val="233"/>
        </w:trPr>
        <w:tc>
          <w:tcPr>
            <w:tcW w:w="7240" w:type="dxa"/>
            <w:vAlign w:val="bottom"/>
          </w:tcPr>
          <w:p>
            <w:pPr>
              <w:ind w:left="2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3"/>
        </w:trPr>
        <w:tc>
          <w:tcPr>
            <w:tcW w:w="7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Loss on disposal of property, plant and equipment</w:t>
            </w:r>
          </w:p>
        </w:tc>
        <w:tc>
          <w:tcPr>
            <w:tcW w:w="1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95</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w:t>
            </w:r>
          </w:p>
        </w:tc>
      </w:tr>
      <w:tr>
        <w:trPr>
          <w:trHeight w:val="233"/>
        </w:trPr>
        <w:tc>
          <w:tcPr>
            <w:tcW w:w="7240" w:type="dxa"/>
            <w:vAlign w:val="bottom"/>
          </w:tcPr>
          <w:p>
            <w:pPr>
              <w:ind w:left="260"/>
              <w:spacing w:after="0"/>
              <w:rPr>
                <w:sz w:val="20"/>
                <w:szCs w:val="20"/>
                <w:color w:val="auto"/>
              </w:rPr>
            </w:pPr>
            <w:r>
              <w:rPr>
                <w:rFonts w:ascii="Arial" w:cs="Arial" w:eastAsia="Arial" w:hAnsi="Arial"/>
                <w:sz w:val="16"/>
                <w:szCs w:val="16"/>
                <w:color w:val="auto"/>
              </w:rPr>
              <w:t>Depreciation expense</w:t>
            </w:r>
          </w:p>
        </w:tc>
        <w:tc>
          <w:tcPr>
            <w:tcW w:w="142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22,643</w:t>
            </w:r>
          </w:p>
        </w:tc>
        <w:tc>
          <w:tcPr>
            <w:tcW w:w="2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22,916</w:t>
            </w:r>
          </w:p>
        </w:tc>
      </w:tr>
      <w:tr>
        <w:trPr>
          <w:trHeight w:val="253"/>
        </w:trPr>
        <w:tc>
          <w:tcPr>
            <w:tcW w:w="7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Impairment of right-of-use assets</w:t>
            </w:r>
          </w:p>
        </w:tc>
        <w:tc>
          <w:tcPr>
            <w:tcW w:w="1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5,411</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7240" w:type="dxa"/>
            <w:vAlign w:val="bottom"/>
          </w:tcPr>
          <w:p>
            <w:pPr>
              <w:ind w:left="260"/>
              <w:spacing w:after="0"/>
              <w:rPr>
                <w:sz w:val="20"/>
                <w:szCs w:val="20"/>
                <w:color w:val="auto"/>
              </w:rPr>
            </w:pPr>
            <w:r>
              <w:rPr>
                <w:rFonts w:ascii="Arial" w:cs="Arial" w:eastAsia="Arial" w:hAnsi="Arial"/>
                <w:sz w:val="16"/>
                <w:szCs w:val="16"/>
                <w:color w:val="auto"/>
              </w:rPr>
              <w:t>Reduction in carrying value of operating right-of-use assets</w:t>
            </w:r>
          </w:p>
        </w:tc>
        <w:tc>
          <w:tcPr>
            <w:tcW w:w="142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14,337</w:t>
            </w:r>
          </w:p>
        </w:tc>
        <w:tc>
          <w:tcPr>
            <w:tcW w:w="2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15,046</w:t>
            </w:r>
          </w:p>
        </w:tc>
      </w:tr>
      <w:tr>
        <w:trPr>
          <w:trHeight w:val="253"/>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intangibles</w:t>
            </w:r>
          </w:p>
        </w:tc>
        <w:tc>
          <w:tcPr>
            <w:tcW w:w="1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9,537</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7,769</w:t>
            </w:r>
          </w:p>
        </w:tc>
      </w:tr>
      <w:tr>
        <w:trPr>
          <w:trHeight w:val="233"/>
        </w:trPr>
        <w:tc>
          <w:tcPr>
            <w:tcW w:w="7240" w:type="dxa"/>
            <w:vAlign w:val="bottom"/>
          </w:tcPr>
          <w:p>
            <w:pPr>
              <w:ind w:left="240"/>
              <w:spacing w:after="0"/>
              <w:rPr>
                <w:sz w:val="20"/>
                <w:szCs w:val="20"/>
                <w:color w:val="auto"/>
              </w:rPr>
            </w:pPr>
            <w:r>
              <w:rPr>
                <w:rFonts w:ascii="Arial" w:cs="Arial" w:eastAsia="Arial" w:hAnsi="Arial"/>
                <w:sz w:val="16"/>
                <w:szCs w:val="16"/>
                <w:color w:val="auto"/>
              </w:rPr>
              <w:t>Amortization of government grants</w:t>
            </w:r>
          </w:p>
        </w:tc>
        <w:tc>
          <w:tcPr>
            <w:tcW w:w="142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253"/>
        </w:trPr>
        <w:tc>
          <w:tcPr>
            <w:tcW w:w="7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Interest on short term investments</w:t>
            </w:r>
          </w:p>
        </w:tc>
        <w:tc>
          <w:tcPr>
            <w:tcW w:w="1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(538)</w:t>
            </w:r>
          </w:p>
        </w:tc>
      </w:tr>
      <w:tr>
        <w:trPr>
          <w:trHeight w:val="233"/>
        </w:trPr>
        <w:tc>
          <w:tcPr>
            <w:tcW w:w="7240" w:type="dxa"/>
            <w:vAlign w:val="bottom"/>
          </w:tcPr>
          <w:p>
            <w:pPr>
              <w:ind w:left="260"/>
              <w:spacing w:after="0"/>
              <w:rPr>
                <w:sz w:val="20"/>
                <w:szCs w:val="20"/>
                <w:color w:val="auto"/>
              </w:rPr>
            </w:pPr>
            <w:r>
              <w:rPr>
                <w:rFonts w:ascii="Arial" w:cs="Arial" w:eastAsia="Arial" w:hAnsi="Arial"/>
                <w:sz w:val="16"/>
                <w:szCs w:val="16"/>
                <w:color w:val="auto"/>
              </w:rPr>
              <w:t>Interest on non-current operating lease liability</w:t>
            </w:r>
          </w:p>
        </w:tc>
        <w:tc>
          <w:tcPr>
            <w:tcW w:w="142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1,006</w:t>
            </w:r>
          </w:p>
        </w:tc>
        <w:tc>
          <w:tcPr>
            <w:tcW w:w="2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1,506</w:t>
            </w:r>
          </w:p>
        </w:tc>
      </w:tr>
      <w:tr>
        <w:trPr>
          <w:trHeight w:val="253"/>
        </w:trPr>
        <w:tc>
          <w:tcPr>
            <w:tcW w:w="7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Realized gain on sale of short term investments</w:t>
            </w:r>
          </w:p>
        </w:tc>
        <w:tc>
          <w:tcPr>
            <w:tcW w:w="1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(232)</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7240" w:type="dxa"/>
            <w:vAlign w:val="bottom"/>
          </w:tcPr>
          <w:p>
            <w:pPr>
              <w:ind w:left="260"/>
              <w:spacing w:after="0"/>
              <w:rPr>
                <w:sz w:val="20"/>
                <w:szCs w:val="20"/>
                <w:color w:val="auto"/>
              </w:rPr>
            </w:pPr>
            <w:r>
              <w:rPr>
                <w:rFonts w:ascii="Arial" w:cs="Arial" w:eastAsia="Arial" w:hAnsi="Arial"/>
                <w:sz w:val="16"/>
                <w:szCs w:val="16"/>
                <w:color w:val="auto"/>
              </w:rPr>
              <w:t>Loss/(gain) on re-measurement of financial assets</w:t>
            </w:r>
          </w:p>
        </w:tc>
        <w:tc>
          <w:tcPr>
            <w:tcW w:w="142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(500)</w:t>
            </w:r>
          </w:p>
        </w:tc>
      </w:tr>
      <w:tr>
        <w:trPr>
          <w:trHeight w:val="253"/>
        </w:trPr>
        <w:tc>
          <w:tcPr>
            <w:tcW w:w="7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Stock compensation expense</w:t>
            </w:r>
          </w:p>
        </w:tc>
        <w:tc>
          <w:tcPr>
            <w:tcW w:w="1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13,186</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12,834</w:t>
            </w:r>
          </w:p>
        </w:tc>
      </w:tr>
      <w:tr>
        <w:trPr>
          <w:trHeight w:val="233"/>
        </w:trPr>
        <w:tc>
          <w:tcPr>
            <w:tcW w:w="7240" w:type="dxa"/>
            <w:vAlign w:val="bottom"/>
          </w:tcPr>
          <w:p>
            <w:pPr>
              <w:ind w:left="240"/>
              <w:spacing w:after="0"/>
              <w:rPr>
                <w:sz w:val="20"/>
                <w:szCs w:val="20"/>
                <w:color w:val="auto"/>
              </w:rPr>
            </w:pPr>
            <w:r>
              <w:rPr>
                <w:rFonts w:ascii="Arial" w:cs="Arial" w:eastAsia="Arial" w:hAnsi="Arial"/>
                <w:sz w:val="16"/>
                <w:szCs w:val="16"/>
                <w:color w:val="auto"/>
              </w:rPr>
              <w:t>Amortization of interest rate hedge</w:t>
            </w:r>
          </w:p>
        </w:tc>
        <w:tc>
          <w:tcPr>
            <w:tcW w:w="142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(482)</w:t>
            </w:r>
          </w:p>
        </w:tc>
        <w:tc>
          <w:tcPr>
            <w:tcW w:w="2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(464)</w:t>
            </w:r>
          </w:p>
        </w:tc>
      </w:tr>
      <w:tr>
        <w:trPr>
          <w:trHeight w:val="253"/>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financing costs</w:t>
            </w:r>
          </w:p>
        </w:tc>
        <w:tc>
          <w:tcPr>
            <w:tcW w:w="1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258</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255</w:t>
            </w:r>
          </w:p>
        </w:tc>
      </w:tr>
      <w:tr>
        <w:trPr>
          <w:trHeight w:val="233"/>
        </w:trPr>
        <w:tc>
          <w:tcPr>
            <w:tcW w:w="7240" w:type="dxa"/>
            <w:vAlign w:val="bottom"/>
          </w:tcPr>
          <w:p>
            <w:pPr>
              <w:ind w:left="260"/>
              <w:spacing w:after="0"/>
              <w:rPr>
                <w:sz w:val="20"/>
                <w:szCs w:val="20"/>
                <w:color w:val="auto"/>
              </w:rPr>
            </w:pPr>
            <w:r>
              <w:rPr>
                <w:rFonts w:ascii="Arial" w:cs="Arial" w:eastAsia="Arial" w:hAnsi="Arial"/>
                <w:sz w:val="16"/>
                <w:szCs w:val="16"/>
                <w:color w:val="auto"/>
              </w:rPr>
              <w:t>Deferred taxes</w:t>
            </w:r>
          </w:p>
        </w:tc>
        <w:tc>
          <w:tcPr>
            <w:tcW w:w="142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(2,613)</w:t>
            </w:r>
          </w:p>
        </w:tc>
        <w:tc>
          <w:tcPr>
            <w:tcW w:w="2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2,465</w:t>
            </w:r>
          </w:p>
        </w:tc>
      </w:tr>
      <w:tr>
        <w:trPr>
          <w:trHeight w:val="253"/>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assets and liabilities:</w:t>
            </w:r>
          </w:p>
        </w:tc>
        <w:tc>
          <w:tcPr>
            <w:tcW w:w="14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3"/>
        </w:trPr>
        <w:tc>
          <w:tcPr>
            <w:tcW w:w="7240" w:type="dxa"/>
            <w:vAlign w:val="bottom"/>
          </w:tcPr>
          <w:p>
            <w:pPr>
              <w:ind w:left="260"/>
              <w:spacing w:after="0"/>
              <w:rPr>
                <w:sz w:val="20"/>
                <w:szCs w:val="20"/>
                <w:color w:val="auto"/>
              </w:rPr>
            </w:pPr>
            <w:r>
              <w:rPr>
                <w:rFonts w:ascii="Arial" w:cs="Arial" w:eastAsia="Arial" w:hAnsi="Arial"/>
                <w:sz w:val="16"/>
                <w:szCs w:val="16"/>
                <w:color w:val="auto"/>
              </w:rPr>
              <w:t>Decrease/(increase) in accounts receivable</w:t>
            </w:r>
          </w:p>
        </w:tc>
        <w:tc>
          <w:tcPr>
            <w:tcW w:w="142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58,170</w:t>
            </w:r>
          </w:p>
        </w:tc>
        <w:tc>
          <w:tcPr>
            <w:tcW w:w="2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(9,285)</w:t>
            </w:r>
          </w:p>
        </w:tc>
      </w:tr>
      <w:tr>
        <w:trPr>
          <w:trHeight w:val="253"/>
        </w:trPr>
        <w:tc>
          <w:tcPr>
            <w:tcW w:w="7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Decrease/(increase) in unbilled revenue</w:t>
            </w:r>
          </w:p>
        </w:tc>
        <w:tc>
          <w:tcPr>
            <w:tcW w:w="1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12,226</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(124,158)</w:t>
            </w:r>
          </w:p>
        </w:tc>
      </w:tr>
      <w:tr>
        <w:trPr>
          <w:trHeight w:val="233"/>
        </w:trPr>
        <w:tc>
          <w:tcPr>
            <w:tcW w:w="7240" w:type="dxa"/>
            <w:vAlign w:val="bottom"/>
          </w:tcPr>
          <w:p>
            <w:pPr>
              <w:ind w:left="260"/>
              <w:spacing w:after="0"/>
              <w:rPr>
                <w:sz w:val="20"/>
                <w:szCs w:val="20"/>
                <w:color w:val="auto"/>
              </w:rPr>
            </w:pPr>
            <w:r>
              <w:rPr>
                <w:rFonts w:ascii="Arial" w:cs="Arial" w:eastAsia="Arial" w:hAnsi="Arial"/>
                <w:sz w:val="16"/>
                <w:szCs w:val="16"/>
                <w:color w:val="auto"/>
              </w:rPr>
              <w:t>Decrease in other receivables</w:t>
            </w:r>
          </w:p>
        </w:tc>
        <w:tc>
          <w:tcPr>
            <w:tcW w:w="142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2,689</w:t>
            </w:r>
          </w:p>
        </w:tc>
        <w:tc>
          <w:tcPr>
            <w:tcW w:w="2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1,666</w:t>
            </w:r>
          </w:p>
        </w:tc>
      </w:tr>
      <w:tr>
        <w:trPr>
          <w:trHeight w:val="253"/>
        </w:trPr>
        <w:tc>
          <w:tcPr>
            <w:tcW w:w="7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Decrease/(increase) in prepayments and other current assets</w:t>
            </w:r>
          </w:p>
        </w:tc>
        <w:tc>
          <w:tcPr>
            <w:tcW w:w="1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2,937</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(2,946)</w:t>
            </w:r>
          </w:p>
        </w:tc>
      </w:tr>
      <w:tr>
        <w:trPr>
          <w:trHeight w:val="233"/>
        </w:trPr>
        <w:tc>
          <w:tcPr>
            <w:tcW w:w="7240" w:type="dxa"/>
            <w:vAlign w:val="bottom"/>
          </w:tcPr>
          <w:p>
            <w:pPr>
              <w:ind w:left="260"/>
              <w:spacing w:after="0"/>
              <w:rPr>
                <w:sz w:val="20"/>
                <w:szCs w:val="20"/>
                <w:color w:val="auto"/>
              </w:rPr>
            </w:pPr>
            <w:r>
              <w:rPr>
                <w:rFonts w:ascii="Arial" w:cs="Arial" w:eastAsia="Arial" w:hAnsi="Arial"/>
                <w:sz w:val="16"/>
                <w:szCs w:val="16"/>
                <w:color w:val="auto"/>
              </w:rPr>
              <w:t>Decrease/(increase) in other non-current assets</w:t>
            </w:r>
          </w:p>
        </w:tc>
        <w:tc>
          <w:tcPr>
            <w:tcW w:w="142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486</w:t>
            </w:r>
          </w:p>
        </w:tc>
        <w:tc>
          <w:tcPr>
            <w:tcW w:w="2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(1,925)</w:t>
            </w:r>
          </w:p>
        </w:tc>
      </w:tr>
      <w:tr>
        <w:trPr>
          <w:trHeight w:val="253"/>
        </w:trPr>
        <w:tc>
          <w:tcPr>
            <w:tcW w:w="7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Increase in unearned revenue</w:t>
            </w:r>
          </w:p>
        </w:tc>
        <w:tc>
          <w:tcPr>
            <w:tcW w:w="1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25,056</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42,263</w:t>
            </w:r>
          </w:p>
        </w:tc>
      </w:tr>
      <w:tr>
        <w:trPr>
          <w:trHeight w:val="233"/>
        </w:trPr>
        <w:tc>
          <w:tcPr>
            <w:tcW w:w="7240" w:type="dxa"/>
            <w:vAlign w:val="bottom"/>
          </w:tcPr>
          <w:p>
            <w:pPr>
              <w:ind w:left="260"/>
              <w:spacing w:after="0"/>
              <w:rPr>
                <w:sz w:val="20"/>
                <w:szCs w:val="20"/>
                <w:color w:val="auto"/>
              </w:rPr>
            </w:pPr>
            <w:r>
              <w:rPr>
                <w:rFonts w:ascii="Arial" w:cs="Arial" w:eastAsia="Arial" w:hAnsi="Arial"/>
                <w:sz w:val="16"/>
                <w:szCs w:val="16"/>
                <w:color w:val="auto"/>
              </w:rPr>
              <w:t>Decrease in other current liabilities</w:t>
            </w:r>
          </w:p>
        </w:tc>
        <w:tc>
          <w:tcPr>
            <w:tcW w:w="142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(33,507)</w:t>
            </w:r>
          </w:p>
        </w:tc>
        <w:tc>
          <w:tcPr>
            <w:tcW w:w="2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(10,581)</w:t>
            </w:r>
          </w:p>
        </w:tc>
      </w:tr>
      <w:tr>
        <w:trPr>
          <w:trHeight w:val="253"/>
        </w:trPr>
        <w:tc>
          <w:tcPr>
            <w:tcW w:w="7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Decrease in operating lease liabilities</w:t>
            </w:r>
          </w:p>
        </w:tc>
        <w:tc>
          <w:tcPr>
            <w:tcW w:w="1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(15,416)</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(16,724)</w:t>
            </w:r>
          </w:p>
        </w:tc>
      </w:tr>
      <w:tr>
        <w:trPr>
          <w:trHeight w:val="233"/>
        </w:trPr>
        <w:tc>
          <w:tcPr>
            <w:tcW w:w="7240" w:type="dxa"/>
            <w:vAlign w:val="bottom"/>
          </w:tcPr>
          <w:p>
            <w:pPr>
              <w:ind w:left="260"/>
              <w:spacing w:after="0"/>
              <w:rPr>
                <w:sz w:val="20"/>
                <w:szCs w:val="20"/>
                <w:color w:val="auto"/>
              </w:rPr>
            </w:pPr>
            <w:r>
              <w:rPr>
                <w:rFonts w:ascii="Arial" w:cs="Arial" w:eastAsia="Arial" w:hAnsi="Arial"/>
                <w:sz w:val="16"/>
                <w:szCs w:val="16"/>
                <w:color w:val="auto"/>
              </w:rPr>
              <w:t>Increase in other non-current liabilities</w:t>
            </w:r>
          </w:p>
        </w:tc>
        <w:tc>
          <w:tcPr>
            <w:tcW w:w="142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2,355</w:t>
            </w:r>
          </w:p>
        </w:tc>
        <w:tc>
          <w:tcPr>
            <w:tcW w:w="2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147</w:t>
            </w:r>
          </w:p>
        </w:tc>
      </w:tr>
      <w:tr>
        <w:trPr>
          <w:trHeight w:val="253"/>
        </w:trPr>
        <w:tc>
          <w:tcPr>
            <w:tcW w:w="7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Decrease in income taxes payable</w:t>
            </w:r>
          </w:p>
        </w:tc>
        <w:tc>
          <w:tcPr>
            <w:tcW w:w="1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(5,931)</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(3,191)</w:t>
            </w:r>
          </w:p>
        </w:tc>
      </w:tr>
      <w:tr>
        <w:trPr>
          <w:trHeight w:val="250"/>
        </w:trPr>
        <w:tc>
          <w:tcPr>
            <w:tcW w:w="72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Increase in accounts payable</w:t>
            </w:r>
          </w:p>
        </w:tc>
        <w:tc>
          <w:tcPr>
            <w:tcW w:w="14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8,370</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295</w:t>
            </w:r>
          </w:p>
        </w:tc>
      </w:tr>
      <w:tr>
        <w:trPr>
          <w:trHeight w:val="243"/>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cash provided by operating activities</w:t>
            </w:r>
          </w:p>
        </w:tc>
        <w:tc>
          <w:tcPr>
            <w:tcW w:w="1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260,648</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117,369</w:t>
            </w:r>
          </w:p>
        </w:tc>
      </w:tr>
      <w:tr>
        <w:trPr>
          <w:trHeight w:val="233"/>
        </w:trPr>
        <w:tc>
          <w:tcPr>
            <w:tcW w:w="7240" w:type="dxa"/>
            <w:vAlign w:val="bottom"/>
          </w:tcPr>
          <w:p>
            <w:pPr>
              <w:ind w:left="120"/>
              <w:spacing w:after="0"/>
              <w:rPr>
                <w:sz w:val="20"/>
                <w:szCs w:val="20"/>
                <w:color w:val="auto"/>
              </w:rPr>
            </w:pPr>
            <w:r>
              <w:rPr>
                <w:rFonts w:ascii="Arial" w:cs="Arial" w:eastAsia="Arial" w:hAnsi="Arial"/>
                <w:sz w:val="16"/>
                <w:szCs w:val="16"/>
                <w:b w:val="1"/>
                <w:bCs w:val="1"/>
                <w:color w:val="auto"/>
              </w:rPr>
              <w:t>Cash flows from investing activities:</w:t>
            </w:r>
          </w:p>
        </w:tc>
        <w:tc>
          <w:tcPr>
            <w:tcW w:w="1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3"/>
        </w:trPr>
        <w:tc>
          <w:tcPr>
            <w:tcW w:w="7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Purchase of property, plant and equipment</w:t>
            </w:r>
          </w:p>
        </w:tc>
        <w:tc>
          <w:tcPr>
            <w:tcW w:w="1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(21,161)</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(18,217)</w:t>
            </w:r>
          </w:p>
        </w:tc>
      </w:tr>
      <w:tr>
        <w:trPr>
          <w:trHeight w:val="233"/>
        </w:trPr>
        <w:tc>
          <w:tcPr>
            <w:tcW w:w="7240" w:type="dxa"/>
            <w:vAlign w:val="bottom"/>
          </w:tcPr>
          <w:p>
            <w:pPr>
              <w:ind w:left="260"/>
              <w:spacing w:after="0"/>
              <w:rPr>
                <w:sz w:val="20"/>
                <w:szCs w:val="20"/>
                <w:color w:val="auto"/>
              </w:rPr>
            </w:pPr>
            <w:r>
              <w:rPr>
                <w:rFonts w:ascii="Arial" w:cs="Arial" w:eastAsia="Arial" w:hAnsi="Arial"/>
                <w:sz w:val="16"/>
                <w:szCs w:val="16"/>
                <w:color w:val="auto"/>
              </w:rPr>
              <w:t>Purchase of subsidiary undertakings</w:t>
            </w:r>
          </w:p>
        </w:tc>
        <w:tc>
          <w:tcPr>
            <w:tcW w:w="142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(47,367)</w:t>
            </w:r>
          </w:p>
        </w:tc>
        <w:tc>
          <w:tcPr>
            <w:tcW w:w="2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(81,631)</w:t>
            </w:r>
          </w:p>
        </w:tc>
      </w:tr>
      <w:tr>
        <w:trPr>
          <w:trHeight w:val="253"/>
        </w:trPr>
        <w:tc>
          <w:tcPr>
            <w:tcW w:w="7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Cash acquired with subsidiary undertaking</w:t>
            </w:r>
          </w:p>
        </w:tc>
        <w:tc>
          <w:tcPr>
            <w:tcW w:w="1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10,170</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8,405</w:t>
            </w:r>
          </w:p>
        </w:tc>
      </w:tr>
      <w:tr>
        <w:trPr>
          <w:trHeight w:val="233"/>
        </w:trPr>
        <w:tc>
          <w:tcPr>
            <w:tcW w:w="7240" w:type="dxa"/>
            <w:vAlign w:val="bottom"/>
          </w:tcPr>
          <w:p>
            <w:pPr>
              <w:ind w:left="260"/>
              <w:spacing w:after="0"/>
              <w:rPr>
                <w:sz w:val="20"/>
                <w:szCs w:val="20"/>
                <w:color w:val="auto"/>
              </w:rPr>
            </w:pPr>
            <w:r>
              <w:rPr>
                <w:rFonts w:ascii="Arial" w:cs="Arial" w:eastAsia="Arial" w:hAnsi="Arial"/>
                <w:sz w:val="16"/>
                <w:szCs w:val="16"/>
                <w:color w:val="auto"/>
              </w:rPr>
              <w:t>Purchase of available for sale investments</w:t>
            </w:r>
          </w:p>
        </w:tc>
        <w:tc>
          <w:tcPr>
            <w:tcW w:w="142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(9,105)</w:t>
            </w:r>
          </w:p>
        </w:tc>
      </w:tr>
      <w:tr>
        <w:trPr>
          <w:trHeight w:val="253"/>
        </w:trPr>
        <w:tc>
          <w:tcPr>
            <w:tcW w:w="7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Sale of available for sale investments</w:t>
            </w:r>
          </w:p>
        </w:tc>
        <w:tc>
          <w:tcPr>
            <w:tcW w:w="1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47,902</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9,061</w:t>
            </w:r>
          </w:p>
        </w:tc>
      </w:tr>
      <w:tr>
        <w:trPr>
          <w:trHeight w:val="250"/>
        </w:trPr>
        <w:tc>
          <w:tcPr>
            <w:tcW w:w="72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Purchase of investments in equity - long term</w:t>
            </w:r>
          </w:p>
        </w:tc>
        <w:tc>
          <w:tcPr>
            <w:tcW w:w="14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(1,273)</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(3,305)</w:t>
            </w:r>
          </w:p>
        </w:tc>
      </w:tr>
      <w:tr>
        <w:trPr>
          <w:trHeight w:val="243"/>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cash used in investing activities</w:t>
            </w:r>
          </w:p>
        </w:tc>
        <w:tc>
          <w:tcPr>
            <w:tcW w:w="1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(11,729)</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(94,792)</w:t>
            </w:r>
          </w:p>
        </w:tc>
      </w:tr>
      <w:tr>
        <w:trPr>
          <w:trHeight w:val="233"/>
        </w:trPr>
        <w:tc>
          <w:tcPr>
            <w:tcW w:w="7240" w:type="dxa"/>
            <w:vAlign w:val="bottom"/>
          </w:tcPr>
          <w:p>
            <w:pPr>
              <w:ind w:left="120"/>
              <w:spacing w:after="0"/>
              <w:rPr>
                <w:sz w:val="20"/>
                <w:szCs w:val="20"/>
                <w:color w:val="auto"/>
              </w:rPr>
            </w:pPr>
            <w:r>
              <w:rPr>
                <w:rFonts w:ascii="Arial" w:cs="Arial" w:eastAsia="Arial" w:hAnsi="Arial"/>
                <w:sz w:val="16"/>
                <w:szCs w:val="16"/>
                <w:b w:val="1"/>
                <w:bCs w:val="1"/>
                <w:color w:val="auto"/>
              </w:rPr>
              <w:t>Cash flows from financing activities:</w:t>
            </w:r>
          </w:p>
        </w:tc>
        <w:tc>
          <w:tcPr>
            <w:tcW w:w="1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3"/>
        </w:trPr>
        <w:tc>
          <w:tcPr>
            <w:tcW w:w="7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Proceeds from exercise of equity compensation</w:t>
            </w:r>
          </w:p>
        </w:tc>
        <w:tc>
          <w:tcPr>
            <w:tcW w:w="1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1,461</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17,054</w:t>
            </w:r>
          </w:p>
        </w:tc>
      </w:tr>
      <w:tr>
        <w:trPr>
          <w:trHeight w:val="233"/>
        </w:trPr>
        <w:tc>
          <w:tcPr>
            <w:tcW w:w="7240" w:type="dxa"/>
            <w:vAlign w:val="bottom"/>
          </w:tcPr>
          <w:p>
            <w:pPr>
              <w:ind w:left="260"/>
              <w:spacing w:after="0"/>
              <w:rPr>
                <w:sz w:val="20"/>
                <w:szCs w:val="20"/>
                <w:color w:val="auto"/>
              </w:rPr>
            </w:pPr>
            <w:r>
              <w:rPr>
                <w:rFonts w:ascii="Arial" w:cs="Arial" w:eastAsia="Arial" w:hAnsi="Arial"/>
                <w:sz w:val="16"/>
                <w:szCs w:val="16"/>
                <w:color w:val="auto"/>
              </w:rPr>
              <w:t>Share issue costs</w:t>
            </w:r>
          </w:p>
        </w:tc>
        <w:tc>
          <w:tcPr>
            <w:tcW w:w="142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53"/>
        </w:trPr>
        <w:tc>
          <w:tcPr>
            <w:tcW w:w="7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Repurchase of ordinary shares</w:t>
            </w:r>
          </w:p>
        </w:tc>
        <w:tc>
          <w:tcPr>
            <w:tcW w:w="1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(175,000)</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(65,100)</w:t>
            </w:r>
          </w:p>
        </w:tc>
      </w:tr>
      <w:tr>
        <w:trPr>
          <w:trHeight w:val="237"/>
        </w:trPr>
        <w:tc>
          <w:tcPr>
            <w:tcW w:w="72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Share repurchase costs</w:t>
            </w:r>
          </w:p>
        </w:tc>
        <w:tc>
          <w:tcPr>
            <w:tcW w:w="1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(140)</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r>
      <w:tr>
        <w:trPr>
          <w:trHeight w:val="243"/>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(173,685)</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(48,104)</w:t>
            </w:r>
          </w:p>
        </w:tc>
      </w:tr>
      <w:tr>
        <w:trPr>
          <w:trHeight w:val="250"/>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movements on cash</w:t>
            </w:r>
          </w:p>
        </w:tc>
        <w:tc>
          <w:tcPr>
            <w:tcW w:w="14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(3,443)</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w:t>
            </w:r>
          </w:p>
        </w:tc>
      </w:tr>
      <w:tr>
        <w:trPr>
          <w:trHeight w:val="243"/>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increase/(decrease) in cash and cash equivalents</w:t>
            </w:r>
          </w:p>
        </w:tc>
        <w:tc>
          <w:tcPr>
            <w:tcW w:w="1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71,791</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(25,643)</w:t>
            </w:r>
          </w:p>
        </w:tc>
      </w:tr>
      <w:tr>
        <w:trPr>
          <w:trHeight w:val="250"/>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4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520,309</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395,851</w:t>
            </w:r>
          </w:p>
        </w:tc>
      </w:tr>
      <w:tr>
        <w:trPr>
          <w:trHeight w:val="261"/>
        </w:trPr>
        <w:tc>
          <w:tcPr>
            <w:tcW w:w="7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592,100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370,208</w:t>
            </w:r>
          </w:p>
        </w:tc>
      </w:tr>
      <w:tr>
        <w:trPr>
          <w:trHeight w:val="20"/>
        </w:trPr>
        <w:tc>
          <w:tcPr>
            <w:tcW w:w="7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8" w:name="page9"/>
    <w:bookmarkEnd w:id="8"/>
    <w:p>
      <w:pPr>
        <w:jc w:val="center"/>
        <w:ind w:right="-1100"/>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CONDENSED CONSOLIDATED STATEMENTS OF SHAREHOLDERS' EQUITY AND COMPREHENSIVE INCOME</w:t>
      </w:r>
    </w:p>
    <w:p>
      <w:pPr>
        <w:spacing w:after="0" w:line="5"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602615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26150" cy="154305"/>
                    </a:xfrm>
                    <a:prstGeom prst="rect">
                      <a:avLst/>
                    </a:prstGeom>
                    <a:noFill/>
                  </pic:spPr>
                </pic:pic>
              </a:graphicData>
            </a:graphic>
          </wp:anchor>
        </w:drawing>
      </w:r>
    </w:p>
    <w:p>
      <w:pPr>
        <w:spacing w:after="0" w:line="303"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31750</wp:posOffset>
            </wp:positionV>
            <wp:extent cx="38576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5762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Accumulated</w:t>
            </w: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Additional</w:t>
            </w: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Redeemable</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360" w:type="dxa"/>
            <w:vAlign w:val="bottom"/>
            <w:gridSpan w:val="5"/>
          </w:tcPr>
          <w:p>
            <w:pPr>
              <w:ind w:left="320"/>
              <w:spacing w:after="0"/>
              <w:rPr>
                <w:sz w:val="20"/>
                <w:szCs w:val="20"/>
                <w:color w:val="auto"/>
              </w:rPr>
            </w:pPr>
            <w:r>
              <w:rPr>
                <w:rFonts w:ascii="Arial" w:cs="Arial" w:eastAsia="Arial" w:hAnsi="Arial"/>
                <w:sz w:val="16"/>
                <w:szCs w:val="16"/>
                <w:b w:val="1"/>
                <w:bCs w:val="1"/>
                <w:color w:val="auto"/>
              </w:rPr>
              <w:t>Paid-in UndenominatedComprehensive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Retained</w:t>
            </w:r>
          </w:p>
        </w:tc>
        <w:tc>
          <w:tcPr>
            <w:tcW w:w="102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w w:val="98"/>
              </w:rPr>
              <w:t>Noncontrolling</w:t>
            </w:r>
          </w:p>
        </w:tc>
        <w:tc>
          <w:tcPr>
            <w:tcW w:w="0" w:type="dxa"/>
            <w:vAlign w:val="bottom"/>
          </w:tcPr>
          <w:p>
            <w:pPr>
              <w:spacing w:after="0"/>
              <w:rPr>
                <w:sz w:val="1"/>
                <w:szCs w:val="1"/>
                <w:color w:val="auto"/>
              </w:rPr>
            </w:pPr>
          </w:p>
        </w:tc>
      </w:tr>
      <w:tr>
        <w:trPr>
          <w:trHeight w:val="228"/>
        </w:trPr>
        <w:tc>
          <w:tcPr>
            <w:tcW w:w="1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Shares Amount</w:t>
            </w:r>
          </w:p>
        </w:tc>
        <w:tc>
          <w:tcPr>
            <w:tcW w:w="8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w w:val="97"/>
              </w:rPr>
              <w:t>Capital</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Income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Interest</w:t>
            </w:r>
          </w:p>
        </w:tc>
        <w:tc>
          <w:tcPr>
            <w:tcW w:w="0" w:type="dxa"/>
            <w:vAlign w:val="bottom"/>
          </w:tcPr>
          <w:p>
            <w:pPr>
              <w:spacing w:after="0"/>
              <w:rPr>
                <w:sz w:val="1"/>
                <w:szCs w:val="1"/>
                <w:color w:val="auto"/>
              </w:rPr>
            </w:pPr>
          </w:p>
        </w:tc>
      </w:tr>
      <w:tr>
        <w:trPr>
          <w:trHeight w:val="243"/>
        </w:trPr>
        <w:tc>
          <w:tcPr>
            <w:tcW w:w="1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500" w:type="dxa"/>
            <w:vAlign w:val="bottom"/>
            <w:gridSpan w:val="5"/>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(dollars in thousands, except share data)</w:t>
            </w: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300" w:type="dxa"/>
            <w:vAlign w:val="bottom"/>
          </w:tcPr>
          <w:p>
            <w:pPr>
              <w:ind w:left="20"/>
              <w:spacing w:after="0"/>
              <w:rPr>
                <w:sz w:val="20"/>
                <w:szCs w:val="20"/>
                <w:color w:val="auto"/>
              </w:rPr>
            </w:pPr>
            <w:r>
              <w:rPr>
                <w:rFonts w:ascii="Arial" w:cs="Arial" w:eastAsia="Arial" w:hAnsi="Arial"/>
                <w:sz w:val="16"/>
                <w:szCs w:val="16"/>
                <w:b w:val="1"/>
                <w:bCs w:val="1"/>
                <w:color w:val="auto"/>
              </w:rPr>
              <w:t>Balance at</w:t>
            </w: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2019</w:t>
            </w: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53,622,206</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$ 4,635</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$ 577,961</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1,052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(75,819)</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9"/>
              </w:rPr>
              <w:t>$ 1,110,226</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$ 1,618,055</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39,510</w:t>
            </w:r>
          </w:p>
        </w:tc>
        <w:tc>
          <w:tcPr>
            <w:tcW w:w="0" w:type="dxa"/>
            <w:vAlign w:val="bottom"/>
          </w:tcPr>
          <w:p>
            <w:pPr>
              <w:spacing w:after="0"/>
              <w:rPr>
                <w:sz w:val="1"/>
                <w:szCs w:val="1"/>
                <w:color w:val="auto"/>
              </w:rPr>
            </w:pPr>
          </w:p>
        </w:tc>
      </w:tr>
      <w:tr>
        <w:trPr>
          <w:trHeight w:val="257"/>
        </w:trPr>
        <w:tc>
          <w:tcPr>
            <w:tcW w:w="1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300" w:type="dxa"/>
            <w:vAlign w:val="bottom"/>
          </w:tcPr>
          <w:p>
            <w:pPr>
              <w:ind w:left="20"/>
              <w:spacing w:after="0"/>
              <w:rPr>
                <w:sz w:val="20"/>
                <w:szCs w:val="20"/>
                <w:color w:val="auto"/>
              </w:rPr>
            </w:pPr>
            <w:r>
              <w:rPr>
                <w:rFonts w:ascii="Arial" w:cs="Arial" w:eastAsia="Arial" w:hAnsi="Arial"/>
                <w:sz w:val="16"/>
                <w:szCs w:val="16"/>
                <w:color w:val="auto"/>
              </w:rPr>
              <w:t>Comprehensive</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300" w:type="dxa"/>
            <w:vAlign w:val="bottom"/>
          </w:tcPr>
          <w:p>
            <w:pPr>
              <w:ind w:left="20"/>
              <w:spacing w:after="0"/>
              <w:rPr>
                <w:sz w:val="20"/>
                <w:szCs w:val="20"/>
                <w:color w:val="auto"/>
              </w:rPr>
            </w:pPr>
            <w:r>
              <w:rPr>
                <w:rFonts w:ascii="Arial" w:cs="Arial" w:eastAsia="Arial" w:hAnsi="Arial"/>
                <w:sz w:val="16"/>
                <w:szCs w:val="16"/>
                <w:color w:val="auto"/>
              </w:rPr>
              <w:t>income:</w:t>
            </w: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139,456</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139,456</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177"/>
        </w:trPr>
        <w:tc>
          <w:tcPr>
            <w:tcW w:w="1300" w:type="dxa"/>
            <w:vAlign w:val="bottom"/>
          </w:tcPr>
          <w:p>
            <w:pPr>
              <w:ind w:left="20"/>
              <w:spacing w:after="0" w:line="178" w:lineRule="exact"/>
              <w:rPr>
                <w:sz w:val="20"/>
                <w:szCs w:val="20"/>
                <w:color w:val="auto"/>
              </w:rPr>
            </w:pPr>
            <w:r>
              <w:rPr>
                <w:rFonts w:ascii="Arial" w:cs="Arial" w:eastAsia="Arial" w:hAnsi="Arial"/>
                <w:sz w:val="16"/>
                <w:szCs w:val="16"/>
                <w:color w:val="auto"/>
              </w:rPr>
              <w:t>Currency</w:t>
            </w: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80"/>
              <w:spacing w:after="0" w:line="162" w:lineRule="exact"/>
              <w:rPr>
                <w:sz w:val="20"/>
                <w:szCs w:val="20"/>
                <w:color w:val="auto"/>
              </w:rPr>
            </w:pPr>
            <w:r>
              <w:rPr>
                <w:rFonts w:ascii="Arial" w:cs="Arial" w:eastAsia="Arial" w:hAnsi="Arial"/>
                <w:sz w:val="16"/>
                <w:szCs w:val="16"/>
                <w:color w:val="auto"/>
              </w:rPr>
              <w:t>translation</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88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80" w:type="dxa"/>
            <w:vAlign w:val="bottom"/>
            <w:vMerge w:val="restart"/>
          </w:tcPr>
          <w:p>
            <w:pPr>
              <w:jc w:val="right"/>
              <w:ind w:right="119"/>
              <w:spacing w:after="0"/>
              <w:rPr>
                <w:sz w:val="20"/>
                <w:szCs w:val="20"/>
                <w:color w:val="auto"/>
              </w:rPr>
            </w:pPr>
            <w:r>
              <w:rPr>
                <w:rFonts w:ascii="Arial" w:cs="Arial" w:eastAsia="Arial" w:hAnsi="Arial"/>
                <w:sz w:val="16"/>
                <w:szCs w:val="16"/>
                <w:color w:val="auto"/>
              </w:rPr>
              <w:t>(11,828)</w:t>
            </w:r>
          </w:p>
        </w:tc>
        <w:tc>
          <w:tcPr>
            <w:tcW w:w="100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color w:val="auto"/>
              </w:rPr>
              <w:t>(11,828)</w:t>
            </w:r>
          </w:p>
        </w:tc>
        <w:tc>
          <w:tcPr>
            <w:tcW w:w="140" w:type="dxa"/>
            <w:vAlign w:val="bottom"/>
          </w:tcPr>
          <w:p>
            <w:pPr>
              <w:spacing w:after="0"/>
              <w:rPr>
                <w:sz w:val="14"/>
                <w:szCs w:val="14"/>
                <w:color w:val="auto"/>
              </w:rPr>
            </w:pPr>
          </w:p>
        </w:tc>
        <w:tc>
          <w:tcPr>
            <w:tcW w:w="102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1300" w:type="dxa"/>
            <w:vAlign w:val="bottom"/>
          </w:tcPr>
          <w:p>
            <w:pPr>
              <w:ind w:left="180"/>
              <w:spacing w:after="0"/>
              <w:rPr>
                <w:sz w:val="20"/>
                <w:szCs w:val="20"/>
                <w:color w:val="auto"/>
              </w:rPr>
            </w:pPr>
            <w:r>
              <w:rPr>
                <w:rFonts w:ascii="Arial" w:cs="Arial" w:eastAsia="Arial" w:hAnsi="Arial"/>
                <w:sz w:val="16"/>
                <w:szCs w:val="16"/>
                <w:color w:val="auto"/>
              </w:rPr>
              <w:t>adjustment</w:t>
            </w:r>
          </w:p>
        </w:tc>
        <w:tc>
          <w:tcPr>
            <w:tcW w:w="9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3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Currency impact</w:t>
            </w:r>
          </w:p>
        </w:tc>
        <w:tc>
          <w:tcPr>
            <w:tcW w:w="9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of long term</w:t>
            </w:r>
          </w:p>
        </w:tc>
        <w:tc>
          <w:tcPr>
            <w:tcW w:w="9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funding (net of</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(1,002)</w:t>
            </w:r>
          </w:p>
        </w:tc>
        <w:tc>
          <w:tcPr>
            <w:tcW w:w="10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(1,002)</w:t>
            </w: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1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tax)</w:t>
            </w:r>
          </w:p>
        </w:tc>
        <w:tc>
          <w:tcPr>
            <w:tcW w:w="92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300" w:type="dxa"/>
            <w:vAlign w:val="bottom"/>
          </w:tcPr>
          <w:p>
            <w:pPr>
              <w:ind w:left="20"/>
              <w:spacing w:after="0" w:line="178" w:lineRule="exact"/>
              <w:rPr>
                <w:sz w:val="20"/>
                <w:szCs w:val="20"/>
                <w:color w:val="auto"/>
              </w:rPr>
            </w:pPr>
            <w:r>
              <w:rPr>
                <w:rFonts w:ascii="Arial" w:cs="Arial" w:eastAsia="Arial" w:hAnsi="Arial"/>
                <w:sz w:val="16"/>
                <w:szCs w:val="16"/>
                <w:color w:val="auto"/>
              </w:rPr>
              <w:t>Transfer to</w:t>
            </w: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180"/>
              <w:spacing w:after="0" w:line="162" w:lineRule="exact"/>
              <w:rPr>
                <w:sz w:val="20"/>
                <w:szCs w:val="20"/>
                <w:color w:val="auto"/>
              </w:rPr>
            </w:pPr>
            <w:r>
              <w:rPr>
                <w:rFonts w:ascii="Arial" w:cs="Arial" w:eastAsia="Arial" w:hAnsi="Arial"/>
                <w:sz w:val="16"/>
                <w:szCs w:val="16"/>
                <w:color w:val="auto"/>
              </w:rPr>
              <w:t>realized capital</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88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80" w:type="dxa"/>
            <w:vAlign w:val="bottom"/>
            <w:vMerge w:val="restart"/>
          </w:tcPr>
          <w:p>
            <w:pPr>
              <w:jc w:val="right"/>
              <w:ind w:right="119"/>
              <w:spacing w:after="0"/>
              <w:rPr>
                <w:sz w:val="20"/>
                <w:szCs w:val="20"/>
                <w:color w:val="auto"/>
              </w:rPr>
            </w:pPr>
            <w:r>
              <w:rPr>
                <w:rFonts w:ascii="Arial" w:cs="Arial" w:eastAsia="Arial" w:hAnsi="Arial"/>
                <w:sz w:val="16"/>
                <w:szCs w:val="16"/>
                <w:color w:val="auto"/>
              </w:rPr>
              <w:t>(232)</w:t>
            </w:r>
          </w:p>
        </w:tc>
        <w:tc>
          <w:tcPr>
            <w:tcW w:w="100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color w:val="auto"/>
              </w:rPr>
              <w:t>(232)</w:t>
            </w:r>
          </w:p>
        </w:tc>
        <w:tc>
          <w:tcPr>
            <w:tcW w:w="140" w:type="dxa"/>
            <w:vAlign w:val="bottom"/>
          </w:tcPr>
          <w:p>
            <w:pPr>
              <w:spacing w:after="0"/>
              <w:rPr>
                <w:sz w:val="14"/>
                <w:szCs w:val="14"/>
                <w:color w:val="auto"/>
              </w:rPr>
            </w:pPr>
          </w:p>
        </w:tc>
        <w:tc>
          <w:tcPr>
            <w:tcW w:w="102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1300" w:type="dxa"/>
            <w:vAlign w:val="bottom"/>
          </w:tcPr>
          <w:p>
            <w:pPr>
              <w:ind w:left="180"/>
              <w:spacing w:after="0"/>
              <w:rPr>
                <w:sz w:val="20"/>
                <w:szCs w:val="20"/>
                <w:color w:val="auto"/>
              </w:rPr>
            </w:pPr>
            <w:r>
              <w:rPr>
                <w:rFonts w:ascii="Arial" w:cs="Arial" w:eastAsia="Arial" w:hAnsi="Arial"/>
                <w:sz w:val="16"/>
                <w:szCs w:val="16"/>
                <w:color w:val="auto"/>
              </w:rPr>
              <w:t>gain</w:t>
            </w:r>
          </w:p>
        </w:tc>
        <w:tc>
          <w:tcPr>
            <w:tcW w:w="9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3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Amortization of</w:t>
            </w:r>
          </w:p>
        </w:tc>
        <w:tc>
          <w:tcPr>
            <w:tcW w:w="9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interest rate</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(482)</w:t>
            </w:r>
          </w:p>
        </w:tc>
        <w:tc>
          <w:tcPr>
            <w:tcW w:w="10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(482)</w:t>
            </w: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1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hedge</w:t>
            </w:r>
          </w:p>
        </w:tc>
        <w:tc>
          <w:tcPr>
            <w:tcW w:w="92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00" w:type="dxa"/>
            <w:vAlign w:val="bottom"/>
          </w:tcPr>
          <w:p>
            <w:pPr>
              <w:ind w:left="20"/>
              <w:spacing w:after="0"/>
              <w:rPr>
                <w:sz w:val="20"/>
                <w:szCs w:val="20"/>
                <w:color w:val="auto"/>
              </w:rPr>
            </w:pPr>
            <w:r>
              <w:rPr>
                <w:rFonts w:ascii="Arial" w:cs="Arial" w:eastAsia="Arial" w:hAnsi="Arial"/>
                <w:sz w:val="16"/>
                <w:szCs w:val="16"/>
                <w:color w:val="auto"/>
              </w:rPr>
              <w:t>Loss on interest</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300" w:type="dxa"/>
            <w:vAlign w:val="bottom"/>
          </w:tcPr>
          <w:p>
            <w:pPr>
              <w:ind w:left="20"/>
              <w:spacing w:after="0"/>
              <w:rPr>
                <w:sz w:val="20"/>
                <w:szCs w:val="20"/>
                <w:color w:val="auto"/>
              </w:rPr>
            </w:pPr>
            <w:r>
              <w:rPr>
                <w:rFonts w:ascii="Arial" w:cs="Arial" w:eastAsia="Arial" w:hAnsi="Arial"/>
                <w:sz w:val="16"/>
                <w:szCs w:val="16"/>
                <w:color w:val="auto"/>
              </w:rPr>
              <w:t>rate hedge</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(760)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(760)</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w:t>
            </w:r>
          </w:p>
        </w:tc>
        <w:tc>
          <w:tcPr>
            <w:tcW w:w="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hedge</w:t>
            </w:r>
          </w:p>
        </w:tc>
        <w:tc>
          <w:tcPr>
            <w:tcW w:w="9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383</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383</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1300" w:type="dxa"/>
            <w:vAlign w:val="bottom"/>
          </w:tcPr>
          <w:p>
            <w:pPr>
              <w:ind w:left="20"/>
              <w:spacing w:after="0"/>
              <w:rPr>
                <w:sz w:val="20"/>
                <w:szCs w:val="20"/>
                <w:color w:val="auto"/>
              </w:rPr>
            </w:pPr>
            <w:r>
              <w:rPr>
                <w:rFonts w:ascii="Arial" w:cs="Arial" w:eastAsia="Arial" w:hAnsi="Arial"/>
                <w:sz w:val="16"/>
                <w:szCs w:val="16"/>
                <w:color w:val="auto"/>
              </w:rPr>
              <w:t>Total</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rPr>
                <w:sz w:val="20"/>
                <w:szCs w:val="20"/>
                <w:color w:val="auto"/>
              </w:rPr>
            </w:pPr>
            <w:r>
              <w:rPr>
                <w:rFonts w:ascii="Arial" w:cs="Arial" w:eastAsia="Arial" w:hAnsi="Arial"/>
                <w:sz w:val="16"/>
                <w:szCs w:val="16"/>
                <w:color w:val="auto"/>
              </w:rPr>
              <w:t>comprehensive</w:t>
            </w: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(13,921)</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139,456</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125,535</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56"/>
        </w:trPr>
        <w:tc>
          <w:tcPr>
            <w:tcW w:w="1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300" w:type="dxa"/>
            <w:vAlign w:val="bottom"/>
          </w:tcPr>
          <w:p>
            <w:pPr>
              <w:ind w:left="20"/>
              <w:spacing w:after="0"/>
              <w:rPr>
                <w:sz w:val="20"/>
                <w:szCs w:val="20"/>
                <w:color w:val="auto"/>
              </w:rPr>
            </w:pPr>
            <w:r>
              <w:rPr>
                <w:rFonts w:ascii="Arial" w:cs="Arial" w:eastAsia="Arial" w:hAnsi="Arial"/>
                <w:sz w:val="16"/>
                <w:szCs w:val="16"/>
                <w:color w:val="auto"/>
              </w:rPr>
              <w:t>Exercise of share</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300" w:type="dxa"/>
            <w:vAlign w:val="bottom"/>
          </w:tcPr>
          <w:p>
            <w:pPr>
              <w:ind w:left="20"/>
              <w:spacing w:after="0"/>
              <w:rPr>
                <w:sz w:val="20"/>
                <w:szCs w:val="20"/>
                <w:color w:val="auto"/>
              </w:rPr>
            </w:pPr>
            <w:r>
              <w:rPr>
                <w:rFonts w:ascii="Arial" w:cs="Arial" w:eastAsia="Arial" w:hAnsi="Arial"/>
                <w:sz w:val="16"/>
                <w:szCs w:val="16"/>
                <w:color w:val="auto"/>
              </w:rPr>
              <w:t>options</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40,199</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1,445</w:t>
            </w:r>
          </w:p>
        </w:tc>
        <w:tc>
          <w:tcPr>
            <w:tcW w:w="380" w:type="dxa"/>
            <w:vAlign w:val="bottom"/>
          </w:tcPr>
          <w:p>
            <w:pPr>
              <w:spacing w:after="0"/>
              <w:rPr>
                <w:sz w:val="17"/>
                <w:szCs w:val="17"/>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1,448</w:t>
            </w:r>
          </w:p>
        </w:tc>
        <w:tc>
          <w:tcPr>
            <w:tcW w:w="140" w:type="dxa"/>
            <w:vAlign w:val="bottom"/>
          </w:tcPr>
          <w:p>
            <w:pPr>
              <w:spacing w:after="0"/>
              <w:rPr>
                <w:sz w:val="17"/>
                <w:szCs w:val="17"/>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Issue of</w:t>
            </w:r>
          </w:p>
        </w:tc>
        <w:tc>
          <w:tcPr>
            <w:tcW w:w="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share</w:t>
            </w:r>
          </w:p>
        </w:tc>
        <w:tc>
          <w:tcPr>
            <w:tcW w:w="9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units</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201,880</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1300" w:type="dxa"/>
            <w:vAlign w:val="bottom"/>
          </w:tcPr>
          <w:p>
            <w:pPr>
              <w:ind w:left="20"/>
              <w:spacing w:after="0"/>
              <w:rPr>
                <w:sz w:val="20"/>
                <w:szCs w:val="20"/>
                <w:color w:val="auto"/>
              </w:rPr>
            </w:pPr>
            <w:r>
              <w:rPr>
                <w:rFonts w:ascii="Arial" w:cs="Arial" w:eastAsia="Arial" w:hAnsi="Arial"/>
                <w:sz w:val="16"/>
                <w:szCs w:val="16"/>
                <w:color w:val="auto"/>
              </w:rPr>
              <w:t>Non-cash stock</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00" w:type="dxa"/>
            <w:vAlign w:val="bottom"/>
          </w:tcPr>
          <w:p>
            <w:pPr>
              <w:ind w:left="20"/>
              <w:spacing w:after="0"/>
              <w:rPr>
                <w:sz w:val="20"/>
                <w:szCs w:val="20"/>
                <w:color w:val="auto"/>
              </w:rPr>
            </w:pPr>
            <w:r>
              <w:rPr>
                <w:rFonts w:ascii="Arial" w:cs="Arial" w:eastAsia="Arial" w:hAnsi="Arial"/>
                <w:sz w:val="16"/>
                <w:szCs w:val="16"/>
                <w:color w:val="auto"/>
              </w:rPr>
              <w:t>expense</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13,100</w:t>
            </w:r>
          </w:p>
        </w:tc>
        <w:tc>
          <w:tcPr>
            <w:tcW w:w="380" w:type="dxa"/>
            <w:vAlign w:val="bottom"/>
          </w:tcPr>
          <w:p>
            <w:pPr>
              <w:spacing w:after="0"/>
              <w:rPr>
                <w:sz w:val="17"/>
                <w:szCs w:val="17"/>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13,100</w:t>
            </w:r>
          </w:p>
        </w:tc>
        <w:tc>
          <w:tcPr>
            <w:tcW w:w="140" w:type="dxa"/>
            <w:vAlign w:val="bottom"/>
          </w:tcPr>
          <w:p>
            <w:pPr>
              <w:spacing w:after="0"/>
              <w:rPr>
                <w:sz w:val="17"/>
                <w:szCs w:val="17"/>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issuance</w:t>
            </w:r>
          </w:p>
        </w:tc>
        <w:tc>
          <w:tcPr>
            <w:tcW w:w="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1300" w:type="dxa"/>
            <w:vAlign w:val="bottom"/>
          </w:tcPr>
          <w:p>
            <w:pPr>
              <w:ind w:left="20"/>
              <w:spacing w:after="0"/>
              <w:rPr>
                <w:sz w:val="20"/>
                <w:szCs w:val="20"/>
                <w:color w:val="auto"/>
              </w:rPr>
            </w:pPr>
            <w:r>
              <w:rPr>
                <w:rFonts w:ascii="Arial" w:cs="Arial" w:eastAsia="Arial" w:hAnsi="Arial"/>
                <w:sz w:val="16"/>
                <w:szCs w:val="16"/>
                <w:color w:val="auto"/>
              </w:rPr>
              <w:t>Share</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rPr>
                <w:sz w:val="20"/>
                <w:szCs w:val="20"/>
                <w:color w:val="auto"/>
              </w:rPr>
            </w:pPr>
            <w:r>
              <w:rPr>
                <w:rFonts w:ascii="Arial" w:cs="Arial" w:eastAsia="Arial" w:hAnsi="Arial"/>
                <w:sz w:val="16"/>
                <w:szCs w:val="16"/>
                <w:color w:val="auto"/>
              </w:rPr>
              <w:t>repurchase</w:t>
            </w: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00" w:type="dxa"/>
            <w:vAlign w:val="bottom"/>
          </w:tcPr>
          <w:p>
            <w:pPr>
              <w:ind w:left="20"/>
              <w:spacing w:after="0"/>
              <w:rPr>
                <w:sz w:val="20"/>
                <w:szCs w:val="20"/>
                <w:color w:val="auto"/>
              </w:rPr>
            </w:pPr>
            <w:r>
              <w:rPr>
                <w:rFonts w:ascii="Arial" w:cs="Arial" w:eastAsia="Arial" w:hAnsi="Arial"/>
                <w:sz w:val="16"/>
                <w:szCs w:val="16"/>
                <w:color w:val="auto"/>
              </w:rPr>
              <w:t>program</w:t>
            </w:r>
          </w:p>
        </w:tc>
        <w:tc>
          <w:tcPr>
            <w:tcW w:w="920" w:type="dxa"/>
            <w:vAlign w:val="bottom"/>
          </w:tcPr>
          <w:p>
            <w:pPr>
              <w:ind w:left="40"/>
              <w:spacing w:after="0"/>
              <w:rPr>
                <w:sz w:val="20"/>
                <w:szCs w:val="20"/>
                <w:color w:val="auto"/>
              </w:rPr>
            </w:pPr>
            <w:r>
              <w:rPr>
                <w:rFonts w:ascii="Arial" w:cs="Arial" w:eastAsia="Arial" w:hAnsi="Arial"/>
                <w:sz w:val="16"/>
                <w:szCs w:val="16"/>
                <w:color w:val="auto"/>
              </w:rPr>
              <w:t>(1,235,218)</w:t>
            </w:r>
          </w:p>
        </w:tc>
        <w:tc>
          <w:tcPr>
            <w:tcW w:w="740" w:type="dxa"/>
            <w:vAlign w:val="bottom"/>
          </w:tcPr>
          <w:p>
            <w:pPr>
              <w:jc w:val="right"/>
              <w:spacing w:after="0"/>
              <w:rPr>
                <w:sz w:val="20"/>
                <w:szCs w:val="20"/>
                <w:color w:val="auto"/>
              </w:rPr>
            </w:pPr>
            <w:r>
              <w:rPr>
                <w:rFonts w:ascii="Arial" w:cs="Arial" w:eastAsia="Arial" w:hAnsi="Arial"/>
                <w:sz w:val="16"/>
                <w:szCs w:val="16"/>
                <w:color w:val="auto"/>
              </w:rPr>
              <w:t>(82)</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82</w:t>
            </w:r>
          </w:p>
        </w:tc>
        <w:tc>
          <w:tcPr>
            <w:tcW w:w="160" w:type="dxa"/>
            <w:vAlign w:val="bottom"/>
          </w:tcPr>
          <w:p>
            <w:pPr>
              <w:spacing w:after="0"/>
              <w:rPr>
                <w:sz w:val="17"/>
                <w:szCs w:val="17"/>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(175,000)</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(175,000)</w:t>
            </w:r>
          </w:p>
        </w:tc>
        <w:tc>
          <w:tcPr>
            <w:tcW w:w="140" w:type="dxa"/>
            <w:vAlign w:val="bottom"/>
          </w:tcPr>
          <w:p>
            <w:pPr>
              <w:spacing w:after="0"/>
              <w:rPr>
                <w:sz w:val="17"/>
                <w:szCs w:val="17"/>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9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repurchase</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1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costs</w:t>
            </w:r>
          </w:p>
        </w:tc>
        <w:tc>
          <w:tcPr>
            <w:tcW w:w="92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00" w:type="dxa"/>
            <w:vAlign w:val="bottom"/>
          </w:tcPr>
          <w:p>
            <w:pPr>
              <w:ind w:left="20"/>
              <w:spacing w:after="0"/>
              <w:rPr>
                <w:sz w:val="20"/>
                <w:szCs w:val="20"/>
                <w:color w:val="auto"/>
              </w:rPr>
            </w:pPr>
            <w:r>
              <w:rPr>
                <w:rFonts w:ascii="Arial" w:cs="Arial" w:eastAsia="Arial" w:hAnsi="Arial"/>
                <w:sz w:val="16"/>
                <w:szCs w:val="16"/>
                <w:color w:val="auto"/>
              </w:rPr>
              <w:t>Noncontrolling</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rPr>
                <w:sz w:val="20"/>
                <w:szCs w:val="20"/>
                <w:color w:val="auto"/>
              </w:rPr>
            </w:pPr>
            <w:r>
              <w:rPr>
                <w:rFonts w:ascii="Arial" w:cs="Arial" w:eastAsia="Arial" w:hAnsi="Arial"/>
                <w:sz w:val="16"/>
                <w:szCs w:val="16"/>
                <w:color w:val="auto"/>
              </w:rPr>
              <w:t>interest</w:t>
            </w: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rPr>
                <w:sz w:val="20"/>
                <w:szCs w:val="20"/>
                <w:color w:val="auto"/>
              </w:rPr>
            </w:pPr>
            <w:r>
              <w:rPr>
                <w:rFonts w:ascii="Arial" w:cs="Arial" w:eastAsia="Arial" w:hAnsi="Arial"/>
                <w:sz w:val="16"/>
                <w:szCs w:val="16"/>
                <w:color w:val="auto"/>
              </w:rPr>
              <w:t>adjustment to</w:t>
            </w: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rPr>
                <w:sz w:val="20"/>
                <w:szCs w:val="20"/>
                <w:color w:val="auto"/>
              </w:rPr>
            </w:pPr>
            <w:r>
              <w:rPr>
                <w:rFonts w:ascii="Arial" w:cs="Arial" w:eastAsia="Arial" w:hAnsi="Arial"/>
                <w:sz w:val="16"/>
                <w:szCs w:val="16"/>
                <w:color w:val="auto"/>
              </w:rPr>
              <w:t>redemption</w:t>
            </w: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00" w:type="dxa"/>
            <w:vAlign w:val="bottom"/>
          </w:tcPr>
          <w:p>
            <w:pPr>
              <w:ind w:left="20"/>
              <w:spacing w:after="0"/>
              <w:rPr>
                <w:sz w:val="20"/>
                <w:szCs w:val="20"/>
                <w:color w:val="auto"/>
              </w:rPr>
            </w:pPr>
            <w:r>
              <w:rPr>
                <w:rFonts w:ascii="Arial" w:cs="Arial" w:eastAsia="Arial" w:hAnsi="Arial"/>
                <w:sz w:val="16"/>
                <w:szCs w:val="16"/>
                <w:color w:val="auto"/>
              </w:rPr>
              <w:t>amount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(4,522)</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(4,522)</w:t>
            </w:r>
          </w:p>
        </w:tc>
        <w:tc>
          <w:tcPr>
            <w:tcW w:w="140" w:type="dxa"/>
            <w:vAlign w:val="bottom"/>
          </w:tcPr>
          <w:p>
            <w:pPr>
              <w:spacing w:after="0"/>
              <w:rPr>
                <w:sz w:val="17"/>
                <w:szCs w:val="17"/>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4,522</w:t>
            </w:r>
          </w:p>
        </w:tc>
        <w:tc>
          <w:tcPr>
            <w:tcW w:w="0" w:type="dxa"/>
            <w:vAlign w:val="bottom"/>
          </w:tcPr>
          <w:p>
            <w:pPr>
              <w:spacing w:after="0"/>
              <w:rPr>
                <w:sz w:val="1"/>
                <w:szCs w:val="1"/>
                <w:color w:val="auto"/>
              </w:rPr>
            </w:pPr>
          </w:p>
        </w:tc>
      </w:tr>
      <w:tr>
        <w:trPr>
          <w:trHeight w:val="228"/>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call</w:t>
            </w:r>
          </w:p>
        </w:tc>
        <w:tc>
          <w:tcPr>
            <w:tcW w:w="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 on</w:t>
            </w:r>
          </w:p>
        </w:tc>
        <w:tc>
          <w:tcPr>
            <w:tcW w:w="9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w:t>
            </w:r>
          </w:p>
        </w:tc>
        <w:tc>
          <w:tcPr>
            <w:tcW w:w="9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shares</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(44,665)</w:t>
            </w:r>
          </w:p>
        </w:tc>
        <w:tc>
          <w:tcPr>
            <w:tcW w:w="0" w:type="dxa"/>
            <w:vAlign w:val="bottom"/>
          </w:tcPr>
          <w:p>
            <w:pPr>
              <w:spacing w:after="0"/>
              <w:rPr>
                <w:sz w:val="1"/>
                <w:szCs w:val="1"/>
                <w:color w:val="auto"/>
              </w:rPr>
            </w:pPr>
          </w:p>
        </w:tc>
      </w:tr>
      <w:tr>
        <w:trPr>
          <w:trHeight w:val="263"/>
        </w:trPr>
        <w:tc>
          <w:tcPr>
            <w:tcW w:w="1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30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Balance at</w:t>
            </w:r>
          </w:p>
        </w:tc>
        <w:tc>
          <w:tcPr>
            <w:tcW w:w="9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June 30, 2020</w:t>
            </w:r>
          </w:p>
        </w:tc>
        <w:tc>
          <w:tcPr>
            <w:tcW w:w="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52,629,067</w:t>
            </w: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$ 4,569</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$ 592,500</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(89,740)</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99"/>
              </w:rPr>
              <w:t>$ 1,070,020</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$ 1,578,483</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0139"/>
          </w:cols>
          <w:pgMar w:left="320" w:top="89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91" w:right="1440" w:bottom="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CONDENSED CONSOLIDATED FINANCIAL STATEMENTS</w:t>
      </w:r>
    </w:p>
    <w:p>
      <w:pPr>
        <w:spacing w:after="0" w:line="5"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June 30, 2020</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Basis of presentation</w:t>
      </w:r>
    </w:p>
    <w:p>
      <w:pPr>
        <w:spacing w:after="0" w:line="268" w:lineRule="exact"/>
        <w:rPr>
          <w:sz w:val="20"/>
          <w:szCs w:val="20"/>
          <w:color w:val="auto"/>
        </w:rPr>
      </w:pPr>
    </w:p>
    <w:p>
      <w:pPr>
        <w:jc w:val="both"/>
        <w:ind w:firstLine="519"/>
        <w:spacing w:after="0" w:line="250" w:lineRule="auto"/>
        <w:rPr>
          <w:sz w:val="20"/>
          <w:szCs w:val="20"/>
          <w:color w:val="auto"/>
        </w:rPr>
      </w:pPr>
      <w:r>
        <w:rPr>
          <w:rFonts w:ascii="Arial" w:cs="Arial" w:eastAsia="Arial" w:hAnsi="Arial"/>
          <w:sz w:val="16"/>
          <w:szCs w:val="16"/>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30" w:lineRule="exact"/>
        <w:rPr>
          <w:sz w:val="20"/>
          <w:szCs w:val="20"/>
          <w:color w:val="auto"/>
        </w:rPr>
      </w:pPr>
    </w:p>
    <w:p>
      <w:pPr>
        <w:jc w:val="both"/>
        <w:ind w:firstLine="461"/>
        <w:spacing w:after="0" w:line="251" w:lineRule="auto"/>
        <w:rPr>
          <w:sz w:val="20"/>
          <w:szCs w:val="20"/>
          <w:color w:val="auto"/>
        </w:rPr>
      </w:pPr>
      <w:r>
        <w:rPr>
          <w:rFonts w:ascii="Arial" w:cs="Arial" w:eastAsia="Arial" w:hAnsi="Arial"/>
          <w:sz w:val="16"/>
          <w:szCs w:val="16"/>
          <w:color w:val="auto"/>
        </w:rPr>
        <w:t xml:space="preserve">The condensed consolidated financial statements should be read in conjunction with the accounting policies and notes to the consolidated financial statements included in ICON’s Form 20-F for the year ended December 31, 2019 (see </w:t>
      </w:r>
      <w:r>
        <w:rPr>
          <w:rFonts w:ascii="Arial" w:cs="Arial" w:eastAsia="Arial" w:hAnsi="Arial"/>
          <w:sz w:val="16"/>
          <w:szCs w:val="16"/>
          <w:i w:val="1"/>
          <w:iCs w:val="1"/>
          <w:color w:val="auto"/>
        </w:rPr>
        <w:t>note 2 - Significant accounting policies</w:t>
      </w:r>
      <w:r>
        <w:rPr>
          <w:rFonts w:ascii="Arial" w:cs="Arial" w:eastAsia="Arial" w:hAnsi="Arial"/>
          <w:sz w:val="16"/>
          <w:szCs w:val="16"/>
          <w:color w:val="auto"/>
        </w:rPr>
        <w:t xml:space="preserve"> for impact of adoption of any new accounting standards). Operating results for the six months ended June 30, 2020 are not necessarily indicative of the results that may be expected for the fiscal period ending December 31, 2020.</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Significant accounting policies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Redeemable noncontrolling interests and equity</w:t>
      </w:r>
    </w:p>
    <w:p>
      <w:pPr>
        <w:spacing w:after="0" w:line="2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May 23, 2019, ICON acquired a majority ownership interest in MeDiNova. Included in the purchase agreement are put and call option arrangements with the noncontrolling interest holders that require (put option) or enable (call option) ICON to purchase the remaining minority ownership at a future date. The option is accounted for as temporary equity, which is presented separately as redeemable noncontrolling interest on the Consolidated Balance Sheet. This classification reflects the assessment that the instruments are contingently redeemable in accordance with ASC 480-10-S99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w:t>
      </w:r>
    </w:p>
    <w:p>
      <w:pPr>
        <w:spacing w:after="0" w:line="23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Redeemable noncontrolling interests are accreted to their redemption value over the period from the date of issuance to the first date on which the option is exercisable. The change in the option's redemption value is recorded against retained earnings. In a computation of earnings per share, the accretion of redeemable noncontrolling interests to their redemption value is a reduction of net income attributable to the Group. Basic and diluted net income per ordinary share attributable to the Group includes the adjustment to reflect the accretion of the noncontrolling interest to its redemption value.</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March 9, 2020 ICON exercised its option to call the outstanding shares in the noncontrolling interest to take 100% ownership of MeDiNova. On exercise of the call option, the noncontrolling interest is extinguished and a liability is recorded for the amount payable to the former noncontrolling interest holders. This liability was settled on July 17, 2020 for $43.9 million.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assets - credit losses</w:t>
      </w:r>
    </w:p>
    <w:p>
      <w:pPr>
        <w:spacing w:after="0" w:line="248"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6"/>
          <w:szCs w:val="16"/>
          <w:color w:val="auto"/>
        </w:rPr>
        <w:t xml:space="preserve">On January 1, 2020, the Group adopted ASU 2016-13 </w:t>
      </w:r>
      <w:r>
        <w:rPr>
          <w:rFonts w:ascii="Arial" w:cs="Arial" w:eastAsia="Arial" w:hAnsi="Arial"/>
          <w:sz w:val="16"/>
          <w:szCs w:val="16"/>
          <w:i w:val="1"/>
          <w:iCs w:val="1"/>
          <w:color w:val="auto"/>
        </w:rPr>
        <w:t>'Measurement of Credit Losses on Financial Instruments (ASC 326)'</w:t>
      </w:r>
      <w:r>
        <w:rPr>
          <w:rFonts w:ascii="Arial" w:cs="Arial" w:eastAsia="Arial" w:hAnsi="Arial"/>
          <w:sz w:val="16"/>
          <w:szCs w:val="16"/>
          <w:color w:val="auto"/>
        </w:rPr>
        <w:t>, which significantly changes the way entities recognize impairment of many financial assets by requiring immediate recognition of estimated credit losses expected to occur over their remaining life. The update provides guidance on the measurement of credit losses for most financial assets and certain other instruments that are not measured at fair value through net income. The amendment replaces the current incurred loss impairment approach with a methodology to reflect expected credit losses and requires consideration of a broader range of reasonable and supportable information to explain credit loss estimates.</w:t>
      </w:r>
    </w:p>
    <w:p>
      <w:pPr>
        <w:spacing w:after="0" w:line="227" w:lineRule="exact"/>
        <w:rPr>
          <w:sz w:val="20"/>
          <w:szCs w:val="20"/>
          <w:color w:val="auto"/>
        </w:rPr>
      </w:pPr>
    </w:p>
    <w:p>
      <w:pPr>
        <w:jc w:val="both"/>
        <w:ind w:firstLine="458"/>
        <w:spacing w:after="0" w:line="251" w:lineRule="auto"/>
        <w:rPr>
          <w:sz w:val="20"/>
          <w:szCs w:val="20"/>
          <w:color w:val="auto"/>
        </w:rPr>
      </w:pPr>
      <w:r>
        <w:rPr>
          <w:rFonts w:ascii="Arial" w:cs="Arial" w:eastAsia="Arial" w:hAnsi="Arial"/>
          <w:sz w:val="16"/>
          <w:szCs w:val="16"/>
          <w:color w:val="auto"/>
        </w:rPr>
        <w:t>The Group adopted ASC 326 using the modified retrospective method for all in scope financial assets. Results for reporting periods beginning after January 1, 2020 are presented under ASC 326 while prior period amounts continue to be reported in accordance with previously applicable GAAP. The impact of transitioning to the new standard at January 1, 2020 was immaterial and no adjustment was recorded to retained earnings for the cumulative effect of adopting ASC 326.</w:t>
      </w:r>
    </w:p>
    <w:p>
      <w:pPr>
        <w:spacing w:after="0" w:line="229" w:lineRule="exact"/>
        <w:rPr>
          <w:sz w:val="20"/>
          <w:szCs w:val="20"/>
          <w:color w:val="auto"/>
        </w:rPr>
      </w:pPr>
    </w:p>
    <w:p>
      <w:pPr>
        <w:jc w:val="both"/>
        <w:ind w:firstLine="388"/>
        <w:spacing w:after="0" w:line="249" w:lineRule="auto"/>
        <w:rPr>
          <w:sz w:val="20"/>
          <w:szCs w:val="20"/>
          <w:color w:val="auto"/>
        </w:rPr>
      </w:pPr>
      <w:r>
        <w:rPr>
          <w:rFonts w:ascii="Arial" w:cs="Arial" w:eastAsia="Arial" w:hAnsi="Arial"/>
          <w:sz w:val="16"/>
          <w:szCs w:val="16"/>
          <w:color w:val="auto"/>
        </w:rPr>
        <w:t>On transition to ASC 326, the Group has revised the methodology to calculate the allowance for credit losses. The Group's estimate of expected credit losses considers historical credit loss information that is adjusted, where necessary, for current conditions and reasonable and supportable forecasts. Historical credit loss experience provides the basis for the estimation of expected credit losses. The Group's receivables and unbilled services are predominantly due from large and mid-tier pharmaceutical and biotechnology companies that share similar risk characteristics. The Group monitors their portfolio of receivables and unbilled services for any deterioration in current or expected credit quality (for example, expected delinquency level), and adjusts the allowance for credit losses as required.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ind w:firstLine="531"/>
        <w:spacing w:after="0" w:line="260" w:lineRule="auto"/>
        <w:rPr>
          <w:sz w:val="20"/>
          <w:szCs w:val="20"/>
          <w:color w:val="auto"/>
        </w:rPr>
      </w:pPr>
      <w:r>
        <w:rPr>
          <w:rFonts w:ascii="Arial" w:cs="Arial" w:eastAsia="Arial" w:hAnsi="Arial"/>
          <w:sz w:val="16"/>
          <w:szCs w:val="16"/>
          <w:color w:val="auto"/>
        </w:rPr>
        <w:t>Changes in the allowance for credit losses are recorded as a provision for (or reversal of) credit loss expense in the Consolidated Statement of Operations. Losses are charged against the allowance when management believes the uncollectibility of a previously provisioned amount is confirmed.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Leases</w:t>
      </w:r>
    </w:p>
    <w:p>
      <w:pPr>
        <w:spacing w:after="0" w:line="248" w:lineRule="exact"/>
        <w:rPr>
          <w:sz w:val="20"/>
          <w:szCs w:val="20"/>
          <w:color w:val="auto"/>
        </w:rPr>
      </w:pPr>
    </w:p>
    <w:p>
      <w:pPr>
        <w:jc w:val="both"/>
        <w:ind w:firstLine="600"/>
        <w:spacing w:after="0" w:line="258" w:lineRule="auto"/>
        <w:rPr>
          <w:sz w:val="20"/>
          <w:szCs w:val="20"/>
          <w:color w:val="auto"/>
        </w:rPr>
      </w:pPr>
      <w:r>
        <w:rPr>
          <w:rFonts w:ascii="Arial" w:cs="Arial" w:eastAsia="Arial" w:hAnsi="Arial"/>
          <w:sz w:val="16"/>
          <w:szCs w:val="16"/>
          <w:color w:val="auto"/>
        </w:rPr>
        <w:t xml:space="preserve">The new leasing standard (ASC 842 </w:t>
      </w:r>
      <w:r>
        <w:rPr>
          <w:rFonts w:ascii="Arial" w:cs="Arial" w:eastAsia="Arial" w:hAnsi="Arial"/>
          <w:sz w:val="16"/>
          <w:szCs w:val="16"/>
          <w:i w:val="1"/>
          <w:iCs w:val="1"/>
          <w:color w:val="auto"/>
        </w:rPr>
        <w:t>'Leases'</w:t>
      </w:r>
      <w:r>
        <w:rPr>
          <w:rFonts w:ascii="Arial" w:cs="Arial" w:eastAsia="Arial" w:hAnsi="Arial"/>
          <w:sz w:val="16"/>
          <w:szCs w:val="16"/>
          <w:color w:val="auto"/>
        </w:rPr>
        <w:t>) was effective and adopted by ICON from January 1, 2019.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supersedes the requirements in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requires that lessees recognize rights and obligations from virtually all leases (other than leases that meet the definition of a short-term lease) on their balance sheets as right-of-use assets with corresponding lease liabilities. The ASU also provides additional guidance on how to classify leases and how to determine the lease term for accounting purposes.</w:t>
      </w:r>
    </w:p>
    <w:p>
      <w:pPr>
        <w:spacing w:after="0" w:line="224" w:lineRule="exact"/>
        <w:rPr>
          <w:sz w:val="20"/>
          <w:szCs w:val="20"/>
          <w:color w:val="auto"/>
        </w:rPr>
      </w:pPr>
    </w:p>
    <w:p>
      <w:pPr>
        <w:jc w:val="both"/>
        <w:ind w:right="20" w:firstLine="490"/>
        <w:spacing w:after="0" w:line="253" w:lineRule="auto"/>
        <w:rPr>
          <w:sz w:val="20"/>
          <w:szCs w:val="20"/>
          <w:color w:val="auto"/>
        </w:rPr>
      </w:pPr>
      <w:r>
        <w:rPr>
          <w:rFonts w:ascii="Arial" w:cs="Arial" w:eastAsia="Arial" w:hAnsi="Arial"/>
          <w:sz w:val="16"/>
          <w:szCs w:val="16"/>
          <w:color w:val="auto"/>
        </w:rPr>
        <w:t>ICON adopted the new standard under the cumulative effect adjustment approach. Under this transition method, the new standard is applied from January 1, 2019 without restatement of comparative period amounts. Operating lease liabilities and right-of-use assets of $106.5 million were recorded on the Condensed Consolidated Balance Sheet as at January 1, 2019.</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There was no impact of adopting ASC 842 on opening retained earnings at January 1, 2019.</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Revenue disaggregated by customer profile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520" w:type="dxa"/>
            <w:vAlign w:val="bottom"/>
            <w:tcBorders>
              <w:bottom w:val="single" w:sz="8" w:color="auto"/>
            </w:tcBorders>
            <w:gridSpan w:val="3"/>
            <w:shd w:val="clear" w:color="auto" w:fill="CCEEFF"/>
          </w:tcPr>
          <w:p>
            <w:pPr>
              <w:jc w:val="center"/>
              <w:ind w:right="39"/>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Borders>
              <w:bottom w:val="single" w:sz="8" w:color="auto"/>
            </w:tcBorders>
            <w:shd w:val="clear" w:color="auto" w:fill="CCEEFF"/>
          </w:tcPr>
          <w:p>
            <w:pPr>
              <w:spacing w:after="0"/>
              <w:rPr>
                <w:sz w:val="20"/>
                <w:szCs w:val="20"/>
                <w:color w:val="auto"/>
              </w:rPr>
            </w:pPr>
          </w:p>
        </w:tc>
        <w:tc>
          <w:tcPr>
            <w:tcW w:w="2460" w:type="dxa"/>
            <w:vAlign w:val="bottom"/>
            <w:tcBorders>
              <w:bottom w:val="single" w:sz="8" w:color="auto"/>
            </w:tcBorders>
            <w:gridSpan w:val="3"/>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Six Months Ended</w:t>
            </w:r>
          </w:p>
        </w:tc>
      </w:tr>
      <w:tr>
        <w:trPr>
          <w:trHeight w:val="234"/>
        </w:trPr>
        <w:tc>
          <w:tcPr>
            <w:tcW w:w="5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2019</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2019</w:t>
            </w:r>
          </w:p>
        </w:tc>
      </w:tr>
      <w:tr>
        <w:trPr>
          <w:trHeight w:val="243"/>
        </w:trPr>
        <w:tc>
          <w:tcPr>
            <w:tcW w:w="5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520" w:type="dxa"/>
            <w:vAlign w:val="bottom"/>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(in thousands)</w:t>
            </w:r>
          </w:p>
        </w:tc>
        <w:tc>
          <w:tcPr>
            <w:tcW w:w="260" w:type="dxa"/>
            <w:vAlign w:val="bottom"/>
            <w:shd w:val="clear" w:color="auto" w:fill="CCEEFF"/>
          </w:tcPr>
          <w:p>
            <w:pPr>
              <w:spacing w:after="0"/>
              <w:rPr>
                <w:sz w:val="21"/>
                <w:szCs w:val="21"/>
                <w:color w:val="auto"/>
              </w:rPr>
            </w:pPr>
          </w:p>
        </w:tc>
        <w:tc>
          <w:tcPr>
            <w:tcW w:w="2460" w:type="dxa"/>
            <w:vAlign w:val="bottom"/>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5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Top client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74,932</w:t>
            </w:r>
          </w:p>
        </w:tc>
        <w:tc>
          <w:tcPr>
            <w:tcW w:w="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89,565</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156,199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189,559</w:t>
            </w:r>
          </w:p>
        </w:tc>
      </w:tr>
      <w:tr>
        <w:trPr>
          <w:trHeight w:val="233"/>
        </w:trPr>
        <w:tc>
          <w:tcPr>
            <w:tcW w:w="5820" w:type="dxa"/>
            <w:vAlign w:val="bottom"/>
          </w:tcPr>
          <w:p>
            <w:pPr>
              <w:ind w:left="20"/>
              <w:spacing w:after="0"/>
              <w:rPr>
                <w:sz w:val="20"/>
                <w:szCs w:val="20"/>
                <w:color w:val="auto"/>
              </w:rPr>
            </w:pPr>
            <w:r>
              <w:rPr>
                <w:rFonts w:ascii="Arial" w:cs="Arial" w:eastAsia="Arial" w:hAnsi="Arial"/>
                <w:sz w:val="16"/>
                <w:szCs w:val="16"/>
                <w:color w:val="auto"/>
              </w:rPr>
              <w:t>Clients 2-5</w:t>
            </w:r>
          </w:p>
        </w:tc>
        <w:tc>
          <w:tcPr>
            <w:tcW w:w="18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179,018</w:t>
            </w:r>
          </w:p>
        </w:tc>
        <w:tc>
          <w:tcPr>
            <w:tcW w:w="18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166,772</w:t>
            </w:r>
          </w:p>
        </w:tc>
        <w:tc>
          <w:tcPr>
            <w:tcW w:w="2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381,996</w:t>
            </w:r>
          </w:p>
        </w:tc>
        <w:tc>
          <w:tcPr>
            <w:tcW w:w="18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336,285</w:t>
            </w:r>
          </w:p>
        </w:tc>
      </w:tr>
      <w:tr>
        <w:trPr>
          <w:trHeight w:val="25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6-10</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86,449</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87,725</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160,800</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166,499</w:t>
            </w:r>
          </w:p>
        </w:tc>
      </w:tr>
      <w:tr>
        <w:trPr>
          <w:trHeight w:val="233"/>
        </w:trPr>
        <w:tc>
          <w:tcPr>
            <w:tcW w:w="5820" w:type="dxa"/>
            <w:vAlign w:val="bottom"/>
          </w:tcPr>
          <w:p>
            <w:pPr>
              <w:ind w:left="20"/>
              <w:spacing w:after="0"/>
              <w:rPr>
                <w:sz w:val="20"/>
                <w:szCs w:val="20"/>
                <w:color w:val="auto"/>
              </w:rPr>
            </w:pPr>
            <w:r>
              <w:rPr>
                <w:rFonts w:ascii="Arial" w:cs="Arial" w:eastAsia="Arial" w:hAnsi="Arial"/>
                <w:sz w:val="16"/>
                <w:szCs w:val="16"/>
                <w:color w:val="auto"/>
              </w:rPr>
              <w:t>Clients 11-25</w:t>
            </w:r>
          </w:p>
        </w:tc>
        <w:tc>
          <w:tcPr>
            <w:tcW w:w="18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101,417</w:t>
            </w:r>
          </w:p>
        </w:tc>
        <w:tc>
          <w:tcPr>
            <w:tcW w:w="18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139,086</w:t>
            </w:r>
          </w:p>
        </w:tc>
        <w:tc>
          <w:tcPr>
            <w:tcW w:w="2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231,501</w:t>
            </w:r>
          </w:p>
        </w:tc>
        <w:tc>
          <w:tcPr>
            <w:tcW w:w="18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274,748</w:t>
            </w:r>
          </w:p>
        </w:tc>
      </w:tr>
      <w:tr>
        <w:trPr>
          <w:trHeight w:val="260"/>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178,412</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211,989</w:t>
            </w:r>
          </w:p>
        </w:tc>
        <w:tc>
          <w:tcPr>
            <w:tcW w:w="2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404,834</w:t>
            </w: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402,898</w:t>
            </w:r>
          </w:p>
        </w:tc>
      </w:tr>
      <w:tr>
        <w:trPr>
          <w:trHeight w:val="256"/>
        </w:trPr>
        <w:tc>
          <w:tcPr>
            <w:tcW w:w="5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62"/>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620,228</w:t>
            </w: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695,137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1,335,330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1,369,989</w:t>
            </w:r>
          </w:p>
        </w:tc>
      </w:tr>
      <w:tr>
        <w:trPr>
          <w:trHeight w:val="20"/>
        </w:trPr>
        <w:tc>
          <w:tcPr>
            <w:tcW w:w="5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60" w:right="1540" w:hanging="352"/>
        <w:spacing w:after="0" w:line="496" w:lineRule="auto"/>
        <w:tabs>
          <w:tab w:leader="none" w:pos="189"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Accounts receivable, unbilled revenue (contract assets) and unearned revenue or payments on account (contract liabilities) </w:t>
      </w:r>
      <w:r>
        <w:rPr>
          <w:rFonts w:ascii="Arial" w:cs="Arial" w:eastAsia="Arial" w:hAnsi="Arial"/>
          <w:sz w:val="16"/>
          <w:szCs w:val="16"/>
          <w:color w:val="auto"/>
        </w:rPr>
        <w:t>Accounts receivables and unbilled revenue are as follows:</w:t>
      </w:r>
    </w:p>
    <w:tbl>
      <w:tblPr>
        <w:tblLayout w:type="fixed"/>
        <w:tblInd w:w="0" w:type="dxa"/>
        <w:tblCellMar>
          <w:top w:w="0" w:type="dxa"/>
          <w:left w:w="0" w:type="dxa"/>
          <w:bottom w:w="0" w:type="dxa"/>
          <w:right w:w="0" w:type="dxa"/>
        </w:tblCellMar>
      </w:tblPr>
      <w:tr>
        <w:trPr>
          <w:trHeight w:val="198"/>
        </w:trPr>
        <w:tc>
          <w:tcPr>
            <w:tcW w:w="596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596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r>
      <w:tr>
        <w:trPr>
          <w:trHeight w:val="233"/>
        </w:trPr>
        <w:tc>
          <w:tcPr>
            <w:tcW w:w="59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58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26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3"/>
        </w:trPr>
        <w:tc>
          <w:tcPr>
            <w:tcW w:w="5960" w:type="dxa"/>
            <w:vAlign w:val="bottom"/>
          </w:tcPr>
          <w:p>
            <w:pPr>
              <w:ind w:left="120"/>
              <w:spacing w:after="0"/>
              <w:rPr>
                <w:sz w:val="20"/>
                <w:szCs w:val="20"/>
                <w:color w:val="auto"/>
              </w:rPr>
            </w:pPr>
            <w:r>
              <w:rPr>
                <w:rFonts w:ascii="Arial" w:cs="Arial" w:eastAsia="Arial" w:hAnsi="Arial"/>
                <w:sz w:val="16"/>
                <w:szCs w:val="16"/>
                <w:color w:val="auto"/>
              </w:rPr>
              <w:t>Billed services (accounts receivable)</w:t>
            </w:r>
          </w:p>
        </w:tc>
        <w:tc>
          <w:tcPr>
            <w:tcW w:w="26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482,349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535,088</w:t>
            </w:r>
          </w:p>
        </w:tc>
      </w:tr>
      <w:tr>
        <w:trPr>
          <w:trHeight w:val="260"/>
        </w:trPr>
        <w:tc>
          <w:tcPr>
            <w:tcW w:w="59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Unbilled services (unbilled revenue)</w:t>
            </w:r>
          </w:p>
        </w:tc>
        <w:tc>
          <w:tcPr>
            <w:tcW w:w="26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410,397</w:t>
            </w: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422,769</w:t>
            </w:r>
          </w:p>
        </w:tc>
      </w:tr>
      <w:tr>
        <w:trPr>
          <w:trHeight w:val="233"/>
        </w:trPr>
        <w:tc>
          <w:tcPr>
            <w:tcW w:w="5960" w:type="dxa"/>
            <w:vAlign w:val="bottom"/>
          </w:tcPr>
          <w:p>
            <w:pPr>
              <w:ind w:left="120"/>
              <w:spacing w:after="0"/>
              <w:rPr>
                <w:sz w:val="20"/>
                <w:szCs w:val="20"/>
                <w:color w:val="auto"/>
              </w:rPr>
            </w:pPr>
            <w:r>
              <w:rPr>
                <w:rFonts w:ascii="Arial" w:cs="Arial" w:eastAsia="Arial" w:hAnsi="Arial"/>
                <w:sz w:val="16"/>
                <w:szCs w:val="16"/>
                <w:color w:val="auto"/>
              </w:rPr>
              <w:t>Accounts receivable and unbilled revenue</w:t>
            </w:r>
          </w:p>
        </w:tc>
        <w:tc>
          <w:tcPr>
            <w:tcW w:w="266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892,746</w:t>
            </w:r>
          </w:p>
        </w:tc>
        <w:tc>
          <w:tcPr>
            <w:tcW w:w="2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957,857</w:t>
            </w:r>
          </w:p>
        </w:tc>
      </w:tr>
      <w:tr>
        <w:trPr>
          <w:trHeight w:val="253"/>
        </w:trPr>
        <w:tc>
          <w:tcPr>
            <w:tcW w:w="5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Allowance for credit losses</w:t>
            </w:r>
          </w:p>
        </w:tc>
        <w:tc>
          <w:tcPr>
            <w:tcW w:w="26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(9,329)</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50"/>
        </w:trPr>
        <w:tc>
          <w:tcPr>
            <w:tcW w:w="59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Allowance for doubtful debts</w:t>
            </w:r>
          </w:p>
        </w:tc>
        <w:tc>
          <w:tcPr>
            <w:tcW w:w="26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(7,380)</w:t>
            </w:r>
          </w:p>
        </w:tc>
      </w:tr>
      <w:tr>
        <w:trPr>
          <w:trHeight w:val="257"/>
        </w:trPr>
        <w:tc>
          <w:tcPr>
            <w:tcW w:w="5960" w:type="dxa"/>
            <w:vAlign w:val="bottom"/>
            <w:shd w:val="clear" w:color="auto" w:fill="CCEEFF"/>
          </w:tcPr>
          <w:p>
            <w:pPr>
              <w:spacing w:after="0"/>
              <w:rPr>
                <w:sz w:val="22"/>
                <w:szCs w:val="22"/>
                <w:color w:val="auto"/>
              </w:rPr>
            </w:pPr>
          </w:p>
        </w:tc>
        <w:tc>
          <w:tcPr>
            <w:tcW w:w="26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36"/>
        </w:trPr>
        <w:tc>
          <w:tcPr>
            <w:tcW w:w="59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Accounts receivable and unbilled revenue, net</w:t>
            </w: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883,417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950,477</w:t>
            </w:r>
          </w:p>
        </w:tc>
      </w:tr>
      <w:tr>
        <w:trPr>
          <w:trHeight w:val="27"/>
        </w:trPr>
        <w:tc>
          <w:tcPr>
            <w:tcW w:w="59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6"/>
          <w:szCs w:val="16"/>
          <w:color w:val="auto"/>
        </w:rPr>
        <w:t>Unbilled services and unearned revenue or payments on account (contract assets and liabilities) were as follows: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4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8"/>
        </w:trPr>
        <w:tc>
          <w:tcPr>
            <w:tcW w:w="4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(in thousands, except percentages)</w:t>
            </w:r>
          </w:p>
        </w:tc>
        <w:tc>
          <w:tcPr>
            <w:tcW w:w="1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 Change</w:t>
            </w: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4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Unbilled services (unbilled revenue)</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410,397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422,769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(12,372)</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50"/>
        </w:trPr>
        <w:tc>
          <w:tcPr>
            <w:tcW w:w="4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Unearned revenue (payments on account)</w:t>
            </w:r>
          </w:p>
        </w:tc>
        <w:tc>
          <w:tcPr>
            <w:tcW w:w="1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(393,217)</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(366,988)</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(26,229)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7.1 %</w:t>
            </w:r>
          </w:p>
        </w:tc>
      </w:tr>
      <w:tr>
        <w:trPr>
          <w:trHeight w:val="257"/>
        </w:trPr>
        <w:tc>
          <w:tcPr>
            <w:tcW w:w="43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36"/>
        </w:trPr>
        <w:tc>
          <w:tcPr>
            <w:tcW w:w="43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Net balance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17,180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55,781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(38,601)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w:t>
            </w:r>
          </w:p>
        </w:tc>
      </w:tr>
      <w:tr>
        <w:trPr>
          <w:trHeight w:val="27"/>
        </w:trPr>
        <w:tc>
          <w:tcPr>
            <w:tcW w:w="4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16"/>
          <w:szCs w:val="16"/>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services and therefore contract assets rather than accounts receivables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230" w:lineRule="exact"/>
        <w:rPr>
          <w:sz w:val="20"/>
          <w:szCs w:val="20"/>
          <w:color w:val="auto"/>
        </w:rPr>
      </w:pPr>
    </w:p>
    <w:p>
      <w:pPr>
        <w:jc w:val="both"/>
        <w:ind w:firstLine="412"/>
        <w:spacing w:after="0" w:line="251" w:lineRule="auto"/>
        <w:rPr>
          <w:sz w:val="20"/>
          <w:szCs w:val="20"/>
          <w:color w:val="auto"/>
        </w:rPr>
      </w:pPr>
      <w:r>
        <w:rPr>
          <w:rFonts w:ascii="Arial" w:cs="Arial" w:eastAsia="Arial" w:hAnsi="Arial"/>
          <w:sz w:val="16"/>
          <w:szCs w:val="16"/>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to set-off between unbilled services (contract assets) and unearned revenue (contract liabilities), each are separately presented gross on the Consolidated Balance Sheet.</w:t>
      </w:r>
    </w:p>
    <w:p>
      <w:pPr>
        <w:spacing w:after="0" w:line="229" w:lineRule="exact"/>
        <w:rPr>
          <w:sz w:val="20"/>
          <w:szCs w:val="20"/>
          <w:color w:val="auto"/>
        </w:rPr>
      </w:pPr>
    </w:p>
    <w:p>
      <w:pPr>
        <w:jc w:val="both"/>
        <w:ind w:firstLine="418"/>
        <w:spacing w:after="0" w:line="249" w:lineRule="auto"/>
        <w:rPr>
          <w:sz w:val="20"/>
          <w:szCs w:val="20"/>
          <w:color w:val="auto"/>
        </w:rPr>
      </w:pPr>
      <w:r>
        <w:rPr>
          <w:rFonts w:ascii="Arial" w:cs="Arial" w:eastAsia="Arial" w:hAnsi="Arial"/>
          <w:sz w:val="16"/>
          <w:szCs w:val="16"/>
          <w:color w:val="auto"/>
        </w:rPr>
        <w:t>Unbilled services as at June 30, 2020 decreased by $12.4 million as compared to December 31, 2019. Unearned revenue increased by $26.2 million over the same period resulting in a decrease of $38.6 million in the net balance of unbilled services and unearned revenue or payments on account between December 31, 2019 and June 30, 2020. These fluctuations are primarily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recognized exceeds the amount billed to the customer.</w:t>
      </w:r>
    </w:p>
    <w:p>
      <w:pPr>
        <w:spacing w:after="0" w:line="232" w:lineRule="exact"/>
        <w:rPr>
          <w:sz w:val="20"/>
          <w:szCs w:val="20"/>
          <w:color w:val="auto"/>
        </w:rPr>
      </w:pPr>
    </w:p>
    <w:p>
      <w:pPr>
        <w:jc w:val="both"/>
        <w:ind w:right="20" w:firstLine="371"/>
        <w:spacing w:after="0" w:line="260" w:lineRule="auto"/>
        <w:rPr>
          <w:sz w:val="20"/>
          <w:szCs w:val="20"/>
          <w:color w:val="auto"/>
        </w:rPr>
      </w:pPr>
      <w:r>
        <w:rPr>
          <w:rFonts w:ascii="Arial" w:cs="Arial" w:eastAsia="Arial" w:hAnsi="Arial"/>
          <w:sz w:val="16"/>
          <w:szCs w:val="16"/>
          <w:color w:val="auto"/>
        </w:rPr>
        <w:t>The credit loss expense and allowance for credit losses recognized on the Group's receivables and unbilled services was de minimis for the six months ended June 30, 2020 and June 30, 2019.</w:t>
      </w:r>
    </w:p>
    <w:p>
      <w:pPr>
        <w:spacing w:after="0" w:line="22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6"/>
          <w:szCs w:val="16"/>
          <w:color w:val="auto"/>
        </w:rPr>
        <w:t>As of June 30, 2020 approximately $5.7 billion of revenue is expected to be recognized in the future in respect of unsatisfied performance obligations. The Company expects to recognize revenue on approximately 43% of the unsatisfied performance obligation over the next 12 months, with the remainder recognized thereafter over the duration of the customer contracts.</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Goodwill</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20" w:type="dxa"/>
            <w:vAlign w:val="bottom"/>
            <w:shd w:val="clear" w:color="auto" w:fill="CCEEFF"/>
          </w:tcPr>
          <w:p>
            <w:pPr>
              <w:spacing w:after="0"/>
              <w:rPr>
                <w:sz w:val="20"/>
                <w:szCs w:val="20"/>
                <w:color w:val="auto"/>
              </w:rPr>
            </w:pPr>
          </w:p>
        </w:tc>
        <w:tc>
          <w:tcPr>
            <w:tcW w:w="15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w:t>
            </w:r>
          </w:p>
        </w:tc>
      </w:tr>
      <w:tr>
        <w:trPr>
          <w:trHeight w:val="196"/>
        </w:trPr>
        <w:tc>
          <w:tcPr>
            <w:tcW w:w="8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8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43"/>
        </w:trPr>
        <w:tc>
          <w:tcPr>
            <w:tcW w:w="8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760" w:type="dxa"/>
            <w:vAlign w:val="bottom"/>
            <w:gridSpan w:val="3"/>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8220" w:type="dxa"/>
            <w:vAlign w:val="bottom"/>
          </w:tcPr>
          <w:p>
            <w:pPr>
              <w:ind w:left="20"/>
              <w:spacing w:after="0"/>
              <w:rPr>
                <w:sz w:val="20"/>
                <w:szCs w:val="20"/>
                <w:color w:val="auto"/>
              </w:rPr>
            </w:pPr>
            <w:r>
              <w:rPr>
                <w:rFonts w:ascii="Arial" w:cs="Arial" w:eastAsia="Arial" w:hAnsi="Arial"/>
                <w:sz w:val="16"/>
                <w:szCs w:val="16"/>
                <w:color w:val="auto"/>
              </w:rPr>
              <w:t>Opening balance</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883,170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756,260</w:t>
            </w:r>
          </w:p>
        </w:tc>
      </w:tr>
      <w:tr>
        <w:trPr>
          <w:trHeight w:val="25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period acquisitions (Note 6)</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27,304</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126,932</w:t>
            </w:r>
          </w:p>
        </w:tc>
      </w:tr>
      <w:tr>
        <w:trPr>
          <w:trHeight w:val="233"/>
        </w:trPr>
        <w:tc>
          <w:tcPr>
            <w:tcW w:w="8220" w:type="dxa"/>
            <w:vAlign w:val="bottom"/>
          </w:tcPr>
          <w:p>
            <w:pPr>
              <w:ind w:left="20"/>
              <w:spacing w:after="0"/>
              <w:rPr>
                <w:sz w:val="20"/>
                <w:szCs w:val="20"/>
                <w:color w:val="auto"/>
              </w:rPr>
            </w:pPr>
            <w:r>
              <w:rPr>
                <w:rFonts w:ascii="Arial" w:cs="Arial" w:eastAsia="Arial" w:hAnsi="Arial"/>
                <w:sz w:val="16"/>
                <w:szCs w:val="16"/>
                <w:color w:val="auto"/>
              </w:rPr>
              <w:t>Prior period acquisitions</w:t>
            </w:r>
          </w:p>
        </w:tc>
        <w:tc>
          <w:tcPr>
            <w:tcW w:w="240" w:type="dxa"/>
            <w:vAlign w:val="bottom"/>
          </w:tcPr>
          <w:p>
            <w:pPr>
              <w:spacing w:after="0"/>
              <w:rPr>
                <w:sz w:val="20"/>
                <w:szCs w:val="20"/>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123</w:t>
            </w:r>
          </w:p>
        </w:tc>
        <w:tc>
          <w:tcPr>
            <w:tcW w:w="28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60"/>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exchange movement</w:t>
            </w: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(9,352)</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r>
      <w:tr>
        <w:trPr>
          <w:trHeight w:val="243"/>
        </w:trPr>
        <w:tc>
          <w:tcPr>
            <w:tcW w:w="8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1"/>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Closing balance</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901,245</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883,170</w:t>
            </w:r>
          </w:p>
        </w:tc>
      </w:tr>
      <w:tr>
        <w:trPr>
          <w:trHeight w:val="20"/>
        </w:trPr>
        <w:tc>
          <w:tcPr>
            <w:tcW w:w="8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6. Business combinations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Acquisitions – MedPass Group ("MedPass")</w:t>
      </w:r>
    </w:p>
    <w:p>
      <w:pPr>
        <w:spacing w:after="0" w:line="26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6"/>
          <w:szCs w:val="16"/>
          <w:color w:val="auto"/>
        </w:rPr>
        <w:t>On January 22, 2020 a subsidiary of the Company, ICON Investments Limited acquired 100% of the equity share capital of the MedPass Group. MedPass is the leading European medical device CRO, regulatory and reimbursement consultancy, that specializes in medical device development and market access. The acquisition of MedPass further enhances ICON’s Medical Device and Diagnostic Research Services, through the addition of new regulatory and clinical capabilities in Europe. The integration of MedPass’s services brings noted expertise in complex class 3 medical devices, interventional cardiology and structural heart devices</w:t>
      </w:r>
      <w:r>
        <w:rPr>
          <w:rFonts w:ascii="Arial" w:cs="Arial" w:eastAsia="Arial" w:hAnsi="Arial"/>
          <w:sz w:val="17"/>
          <w:szCs w:val="17"/>
          <w:color w:val="auto"/>
        </w:rPr>
        <w:t>.</w:t>
      </w:r>
    </w:p>
    <w:p>
      <w:pPr>
        <w:spacing w:after="0" w:line="235" w:lineRule="exact"/>
        <w:rPr>
          <w:sz w:val="20"/>
          <w:szCs w:val="20"/>
          <w:color w:val="auto"/>
        </w:rPr>
      </w:pPr>
    </w:p>
    <w:p>
      <w:pPr>
        <w:ind w:right="200" w:firstLine="360"/>
        <w:spacing w:after="0" w:line="298" w:lineRule="auto"/>
        <w:rPr>
          <w:sz w:val="20"/>
          <w:szCs w:val="20"/>
          <w:color w:val="auto"/>
        </w:rPr>
      </w:pPr>
      <w:r>
        <w:rPr>
          <w:rFonts w:ascii="Arial" w:cs="Arial" w:eastAsia="Arial" w:hAnsi="Arial"/>
          <w:sz w:val="16"/>
          <w:szCs w:val="16"/>
          <w:color w:val="auto"/>
        </w:rPr>
        <w:t>The acquisition of MedPass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has made a provisional assessment of the fair value of assets acquired and liabilities assumed as at that date.</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18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January 22,</w:t>
            </w:r>
          </w:p>
        </w:tc>
      </w:tr>
      <w:tr>
        <w:trPr>
          <w:trHeight w:val="236"/>
        </w:trPr>
        <w:tc>
          <w:tcPr>
            <w:tcW w:w="61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43"/>
        </w:trPr>
        <w:tc>
          <w:tcPr>
            <w:tcW w:w="618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Cash &amp; cash equivalents</w:t>
            </w:r>
          </w:p>
        </w:tc>
        <w:tc>
          <w:tcPr>
            <w:tcW w:w="36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10,170</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6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Operating right of use assets</w:t>
            </w:r>
          </w:p>
        </w:tc>
        <w:tc>
          <w:tcPr>
            <w:tcW w:w="36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539</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w:t>
            </w:r>
          </w:p>
        </w:tc>
        <w:tc>
          <w:tcPr>
            <w:tcW w:w="36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27,304</w:t>
            </w: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Customer relationships **</w:t>
            </w:r>
          </w:p>
        </w:tc>
        <w:tc>
          <w:tcPr>
            <w:tcW w:w="36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11,725</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 **</w:t>
            </w:r>
          </w:p>
        </w:tc>
        <w:tc>
          <w:tcPr>
            <w:tcW w:w="36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2,883</w:t>
            </w: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36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3,033</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Prepayments and other current assets</w:t>
            </w:r>
          </w:p>
        </w:tc>
        <w:tc>
          <w:tcPr>
            <w:tcW w:w="36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158</w:t>
            </w: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6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(368)</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revenue</w:t>
            </w:r>
          </w:p>
        </w:tc>
        <w:tc>
          <w:tcPr>
            <w:tcW w:w="36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(989)</w:t>
            </w: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6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(2,315)</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lease liabilities</w:t>
            </w:r>
          </w:p>
        </w:tc>
        <w:tc>
          <w:tcPr>
            <w:tcW w:w="36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(219)</w:t>
            </w: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Non-current lease liabilities</w:t>
            </w:r>
          </w:p>
        </w:tc>
        <w:tc>
          <w:tcPr>
            <w:tcW w:w="36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(320)</w:t>
            </w:r>
          </w:p>
        </w:tc>
      </w:tr>
      <w:tr>
        <w:trPr>
          <w:trHeight w:val="260"/>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Non-current deferred tax liability</w:t>
            </w:r>
          </w:p>
        </w:tc>
        <w:tc>
          <w:tcPr>
            <w:tcW w:w="36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(4,090)</w:t>
            </w:r>
          </w:p>
        </w:tc>
      </w:tr>
      <w:tr>
        <w:trPr>
          <w:trHeight w:val="148"/>
        </w:trPr>
        <w:tc>
          <w:tcPr>
            <w:tcW w:w="61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50"/>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assets acquired</w:t>
            </w:r>
          </w:p>
        </w:tc>
        <w:tc>
          <w:tcPr>
            <w:tcW w:w="3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47,556</w:t>
            </w:r>
          </w:p>
        </w:tc>
      </w:tr>
      <w:tr>
        <w:trPr>
          <w:trHeight w:val="189"/>
        </w:trPr>
        <w:tc>
          <w:tcPr>
            <w:tcW w:w="61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4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outflows</w:t>
            </w:r>
          </w:p>
        </w:tc>
        <w:tc>
          <w:tcPr>
            <w:tcW w:w="3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46,992</w:t>
            </w: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Working capital adjustment payable</w:t>
            </w:r>
          </w:p>
        </w:tc>
        <w:tc>
          <w:tcPr>
            <w:tcW w:w="36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564</w:t>
            </w:r>
          </w:p>
        </w:tc>
      </w:tr>
      <w:tr>
        <w:trPr>
          <w:trHeight w:val="260"/>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Contingent consideration ***</w:t>
            </w:r>
          </w:p>
        </w:tc>
        <w:tc>
          <w:tcPr>
            <w:tcW w:w="36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618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consideration</w:t>
            </w:r>
          </w:p>
        </w:tc>
        <w:tc>
          <w:tcPr>
            <w:tcW w:w="3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47,556</w:t>
            </w:r>
          </w:p>
        </w:tc>
      </w:tr>
    </w:tbl>
    <w:p>
      <w:pPr>
        <w:spacing w:after="0" w:line="218" w:lineRule="exact"/>
        <w:rPr>
          <w:sz w:val="20"/>
          <w:szCs w:val="20"/>
          <w:color w:val="auto"/>
        </w:rPr>
      </w:pPr>
    </w:p>
    <w:p>
      <w:pPr>
        <w:ind w:firstLine="8"/>
        <w:spacing w:after="0" w:line="260" w:lineRule="auto"/>
        <w:tabs>
          <w:tab w:leader="none" w:pos="118" w:val="left"/>
        </w:tabs>
        <w:numPr>
          <w:ilvl w:val="0"/>
          <w:numId w:val="2"/>
        </w:numPr>
        <w:rPr>
          <w:rFonts w:ascii="Arial" w:cs="Arial" w:eastAsia="Arial" w:hAnsi="Arial"/>
          <w:sz w:val="16"/>
          <w:szCs w:val="16"/>
          <w:color w:val="auto"/>
        </w:rPr>
      </w:pPr>
      <w:r>
        <w:rPr>
          <w:rFonts w:ascii="Arial" w:cs="Arial" w:eastAsia="Arial" w:hAnsi="Arial"/>
          <w:sz w:val="16"/>
          <w:szCs w:val="16"/>
          <w:color w:val="auto"/>
        </w:rPr>
        <w:t>Goodwill represents the acquisition of an established workforce that specializes in medical device development and market access. None of the goodwill recognized is expected to be deductible for income tax purposes.</w:t>
      </w:r>
    </w:p>
    <w:p>
      <w:pPr>
        <w:spacing w:after="0" w:line="33" w:lineRule="exact"/>
        <w:rPr>
          <w:sz w:val="20"/>
          <w:szCs w:val="20"/>
          <w:color w:val="auto"/>
        </w:rPr>
      </w:pPr>
    </w:p>
    <w:p>
      <w:pPr>
        <w:ind w:firstLine="8"/>
        <w:spacing w:after="0" w:line="260" w:lineRule="auto"/>
        <w:tabs>
          <w:tab w:leader="none" w:pos="17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has made an estimate of separate intangible assets acquired, being customer relationships and order book assets. This assessment will be finalized within 12 months of the date of acquisition.</w:t>
      </w:r>
    </w:p>
    <w:p>
      <w:pPr>
        <w:spacing w:after="0" w:line="33" w:lineRule="exact"/>
        <w:rPr>
          <w:rFonts w:ascii="Arial" w:cs="Arial" w:eastAsia="Arial" w:hAnsi="Arial"/>
          <w:sz w:val="16"/>
          <w:szCs w:val="16"/>
          <w:color w:val="auto"/>
        </w:rPr>
      </w:pPr>
    </w:p>
    <w:p>
      <w:pPr>
        <w:jc w:val="both"/>
        <w:ind w:firstLine="8"/>
        <w:spacing w:after="0" w:line="253" w:lineRule="auto"/>
        <w:tabs>
          <w:tab w:leader="none" w:pos="23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fair value of the contingent consideration was estimated at the date of acquisition. Depending on performance of the company, the total consideration could increase by a maximum of $6.7 million in contingent consideration. At June 30, 2020, the fair value of this contingent consideration payable to MedPass is $Nil.</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i w:val="1"/>
          <w:iCs w:val="1"/>
          <w:color w:val="auto"/>
        </w:rPr>
        <w:t>Acquisitions – CRN Holdings LLC (trading as Symphony Clinical Research ("Symphony"))</w:t>
      </w:r>
    </w:p>
    <w:p>
      <w:pPr>
        <w:spacing w:after="0" w:line="264" w:lineRule="exact"/>
        <w:rPr>
          <w:sz w:val="20"/>
          <w:szCs w:val="20"/>
          <w:color w:val="auto"/>
        </w:rPr>
      </w:pPr>
    </w:p>
    <w:p>
      <w:pPr>
        <w:ind w:firstLine="450"/>
        <w:spacing w:after="0" w:line="260" w:lineRule="auto"/>
        <w:rPr>
          <w:sz w:val="20"/>
          <w:szCs w:val="20"/>
          <w:color w:val="auto"/>
        </w:rPr>
      </w:pPr>
      <w:r>
        <w:rPr>
          <w:rFonts w:ascii="Arial" w:cs="Arial" w:eastAsia="Arial" w:hAnsi="Arial"/>
          <w:sz w:val="16"/>
          <w:szCs w:val="16"/>
          <w:color w:val="auto"/>
        </w:rPr>
        <w:t>On September 24, 2019 a subsidiary of the Company, ICON Clinical Research LLC, acquired a 100% interest in Symphony. Symphony is a leading provider of at-home trial services and site support services. The acquisition of Symphony further enhances our site &amp; patient services offering.</w:t>
      </w:r>
    </w:p>
    <w:p>
      <w:pPr>
        <w:spacing w:after="0" w:line="206" w:lineRule="exact"/>
        <w:rPr>
          <w:sz w:val="20"/>
          <w:szCs w:val="20"/>
          <w:color w:val="auto"/>
        </w:rPr>
      </w:pPr>
    </w:p>
    <w:p>
      <w:pPr>
        <w:ind w:firstLine="387"/>
        <w:spacing w:after="0" w:line="281" w:lineRule="auto"/>
        <w:rPr>
          <w:sz w:val="20"/>
          <w:szCs w:val="20"/>
          <w:color w:val="auto"/>
        </w:rPr>
      </w:pPr>
      <w:r>
        <w:rPr>
          <w:rFonts w:ascii="Arial" w:cs="Arial" w:eastAsia="Arial" w:hAnsi="Arial"/>
          <w:sz w:val="16"/>
          <w:szCs w:val="16"/>
          <w:color w:val="auto"/>
        </w:rPr>
        <w:t>The acquisition of Symphony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has made a provisional assessment of the fair value of assets acquired and liabilities assumed as at that date.</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18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24,</w:t>
            </w:r>
          </w:p>
        </w:tc>
      </w:tr>
      <w:tr>
        <w:trPr>
          <w:trHeight w:val="237"/>
        </w:trPr>
        <w:tc>
          <w:tcPr>
            <w:tcW w:w="61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43"/>
        </w:trPr>
        <w:tc>
          <w:tcPr>
            <w:tcW w:w="618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Cash &amp; cash equivalents</w:t>
            </w:r>
          </w:p>
        </w:tc>
        <w:tc>
          <w:tcPr>
            <w:tcW w:w="36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3,292</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6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564</w:t>
            </w: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Operating right of use assets</w:t>
            </w:r>
          </w:p>
        </w:tc>
        <w:tc>
          <w:tcPr>
            <w:tcW w:w="36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820</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w:t>
            </w:r>
          </w:p>
        </w:tc>
        <w:tc>
          <w:tcPr>
            <w:tcW w:w="36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22,865</w:t>
            </w: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Customer relationships **</w:t>
            </w:r>
          </w:p>
        </w:tc>
        <w:tc>
          <w:tcPr>
            <w:tcW w:w="36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8,159</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 **</w:t>
            </w:r>
          </w:p>
        </w:tc>
        <w:tc>
          <w:tcPr>
            <w:tcW w:w="36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2,163</w:t>
            </w: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36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4,544</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Unbilled revenue</w:t>
            </w:r>
          </w:p>
        </w:tc>
        <w:tc>
          <w:tcPr>
            <w:tcW w:w="36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186</w:t>
            </w: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Prepayments and other current assets</w:t>
            </w:r>
          </w:p>
        </w:tc>
        <w:tc>
          <w:tcPr>
            <w:tcW w:w="36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181</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36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w:t>
            </w: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6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(799)</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revenue</w:t>
            </w:r>
          </w:p>
        </w:tc>
        <w:tc>
          <w:tcPr>
            <w:tcW w:w="36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(2,411)</w:t>
            </w: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6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(933)</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lease liabilities</w:t>
            </w:r>
          </w:p>
        </w:tc>
        <w:tc>
          <w:tcPr>
            <w:tcW w:w="36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r>
      <w:tr>
        <w:trPr>
          <w:trHeight w:val="250"/>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lease liabilities</w:t>
            </w:r>
          </w:p>
        </w:tc>
        <w:tc>
          <w:tcPr>
            <w:tcW w:w="36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(531)</w:t>
            </w:r>
          </w:p>
        </w:tc>
      </w:tr>
      <w:tr>
        <w:trPr>
          <w:trHeight w:val="149"/>
        </w:trPr>
        <w:tc>
          <w:tcPr>
            <w:tcW w:w="618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250"/>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assets acquired</w:t>
            </w:r>
          </w:p>
        </w:tc>
        <w:tc>
          <w:tcPr>
            <w:tcW w:w="3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37,817</w:t>
            </w:r>
          </w:p>
        </w:tc>
      </w:tr>
      <w:tr>
        <w:trPr>
          <w:trHeight w:val="243"/>
        </w:trPr>
        <w:tc>
          <w:tcPr>
            <w:tcW w:w="618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Cash outflows</w:t>
            </w:r>
          </w:p>
        </w:tc>
        <w:tc>
          <w:tcPr>
            <w:tcW w:w="36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34,976</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Working capital adjustment paid</w:t>
            </w:r>
          </w:p>
        </w:tc>
        <w:tc>
          <w:tcPr>
            <w:tcW w:w="36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341</w:t>
            </w:r>
          </w:p>
        </w:tc>
      </w:tr>
      <w:tr>
        <w:trPr>
          <w:trHeight w:val="250"/>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Contingent consideration ***</w:t>
            </w:r>
          </w:p>
        </w:tc>
        <w:tc>
          <w:tcPr>
            <w:tcW w:w="36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2,500</w:t>
            </w:r>
          </w:p>
        </w:tc>
      </w:tr>
      <w:tr>
        <w:trPr>
          <w:trHeight w:val="203"/>
        </w:trPr>
        <w:tc>
          <w:tcPr>
            <w:tcW w:w="618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50"/>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consideration</w:t>
            </w:r>
          </w:p>
        </w:tc>
        <w:tc>
          <w:tcPr>
            <w:tcW w:w="3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37,817</w:t>
            </w:r>
          </w:p>
        </w:tc>
      </w:tr>
    </w:tbl>
    <w:p>
      <w:pPr>
        <w:spacing w:after="0" w:line="218" w:lineRule="exact"/>
        <w:rPr>
          <w:sz w:val="20"/>
          <w:szCs w:val="20"/>
          <w:color w:val="auto"/>
        </w:rPr>
      </w:pPr>
    </w:p>
    <w:p>
      <w:pPr>
        <w:ind w:right="20" w:firstLine="8"/>
        <w:spacing w:after="0" w:line="260" w:lineRule="auto"/>
        <w:tabs>
          <w:tab w:leader="none" w:pos="128" w:val="left"/>
        </w:tabs>
        <w:numPr>
          <w:ilvl w:val="0"/>
          <w:numId w:val="5"/>
        </w:numPr>
        <w:rPr>
          <w:rFonts w:ascii="Arial" w:cs="Arial" w:eastAsia="Arial" w:hAnsi="Arial"/>
          <w:sz w:val="16"/>
          <w:szCs w:val="16"/>
          <w:color w:val="auto"/>
        </w:rPr>
      </w:pPr>
      <w:r>
        <w:rPr>
          <w:rFonts w:ascii="Arial" w:cs="Arial" w:eastAsia="Arial" w:hAnsi="Arial"/>
          <w:sz w:val="16"/>
          <w:szCs w:val="16"/>
          <w:color w:val="auto"/>
        </w:rPr>
        <w:t>Goodwill represents the acquisition of an established workforce and the capability to provide at-home trial services and site support solutions. The full amount of the goodwill recognized is expected to be deductible for income tax purposes.</w:t>
      </w:r>
    </w:p>
    <w:p>
      <w:pPr>
        <w:spacing w:after="0" w:line="33" w:lineRule="exact"/>
        <w:rPr>
          <w:sz w:val="20"/>
          <w:szCs w:val="20"/>
          <w:color w:val="auto"/>
        </w:rPr>
      </w:pPr>
    </w:p>
    <w:p>
      <w:pPr>
        <w:jc w:val="both"/>
        <w:ind w:firstLine="8"/>
        <w:spacing w:after="0" w:line="253" w:lineRule="auto"/>
        <w:tabs>
          <w:tab w:leader="none" w:pos="19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has made an estimate of separate intangible assets acquired, being customer relationships and order book assets. The fair value of Symphony’s intangible assets has been measured provisionally, pending receipt of a final independent valuation. This assessment will be finalized within 12 months of the date of acquisition.</w:t>
      </w:r>
    </w:p>
    <w:p>
      <w:pPr>
        <w:spacing w:after="0" w:line="39" w:lineRule="exact"/>
        <w:rPr>
          <w:rFonts w:ascii="Arial" w:cs="Arial" w:eastAsia="Arial" w:hAnsi="Arial"/>
          <w:sz w:val="16"/>
          <w:szCs w:val="16"/>
          <w:color w:val="auto"/>
        </w:rPr>
      </w:pPr>
    </w:p>
    <w:p>
      <w:pPr>
        <w:ind w:right="40" w:firstLine="8"/>
        <w:spacing w:after="0" w:line="260" w:lineRule="auto"/>
        <w:tabs>
          <w:tab w:leader="none" w:pos="234"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fair value of the contingent consideration was estimated at the date of acquisition. At June 30, 2020, the contingent consideration has been settled at fair value in the amount of $0.5 million. The change in fair value has been recorded in the Condensed Consolidated Statement of Operations.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Acquisitions – MeDiNova</w:t>
      </w:r>
    </w:p>
    <w:p>
      <w:pPr>
        <w:spacing w:after="0" w:line="264" w:lineRule="exact"/>
        <w:rPr>
          <w:sz w:val="20"/>
          <w:szCs w:val="20"/>
          <w:color w:val="auto"/>
        </w:rPr>
      </w:pPr>
    </w:p>
    <w:p>
      <w:pPr>
        <w:jc w:val="both"/>
        <w:ind w:firstLine="428"/>
        <w:spacing w:after="0" w:line="251" w:lineRule="auto"/>
        <w:rPr>
          <w:sz w:val="20"/>
          <w:szCs w:val="20"/>
          <w:color w:val="auto"/>
        </w:rPr>
      </w:pPr>
      <w:r>
        <w:rPr>
          <w:rFonts w:ascii="Arial" w:cs="Arial" w:eastAsia="Arial" w:hAnsi="Arial"/>
          <w:sz w:val="16"/>
          <w:szCs w:val="16"/>
          <w:color w:val="auto"/>
        </w:rPr>
        <w:t>On May 23, 2019 a subsidiary of the Company, ICON Clinical Research (U.K.) Limited acquired a majority shareholding in MeDiNova, a site network with research sites in key markets in Europe and Africa. On March 9, 2020 ICON exercised its option to call the outstanding shares in the noncontrolling interest to take 100% ownership of MeDiNova. The acquisition further enhances ICON's patient recruitment capabilities in EMEA and complements ICON's existing site network in the US, PMG Research. Accounting for the acquisition of MeDiNova was finalized in the period ended June 30, 2020.</w:t>
      </w:r>
    </w:p>
    <w:p>
      <w:pPr>
        <w:spacing w:after="0" w:line="213"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16"/>
          <w:szCs w:val="16"/>
          <w:color w:val="auto"/>
        </w:rPr>
        <w:t>The acquisition of MeDiNova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made an assessment of the fair value of assets acquired and liabilities assumed as at that date. The following table summarizes the Company’s fair values of the assets acquired and liabilities assumed: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00" w:type="dxa"/>
            <w:vAlign w:val="bottom"/>
            <w:shd w:val="clear" w:color="auto" w:fill="CCEEFF"/>
          </w:tcPr>
          <w:p>
            <w:pPr>
              <w:spacing w:after="0"/>
              <w:rPr>
                <w:sz w:val="21"/>
                <w:szCs w:val="21"/>
                <w:color w:val="auto"/>
              </w:rPr>
            </w:pPr>
          </w:p>
        </w:tc>
        <w:tc>
          <w:tcPr>
            <w:tcW w:w="36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May 23,</w:t>
            </w:r>
          </w:p>
        </w:tc>
      </w:tr>
      <w:tr>
        <w:trPr>
          <w:trHeight w:val="237"/>
        </w:trPr>
        <w:tc>
          <w:tcPr>
            <w:tcW w:w="62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43"/>
        </w:trPr>
        <w:tc>
          <w:tcPr>
            <w:tcW w:w="6200" w:type="dxa"/>
            <w:vAlign w:val="bottom"/>
            <w:shd w:val="clear" w:color="auto" w:fill="CCEEFF"/>
          </w:tcPr>
          <w:p>
            <w:pPr>
              <w:spacing w:after="0"/>
              <w:rPr>
                <w:sz w:val="21"/>
                <w:szCs w:val="21"/>
                <w:color w:val="auto"/>
              </w:rPr>
            </w:pPr>
          </w:p>
        </w:tc>
        <w:tc>
          <w:tcPr>
            <w:tcW w:w="36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Cash &amp; cash equivalents</w:t>
            </w:r>
          </w:p>
        </w:tc>
        <w:tc>
          <w:tcPr>
            <w:tcW w:w="3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7,719</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6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670</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Operating right of use assets</w:t>
            </w:r>
          </w:p>
        </w:tc>
        <w:tc>
          <w:tcPr>
            <w:tcW w:w="366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1,558</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w:t>
            </w:r>
          </w:p>
        </w:tc>
        <w:tc>
          <w:tcPr>
            <w:tcW w:w="36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81,760</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Customer relationships **</w:t>
            </w:r>
          </w:p>
        </w:tc>
        <w:tc>
          <w:tcPr>
            <w:tcW w:w="366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3,887</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 **</w:t>
            </w:r>
          </w:p>
        </w:tc>
        <w:tc>
          <w:tcPr>
            <w:tcW w:w="36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171</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Patient database **</w:t>
            </w:r>
          </w:p>
        </w:tc>
        <w:tc>
          <w:tcPr>
            <w:tcW w:w="366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2,542</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36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3,488</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Unbilled revenue</w:t>
            </w:r>
          </w:p>
        </w:tc>
        <w:tc>
          <w:tcPr>
            <w:tcW w:w="366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4,272</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36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819</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Prepayments and other current assets</w:t>
            </w:r>
          </w:p>
        </w:tc>
        <w:tc>
          <w:tcPr>
            <w:tcW w:w="366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406</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6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(5,484)</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36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(5,796)</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6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(6,860)</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Current lease liabilities</w:t>
            </w:r>
          </w:p>
        </w:tc>
        <w:tc>
          <w:tcPr>
            <w:tcW w:w="36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(430)</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lease liabilities</w:t>
            </w:r>
          </w:p>
        </w:tc>
        <w:tc>
          <w:tcPr>
            <w:tcW w:w="36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(1,128)</w:t>
            </w:r>
          </w:p>
        </w:tc>
      </w:tr>
      <w:tr>
        <w:trPr>
          <w:trHeight w:val="250"/>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deferred tax liability</w:t>
            </w:r>
          </w:p>
        </w:tc>
        <w:tc>
          <w:tcPr>
            <w:tcW w:w="36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(1,345)</w:t>
            </w:r>
          </w:p>
        </w:tc>
      </w:tr>
      <w:tr>
        <w:trPr>
          <w:trHeight w:val="148"/>
        </w:trPr>
        <w:tc>
          <w:tcPr>
            <w:tcW w:w="6200" w:type="dxa"/>
            <w:vAlign w:val="bottom"/>
            <w:shd w:val="clear" w:color="auto" w:fill="CCEEFF"/>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250"/>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assets acquired</w:t>
            </w:r>
          </w:p>
        </w:tc>
        <w:tc>
          <w:tcPr>
            <w:tcW w:w="3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86,249</w:t>
            </w:r>
          </w:p>
        </w:tc>
      </w:tr>
      <w:tr>
        <w:trPr>
          <w:trHeight w:val="189"/>
        </w:trPr>
        <w:tc>
          <w:tcPr>
            <w:tcW w:w="6200" w:type="dxa"/>
            <w:vAlign w:val="bottom"/>
            <w:shd w:val="clear" w:color="auto" w:fill="CCEEFF"/>
          </w:tcPr>
          <w:p>
            <w:pPr>
              <w:spacing w:after="0"/>
              <w:rPr>
                <w:sz w:val="16"/>
                <w:szCs w:val="16"/>
                <w:color w:val="auto"/>
              </w:rPr>
            </w:pPr>
          </w:p>
        </w:tc>
        <w:tc>
          <w:tcPr>
            <w:tcW w:w="36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Cash outflows</w:t>
            </w:r>
          </w:p>
        </w:tc>
        <w:tc>
          <w:tcPr>
            <w:tcW w:w="3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54,123</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Working capital adjustment received</w:t>
            </w:r>
          </w:p>
        </w:tc>
        <w:tc>
          <w:tcPr>
            <w:tcW w:w="36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(466)</w:t>
            </w:r>
          </w:p>
        </w:tc>
      </w:tr>
      <w:tr>
        <w:trPr>
          <w:trHeight w:val="250"/>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Redeemable noncontrolling interest ***</w:t>
            </w:r>
          </w:p>
        </w:tc>
        <w:tc>
          <w:tcPr>
            <w:tcW w:w="36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32,592</w:t>
            </w:r>
          </w:p>
        </w:tc>
      </w:tr>
      <w:tr>
        <w:trPr>
          <w:trHeight w:val="203"/>
        </w:trPr>
        <w:tc>
          <w:tcPr>
            <w:tcW w:w="620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50"/>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consideration</w:t>
            </w:r>
          </w:p>
        </w:tc>
        <w:tc>
          <w:tcPr>
            <w:tcW w:w="3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86,249</w:t>
            </w:r>
          </w:p>
        </w:tc>
      </w:tr>
    </w:tbl>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*Goodwill represents the acquisition of an established workforce and access to a broad site network in Europe and Africa. None of the goodwill recognized is expected to be deductible for income tax purposes.</w:t>
      </w:r>
    </w:p>
    <w:p>
      <w:pPr>
        <w:spacing w:after="0" w:line="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finalizing the acquisition of MeDiNova in the twelve month period from acquisition, fair value adjustments were made which resulted in an increase in other liabilities ($1.6 million) and decreases in operating right of use assets ($0.3 million), current lease liabilities ($0.1 million), non-current lease liabilities ($0.3 million) and non-current deferred tax liability ($2.2 million). Customer relationship, order backlog and patient database assets were also finalized.</w:t>
      </w:r>
    </w:p>
    <w:p>
      <w:pPr>
        <w:spacing w:after="0" w:line="3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fair value of the redeemable noncontrolling interest on May 23, 2019 was $32.6 million which was estimated by applying an income based approach. The valuation approach used was based on the future earnings of the Company times an appropriate earnings multiple. On March 9, 2020 ICON exercised its option to call the outstanding shares in the noncontrolling interest to take 100% ownership of MeDiNova. Effective from this date, the noncontrolling interest was derecognized and a liability was recognized, representing the assessment of the redemption value of the noncontrolling interest. This liability was settled on July 17, 2020 for $43.9 million.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i w:val="1"/>
          <w:iCs w:val="1"/>
          <w:color w:val="auto"/>
        </w:rPr>
        <w:t>Acquisitions – MolecularMD Corp ("MMD")</w:t>
      </w:r>
    </w:p>
    <w:p>
      <w:pPr>
        <w:spacing w:after="0" w:line="264" w:lineRule="exact"/>
        <w:rPr>
          <w:sz w:val="20"/>
          <w:szCs w:val="20"/>
          <w:color w:val="auto"/>
        </w:rPr>
      </w:pPr>
    </w:p>
    <w:p>
      <w:pPr>
        <w:jc w:val="both"/>
        <w:ind w:right="20" w:firstLine="424"/>
        <w:spacing w:after="0" w:line="253" w:lineRule="auto"/>
        <w:rPr>
          <w:sz w:val="20"/>
          <w:szCs w:val="20"/>
          <w:color w:val="auto"/>
        </w:rPr>
      </w:pPr>
      <w:r>
        <w:rPr>
          <w:rFonts w:ascii="Arial" w:cs="Arial" w:eastAsia="Arial" w:hAnsi="Arial"/>
          <w:sz w:val="16"/>
          <w:szCs w:val="16"/>
          <w:color w:val="auto"/>
        </w:rPr>
        <w:t>On January 25, 2019 a subsidiary of the Company, ICON Laboratory Services, Inc. acquired 100% of the share capital of MMD. MMD is a molecular diagnostic specialty laboratory that enables the development and commercialization of precision medicines in oncology. The consideration on acquisition was $42.2 million.</w:t>
      </w:r>
    </w:p>
    <w:p>
      <w:pPr>
        <w:spacing w:after="0" w:line="21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6"/>
          <w:szCs w:val="16"/>
          <w:color w:val="auto"/>
        </w:rPr>
        <w:t>The acquisition of MMD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has made an assessment of the fair value of assets acquired and liabilities assumed as at that date. The following table summarizes the Company’s fair values of the assets acquired and liabilities assumed: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0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January 25,</w:t>
            </w:r>
          </w:p>
        </w:tc>
      </w:tr>
      <w:tr>
        <w:trPr>
          <w:trHeight w:val="237"/>
        </w:trPr>
        <w:tc>
          <w:tcPr>
            <w:tcW w:w="62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43"/>
        </w:trPr>
        <w:tc>
          <w:tcPr>
            <w:tcW w:w="620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Cash &amp; cash equivalent</w:t>
            </w:r>
          </w:p>
        </w:tc>
        <w:tc>
          <w:tcPr>
            <w:tcW w:w="3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686</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1,697</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Operating right of use assets</w:t>
            </w:r>
          </w:p>
        </w:tc>
        <w:tc>
          <w:tcPr>
            <w:tcW w:w="37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2,866</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w:t>
            </w:r>
          </w:p>
        </w:tc>
        <w:tc>
          <w:tcPr>
            <w:tcW w:w="3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22,430</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7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10,708</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3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2,787</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37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3,100</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Unbilled revenue</w:t>
            </w:r>
          </w:p>
        </w:tc>
        <w:tc>
          <w:tcPr>
            <w:tcW w:w="3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2,421</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37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43</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Prepayments and other current assets</w:t>
            </w:r>
          </w:p>
        </w:tc>
        <w:tc>
          <w:tcPr>
            <w:tcW w:w="3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908</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Deferred tax asset</w:t>
            </w:r>
          </w:p>
        </w:tc>
        <w:tc>
          <w:tcPr>
            <w:tcW w:w="37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1,568</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(1,280)</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37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(540)</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(1,232)</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Current lease liabilities</w:t>
            </w:r>
          </w:p>
        </w:tc>
        <w:tc>
          <w:tcPr>
            <w:tcW w:w="37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(699)</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lease liabilities</w:t>
            </w:r>
          </w:p>
        </w:tc>
        <w:tc>
          <w:tcPr>
            <w:tcW w:w="3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(2,167)</w:t>
            </w:r>
          </w:p>
        </w:tc>
      </w:tr>
      <w:tr>
        <w:trPr>
          <w:trHeight w:val="250"/>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other liabilities</w:t>
            </w:r>
          </w:p>
        </w:tc>
        <w:tc>
          <w:tcPr>
            <w:tcW w:w="37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(1,123)</w:t>
            </w:r>
          </w:p>
        </w:tc>
      </w:tr>
      <w:tr>
        <w:trPr>
          <w:trHeight w:val="243"/>
        </w:trPr>
        <w:tc>
          <w:tcPr>
            <w:tcW w:w="620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50"/>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assets acquired</w:t>
            </w:r>
          </w:p>
        </w:tc>
        <w:tc>
          <w:tcPr>
            <w:tcW w:w="3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42,173</w:t>
            </w:r>
          </w:p>
        </w:tc>
      </w:tr>
      <w:tr>
        <w:trPr>
          <w:trHeight w:val="243"/>
        </w:trPr>
        <w:tc>
          <w:tcPr>
            <w:tcW w:w="620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Cash outflows</w:t>
            </w:r>
          </w:p>
        </w:tc>
        <w:tc>
          <w:tcPr>
            <w:tcW w:w="3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42,349</w:t>
            </w:r>
          </w:p>
        </w:tc>
      </w:tr>
      <w:tr>
        <w:trPr>
          <w:trHeight w:val="260"/>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Working capital adjustment received</w:t>
            </w:r>
          </w:p>
        </w:tc>
        <w:tc>
          <w:tcPr>
            <w:tcW w:w="37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r>
      <w:tr>
        <w:trPr>
          <w:trHeight w:val="243"/>
        </w:trPr>
        <w:tc>
          <w:tcPr>
            <w:tcW w:w="62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consideration</w:t>
            </w:r>
          </w:p>
        </w:tc>
        <w:tc>
          <w:tcPr>
            <w:tcW w:w="37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42,173</w:t>
            </w:r>
          </w:p>
        </w:tc>
      </w:tr>
    </w:tbl>
    <w:p>
      <w:pPr>
        <w:spacing w:after="0" w:line="27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*Goodwill represents the acquisition of an established workforce with experience in molecular diagnostic specialty laboratory services and commercialization of precision medicines in oncology. None of the goodwill recognized is expected to be deductible for income tax purposes.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Accounting for the acquisition of MMD was finalized at December 31, 2019.</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7. Restructuring</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Restructuring charges</w:t>
      </w:r>
    </w:p>
    <w:p>
      <w:pPr>
        <w:spacing w:after="0" w:line="264" w:lineRule="exact"/>
        <w:rPr>
          <w:sz w:val="20"/>
          <w:szCs w:val="20"/>
          <w:color w:val="auto"/>
        </w:rPr>
      </w:pPr>
    </w:p>
    <w:p>
      <w:pPr>
        <w:jc w:val="both"/>
        <w:ind w:firstLine="438"/>
        <w:spacing w:after="0" w:line="251" w:lineRule="auto"/>
        <w:rPr>
          <w:sz w:val="20"/>
          <w:szCs w:val="20"/>
          <w:color w:val="auto"/>
        </w:rPr>
      </w:pPr>
      <w:r>
        <w:rPr>
          <w:rFonts w:ascii="Arial" w:cs="Arial" w:eastAsia="Arial" w:hAnsi="Arial"/>
          <w:sz w:val="16"/>
          <w:szCs w:val="16"/>
          <w:color w:val="auto"/>
        </w:rPr>
        <w:t xml:space="preserve">A restructuring charge of $18.1 million was recognized during the three months ended June 30, 2020 under a restructuring plan adopted following a review of operations. The restructuring plan reflected resource rationalization across the business to improve resource utilization, resulting in a charge of $11.4 million and office consolidation resulting in a charge for onerous lease obligation of $6.7 million, including the recognition of an impairment of right of use assets of $5.4 million (see </w:t>
      </w:r>
      <w:r>
        <w:rPr>
          <w:rFonts w:ascii="Arial" w:cs="Arial" w:eastAsia="Arial" w:hAnsi="Arial"/>
          <w:sz w:val="16"/>
          <w:szCs w:val="16"/>
          <w:i w:val="1"/>
          <w:iCs w:val="1"/>
          <w:color w:val="auto"/>
        </w:rPr>
        <w:t>note 8 - Operating Leases</w:t>
      </w:r>
      <w:r>
        <w:rPr>
          <w:rFonts w:ascii="Arial" w:cs="Arial" w:eastAsia="Arial" w:hAnsi="Arial"/>
          <w:sz w:val="16"/>
          <w:szCs w:val="16"/>
          <w:color w:val="auto"/>
        </w:rPr>
        <w:t>) and provision for other related costs of $1.3 million.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Details of the restructuring charge recognized in the three and six months ended June, 30, 2020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234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Six Months Ended</w:t>
            </w:r>
          </w:p>
        </w:tc>
        <w:tc>
          <w:tcPr>
            <w:tcW w:w="380" w:type="dxa"/>
            <w:vAlign w:val="bottom"/>
            <w:tcBorders>
              <w:bottom w:val="single" w:sz="8" w:color="auto"/>
            </w:tcBorders>
            <w:shd w:val="clear" w:color="auto" w:fill="CCEEFF"/>
          </w:tcPr>
          <w:p>
            <w:pPr>
              <w:spacing w:after="0"/>
              <w:rPr>
                <w:sz w:val="20"/>
                <w:szCs w:val="20"/>
                <w:color w:val="auto"/>
              </w:rPr>
            </w:pPr>
          </w:p>
        </w:tc>
      </w:tr>
      <w:tr>
        <w:trPr>
          <w:trHeight w:val="234"/>
        </w:trPr>
        <w:tc>
          <w:tcPr>
            <w:tcW w:w="47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June 30, 2020</w:t>
            </w:r>
          </w:p>
        </w:tc>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June 30, 2019</w:t>
            </w:r>
          </w:p>
        </w:tc>
        <w:tc>
          <w:tcPr>
            <w:tcW w:w="4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June 30, 2020</w:t>
            </w:r>
          </w:p>
        </w:tc>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June 30, 2019</w:t>
            </w:r>
          </w:p>
        </w:tc>
        <w:tc>
          <w:tcPr>
            <w:tcW w:w="380" w:type="dxa"/>
            <w:vAlign w:val="bottom"/>
            <w:tcBorders>
              <w:bottom w:val="single" w:sz="8" w:color="auto"/>
            </w:tcBorders>
          </w:tcPr>
          <w:p>
            <w:pPr>
              <w:spacing w:after="0"/>
              <w:rPr>
                <w:sz w:val="20"/>
                <w:szCs w:val="20"/>
                <w:color w:val="auto"/>
              </w:rPr>
            </w:pPr>
          </w:p>
        </w:tc>
      </w:tr>
      <w:tr>
        <w:trPr>
          <w:trHeight w:val="250"/>
        </w:trPr>
        <w:tc>
          <w:tcPr>
            <w:tcW w:w="4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6"/>
                <w:szCs w:val="16"/>
                <w:b w:val="1"/>
                <w:bCs w:val="1"/>
                <w:color w:val="auto"/>
              </w:rPr>
              <w:t>(in thousands)</w:t>
            </w:r>
          </w:p>
        </w:tc>
        <w:tc>
          <w:tcPr>
            <w:tcW w:w="8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33"/>
        </w:trPr>
        <w:tc>
          <w:tcPr>
            <w:tcW w:w="4720" w:type="dxa"/>
            <w:vAlign w:val="bottom"/>
          </w:tcPr>
          <w:p>
            <w:pPr>
              <w:ind w:left="20"/>
              <w:spacing w:after="0"/>
              <w:rPr>
                <w:sz w:val="20"/>
                <w:szCs w:val="20"/>
                <w:color w:val="auto"/>
              </w:rPr>
            </w:pPr>
            <w:r>
              <w:rPr>
                <w:rFonts w:ascii="Arial" w:cs="Arial" w:eastAsia="Arial" w:hAnsi="Arial"/>
                <w:sz w:val="16"/>
                <w:szCs w:val="16"/>
                <w:color w:val="auto"/>
              </w:rPr>
              <w:t>Restructuring charge</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18,089</w:t>
            </w:r>
          </w:p>
        </w:tc>
        <w:tc>
          <w:tcPr>
            <w:tcW w:w="1260" w:type="dxa"/>
            <w:vAlign w:val="bottom"/>
          </w:tcPr>
          <w:p>
            <w:pPr>
              <w:ind w:left="140"/>
              <w:spacing w:after="0"/>
              <w:rPr>
                <w:sz w:val="20"/>
                <w:szCs w:val="20"/>
                <w:color w:val="auto"/>
              </w:rPr>
            </w:pPr>
            <w:r>
              <w:rPr>
                <w:rFonts w:ascii="Arial" w:cs="Arial" w:eastAsia="Arial" w:hAnsi="Arial"/>
                <w:sz w:val="16"/>
                <w:szCs w:val="16"/>
                <w:color w:val="auto"/>
              </w:rPr>
              <w:t>$</w:t>
            </w:r>
          </w:p>
        </w:tc>
        <w:tc>
          <w:tcPr>
            <w:tcW w:w="400" w:type="dxa"/>
            <w:vAlign w:val="bottom"/>
          </w:tcPr>
          <w:p>
            <w:pPr>
              <w:ind w:left="60"/>
              <w:spacing w:after="0"/>
              <w:rPr>
                <w:sz w:val="20"/>
                <w:szCs w:val="20"/>
                <w:color w:val="auto"/>
              </w:rPr>
            </w:pPr>
            <w:r>
              <w:rPr>
                <w:rFonts w:ascii="Arial" w:cs="Arial" w:eastAsia="Arial" w:hAnsi="Arial"/>
                <w:sz w:val="16"/>
                <w:szCs w:val="16"/>
                <w:color w:val="auto"/>
              </w:rPr>
              <w:t>—</w:t>
            </w:r>
          </w:p>
        </w:tc>
        <w:tc>
          <w:tcPr>
            <w:tcW w:w="840" w:type="dxa"/>
            <w:vAlign w:val="bottom"/>
          </w:tcPr>
          <w:p>
            <w:pPr>
              <w:ind w:left="18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18,089</w:t>
            </w:r>
          </w:p>
        </w:tc>
        <w:tc>
          <w:tcPr>
            <w:tcW w:w="1260" w:type="dxa"/>
            <w:vAlign w:val="bottom"/>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273"/>
        </w:trPr>
        <w:tc>
          <w:tcPr>
            <w:tcW w:w="47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r>
      <w:tr>
        <w:trPr>
          <w:trHeight w:val="237"/>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18,089</w:t>
            </w:r>
          </w:p>
        </w:tc>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18,089</w:t>
            </w:r>
          </w:p>
        </w:tc>
        <w:tc>
          <w:tcPr>
            <w:tcW w:w="1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r>
      <w:tr>
        <w:trPr>
          <w:trHeight w:val="27"/>
        </w:trPr>
        <w:tc>
          <w:tcPr>
            <w:tcW w:w="4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Details of the movement in the restructuring charge recognized in the three and six months ended June, 30, 2020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4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Workforce</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8"/>
        </w:trPr>
        <w:tc>
          <w:tcPr>
            <w:tcW w:w="464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reductions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Onerous Lease</w:t>
            </w: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r>
      <w:tr>
        <w:trPr>
          <w:trHeight w:val="233"/>
        </w:trPr>
        <w:tc>
          <w:tcPr>
            <w:tcW w:w="4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auto"/>
              </w:rPr>
              <w:t>(in thousands)</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3"/>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Initial restructuring charge recorded</w:t>
            </w:r>
          </w:p>
        </w:tc>
        <w:tc>
          <w:tcPr>
            <w:tcW w:w="2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11,391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6,698</w:t>
            </w:r>
          </w:p>
        </w:tc>
        <w:tc>
          <w:tcPr>
            <w:tcW w:w="5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18,089</w:t>
            </w:r>
          </w:p>
        </w:tc>
      </w:tr>
      <w:tr>
        <w:trPr>
          <w:trHeight w:val="236"/>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Utilization</w:t>
            </w:r>
          </w:p>
        </w:tc>
        <w:tc>
          <w:tcPr>
            <w:tcW w:w="2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(1,807)</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(1,807)</w:t>
            </w:r>
          </w:p>
        </w:tc>
      </w:tr>
      <w:tr>
        <w:trPr>
          <w:trHeight w:val="262"/>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Provision at June 30, 2020</w:t>
            </w:r>
          </w:p>
        </w:tc>
        <w:tc>
          <w:tcPr>
            <w:tcW w:w="24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9,584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6,698</w:t>
            </w:r>
          </w:p>
        </w:tc>
        <w:tc>
          <w:tcPr>
            <w:tcW w:w="5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16,282</w:t>
            </w: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Prior Period Restructuring charges</w:t>
      </w:r>
    </w:p>
    <w:p>
      <w:pPr>
        <w:spacing w:after="0" w:line="264" w:lineRule="exact"/>
        <w:rPr>
          <w:sz w:val="20"/>
          <w:szCs w:val="20"/>
          <w:color w:val="auto"/>
        </w:rPr>
      </w:pPr>
    </w:p>
    <w:p>
      <w:pPr>
        <w:jc w:val="both"/>
        <w:ind w:firstLine="362"/>
        <w:spacing w:after="0" w:line="251" w:lineRule="auto"/>
        <w:rPr>
          <w:sz w:val="20"/>
          <w:szCs w:val="20"/>
          <w:color w:val="auto"/>
        </w:rPr>
      </w:pPr>
      <w:r>
        <w:rPr>
          <w:rFonts w:ascii="Arial" w:cs="Arial" w:eastAsia="Arial" w:hAnsi="Arial"/>
          <w:sz w:val="16"/>
          <w:szCs w:val="16"/>
          <w:color w:val="auto"/>
        </w:rPr>
        <w:t>A restructuring charge of $12.5 million was recognized during the year ended December 31, 2018 under a restructuring plan adopted following a review of operations. The restructuring plan reflected resource rationalization across the business to improve resource utilization, resulting in a charge of $9.7 million and office consolidation resulting in the recognition of an onerous lease obligation of $2.8 million. No additional charge was recorded during the six months ended June 30, 2020.</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4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Workforce</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8"/>
        </w:trPr>
        <w:tc>
          <w:tcPr>
            <w:tcW w:w="464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reductions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Onerous Lease</w:t>
            </w: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r>
      <w:tr>
        <w:trPr>
          <w:trHeight w:val="233"/>
        </w:trPr>
        <w:tc>
          <w:tcPr>
            <w:tcW w:w="4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auto"/>
              </w:rPr>
              <w:t>(in thousands)</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3"/>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Initial restructuring charge recorded</w:t>
            </w:r>
          </w:p>
        </w:tc>
        <w:tc>
          <w:tcPr>
            <w:tcW w:w="2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9,684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2,806</w:t>
            </w:r>
          </w:p>
        </w:tc>
        <w:tc>
          <w:tcPr>
            <w:tcW w:w="5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12,490</w:t>
            </w:r>
          </w:p>
        </w:tc>
      </w:tr>
      <w:tr>
        <w:trPr>
          <w:trHeight w:val="237"/>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Utilization</w:t>
            </w:r>
          </w:p>
        </w:tc>
        <w:tc>
          <w:tcPr>
            <w:tcW w:w="2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(5,399)</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(672)</w:t>
            </w: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(6,071)</w:t>
            </w: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at December 31, 2018</w:t>
            </w:r>
          </w:p>
        </w:tc>
        <w:tc>
          <w:tcPr>
            <w:tcW w:w="2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4,285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2,134</w:t>
            </w:r>
          </w:p>
        </w:tc>
        <w:tc>
          <w:tcPr>
            <w:tcW w:w="5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6,419</w:t>
            </w:r>
          </w:p>
        </w:tc>
      </w:tr>
      <w:tr>
        <w:trPr>
          <w:trHeight w:val="250"/>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Utilization</w:t>
            </w:r>
          </w:p>
        </w:tc>
        <w:tc>
          <w:tcPr>
            <w:tcW w:w="2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(3,554)</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(1,228)</w:t>
            </w: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(4,782)</w:t>
            </w: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at December 31, 2019</w:t>
            </w:r>
          </w:p>
        </w:tc>
        <w:tc>
          <w:tcPr>
            <w:tcW w:w="2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731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906</w:t>
            </w:r>
          </w:p>
        </w:tc>
        <w:tc>
          <w:tcPr>
            <w:tcW w:w="5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1,637</w:t>
            </w:r>
          </w:p>
        </w:tc>
      </w:tr>
      <w:tr>
        <w:trPr>
          <w:trHeight w:val="250"/>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Utilization</w:t>
            </w:r>
          </w:p>
        </w:tc>
        <w:tc>
          <w:tcPr>
            <w:tcW w:w="2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(430)</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(211)</w:t>
            </w: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(641)</w:t>
            </w:r>
          </w:p>
        </w:tc>
      </w:tr>
      <w:tr>
        <w:trPr>
          <w:trHeight w:val="261"/>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Provision at June 30, 2020</w:t>
            </w:r>
          </w:p>
        </w:tc>
        <w:tc>
          <w:tcPr>
            <w:tcW w:w="24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695</w:t>
            </w:r>
          </w:p>
        </w:tc>
        <w:tc>
          <w:tcPr>
            <w:tcW w:w="5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996</w:t>
            </w: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At June 30, 2020, $12.7 million is included within other liabilities and $4.6 million within non-current other liabilities.</w:t>
      </w:r>
    </w:p>
    <w:p>
      <w:pPr>
        <w:sectPr>
          <w:pgSz w:w="11900" w:h="16838" w:orient="portrait"/>
          <w:cols w:equalWidth="0" w:num="1">
            <w:col w:w="11240"/>
          </w:cols>
          <w:pgMar w:left="320" w:top="1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17" w:name="page18"/>
    <w:bookmarkEnd w:id="17"/>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Operating leases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Lease costs recorded under operating leases for the three and six months ended June 30, 2020 were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2940" w:type="dxa"/>
            <w:vAlign w:val="bottom"/>
            <w:tcBorders>
              <w:bottom w:val="single" w:sz="8" w:color="auto"/>
            </w:tcBorders>
            <w:gridSpan w:val="3"/>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shd w:val="clear" w:color="auto" w:fill="CCEEFF"/>
          </w:tcPr>
          <w:p>
            <w:pPr>
              <w:spacing w:after="0"/>
              <w:rPr>
                <w:sz w:val="20"/>
                <w:szCs w:val="20"/>
                <w:color w:val="auto"/>
              </w:rPr>
            </w:pPr>
          </w:p>
        </w:tc>
        <w:tc>
          <w:tcPr>
            <w:tcW w:w="2940" w:type="dxa"/>
            <w:vAlign w:val="bottom"/>
            <w:tcBorders>
              <w:bottom w:val="single" w:sz="8" w:color="auto"/>
            </w:tcBorders>
            <w:gridSpan w:val="3"/>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Six Months Ended</w:t>
            </w:r>
          </w:p>
        </w:tc>
      </w:tr>
      <w:tr>
        <w:trPr>
          <w:trHeight w:val="234"/>
        </w:trPr>
        <w:tc>
          <w:tcPr>
            <w:tcW w:w="47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June 30, 2020</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June 30, 2019</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June 30, 2019</w:t>
            </w:r>
          </w:p>
        </w:tc>
      </w:tr>
      <w:tr>
        <w:trPr>
          <w:trHeight w:val="243"/>
        </w:trPr>
        <w:tc>
          <w:tcPr>
            <w:tcW w:w="4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ind w:left="740"/>
              <w:spacing w:after="0"/>
              <w:rPr>
                <w:sz w:val="20"/>
                <w:szCs w:val="20"/>
                <w:color w:val="auto"/>
              </w:rPr>
            </w:pPr>
            <w:r>
              <w:rPr>
                <w:rFonts w:ascii="Arial" w:cs="Arial" w:eastAsia="Arial" w:hAnsi="Arial"/>
                <w:sz w:val="16"/>
                <w:szCs w:val="16"/>
                <w:b w:val="1"/>
                <w:bCs w:val="1"/>
                <w:color w:val="auto"/>
                <w:w w:val="99"/>
              </w:rPr>
              <w:t>(in thousands)</w:t>
            </w:r>
          </w:p>
        </w:tc>
        <w:tc>
          <w:tcPr>
            <w:tcW w:w="10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shd w:val="clear" w:color="auto" w:fill="CCEEFF"/>
          </w:tcPr>
          <w:p>
            <w:pPr>
              <w:spacing w:after="0"/>
              <w:rPr>
                <w:sz w:val="21"/>
                <w:szCs w:val="21"/>
                <w:color w:val="auto"/>
              </w:rPr>
            </w:pPr>
          </w:p>
        </w:tc>
      </w:tr>
      <w:tr>
        <w:trPr>
          <w:trHeight w:val="233"/>
        </w:trPr>
        <w:tc>
          <w:tcPr>
            <w:tcW w:w="4700" w:type="dxa"/>
            <w:vAlign w:val="bottom"/>
          </w:tcPr>
          <w:p>
            <w:pPr>
              <w:ind w:left="20"/>
              <w:spacing w:after="0"/>
              <w:rPr>
                <w:sz w:val="20"/>
                <w:szCs w:val="20"/>
                <w:color w:val="auto"/>
              </w:rPr>
            </w:pPr>
            <w:r>
              <w:rPr>
                <w:rFonts w:ascii="Arial" w:cs="Arial" w:eastAsia="Arial" w:hAnsi="Arial"/>
                <w:sz w:val="16"/>
                <w:szCs w:val="16"/>
                <w:color w:val="auto"/>
              </w:rPr>
              <w:t>Operating lease costs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tcPr>
          <w:p>
            <w:pPr>
              <w:ind w:left="740"/>
              <w:spacing w:after="0"/>
              <w:rPr>
                <w:sz w:val="20"/>
                <w:szCs w:val="20"/>
                <w:color w:val="auto"/>
              </w:rPr>
            </w:pPr>
            <w:r>
              <w:rPr>
                <w:rFonts w:ascii="Arial" w:cs="Arial" w:eastAsia="Arial" w:hAnsi="Arial"/>
                <w:sz w:val="16"/>
                <w:szCs w:val="16"/>
                <w:color w:val="auto"/>
              </w:rPr>
              <w:t>7,768</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8,964</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15,857</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17,619</w:t>
            </w:r>
          </w:p>
        </w:tc>
      </w:tr>
      <w:tr>
        <w:trPr>
          <w:trHeight w:val="246"/>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from sub-leases</w:t>
            </w:r>
          </w:p>
        </w:tc>
        <w:tc>
          <w:tcPr>
            <w:tcW w:w="3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(246)</w:t>
            </w:r>
          </w:p>
        </w:tc>
        <w:tc>
          <w:tcPr>
            <w:tcW w:w="5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(547)</w:t>
            </w: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(514)</w:t>
            </w:r>
          </w:p>
        </w:tc>
        <w:tc>
          <w:tcPr>
            <w:tcW w:w="5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(1,067)</w:t>
            </w:r>
          </w:p>
        </w:tc>
      </w:tr>
      <w:tr>
        <w:trPr>
          <w:trHeight w:val="237"/>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operating lease costs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7,522</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8,417</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15,343</w:t>
            </w: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16,552</w:t>
            </w:r>
          </w:p>
        </w:tc>
      </w:tr>
      <w:tr>
        <w:trPr>
          <w:trHeight w:val="27"/>
        </w:trPr>
        <w:tc>
          <w:tcPr>
            <w:tcW w:w="4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Of the total cost of $15.3 million incurred in the six months ended June 30, 2020 (June 30, 2019: $16.6 million), $14.0 million (June 30, 2019: $15.3</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million) is recorded within selling, general and administration costs and $1.3 million (June 30, 2019: $1.3 million) is recorded within direct costs.</w:t>
      </w:r>
    </w:p>
    <w:p>
      <w:pPr>
        <w:spacing w:after="0" w:line="248" w:lineRule="exact"/>
        <w:rPr>
          <w:sz w:val="20"/>
          <w:szCs w:val="20"/>
          <w:color w:val="auto"/>
        </w:rPr>
      </w:pPr>
    </w:p>
    <w:p>
      <w:pPr>
        <w:jc w:val="both"/>
        <w:ind w:right="20" w:firstLine="471"/>
        <w:spacing w:after="0" w:line="260" w:lineRule="auto"/>
        <w:rPr>
          <w:sz w:val="20"/>
          <w:szCs w:val="20"/>
          <w:color w:val="auto"/>
        </w:rPr>
      </w:pPr>
      <w:r>
        <w:rPr>
          <w:rFonts w:ascii="Arial" w:cs="Arial" w:eastAsia="Arial" w:hAnsi="Arial"/>
          <w:sz w:val="16"/>
          <w:szCs w:val="16"/>
          <w:color w:val="auto"/>
        </w:rPr>
        <w:t>During the three and six months ended June 30, 2020 and June 30, 2019, costs incurred by the Group related to variable lease payments was de minimis.</w:t>
      </w:r>
    </w:p>
    <w:p>
      <w:pPr>
        <w:spacing w:after="0" w:line="222" w:lineRule="exact"/>
        <w:rPr>
          <w:sz w:val="20"/>
          <w:szCs w:val="20"/>
          <w:color w:val="auto"/>
        </w:rPr>
      </w:pPr>
    </w:p>
    <w:p>
      <w:pPr>
        <w:jc w:val="both"/>
        <w:ind w:firstLine="493"/>
        <w:spacing w:after="0" w:line="250" w:lineRule="auto"/>
        <w:rPr>
          <w:sz w:val="20"/>
          <w:szCs w:val="20"/>
          <w:color w:val="auto"/>
        </w:rPr>
      </w:pPr>
      <w:r>
        <w:rPr>
          <w:rFonts w:ascii="Arial" w:cs="Arial" w:eastAsia="Arial" w:hAnsi="Arial"/>
          <w:sz w:val="16"/>
          <w:szCs w:val="16"/>
          <w:color w:val="auto"/>
        </w:rPr>
        <w:t xml:space="preserve">Right-of-use assets obtained during the three and six months ended June 30, 2020 net of early termination options, now reasonably certain to be exercised, totaled $(1.4) million and $2.9 million, respectively (June 30, 2019: $4.9 million and $17.9 million respectively). In the three and six months ended June 30, 2020, office consolidations resulted in the recognition of an onerous lease obligation. The right-of-use assets related to these offices have been impaired to the extent they are considered onerous and a loss $5.4 million was recorded (see </w:t>
      </w:r>
      <w:r>
        <w:rPr>
          <w:rFonts w:ascii="Arial" w:cs="Arial" w:eastAsia="Arial" w:hAnsi="Arial"/>
          <w:sz w:val="16"/>
          <w:szCs w:val="16"/>
          <w:i w:val="1"/>
          <w:iCs w:val="1"/>
          <w:color w:val="auto"/>
        </w:rPr>
        <w:t>note 7 - Restructuring</w:t>
      </w:r>
      <w:r>
        <w:rPr>
          <w:rFonts w:ascii="Arial" w:cs="Arial" w:eastAsia="Arial" w:hAnsi="Arial"/>
          <w:sz w:val="16"/>
          <w:szCs w:val="16"/>
          <w:color w:val="auto"/>
        </w:rPr>
        <w:t>). No impairment losses were recognized in the three and six months ended June 30, 2019.</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lease term and weighted-average discount rate at June 30, 2020 were 4.77 years and 2.66%, respectively.</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Future minimum lease payments under non-cancelable leases as of June 30, 2020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06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Minimum rental</w:t>
            </w:r>
          </w:p>
        </w:tc>
      </w:tr>
      <w:tr>
        <w:trPr>
          <w:trHeight w:val="234"/>
        </w:trPr>
        <w:tc>
          <w:tcPr>
            <w:tcW w:w="606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ind w:left="599"/>
              <w:spacing w:after="0"/>
              <w:rPr>
                <w:sz w:val="20"/>
                <w:szCs w:val="20"/>
                <w:color w:val="auto"/>
              </w:rPr>
            </w:pPr>
            <w:r>
              <w:rPr>
                <w:rFonts w:ascii="Arial" w:cs="Arial" w:eastAsia="Arial" w:hAnsi="Arial"/>
                <w:sz w:val="16"/>
                <w:szCs w:val="16"/>
                <w:b w:val="1"/>
                <w:bCs w:val="1"/>
                <w:color w:val="auto"/>
              </w:rPr>
              <w:t>payments</w:t>
            </w:r>
          </w:p>
        </w:tc>
      </w:tr>
      <w:tr>
        <w:trPr>
          <w:trHeight w:val="233"/>
        </w:trPr>
        <w:tc>
          <w:tcPr>
            <w:tcW w:w="60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46"/>
        </w:trPr>
        <w:tc>
          <w:tcPr>
            <w:tcW w:w="6060" w:type="dxa"/>
            <w:vAlign w:val="bottom"/>
            <w:tcBorders>
              <w:bottom w:val="single" w:sz="8" w:color="auto"/>
            </w:tcBorders>
            <w:shd w:val="clear" w:color="auto" w:fill="CCEEFF"/>
          </w:tcPr>
          <w:p>
            <w:pPr>
              <w:spacing w:after="0"/>
              <w:rPr>
                <w:sz w:val="21"/>
                <w:szCs w:val="21"/>
                <w:color w:val="auto"/>
              </w:rPr>
            </w:pPr>
          </w:p>
        </w:tc>
        <w:tc>
          <w:tcPr>
            <w:tcW w:w="37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June 30, 2020</w:t>
            </w:r>
          </w:p>
        </w:tc>
      </w:tr>
      <w:tr>
        <w:trPr>
          <w:trHeight w:val="233"/>
        </w:trPr>
        <w:tc>
          <w:tcPr>
            <w:tcW w:w="6060" w:type="dxa"/>
            <w:vAlign w:val="bottom"/>
          </w:tcPr>
          <w:p>
            <w:pPr>
              <w:ind w:left="20"/>
              <w:spacing w:after="0"/>
              <w:rPr>
                <w:sz w:val="20"/>
                <w:szCs w:val="20"/>
                <w:color w:val="auto"/>
              </w:rPr>
            </w:pPr>
            <w:r>
              <w:rPr>
                <w:rFonts w:ascii="Arial" w:cs="Arial" w:eastAsia="Arial" w:hAnsi="Arial"/>
                <w:sz w:val="16"/>
                <w:szCs w:val="16"/>
                <w:color w:val="auto"/>
              </w:rPr>
              <w:t>Due within 1 year</w:t>
            </w:r>
          </w:p>
        </w:tc>
        <w:tc>
          <w:tcPr>
            <w:tcW w:w="37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80" w:type="dxa"/>
            <w:vAlign w:val="bottom"/>
          </w:tcPr>
          <w:p>
            <w:pPr>
              <w:jc w:val="center"/>
              <w:ind w:left="599"/>
              <w:spacing w:after="0"/>
              <w:rPr>
                <w:sz w:val="20"/>
                <w:szCs w:val="20"/>
                <w:color w:val="auto"/>
              </w:rPr>
            </w:pPr>
            <w:r>
              <w:rPr>
                <w:rFonts w:ascii="Arial" w:cs="Arial" w:eastAsia="Arial" w:hAnsi="Arial"/>
                <w:sz w:val="16"/>
                <w:szCs w:val="16"/>
                <w:color w:val="auto"/>
                <w:w w:val="98"/>
              </w:rPr>
              <w:t>25,095</w:t>
            </w:r>
          </w:p>
        </w:tc>
      </w:tr>
      <w:tr>
        <w:trPr>
          <w:trHeight w:val="25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between 1 and 5 years</w:t>
            </w:r>
          </w:p>
        </w:tc>
        <w:tc>
          <w:tcPr>
            <w:tcW w:w="37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left="599"/>
              <w:spacing w:after="0"/>
              <w:rPr>
                <w:sz w:val="20"/>
                <w:szCs w:val="20"/>
                <w:color w:val="auto"/>
              </w:rPr>
            </w:pPr>
            <w:r>
              <w:rPr>
                <w:rFonts w:ascii="Arial" w:cs="Arial" w:eastAsia="Arial" w:hAnsi="Arial"/>
                <w:sz w:val="16"/>
                <w:szCs w:val="16"/>
                <w:color w:val="auto"/>
                <w:w w:val="98"/>
              </w:rPr>
              <w:t>55,632</w:t>
            </w:r>
          </w:p>
        </w:tc>
      </w:tr>
      <w:tr>
        <w:trPr>
          <w:trHeight w:val="250"/>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37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color w:val="auto"/>
                <w:w w:val="98"/>
              </w:rPr>
              <w:t>12,369</w:t>
            </w:r>
          </w:p>
        </w:tc>
      </w:tr>
      <w:tr>
        <w:trPr>
          <w:trHeight w:val="24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future minimum lease payments</w:t>
            </w:r>
          </w:p>
        </w:tc>
        <w:tc>
          <w:tcPr>
            <w:tcW w:w="37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left="599"/>
              <w:spacing w:after="0"/>
              <w:rPr>
                <w:sz w:val="20"/>
                <w:szCs w:val="20"/>
                <w:color w:val="auto"/>
              </w:rPr>
            </w:pPr>
            <w:r>
              <w:rPr>
                <w:rFonts w:ascii="Arial" w:cs="Arial" w:eastAsia="Arial" w:hAnsi="Arial"/>
                <w:sz w:val="16"/>
                <w:szCs w:val="16"/>
                <w:color w:val="auto"/>
                <w:w w:val="98"/>
              </w:rPr>
              <w:t>93,096</w:t>
            </w:r>
          </w:p>
        </w:tc>
      </w:tr>
      <w:tr>
        <w:trPr>
          <w:trHeight w:val="250"/>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Lease imputed interest</w:t>
            </w:r>
          </w:p>
        </w:tc>
        <w:tc>
          <w:tcPr>
            <w:tcW w:w="37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(6,027)</w:t>
            </w:r>
          </w:p>
        </w:tc>
      </w:tr>
      <w:tr>
        <w:trPr>
          <w:trHeight w:val="262"/>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7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center"/>
              <w:ind w:left="599"/>
              <w:spacing w:after="0"/>
              <w:rPr>
                <w:sz w:val="20"/>
                <w:szCs w:val="20"/>
                <w:color w:val="auto"/>
              </w:rPr>
            </w:pPr>
            <w:r>
              <w:rPr>
                <w:rFonts w:ascii="Arial" w:cs="Arial" w:eastAsia="Arial" w:hAnsi="Arial"/>
                <w:sz w:val="16"/>
                <w:szCs w:val="16"/>
                <w:color w:val="auto"/>
                <w:w w:val="98"/>
              </w:rPr>
              <w:t>87,069</w:t>
            </w: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37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6"/>
          <w:szCs w:val="16"/>
          <w:color w:val="auto"/>
        </w:rPr>
        <w:t>Operating lease liabilities are presented as current and non-current. Operating lease liabilities of $23.1 million have been included in other liabilities as at June 30, 2020 (June 30, 2019: $29.0 million).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Income taxes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Income taxes recognized during the three and six months ended June 30, 2020 and June 30, 2019, comprise:</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640" w:type="dxa"/>
            <w:vAlign w:val="bottom"/>
            <w:tcBorders>
              <w:bottom w:val="single" w:sz="8" w:color="auto"/>
            </w:tcBorders>
            <w:gridSpan w:val="3"/>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shd w:val="clear" w:color="auto" w:fill="CCEEFF"/>
          </w:tcPr>
          <w:p>
            <w:pPr>
              <w:spacing w:after="0"/>
              <w:rPr>
                <w:sz w:val="20"/>
                <w:szCs w:val="20"/>
                <w:color w:val="auto"/>
              </w:rPr>
            </w:pPr>
          </w:p>
        </w:tc>
        <w:tc>
          <w:tcPr>
            <w:tcW w:w="2580" w:type="dxa"/>
            <w:vAlign w:val="bottom"/>
            <w:tcBorders>
              <w:bottom w:val="single" w:sz="8" w:color="auto"/>
            </w:tcBorders>
            <w:gridSpan w:val="3"/>
            <w:shd w:val="clear" w:color="auto" w:fill="CCEEFF"/>
          </w:tcPr>
          <w:p>
            <w:pPr>
              <w:ind w:left="500"/>
              <w:spacing w:after="0"/>
              <w:rPr>
                <w:sz w:val="20"/>
                <w:szCs w:val="20"/>
                <w:color w:val="auto"/>
              </w:rPr>
            </w:pPr>
            <w:r>
              <w:rPr>
                <w:rFonts w:ascii="Arial" w:cs="Arial" w:eastAsia="Arial" w:hAnsi="Arial"/>
                <w:sz w:val="16"/>
                <w:szCs w:val="16"/>
                <w:b w:val="1"/>
                <w:bCs w:val="1"/>
                <w:color w:val="auto"/>
              </w:rPr>
              <w:t>Six Months Ended</w:t>
            </w:r>
          </w:p>
        </w:tc>
      </w:tr>
      <w:tr>
        <w:trPr>
          <w:trHeight w:val="234"/>
        </w:trPr>
        <w:tc>
          <w:tcPr>
            <w:tcW w:w="5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2019</w:t>
            </w:r>
          </w:p>
        </w:tc>
      </w:tr>
      <w:tr>
        <w:trPr>
          <w:trHeight w:val="243"/>
        </w:trPr>
        <w:tc>
          <w:tcPr>
            <w:tcW w:w="56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40" w:type="dxa"/>
            <w:vAlign w:val="bottom"/>
            <w:gridSpan w:val="3"/>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(in thousands)</w:t>
            </w:r>
          </w:p>
        </w:tc>
        <w:tc>
          <w:tcPr>
            <w:tcW w:w="220" w:type="dxa"/>
            <w:vAlign w:val="bottom"/>
            <w:shd w:val="clear" w:color="auto" w:fill="CCEEFF"/>
          </w:tcPr>
          <w:p>
            <w:pPr>
              <w:spacing w:after="0"/>
              <w:rPr>
                <w:sz w:val="21"/>
                <w:szCs w:val="21"/>
                <w:color w:val="auto"/>
              </w:rPr>
            </w:pPr>
          </w:p>
        </w:tc>
        <w:tc>
          <w:tcPr>
            <w:tcW w:w="2580" w:type="dxa"/>
            <w:vAlign w:val="bottom"/>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left="299"/>
              <w:spacing w:after="0"/>
              <w:rPr>
                <w:sz w:val="20"/>
                <w:szCs w:val="20"/>
                <w:color w:val="auto"/>
              </w:rPr>
            </w:pPr>
            <w:r>
              <w:rPr>
                <w:rFonts w:ascii="Arial" w:cs="Arial" w:eastAsia="Arial" w:hAnsi="Arial"/>
                <w:sz w:val="16"/>
                <w:szCs w:val="16"/>
                <w:color w:val="auto"/>
              </w:rPr>
              <w:t>8,671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12,456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ind w:left="500"/>
              <w:spacing w:after="0"/>
              <w:rPr>
                <w:sz w:val="20"/>
                <w:szCs w:val="20"/>
                <w:color w:val="auto"/>
              </w:rPr>
            </w:pPr>
            <w:r>
              <w:rPr>
                <w:rFonts w:ascii="Arial" w:cs="Arial" w:eastAsia="Arial" w:hAnsi="Arial"/>
                <w:sz w:val="16"/>
                <w:szCs w:val="16"/>
                <w:color w:val="auto"/>
              </w:rPr>
              <w:t>21,261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24,496</w:t>
            </w:r>
          </w:p>
        </w:tc>
      </w:tr>
      <w:tr>
        <w:trPr>
          <w:trHeight w:val="260"/>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Tax impact of restructuring and other items</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center"/>
              <w:ind w:left="279"/>
              <w:spacing w:after="0"/>
              <w:rPr>
                <w:sz w:val="20"/>
                <w:szCs w:val="20"/>
                <w:color w:val="auto"/>
              </w:rPr>
            </w:pPr>
            <w:r>
              <w:rPr>
                <w:rFonts w:ascii="Arial" w:cs="Arial" w:eastAsia="Arial" w:hAnsi="Arial"/>
                <w:sz w:val="16"/>
                <w:szCs w:val="16"/>
                <w:color w:val="auto"/>
              </w:rPr>
              <w:t>(2,261)</w:t>
            </w: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(2,261)</w:t>
            </w: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color w:val="auto"/>
              </w:rPr>
              <w:t>6,410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12,456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19,000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24,496</w:t>
            </w:r>
          </w:p>
        </w:tc>
      </w:tr>
      <w:tr>
        <w:trPr>
          <w:trHeight w:val="27"/>
        </w:trPr>
        <w:tc>
          <w:tcPr>
            <w:tcW w:w="5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jc w:val="both"/>
        <w:ind w:firstLine="560"/>
        <w:spacing w:after="0" w:line="251" w:lineRule="auto"/>
        <w:rPr>
          <w:sz w:val="20"/>
          <w:szCs w:val="20"/>
          <w:color w:val="auto"/>
        </w:rPr>
      </w:pPr>
      <w:r>
        <w:rPr>
          <w:rFonts w:ascii="Arial" w:cs="Arial" w:eastAsia="Arial" w:hAnsi="Arial"/>
          <w:sz w:val="16"/>
          <w:szCs w:val="16"/>
          <w:color w:val="auto"/>
        </w:rPr>
        <w:t>As at June 30, 2020 the Company maintains a $19.3 million liability (December 31, 2019: $21.3 million) for unrecognized tax benefit, which is comprised of $18.9 million (December 31, 2019: $20.2 million) related to items generating unrecognized tax benefits and $0.4 million (December 31, 2019: $1.1 million) for interest and related penalties to such items. The Company recognizes interest accrued on unrecognized tax benefits as an additional income tax expense.</w:t>
      </w:r>
    </w:p>
    <w:p>
      <w:pPr>
        <w:spacing w:after="0" w:line="229" w:lineRule="exact"/>
        <w:rPr>
          <w:sz w:val="20"/>
          <w:szCs w:val="20"/>
          <w:color w:val="auto"/>
        </w:rPr>
      </w:pPr>
    </w:p>
    <w:p>
      <w:pPr>
        <w:jc w:val="both"/>
        <w:ind w:firstLine="489"/>
        <w:spacing w:after="0" w:line="251" w:lineRule="auto"/>
        <w:rPr>
          <w:sz w:val="20"/>
          <w:szCs w:val="20"/>
          <w:color w:val="auto"/>
        </w:rPr>
      </w:pPr>
      <w:r>
        <w:rPr>
          <w:rFonts w:ascii="Arial" w:cs="Arial" w:eastAsia="Arial" w:hAnsi="Arial"/>
          <w:sz w:val="16"/>
          <w:szCs w:val="16"/>
          <w:color w:val="auto"/>
        </w:rPr>
        <w:t>The Company has analyzed the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2015 through 2019 tax years. The Company does not believe that the outcome of any examination will have a material impact on its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Net income per ordinary share</w:t>
      </w:r>
    </w:p>
    <w:p>
      <w:pPr>
        <w:spacing w:after="0" w:line="268" w:lineRule="exact"/>
        <w:rPr>
          <w:sz w:val="20"/>
          <w:szCs w:val="20"/>
          <w:color w:val="auto"/>
        </w:rPr>
      </w:pPr>
    </w:p>
    <w:p>
      <w:pPr>
        <w:jc w:val="both"/>
        <w:ind w:firstLine="468"/>
        <w:spacing w:after="0" w:line="260" w:lineRule="auto"/>
        <w:rPr>
          <w:sz w:val="20"/>
          <w:szCs w:val="20"/>
          <w:color w:val="auto"/>
        </w:rPr>
      </w:pPr>
      <w:r>
        <w:rPr>
          <w:rFonts w:ascii="Arial" w:cs="Arial" w:eastAsia="Arial" w:hAnsi="Arial"/>
          <w:sz w:val="16"/>
          <w:szCs w:val="16"/>
          <w:color w:val="auto"/>
        </w:rPr>
        <w:t>Basic net income per ordinary share attributable to the Group has been computed by dividing net income available to ordinary shareholders by the weighted average number of ordinary shares outstanding during the period.</w:t>
      </w:r>
    </w:p>
    <w:p>
      <w:pPr>
        <w:spacing w:after="0" w:line="222" w:lineRule="exact"/>
        <w:rPr>
          <w:sz w:val="20"/>
          <w:szCs w:val="20"/>
          <w:color w:val="auto"/>
        </w:rPr>
      </w:pPr>
    </w:p>
    <w:p>
      <w:pPr>
        <w:jc w:val="both"/>
        <w:ind w:firstLine="418"/>
        <w:spacing w:after="0" w:line="253" w:lineRule="auto"/>
        <w:rPr>
          <w:sz w:val="20"/>
          <w:szCs w:val="20"/>
          <w:color w:val="auto"/>
        </w:rPr>
      </w:pPr>
      <w:r>
        <w:rPr>
          <w:rFonts w:ascii="Arial" w:cs="Arial" w:eastAsia="Arial" w:hAnsi="Arial"/>
          <w:sz w:val="16"/>
          <w:szCs w:val="16"/>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There is no difference in net income used for basic and diluted net income per ordinary share.</w:t>
      </w:r>
    </w:p>
    <w:p>
      <w:pPr>
        <w:spacing w:after="0" w:line="248" w:lineRule="exact"/>
        <w:rPr>
          <w:sz w:val="20"/>
          <w:szCs w:val="20"/>
          <w:color w:val="auto"/>
        </w:rPr>
      </w:pPr>
    </w:p>
    <w:p>
      <w:pPr>
        <w:jc w:val="both"/>
        <w:ind w:firstLine="444"/>
        <w:spacing w:after="0" w:line="260" w:lineRule="auto"/>
        <w:rPr>
          <w:sz w:val="20"/>
          <w:szCs w:val="20"/>
          <w:color w:val="auto"/>
        </w:rPr>
      </w:pPr>
      <w:r>
        <w:rPr>
          <w:rFonts w:ascii="Arial" w:cs="Arial" w:eastAsia="Arial" w:hAnsi="Arial"/>
          <w:sz w:val="16"/>
          <w:szCs w:val="16"/>
          <w:color w:val="auto"/>
        </w:rPr>
        <w:t>Basic and diluted net income per ordinary share attributable to the Group includes the adjustment to reflect the accretion of the noncontrolling interest in MeDiNova to its redemption value.</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reconciliation of the number of shares used in the computation of basic and diluted net income per ordinary share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20" w:type="dxa"/>
            <w:vAlign w:val="bottom"/>
            <w:shd w:val="clear" w:color="auto" w:fill="CCEEFF"/>
          </w:tcPr>
          <w:p>
            <w:pPr>
              <w:spacing w:after="0"/>
              <w:rPr>
                <w:sz w:val="20"/>
                <w:szCs w:val="20"/>
                <w:color w:val="auto"/>
              </w:rPr>
            </w:pPr>
          </w:p>
        </w:tc>
        <w:tc>
          <w:tcPr>
            <w:tcW w:w="2860" w:type="dxa"/>
            <w:vAlign w:val="bottom"/>
            <w:tcBorders>
              <w:bottom w:val="single" w:sz="8" w:color="auto"/>
            </w:tcBorders>
            <w:gridSpan w:val="2"/>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c>
          <w:tcPr>
            <w:tcW w:w="2660" w:type="dxa"/>
            <w:vAlign w:val="bottom"/>
            <w:tcBorders>
              <w:bottom w:val="single" w:sz="8" w:color="auto"/>
            </w:tcBorders>
            <w:gridSpan w:val="2"/>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Six Months Ended</w:t>
            </w:r>
          </w:p>
        </w:tc>
      </w:tr>
      <w:tr>
        <w:trPr>
          <w:trHeight w:val="234"/>
        </w:trPr>
        <w:tc>
          <w:tcPr>
            <w:tcW w:w="57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June 30, 2020</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June 30, 2019</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June 30, 2020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2019</w:t>
            </w:r>
          </w:p>
        </w:tc>
      </w:tr>
      <w:tr>
        <w:trPr>
          <w:trHeight w:val="218"/>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ordinary shares outstanding for basic net income</w:t>
            </w:r>
          </w:p>
        </w:tc>
        <w:tc>
          <w:tcPr>
            <w:tcW w:w="1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4"/>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ordinary share</w:t>
            </w:r>
          </w:p>
        </w:tc>
        <w:tc>
          <w:tcPr>
            <w:tcW w:w="1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52,570,104</w:t>
            </w: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53,957,446</w:t>
            </w: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52,959,229</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53,901,427</w:t>
            </w:r>
          </w:p>
        </w:tc>
      </w:tr>
      <w:tr>
        <w:trPr>
          <w:trHeight w:val="250"/>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dilutive share options outstanding</w:t>
            </w:r>
          </w:p>
        </w:tc>
        <w:tc>
          <w:tcPr>
            <w:tcW w:w="1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458,463</w:t>
            </w: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491,671</w:t>
            </w: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731,909</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454,278</w:t>
            </w:r>
          </w:p>
        </w:tc>
      </w:tr>
      <w:tr>
        <w:trPr>
          <w:trHeight w:val="218"/>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ordinary shares outstanding for diluted net</w:t>
            </w:r>
          </w:p>
        </w:tc>
        <w:tc>
          <w:tcPr>
            <w:tcW w:w="1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3"/>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per ordinary share</w:t>
            </w:r>
          </w:p>
        </w:tc>
        <w:tc>
          <w:tcPr>
            <w:tcW w:w="14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53,028,567</w:t>
            </w:r>
          </w:p>
        </w:tc>
        <w:tc>
          <w:tcPr>
            <w:tcW w:w="14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54,449,117</w:t>
            </w:r>
          </w:p>
        </w:tc>
        <w:tc>
          <w:tcPr>
            <w:tcW w:w="14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53,691,138</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54,355,705</w:t>
            </w:r>
          </w:p>
        </w:tc>
      </w:tr>
      <w:tr>
        <w:trPr>
          <w:trHeight w:val="20"/>
        </w:trPr>
        <w:tc>
          <w:tcPr>
            <w:tcW w:w="57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ind w:right="540" w:firstLine="357"/>
        <w:spacing w:after="0" w:line="260" w:lineRule="auto"/>
        <w:rPr>
          <w:sz w:val="20"/>
          <w:szCs w:val="20"/>
          <w:color w:val="auto"/>
        </w:rPr>
      </w:pPr>
      <w:r>
        <w:rPr>
          <w:rFonts w:ascii="Arial" w:cs="Arial" w:eastAsia="Arial" w:hAnsi="Arial"/>
          <w:sz w:val="16"/>
          <w:szCs w:val="16"/>
          <w:color w:val="auto"/>
        </w:rPr>
        <w:t>The reconciliation of net income attributable to the Group and net income attributable to the group (including NCI redemption amount) as used to calculate net income per ordinary share attributable to the Group is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640" w:type="dxa"/>
            <w:vAlign w:val="bottom"/>
            <w:tcBorders>
              <w:bottom w:val="single" w:sz="8" w:color="auto"/>
            </w:tcBorders>
            <w:gridSpan w:val="3"/>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shd w:val="clear" w:color="auto" w:fill="CCEEFF"/>
          </w:tcPr>
          <w:p>
            <w:pPr>
              <w:spacing w:after="0"/>
              <w:rPr>
                <w:sz w:val="20"/>
                <w:szCs w:val="20"/>
                <w:color w:val="auto"/>
              </w:rPr>
            </w:pPr>
          </w:p>
        </w:tc>
        <w:tc>
          <w:tcPr>
            <w:tcW w:w="2620" w:type="dxa"/>
            <w:vAlign w:val="bottom"/>
            <w:tcBorders>
              <w:bottom w:val="single" w:sz="8" w:color="auto"/>
            </w:tcBorders>
            <w:gridSpan w:val="3"/>
            <w:shd w:val="clear" w:color="auto" w:fill="CCEEFF"/>
          </w:tcPr>
          <w:p>
            <w:pPr>
              <w:ind w:left="520"/>
              <w:spacing w:after="0"/>
              <w:rPr>
                <w:sz w:val="20"/>
                <w:szCs w:val="20"/>
                <w:color w:val="auto"/>
              </w:rPr>
            </w:pPr>
            <w:r>
              <w:rPr>
                <w:rFonts w:ascii="Arial" w:cs="Arial" w:eastAsia="Arial" w:hAnsi="Arial"/>
                <w:sz w:val="16"/>
                <w:szCs w:val="16"/>
                <w:b w:val="1"/>
                <w:bCs w:val="1"/>
                <w:color w:val="auto"/>
              </w:rPr>
              <w:t>Six Months Ended</w:t>
            </w:r>
          </w:p>
        </w:tc>
      </w:tr>
      <w:tr>
        <w:trPr>
          <w:trHeight w:val="234"/>
        </w:trPr>
        <w:tc>
          <w:tcPr>
            <w:tcW w:w="5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2019</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June 30, 2020</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2019</w:t>
            </w:r>
          </w:p>
        </w:tc>
      </w:tr>
      <w:tr>
        <w:trPr>
          <w:trHeight w:val="243"/>
        </w:trPr>
        <w:tc>
          <w:tcPr>
            <w:tcW w:w="5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40" w:type="dxa"/>
            <w:vAlign w:val="bottom"/>
            <w:gridSpan w:val="3"/>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21"/>
                <w:szCs w:val="21"/>
                <w:color w:val="auto"/>
              </w:rPr>
            </w:pPr>
          </w:p>
        </w:tc>
        <w:tc>
          <w:tcPr>
            <w:tcW w:w="2620" w:type="dxa"/>
            <w:vAlign w:val="bottom"/>
            <w:gridSpan w:val="3"/>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5560" w:type="dxa"/>
            <w:vAlign w:val="bottom"/>
          </w:tcPr>
          <w:p>
            <w:pPr>
              <w:ind w:left="20"/>
              <w:spacing w:after="0"/>
              <w:rPr>
                <w:sz w:val="20"/>
                <w:szCs w:val="20"/>
                <w:color w:val="auto"/>
              </w:rPr>
            </w:pPr>
            <w:r>
              <w:rPr>
                <w:rFonts w:ascii="Arial" w:cs="Arial" w:eastAsia="Arial" w:hAnsi="Arial"/>
                <w:sz w:val="16"/>
                <w:szCs w:val="16"/>
                <w:color w:val="auto"/>
              </w:rPr>
              <w:t>Net income attributable to the Group</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47,760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91,857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139,456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180,154</w:t>
            </w:r>
          </w:p>
        </w:tc>
      </w:tr>
      <w:tr>
        <w:trPr>
          <w:trHeight w:val="260"/>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 adjustment to redemption amount</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(4,522)</w:t>
            </w:r>
          </w:p>
        </w:tc>
        <w:tc>
          <w:tcPr>
            <w:tcW w:w="2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6"/>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attributable to the Group (including NCI redemption adjustment)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47,760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91,857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134,934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180,154</w:t>
            </w:r>
          </w:p>
        </w:tc>
      </w:tr>
      <w:tr>
        <w:trPr>
          <w:trHeight w:val="21"/>
        </w:trPr>
        <w:tc>
          <w:tcPr>
            <w:tcW w:w="5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3"/>
        </w:trPr>
        <w:tc>
          <w:tcPr>
            <w:tcW w:w="5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Six Months Ended</w:t>
            </w:r>
          </w:p>
        </w:tc>
      </w:tr>
      <w:tr>
        <w:trPr>
          <w:trHeight w:val="237"/>
        </w:trPr>
        <w:tc>
          <w:tcPr>
            <w:tcW w:w="55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June 30, 2019</w:t>
            </w: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June 30, 2020</w:t>
            </w:r>
          </w:p>
        </w:tc>
        <w:tc>
          <w:tcPr>
            <w:tcW w:w="2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June 30, 2019</w:t>
            </w:r>
          </w:p>
        </w:tc>
      </w:tr>
      <w:tr>
        <w:trPr>
          <w:trHeight w:val="198"/>
        </w:trPr>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Net income per Ordinary Share attributable to the Group (including NCI</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4"/>
        </w:trPr>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redemption adjustment):</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3"/>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0.91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2.55</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3.34</w:t>
            </w:r>
          </w:p>
        </w:tc>
      </w:tr>
      <w:tr>
        <w:trPr>
          <w:trHeight w:val="237"/>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0.90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2.51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3.31</w:t>
            </w:r>
          </w:p>
        </w:tc>
      </w:tr>
      <w:tr>
        <w:trPr>
          <w:trHeight w:val="27"/>
        </w:trPr>
        <w:tc>
          <w:tcPr>
            <w:tcW w:w="5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Share-based awards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Options</w:t>
      </w:r>
    </w:p>
    <w:p>
      <w:pPr>
        <w:spacing w:after="0" w:line="264"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230" w:lineRule="exact"/>
        <w:rPr>
          <w:sz w:val="20"/>
          <w:szCs w:val="20"/>
          <w:color w:val="auto"/>
        </w:rPr>
      </w:pPr>
    </w:p>
    <w:p>
      <w:pPr>
        <w:jc w:val="both"/>
        <w:ind w:firstLine="377"/>
        <w:spacing w:after="0" w:line="253" w:lineRule="auto"/>
        <w:rPr>
          <w:sz w:val="20"/>
          <w:szCs w:val="20"/>
          <w:color w:val="auto"/>
        </w:rPr>
      </w:pPr>
      <w:r>
        <w:rPr>
          <w:rFonts w:ascii="Arial" w:cs="Arial" w:eastAsia="Arial" w:hAnsi="Arial"/>
          <w:sz w:val="16"/>
          <w:szCs w:val="16"/>
          <w:color w:val="auto"/>
        </w:rPr>
        <w:t>On February 14, 2017, both the 2008 Employee Plan and the 2008 Consultants Plan (together the “2008 Option Plans”) were amended and restated in order to increase the number of options that can be issued under the 2008 Consultants Plan from 0.4 million to 1.0 million and to extend the date for options to be granted under the 2008 Option Plans.</w:t>
      </w:r>
    </w:p>
    <w:p>
      <w:pPr>
        <w:spacing w:after="0" w:line="228" w:lineRule="exact"/>
        <w:rPr>
          <w:sz w:val="20"/>
          <w:szCs w:val="20"/>
          <w:color w:val="auto"/>
        </w:rPr>
      </w:pPr>
    </w:p>
    <w:p>
      <w:pPr>
        <w:jc w:val="both"/>
        <w:ind w:firstLine="469"/>
        <w:spacing w:after="0" w:line="250"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No options may be granted under the 2008 Option Plans after February 14, 2027.</w:t>
      </w:r>
    </w:p>
    <w:p>
      <w:pPr>
        <w:spacing w:after="0" w:line="230"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6"/>
          <w:szCs w:val="16"/>
          <w:color w:val="auto"/>
        </w:rPr>
        <w:t>Each option granted under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29" w:lineRule="exact"/>
        <w:rPr>
          <w:sz w:val="20"/>
          <w:szCs w:val="20"/>
          <w:color w:val="auto"/>
        </w:rPr>
      </w:pPr>
    </w:p>
    <w:p>
      <w:pPr>
        <w:jc w:val="both"/>
        <w:ind w:firstLine="461"/>
        <w:spacing w:after="0" w:line="248" w:lineRule="auto"/>
        <w:rPr>
          <w:sz w:val="20"/>
          <w:szCs w:val="20"/>
          <w:color w:val="auto"/>
        </w:rPr>
      </w:pPr>
      <w:r>
        <w:rPr>
          <w:rFonts w:ascii="Arial" w:cs="Arial" w:eastAsia="Arial" w:hAnsi="Arial"/>
          <w:sz w:val="16"/>
          <w:szCs w:val="16"/>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0.4 million ordinary shares. The 2003 Share Option Plan expired on January 17, 2013. No new options may be granted under this plan.</w:t>
      </w:r>
    </w:p>
    <w:p>
      <w:pPr>
        <w:spacing w:after="0" w:line="235" w:lineRule="exact"/>
        <w:rPr>
          <w:sz w:val="20"/>
          <w:szCs w:val="20"/>
          <w:color w:val="auto"/>
        </w:rPr>
      </w:pPr>
    </w:p>
    <w:p>
      <w:pPr>
        <w:jc w:val="both"/>
        <w:ind w:firstLine="366"/>
        <w:spacing w:after="0" w:line="252" w:lineRule="auto"/>
        <w:rPr>
          <w:sz w:val="20"/>
          <w:szCs w:val="20"/>
          <w:color w:val="auto"/>
        </w:rPr>
      </w:pPr>
      <w:r>
        <w:rPr>
          <w:rFonts w:ascii="Arial" w:cs="Arial" w:eastAsia="Arial" w:hAnsi="Arial"/>
          <w:sz w:val="16"/>
          <w:szCs w:val="16"/>
          <w:color w:val="auto"/>
        </w:rPr>
        <w:t>Share option awards are granted with an exercise price equal to the market price of the Company’s shares at date of grant. Prior to 2018, share options typically vest over a period of five years from date of grant and expire eight years from date of grant. Share options granted to non-executive directors during 2018 vest over 12 months and expire eight years from the date of grant. The maximum contractual term of options outstanding at June 30, 2020 is eight years.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0" w:name="page21"/>
    <w:bookmarkEnd w:id="20"/>
    <w:p>
      <w:pPr>
        <w:ind w:left="360"/>
        <w:spacing w:after="0"/>
        <w:rPr>
          <w:sz w:val="20"/>
          <w:szCs w:val="20"/>
          <w:color w:val="auto"/>
        </w:rPr>
      </w:pPr>
      <w:r>
        <w:rPr>
          <w:rFonts w:ascii="Arial" w:cs="Arial" w:eastAsia="Arial" w:hAnsi="Arial"/>
          <w:sz w:val="16"/>
          <w:szCs w:val="16"/>
          <w:color w:val="auto"/>
        </w:rPr>
        <w:t>The following table summarizes option activity for the six months ended June 30,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8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4080" w:type="dxa"/>
            <w:vAlign w:val="bottom"/>
            <w:shd w:val="clear" w:color="auto" w:fill="CCEEFF"/>
          </w:tcPr>
          <w:p>
            <w:pPr>
              <w:spacing w:after="0"/>
              <w:rPr>
                <w:sz w:val="16"/>
                <w:szCs w:val="16"/>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Options</w:t>
            </w: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Weighted</w:t>
            </w: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Weighted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080" w:type="dxa"/>
            <w:vAlign w:val="bottom"/>
            <w:shd w:val="clear" w:color="auto" w:fill="CCEEFF"/>
          </w:tcPr>
          <w:p>
            <w:pPr>
              <w:spacing w:after="0"/>
              <w:rPr>
                <w:sz w:val="16"/>
                <w:szCs w:val="16"/>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Outstanding</w:t>
            </w: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Average</w:t>
            </w: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Average Grant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4080" w:type="dxa"/>
            <w:vAlign w:val="bottom"/>
            <w:shd w:val="clear" w:color="auto" w:fill="CCEEFF"/>
          </w:tcPr>
          <w:p>
            <w:pPr>
              <w:spacing w:after="0"/>
              <w:rPr>
                <w:sz w:val="16"/>
                <w:szCs w:val="16"/>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Number of</w:t>
            </w: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Exercise</w:t>
            </w: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Date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Contractual</w:t>
            </w:r>
          </w:p>
        </w:tc>
      </w:tr>
      <w:tr>
        <w:trPr>
          <w:trHeight w:val="228"/>
        </w:trPr>
        <w:tc>
          <w:tcPr>
            <w:tcW w:w="4080" w:type="dxa"/>
            <w:vAlign w:val="bottom"/>
            <w:tcBorders>
              <w:bottom w:val="single" w:sz="8" w:color="auto"/>
            </w:tcBorders>
            <w:shd w:val="clear" w:color="auto" w:fill="CCEEFF"/>
          </w:tcPr>
          <w:p>
            <w:pPr>
              <w:spacing w:after="0"/>
              <w:rPr>
                <w:sz w:val="19"/>
                <w:szCs w:val="19"/>
                <w:color w:val="auto"/>
              </w:rPr>
            </w:pPr>
          </w:p>
        </w:tc>
        <w:tc>
          <w:tcPr>
            <w:tcW w:w="2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Price</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Fair Value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Life</w:t>
            </w:r>
          </w:p>
        </w:tc>
      </w:tr>
      <w:tr>
        <w:trPr>
          <w:trHeight w:val="25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December 31, 2019</w:t>
            </w:r>
          </w:p>
        </w:tc>
        <w:tc>
          <w:tcPr>
            <w:tcW w:w="2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656,107</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87.80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26.60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w:t>
            </w: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2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107,737</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159.83</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42.43</w:t>
            </w:r>
          </w:p>
        </w:tc>
        <w:tc>
          <w:tcPr>
            <w:tcW w:w="1240" w:type="dxa"/>
            <w:vAlign w:val="bottom"/>
            <w:shd w:val="clear" w:color="auto" w:fill="CCEEFF"/>
          </w:tcPr>
          <w:p>
            <w:pPr>
              <w:spacing w:after="0"/>
              <w:rPr>
                <w:sz w:val="21"/>
                <w:szCs w:val="21"/>
                <w:color w:val="auto"/>
              </w:rPr>
            </w:pPr>
          </w:p>
        </w:tc>
      </w:tr>
      <w:tr>
        <w:trPr>
          <w:trHeight w:val="233"/>
        </w:trPr>
        <w:tc>
          <w:tcPr>
            <w:tcW w:w="4080" w:type="dxa"/>
            <w:vAlign w:val="bottom"/>
          </w:tcPr>
          <w:p>
            <w:pPr>
              <w:ind w:left="20"/>
              <w:spacing w:after="0"/>
              <w:rPr>
                <w:sz w:val="20"/>
                <w:szCs w:val="20"/>
                <w:color w:val="auto"/>
              </w:rPr>
            </w:pPr>
            <w:r>
              <w:rPr>
                <w:rFonts w:ascii="Arial" w:cs="Arial" w:eastAsia="Arial" w:hAnsi="Arial"/>
                <w:sz w:val="16"/>
                <w:szCs w:val="16"/>
                <w:color w:val="auto"/>
              </w:rPr>
              <w:t>Exercised</w:t>
            </w:r>
          </w:p>
        </w:tc>
        <w:tc>
          <w:tcPr>
            <w:tcW w:w="2560" w:type="dxa"/>
            <w:vAlign w:val="bottom"/>
          </w:tcPr>
          <w:p>
            <w:pPr>
              <w:jc w:val="right"/>
              <w:ind w:right="79"/>
              <w:spacing w:after="0"/>
              <w:rPr>
                <w:sz w:val="20"/>
                <w:szCs w:val="20"/>
                <w:color w:val="auto"/>
              </w:rPr>
            </w:pPr>
            <w:r>
              <w:rPr>
                <w:rFonts w:ascii="Arial" w:cs="Arial" w:eastAsia="Arial" w:hAnsi="Arial"/>
                <w:sz w:val="16"/>
                <w:szCs w:val="16"/>
                <w:color w:val="auto"/>
              </w:rPr>
              <w:t>(40,199)</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36.00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13.03</w:t>
            </w:r>
          </w:p>
        </w:tc>
        <w:tc>
          <w:tcPr>
            <w:tcW w:w="1240" w:type="dxa"/>
            <w:vAlign w:val="bottom"/>
          </w:tcPr>
          <w:p>
            <w:pPr>
              <w:spacing w:after="0"/>
              <w:rPr>
                <w:sz w:val="20"/>
                <w:szCs w:val="20"/>
                <w:color w:val="auto"/>
              </w:rPr>
            </w:pPr>
          </w:p>
        </w:tc>
      </w:tr>
      <w:tr>
        <w:trPr>
          <w:trHeight w:val="260"/>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Canceled/expired</w:t>
            </w:r>
          </w:p>
        </w:tc>
        <w:tc>
          <w:tcPr>
            <w:tcW w:w="2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(4,420)</w:t>
            </w:r>
          </w:p>
        </w:tc>
        <w:tc>
          <w:tcPr>
            <w:tcW w:w="4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22.30</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9.72</w:t>
            </w:r>
          </w:p>
        </w:tc>
        <w:tc>
          <w:tcPr>
            <w:tcW w:w="1240" w:type="dxa"/>
            <w:vAlign w:val="bottom"/>
            <w:tcBorders>
              <w:bottom w:val="single" w:sz="8" w:color="auto"/>
            </w:tcBorders>
            <w:shd w:val="clear" w:color="auto" w:fill="CCEEFF"/>
          </w:tcPr>
          <w:p>
            <w:pPr>
              <w:spacing w:after="0"/>
              <w:rPr>
                <w:sz w:val="22"/>
                <w:szCs w:val="22"/>
                <w:color w:val="auto"/>
              </w:rPr>
            </w:pPr>
          </w:p>
        </w:tc>
      </w:tr>
      <w:tr>
        <w:trPr>
          <w:trHeight w:val="243"/>
        </w:trPr>
        <w:tc>
          <w:tcPr>
            <w:tcW w:w="408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2"/>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Outstanding at June 30, 2020</w:t>
            </w:r>
          </w:p>
        </w:tc>
        <w:tc>
          <w:tcPr>
            <w:tcW w:w="25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719,225</w:t>
            </w:r>
          </w:p>
        </w:tc>
        <w:tc>
          <w:tcPr>
            <w:tcW w:w="4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101.89</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29.84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4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1"/>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Exercisable at June 30, 2020</w:t>
            </w:r>
          </w:p>
        </w:tc>
        <w:tc>
          <w:tcPr>
            <w:tcW w:w="25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378,063</w:t>
            </w:r>
          </w:p>
        </w:tc>
        <w:tc>
          <w:tcPr>
            <w:tcW w:w="4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80.50</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24.12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w:t>
            </w: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both"/>
        <w:ind w:firstLine="388"/>
        <w:spacing w:after="0" w:line="250" w:lineRule="auto"/>
        <w:rPr>
          <w:sz w:val="20"/>
          <w:szCs w:val="20"/>
          <w:color w:val="auto"/>
        </w:rPr>
      </w:pPr>
      <w:r>
        <w:rPr>
          <w:rFonts w:ascii="Arial" w:cs="Arial" w:eastAsia="Arial" w:hAnsi="Arial"/>
          <w:sz w:val="16"/>
          <w:szCs w:val="16"/>
          <w:color w:val="auto"/>
        </w:rPr>
        <w:t>The Company has outstanding options with fair values ranging from $11.58 to $46.72 per option or a weighted average fair value of $22.51 per option. The Company issues ordinary shares for all options exercised. The total amount of fully vested share options which remained outstanding at June 30, 2020 was 378,063. Fully vested share options at June 30, 2020 have an average remaining contractual term of 3.90 years, an average exercise price of $80.50 and a total intrinsic value of $33.3 million. The total intrinsic value of options exercised during the six months ended June 30, 2020 was $4.3 million (June 30, 2019: $19.3 million).</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movement in non-vested share options for the six months ended June 30, 2020: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shd w:val="clear" w:color="auto" w:fill="CCEEFF"/>
          </w:tcPr>
          <w:p>
            <w:pPr>
              <w:spacing w:after="0"/>
              <w:rPr>
                <w:sz w:val="17"/>
                <w:szCs w:val="17"/>
                <w:color w:val="auto"/>
              </w:rPr>
            </w:pPr>
          </w:p>
        </w:tc>
        <w:tc>
          <w:tcPr>
            <w:tcW w:w="2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Options</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89"/>
        </w:trPr>
        <w:tc>
          <w:tcPr>
            <w:tcW w:w="5260" w:type="dxa"/>
            <w:vAlign w:val="bottom"/>
            <w:shd w:val="clear" w:color="auto" w:fill="CCEEFF"/>
          </w:tcPr>
          <w:p>
            <w:pPr>
              <w:spacing w:after="0"/>
              <w:rPr>
                <w:sz w:val="16"/>
                <w:szCs w:val="16"/>
                <w:color w:val="auto"/>
              </w:rPr>
            </w:pPr>
          </w:p>
        </w:tc>
        <w:tc>
          <w:tcPr>
            <w:tcW w:w="2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Outstanding</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Weighted Average</w:t>
            </w:r>
          </w:p>
        </w:tc>
      </w:tr>
      <w:tr>
        <w:trPr>
          <w:trHeight w:val="189"/>
        </w:trPr>
        <w:tc>
          <w:tcPr>
            <w:tcW w:w="5260" w:type="dxa"/>
            <w:vAlign w:val="bottom"/>
            <w:shd w:val="clear" w:color="auto" w:fill="CCEEFF"/>
          </w:tcPr>
          <w:p>
            <w:pPr>
              <w:spacing w:after="0"/>
              <w:rPr>
                <w:sz w:val="16"/>
                <w:szCs w:val="16"/>
                <w:color w:val="auto"/>
              </w:rPr>
            </w:pPr>
          </w:p>
        </w:tc>
        <w:tc>
          <w:tcPr>
            <w:tcW w:w="2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Number of</w:t>
            </w:r>
          </w:p>
        </w:tc>
        <w:tc>
          <w:tcPr>
            <w:tcW w:w="156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Weighted Average</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Grant Date Fair</w:t>
            </w:r>
          </w:p>
        </w:tc>
      </w:tr>
      <w:tr>
        <w:trPr>
          <w:trHeight w:val="228"/>
        </w:trPr>
        <w:tc>
          <w:tcPr>
            <w:tcW w:w="5260" w:type="dxa"/>
            <w:vAlign w:val="bottom"/>
            <w:tcBorders>
              <w:bottom w:val="single" w:sz="8" w:color="auto"/>
            </w:tcBorders>
            <w:shd w:val="clear" w:color="auto" w:fill="CCEEFF"/>
          </w:tcPr>
          <w:p>
            <w:pPr>
              <w:spacing w:after="0"/>
              <w:rPr>
                <w:sz w:val="19"/>
                <w:szCs w:val="19"/>
                <w:color w:val="auto"/>
              </w:rPr>
            </w:pPr>
          </w:p>
        </w:tc>
        <w:tc>
          <w:tcPr>
            <w:tcW w:w="2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Exercise Price</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Value</w:t>
            </w:r>
          </w:p>
        </w:tc>
      </w:tr>
      <w:tr>
        <w:trPr>
          <w:trHeight w:val="250"/>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Non-vested outstanding at December 31, 2019</w:t>
            </w:r>
          </w:p>
        </w:tc>
        <w:tc>
          <w:tcPr>
            <w:tcW w:w="2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358,030</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103.68</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31.28</w:t>
            </w:r>
          </w:p>
        </w:tc>
      </w:tr>
      <w:tr>
        <w:trPr>
          <w:trHeight w:val="243"/>
        </w:trPr>
        <w:tc>
          <w:tcPr>
            <w:tcW w:w="526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3"/>
        </w:trPr>
        <w:tc>
          <w:tcPr>
            <w:tcW w:w="5260" w:type="dxa"/>
            <w:vAlign w:val="bottom"/>
          </w:tcPr>
          <w:p>
            <w:pPr>
              <w:ind w:left="20"/>
              <w:spacing w:after="0"/>
              <w:rPr>
                <w:sz w:val="20"/>
                <w:szCs w:val="20"/>
                <w:color w:val="auto"/>
              </w:rPr>
            </w:pPr>
            <w:r>
              <w:rPr>
                <w:rFonts w:ascii="Arial" w:cs="Arial" w:eastAsia="Arial" w:hAnsi="Arial"/>
                <w:sz w:val="16"/>
                <w:szCs w:val="16"/>
                <w:color w:val="auto"/>
              </w:rPr>
              <w:t>Granted</w:t>
            </w:r>
          </w:p>
        </w:tc>
        <w:tc>
          <w:tcPr>
            <w:tcW w:w="2900" w:type="dxa"/>
            <w:vAlign w:val="bottom"/>
          </w:tcPr>
          <w:p>
            <w:pPr>
              <w:jc w:val="right"/>
              <w:ind w:right="119"/>
              <w:spacing w:after="0"/>
              <w:rPr>
                <w:sz w:val="20"/>
                <w:szCs w:val="20"/>
                <w:color w:val="auto"/>
              </w:rPr>
            </w:pPr>
            <w:r>
              <w:rPr>
                <w:rFonts w:ascii="Arial" w:cs="Arial" w:eastAsia="Arial" w:hAnsi="Arial"/>
                <w:sz w:val="16"/>
                <w:szCs w:val="16"/>
                <w:color w:val="auto"/>
              </w:rPr>
              <w:t>107,737</w:t>
            </w:r>
          </w:p>
        </w:tc>
        <w:tc>
          <w:tcPr>
            <w:tcW w:w="260" w:type="dxa"/>
            <w:vAlign w:val="bottom"/>
          </w:tcPr>
          <w:p>
            <w:pPr>
              <w:ind w:lef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159.83</w:t>
            </w:r>
          </w:p>
        </w:tc>
        <w:tc>
          <w:tcPr>
            <w:tcW w:w="240" w:type="dxa"/>
            <w:vAlign w:val="bottom"/>
          </w:tcPr>
          <w:p>
            <w:pPr>
              <w:ind w:left="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42.43</w:t>
            </w:r>
          </w:p>
        </w:tc>
      </w:tr>
      <w:tr>
        <w:trPr>
          <w:trHeight w:val="253"/>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2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(124,605)</w:t>
            </w:r>
          </w:p>
        </w:tc>
        <w:tc>
          <w:tcPr>
            <w:tcW w:w="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92.25</w:t>
            </w:r>
          </w:p>
        </w:tc>
        <w:tc>
          <w:tcPr>
            <w:tcW w:w="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27.51</w:t>
            </w:r>
          </w:p>
        </w:tc>
      </w:tr>
      <w:tr>
        <w:trPr>
          <w:trHeight w:val="250"/>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Forfeited</w:t>
            </w:r>
          </w:p>
        </w:tc>
        <w:tc>
          <w:tcPr>
            <w:tcW w:w="2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526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7"/>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Non-vested outstanding at June 30, 2020</w:t>
            </w:r>
          </w:p>
        </w:tc>
        <w:tc>
          <w:tcPr>
            <w:tcW w:w="2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341,162</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125.59</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36.18</w:t>
            </w:r>
          </w:p>
        </w:tc>
      </w:tr>
      <w:tr>
        <w:trPr>
          <w:trHeight w:val="27"/>
        </w:trPr>
        <w:tc>
          <w:tcPr>
            <w:tcW w:w="52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Stock Options Assumptions</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 average fair value of options granted during the six months ended June 30, 2020 and June 30, 2019 was calculated using the Black-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Scholes option pricing model. The weighted average grant date fair values and assumptions used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1517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14" w:lineRule="exact"/>
        <w:rPr>
          <w:sz w:val="20"/>
          <w:szCs w:val="20"/>
          <w:color w:val="auto"/>
        </w:rPr>
      </w:pPr>
    </w:p>
    <w:p>
      <w:pPr>
        <w:ind w:left="896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31750</wp:posOffset>
            </wp:positionV>
            <wp:extent cx="19716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b w:val="1"/>
                <w:bCs w:val="1"/>
                <w:color w:val="auto"/>
              </w:rPr>
              <w:t>June 30, 2020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2019</w:t>
            </w:r>
          </w:p>
        </w:tc>
      </w:tr>
      <w:tr>
        <w:trPr>
          <w:trHeight w:val="250"/>
        </w:trPr>
        <w:tc>
          <w:tcPr>
            <w:tcW w:w="20" w:type="dxa"/>
            <w:vAlign w:val="bottom"/>
            <w:tcBorders>
              <w:bottom w:val="single" w:sz="8" w:color="auto"/>
            </w:tcBorders>
            <w:shd w:val="clear" w:color="auto" w:fill="CCEEFF"/>
          </w:tcPr>
          <w:p>
            <w:pPr>
              <w:spacing w:after="0"/>
              <w:rPr>
                <w:sz w:val="21"/>
                <w:szCs w:val="21"/>
                <w:color w:val="auto"/>
              </w:rPr>
            </w:pPr>
          </w:p>
        </w:tc>
        <w:tc>
          <w:tcPr>
            <w:tcW w:w="54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Weighted average grant date fair value</w:t>
            </w:r>
          </w:p>
        </w:tc>
        <w:tc>
          <w:tcPr>
            <w:tcW w:w="2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42.43</w:t>
            </w:r>
          </w:p>
        </w:tc>
        <w:tc>
          <w:tcPr>
            <w:tcW w:w="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43.43</w:t>
            </w:r>
          </w:p>
        </w:tc>
      </w:tr>
      <w:tr>
        <w:trPr>
          <w:trHeight w:val="189"/>
        </w:trPr>
        <w:tc>
          <w:tcPr>
            <w:tcW w:w="20" w:type="dxa"/>
            <w:vAlign w:val="bottom"/>
          </w:tcPr>
          <w:p>
            <w:pPr>
              <w:spacing w:after="0"/>
              <w:rPr>
                <w:sz w:val="16"/>
                <w:szCs w:val="16"/>
                <w:color w:val="auto"/>
              </w:rPr>
            </w:pPr>
          </w:p>
        </w:tc>
        <w:tc>
          <w:tcPr>
            <w:tcW w:w="5460" w:type="dxa"/>
            <w:vAlign w:val="bottom"/>
            <w:gridSpan w:val="2"/>
          </w:tcPr>
          <w:p>
            <w:pPr>
              <w:spacing w:after="0"/>
              <w:rPr>
                <w:sz w:val="20"/>
                <w:szCs w:val="20"/>
                <w:color w:val="auto"/>
              </w:rPr>
            </w:pPr>
            <w:r>
              <w:rPr>
                <w:rFonts w:ascii="Arial" w:cs="Arial" w:eastAsia="Arial" w:hAnsi="Arial"/>
                <w:sz w:val="16"/>
                <w:szCs w:val="16"/>
                <w:color w:val="auto"/>
              </w:rPr>
              <w:t>Assumptions:</w:t>
            </w:r>
          </w:p>
        </w:tc>
        <w:tc>
          <w:tcPr>
            <w:tcW w:w="2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44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29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color w:val="auto"/>
              </w:rPr>
              <w:t>30 %</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33"/>
        </w:trPr>
        <w:tc>
          <w:tcPr>
            <w:tcW w:w="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6"/>
                <w:szCs w:val="16"/>
                <w:color w:val="auto"/>
              </w:rPr>
              <w:t>Dividend yield</w:t>
            </w:r>
          </w:p>
        </w:tc>
        <w:tc>
          <w:tcPr>
            <w:tcW w:w="2900" w:type="dxa"/>
            <w:vAlign w:val="bottom"/>
          </w:tcPr>
          <w:p>
            <w:pPr>
              <w:spacing w:after="0"/>
              <w:rPr>
                <w:sz w:val="20"/>
                <w:szCs w:val="20"/>
                <w:color w:val="auto"/>
              </w:rPr>
            </w:pPr>
          </w:p>
        </w:tc>
        <w:tc>
          <w:tcPr>
            <w:tcW w:w="1600" w:type="dxa"/>
            <w:vAlign w:val="bottom"/>
            <w:gridSpan w:val="2"/>
          </w:tcPr>
          <w:p>
            <w:pPr>
              <w:jc w:val="right"/>
              <w:ind w:right="319"/>
              <w:spacing w:after="0"/>
              <w:rPr>
                <w:sz w:val="20"/>
                <w:szCs w:val="20"/>
                <w:color w:val="auto"/>
              </w:rPr>
            </w:pPr>
            <w:r>
              <w:rPr>
                <w:rFonts w:ascii="Arial" w:cs="Arial" w:eastAsia="Arial" w:hAnsi="Arial"/>
                <w:sz w:val="16"/>
                <w:szCs w:val="16"/>
                <w:color w:val="auto"/>
              </w:rPr>
              <w:t>— %</w:t>
            </w:r>
          </w:p>
        </w:tc>
        <w:tc>
          <w:tcPr>
            <w:tcW w:w="12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53"/>
        </w:trPr>
        <w:tc>
          <w:tcPr>
            <w:tcW w:w="20" w:type="dxa"/>
            <w:vAlign w:val="bottom"/>
            <w:shd w:val="clear" w:color="auto" w:fill="CCEEFF"/>
          </w:tcPr>
          <w:p>
            <w:pPr>
              <w:spacing w:after="0"/>
              <w:rPr>
                <w:sz w:val="21"/>
                <w:szCs w:val="21"/>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29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5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98"/>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2.55 %</w:t>
            </w:r>
          </w:p>
        </w:tc>
      </w:tr>
      <w:tr>
        <w:trPr>
          <w:trHeight w:val="236"/>
        </w:trPr>
        <w:tc>
          <w:tcPr>
            <w:tcW w:w="20" w:type="dxa"/>
            <w:vAlign w:val="bottom"/>
            <w:tcBorders>
              <w:bottom w:val="single" w:sz="8" w:color="auto"/>
            </w:tcBorders>
          </w:tcPr>
          <w:p>
            <w:pPr>
              <w:spacing w:after="0"/>
              <w:rPr>
                <w:sz w:val="20"/>
                <w:szCs w:val="20"/>
                <w:color w:val="auto"/>
              </w:rPr>
            </w:pPr>
          </w:p>
        </w:tc>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Expected life</w:t>
            </w:r>
          </w:p>
        </w:tc>
        <w:tc>
          <w:tcPr>
            <w:tcW w:w="29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rPr>
              <w:t>5 years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r>
      <w:tr>
        <w:trPr>
          <w:trHeight w:val="27"/>
        </w:trPr>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jc w:val="both"/>
        <w:ind w:right="20" w:firstLine="439"/>
        <w:spacing w:after="0" w:line="251" w:lineRule="auto"/>
        <w:rPr>
          <w:sz w:val="20"/>
          <w:szCs w:val="20"/>
          <w:color w:val="auto"/>
        </w:rPr>
      </w:pPr>
      <w:r>
        <w:rPr>
          <w:rFonts w:ascii="Arial" w:cs="Arial" w:eastAsia="Arial" w:hAnsi="Arial"/>
          <w:sz w:val="16"/>
          <w:szCs w:val="16"/>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ectPr>
          <w:pgSz w:w="11900" w:h="16838" w:orient="portrait"/>
          <w:cols w:equalWidth="0" w:num="1">
            <w:col w:w="11240"/>
          </w:cols>
          <w:pgMar w:left="320" w:top="1154"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6"/>
          <w:szCs w:val="16"/>
          <w:i w:val="1"/>
          <w:iCs w:val="1"/>
          <w:color w:val="auto"/>
        </w:rPr>
        <w:t>Restricted Share Units and Performance Share Units</w:t>
      </w:r>
    </w:p>
    <w:p>
      <w:pPr>
        <w:spacing w:after="0" w:line="264" w:lineRule="exact"/>
        <w:rPr>
          <w:sz w:val="20"/>
          <w:szCs w:val="20"/>
          <w:color w:val="auto"/>
        </w:rPr>
      </w:pPr>
    </w:p>
    <w:p>
      <w:pPr>
        <w:jc w:val="both"/>
        <w:ind w:firstLine="367"/>
        <w:spacing w:after="0" w:line="249" w:lineRule="auto"/>
        <w:rPr>
          <w:sz w:val="20"/>
          <w:szCs w:val="20"/>
          <w:color w:val="auto"/>
        </w:rPr>
      </w:pPr>
      <w:r>
        <w:rPr>
          <w:rFonts w:ascii="Arial" w:cs="Arial" w:eastAsia="Arial" w:hAnsi="Arial"/>
          <w:sz w:val="16"/>
          <w:szCs w:val="16"/>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232" w:lineRule="exact"/>
        <w:rPr>
          <w:sz w:val="20"/>
          <w:szCs w:val="20"/>
          <w:color w:val="auto"/>
        </w:rPr>
      </w:pPr>
    </w:p>
    <w:p>
      <w:pPr>
        <w:jc w:val="both"/>
        <w:ind w:firstLine="438"/>
        <w:spacing w:after="0" w:line="250" w:lineRule="auto"/>
        <w:rPr>
          <w:sz w:val="20"/>
          <w:szCs w:val="20"/>
          <w:color w:val="auto"/>
        </w:rPr>
      </w:pPr>
      <w:r>
        <w:rPr>
          <w:rFonts w:ascii="Arial" w:cs="Arial" w:eastAsia="Arial" w:hAnsi="Arial"/>
          <w:sz w:val="16"/>
          <w:szCs w:val="16"/>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during 2019 and 2020 vest over twelve months.</w:t>
      </w:r>
    </w:p>
    <w:p>
      <w:pPr>
        <w:spacing w:after="0" w:line="230" w:lineRule="exact"/>
        <w:rPr>
          <w:sz w:val="20"/>
          <w:szCs w:val="20"/>
          <w:color w:val="auto"/>
        </w:rPr>
      </w:pPr>
    </w:p>
    <w:p>
      <w:pPr>
        <w:ind w:right="160" w:firstLine="357"/>
        <w:spacing w:after="0" w:line="260" w:lineRule="auto"/>
        <w:rPr>
          <w:sz w:val="20"/>
          <w:szCs w:val="20"/>
          <w:color w:val="auto"/>
        </w:rPr>
      </w:pPr>
      <w:r>
        <w:rPr>
          <w:rFonts w:ascii="Arial" w:cs="Arial" w:eastAsia="Arial" w:hAnsi="Arial"/>
          <w:sz w:val="16"/>
          <w:szCs w:val="16"/>
          <w:color w:val="auto"/>
        </w:rPr>
        <w:t>The Company has awarded RSUs and PSUs to certain key individuals of the Group. The following table summarizes RSU and PSU activity for the six months ended June 30, 2020:</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PSU</w:t>
            </w: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r>
      <w:tr>
        <w:trPr>
          <w:trHeight w:val="189"/>
        </w:trPr>
        <w:tc>
          <w:tcPr>
            <w:tcW w:w="30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PSU</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Weighted</w:t>
            </w: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RSU</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30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PSU</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Weighted</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Average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Weighted</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Average</w:t>
            </w:r>
          </w:p>
        </w:tc>
      </w:tr>
      <w:tr>
        <w:trPr>
          <w:trHeight w:val="189"/>
        </w:trPr>
        <w:tc>
          <w:tcPr>
            <w:tcW w:w="30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Outstanding</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97"/>
              </w:rPr>
              <w:t>Average Grant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Remaining</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Outstanding</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99"/>
              </w:rPr>
              <w:t>Average Grant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30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Number of</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Date</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Contractual</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Number of</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Date</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Contractual</w:t>
            </w:r>
          </w:p>
        </w:tc>
      </w:tr>
      <w:tr>
        <w:trPr>
          <w:trHeight w:val="228"/>
        </w:trPr>
        <w:tc>
          <w:tcPr>
            <w:tcW w:w="30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Fair Value</w:t>
            </w: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Life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Fair Value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Life</w:t>
            </w:r>
          </w:p>
        </w:tc>
      </w:tr>
      <w:tr>
        <w:trPr>
          <w:trHeight w:val="250"/>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December 31, 2019</w:t>
            </w: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175,989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110.79</w:t>
            </w: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1.04</w:t>
            </w: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389,900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119.07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03"/>
        </w:trPr>
        <w:tc>
          <w:tcPr>
            <w:tcW w:w="30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3"/>
        </w:trPr>
        <w:tc>
          <w:tcPr>
            <w:tcW w:w="3020" w:type="dxa"/>
            <w:vAlign w:val="bottom"/>
          </w:tcPr>
          <w:p>
            <w:pPr>
              <w:ind w:left="2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57,184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59"/>
              <w:spacing w:after="0"/>
              <w:rPr>
                <w:sz w:val="20"/>
                <w:szCs w:val="20"/>
                <w:color w:val="auto"/>
              </w:rPr>
            </w:pPr>
            <w:r>
              <w:rPr>
                <w:rFonts w:ascii="Arial" w:cs="Arial" w:eastAsia="Arial" w:hAnsi="Arial"/>
                <w:sz w:val="16"/>
                <w:szCs w:val="16"/>
                <w:color w:val="auto"/>
              </w:rPr>
              <w:t>165.30</w:t>
            </w:r>
          </w:p>
        </w:tc>
        <w:tc>
          <w:tcPr>
            <w:tcW w:w="1340" w:type="dxa"/>
            <w:vAlign w:val="bottom"/>
          </w:tcPr>
          <w:p>
            <w:pPr>
              <w:spacing w:after="0"/>
              <w:rPr>
                <w:sz w:val="20"/>
                <w:szCs w:val="20"/>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125,756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165.18</w:t>
            </w:r>
          </w:p>
        </w:tc>
        <w:tc>
          <w:tcPr>
            <w:tcW w:w="1140" w:type="dxa"/>
            <w:vAlign w:val="bottom"/>
          </w:tcPr>
          <w:p>
            <w:pPr>
              <w:spacing w:after="0"/>
              <w:rPr>
                <w:sz w:val="20"/>
                <w:szCs w:val="20"/>
                <w:color w:val="auto"/>
              </w:rPr>
            </w:pPr>
          </w:p>
        </w:tc>
      </w:tr>
      <w:tr>
        <w:trPr>
          <w:trHeight w:val="253"/>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vested</w:t>
            </w: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(63,516)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83.92</w:t>
            </w:r>
          </w:p>
        </w:tc>
        <w:tc>
          <w:tcPr>
            <w:tcW w:w="1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(138,939)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98.20</w:t>
            </w:r>
          </w:p>
        </w:tc>
        <w:tc>
          <w:tcPr>
            <w:tcW w:w="1140" w:type="dxa"/>
            <w:vAlign w:val="bottom"/>
            <w:shd w:val="clear" w:color="auto" w:fill="CCEEFF"/>
          </w:tcPr>
          <w:p>
            <w:pPr>
              <w:spacing w:after="0"/>
              <w:rPr>
                <w:sz w:val="21"/>
                <w:szCs w:val="21"/>
                <w:color w:val="auto"/>
              </w:rPr>
            </w:pPr>
          </w:p>
        </w:tc>
      </w:tr>
      <w:tr>
        <w:trPr>
          <w:trHeight w:val="250"/>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Forfeited</w:t>
            </w: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83.47</w:t>
            </w:r>
          </w:p>
        </w:tc>
        <w:tc>
          <w:tcPr>
            <w:tcW w:w="1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(16,994)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126.73</w:t>
            </w:r>
          </w:p>
        </w:tc>
        <w:tc>
          <w:tcPr>
            <w:tcW w:w="1140" w:type="dxa"/>
            <w:vAlign w:val="bottom"/>
            <w:tcBorders>
              <w:bottom w:val="single" w:sz="8" w:color="auto"/>
            </w:tcBorders>
          </w:tcPr>
          <w:p>
            <w:pPr>
              <w:spacing w:after="0"/>
              <w:rPr>
                <w:sz w:val="21"/>
                <w:szCs w:val="21"/>
                <w:color w:val="auto"/>
              </w:rPr>
            </w:pPr>
          </w:p>
        </w:tc>
      </w:tr>
      <w:tr>
        <w:trPr>
          <w:trHeight w:val="203"/>
        </w:trPr>
        <w:tc>
          <w:tcPr>
            <w:tcW w:w="30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6"/>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June 30, 2020</w:t>
            </w: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169,460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137.53</w:t>
            </w: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1.64</w:t>
            </w: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359,723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142.86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r>
      <w:tr>
        <w:trPr>
          <w:trHeight w:val="27"/>
        </w:trPr>
        <w:tc>
          <w:tcPr>
            <w:tcW w:w="30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fair value of PSUs vested for the six months ended June 30, 2020 totaled $5.3 million (full year 2019: $16.5 million).</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fair value of RSUs vested for the six months ended June 30, 2020 totaled $13.6 million (full year 2019: $8.5 million).</w:t>
      </w:r>
    </w:p>
    <w:p>
      <w:pPr>
        <w:spacing w:after="0" w:line="248" w:lineRule="exact"/>
        <w:rPr>
          <w:sz w:val="20"/>
          <w:szCs w:val="20"/>
          <w:color w:val="auto"/>
        </w:rPr>
      </w:pPr>
    </w:p>
    <w:p>
      <w:pPr>
        <w:jc w:val="both"/>
        <w:ind w:firstLine="373"/>
        <w:spacing w:after="0" w:line="260" w:lineRule="auto"/>
        <w:rPr>
          <w:sz w:val="20"/>
          <w:szCs w:val="20"/>
          <w:color w:val="auto"/>
        </w:rPr>
      </w:pPr>
      <w:r>
        <w:rPr>
          <w:rFonts w:ascii="Arial" w:cs="Arial" w:eastAsia="Arial" w:hAnsi="Arial"/>
          <w:sz w:val="16"/>
          <w:szCs w:val="16"/>
          <w:color w:val="auto"/>
        </w:rPr>
        <w:t>The PSUs vest based on service and specified EPS targets over the periods 2018 – 2020, 2019 – 2021 and 2020 – 2022. Depending on the amount of EPS from 2018 to 2022, up to an additional 78,645 PSUs may also be granted.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Non-cash stock compensation expense</w:t>
      </w:r>
    </w:p>
    <w:p>
      <w:pPr>
        <w:spacing w:after="0" w:line="26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Non-cash stock compensation expense for the three and six months ended June 30, 2020 and June 30, 2019 has been allocated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640" w:type="dxa"/>
            <w:vAlign w:val="bottom"/>
            <w:tcBorders>
              <w:bottom w:val="single" w:sz="8" w:color="auto"/>
            </w:tcBorders>
            <w:gridSpan w:val="3"/>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shd w:val="clear" w:color="auto" w:fill="CCEEFF"/>
          </w:tcPr>
          <w:p>
            <w:pPr>
              <w:spacing w:after="0"/>
              <w:rPr>
                <w:sz w:val="20"/>
                <w:szCs w:val="20"/>
                <w:color w:val="auto"/>
              </w:rPr>
            </w:pPr>
          </w:p>
        </w:tc>
        <w:tc>
          <w:tcPr>
            <w:tcW w:w="2560" w:type="dxa"/>
            <w:vAlign w:val="bottom"/>
            <w:tcBorders>
              <w:bottom w:val="single" w:sz="8" w:color="auto"/>
            </w:tcBorders>
            <w:gridSpan w:val="3"/>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Six Months Ended</w:t>
            </w:r>
          </w:p>
        </w:tc>
      </w:tr>
      <w:tr>
        <w:trPr>
          <w:trHeight w:val="234"/>
        </w:trPr>
        <w:tc>
          <w:tcPr>
            <w:tcW w:w="5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2019</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2019</w:t>
            </w:r>
          </w:p>
        </w:tc>
      </w:tr>
      <w:tr>
        <w:trPr>
          <w:trHeight w:val="243"/>
        </w:trPr>
        <w:tc>
          <w:tcPr>
            <w:tcW w:w="56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40" w:type="dxa"/>
            <w:vAlign w:val="bottom"/>
            <w:gridSpan w:val="3"/>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21"/>
                <w:szCs w:val="21"/>
                <w:color w:val="auto"/>
              </w:rPr>
            </w:pPr>
          </w:p>
        </w:tc>
        <w:tc>
          <w:tcPr>
            <w:tcW w:w="2560" w:type="dxa"/>
            <w:vAlign w:val="bottom"/>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Direct costs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2,353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3,171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4,188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7,072</w:t>
            </w:r>
          </w:p>
        </w:tc>
      </w:tr>
      <w:tr>
        <w:trPr>
          <w:trHeight w:val="260"/>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4,764</w:t>
            </w: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2,584</w:t>
            </w:r>
          </w:p>
        </w:tc>
        <w:tc>
          <w:tcPr>
            <w:tcW w:w="2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8,998</w:t>
            </w: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5,762</w:t>
            </w:r>
          </w:p>
        </w:tc>
      </w:tr>
      <w:tr>
        <w:trPr>
          <w:trHeight w:val="203"/>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61"/>
        </w:trPr>
        <w:tc>
          <w:tcPr>
            <w:tcW w:w="56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7,117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5,755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13,186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12,834</w:t>
            </w:r>
          </w:p>
        </w:tc>
      </w:tr>
      <w:tr>
        <w:trPr>
          <w:trHeight w:val="20"/>
        </w:trPr>
        <w:tc>
          <w:tcPr>
            <w:tcW w:w="5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non-cash stock compensation expense not yet recognized at June 30, 2020 amounted to $61.1 million. The weighted average period over which this is expected to be recognized is 2.42 years.</w:t>
      </w: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12. Share capital</w:t>
      </w:r>
    </w:p>
    <w:p>
      <w:pPr>
        <w:spacing w:after="0" w:line="268" w:lineRule="exact"/>
        <w:rPr>
          <w:sz w:val="20"/>
          <w:szCs w:val="20"/>
          <w:color w:val="auto"/>
        </w:rPr>
      </w:pPr>
    </w:p>
    <w:p>
      <w:pPr>
        <w:jc w:val="both"/>
        <w:ind w:firstLine="531"/>
        <w:spacing w:after="0" w:line="260" w:lineRule="auto"/>
        <w:rPr>
          <w:sz w:val="20"/>
          <w:szCs w:val="20"/>
          <w:color w:val="auto"/>
        </w:rPr>
      </w:pPr>
      <w:r>
        <w:rPr>
          <w:rFonts w:ascii="Arial" w:cs="Arial" w:eastAsia="Arial" w:hAnsi="Arial"/>
          <w:sz w:val="16"/>
          <w:szCs w:val="16"/>
          <w:color w:val="auto"/>
        </w:rPr>
        <w:t>The Company can acquire up to 10% of its outstanding ordinary shares (by way of redemption), in accordance with Irish law, the United States securities laws, and the Company’s constitutional documents through open market share acquisitions.</w:t>
      </w:r>
    </w:p>
    <w:p>
      <w:pPr>
        <w:spacing w:after="0" w:line="222" w:lineRule="exact"/>
        <w:rPr>
          <w:sz w:val="20"/>
          <w:szCs w:val="20"/>
          <w:color w:val="auto"/>
        </w:rPr>
      </w:pPr>
    </w:p>
    <w:p>
      <w:pPr>
        <w:jc w:val="both"/>
        <w:ind w:firstLine="451"/>
        <w:spacing w:after="0" w:line="253" w:lineRule="auto"/>
        <w:rPr>
          <w:sz w:val="20"/>
          <w:szCs w:val="20"/>
          <w:color w:val="auto"/>
        </w:rPr>
      </w:pPr>
      <w:r>
        <w:rPr>
          <w:rFonts w:ascii="Arial" w:cs="Arial" w:eastAsia="Arial" w:hAnsi="Arial"/>
          <w:sz w:val="16"/>
          <w:szCs w:val="16"/>
          <w:color w:val="auto"/>
        </w:rPr>
        <w:t>On January 8, 2019, the Company commenced a share buyback program of up to 1.0 million ordinary shares which was completed during the year ended December 31, 2019 for total consideration of $141.6 million. On October 22 2019, the Company commenced a further share buyback program. At December 31, 2019 35,100 ordinary shares were redeemed for a total consideration of $5.3 million.</w:t>
      </w:r>
    </w:p>
    <w:p>
      <w:pPr>
        <w:spacing w:after="0" w:line="228" w:lineRule="exact"/>
        <w:rPr>
          <w:sz w:val="20"/>
          <w:szCs w:val="20"/>
          <w:color w:val="auto"/>
        </w:rPr>
      </w:pPr>
    </w:p>
    <w:p>
      <w:pPr>
        <w:jc w:val="both"/>
        <w:ind w:firstLine="529"/>
        <w:spacing w:after="0" w:line="260" w:lineRule="auto"/>
        <w:rPr>
          <w:sz w:val="20"/>
          <w:szCs w:val="20"/>
          <w:color w:val="auto"/>
        </w:rPr>
      </w:pPr>
      <w:r>
        <w:rPr>
          <w:rFonts w:ascii="Arial" w:cs="Arial" w:eastAsia="Arial" w:hAnsi="Arial"/>
          <w:sz w:val="16"/>
          <w:szCs w:val="16"/>
          <w:color w:val="auto"/>
        </w:rPr>
        <w:t>During the six months ended June 30, 2020 1,235,218 ordinary shares were redeemed by the Company under this buyback program for a total consideration of $175.0 million.</w:t>
      </w:r>
    </w:p>
    <w:p>
      <w:pPr>
        <w:spacing w:after="0" w:line="222" w:lineRule="exact"/>
        <w:rPr>
          <w:sz w:val="20"/>
          <w:szCs w:val="20"/>
          <w:color w:val="auto"/>
        </w:rPr>
      </w:pPr>
    </w:p>
    <w:p>
      <w:pPr>
        <w:jc w:val="both"/>
        <w:ind w:firstLine="472"/>
        <w:spacing w:after="0" w:line="253" w:lineRule="auto"/>
        <w:rPr>
          <w:sz w:val="20"/>
          <w:szCs w:val="20"/>
          <w:color w:val="auto"/>
        </w:rPr>
      </w:pPr>
      <w:r>
        <w:rPr>
          <w:rFonts w:ascii="Arial" w:cs="Arial" w:eastAsia="Arial" w:hAnsi="Arial"/>
          <w:sz w:val="16"/>
          <w:szCs w:val="16"/>
          <w:color w:val="auto"/>
        </w:rPr>
        <w:t>The buyback program gives a broker authority to acquire the Company’s ordinary shares from time to time on the open market in accordance with agreed terms and limitations. All ordinary shares that were redeemed under the buyback program were canceled in accordance with the Constitution of the Company and the nominal value of these shares transferred to an other undenominated capital reserve as required under Irish Company Law.</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Business segment information</w:t>
      </w:r>
    </w:p>
    <w:p>
      <w:pPr>
        <w:spacing w:after="0" w:line="268" w:lineRule="exact"/>
        <w:rPr>
          <w:sz w:val="20"/>
          <w:szCs w:val="20"/>
          <w:color w:val="auto"/>
        </w:rPr>
      </w:pPr>
    </w:p>
    <w:p>
      <w:pPr>
        <w:jc w:val="both"/>
        <w:ind w:firstLine="403"/>
        <w:spacing w:after="0" w:line="253" w:lineRule="auto"/>
        <w:rPr>
          <w:sz w:val="20"/>
          <w:szCs w:val="20"/>
          <w:color w:val="auto"/>
        </w:rPr>
      </w:pPr>
      <w:r>
        <w:rPr>
          <w:rFonts w:ascii="Arial" w:cs="Arial" w:eastAsia="Arial" w:hAnsi="Arial"/>
          <w:sz w:val="16"/>
          <w:szCs w:val="16"/>
          <w:color w:val="auto"/>
        </w:rPr>
        <w:t xml:space="preserve">The Company determines and presents operating segments based on the information that is internally provided to the chief operating decision maker, the (‘CODM’)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determined that the CODM was comprised of the Chief Executive Officer and the Chief Financial Officer.</w:t>
      </w:r>
    </w:p>
    <w:p>
      <w:pPr>
        <w:spacing w:after="0" w:line="228" w:lineRule="exact"/>
        <w:rPr>
          <w:sz w:val="20"/>
          <w:szCs w:val="20"/>
          <w:color w:val="auto"/>
        </w:rPr>
      </w:pPr>
    </w:p>
    <w:p>
      <w:pPr>
        <w:jc w:val="both"/>
        <w:ind w:firstLine="435"/>
        <w:spacing w:after="0" w:line="253" w:lineRule="auto"/>
        <w:rPr>
          <w:sz w:val="20"/>
          <w:szCs w:val="20"/>
          <w:color w:val="auto"/>
        </w:rPr>
      </w:pPr>
      <w:r>
        <w:rPr>
          <w:rFonts w:ascii="Arial" w:cs="Arial" w:eastAsia="Arial" w:hAnsi="Arial"/>
          <w:sz w:val="16"/>
          <w:szCs w:val="16"/>
          <w:color w:val="auto"/>
        </w:rPr>
        <w:t>The Company determines and presents operating segments based on the information that is provided to the CODM. The Company operates as one single business segment, which is the provision of outsourced development services on a global basis to the pharmaceutical, biotechnology and medical devices industries. There have been no changes to the basis of segmentation or the measurement basis for the segment results in the period.</w:t>
      </w:r>
    </w:p>
    <w:p>
      <w:pPr>
        <w:spacing w:after="0" w:line="228" w:lineRule="exact"/>
        <w:rPr>
          <w:sz w:val="20"/>
          <w:szCs w:val="20"/>
          <w:color w:val="auto"/>
        </w:rPr>
      </w:pPr>
    </w:p>
    <w:p>
      <w:pPr>
        <w:jc w:val="both"/>
        <w:ind w:firstLine="569"/>
        <w:spacing w:after="0" w:line="249" w:lineRule="auto"/>
        <w:rPr>
          <w:sz w:val="20"/>
          <w:szCs w:val="20"/>
          <w:color w:val="auto"/>
        </w:rPr>
      </w:pPr>
      <w:r>
        <w:rPr>
          <w:rFonts w:ascii="Arial" w:cs="Arial" w:eastAsia="Arial" w:hAnsi="Arial"/>
          <w:sz w:val="16"/>
          <w:szCs w:val="16"/>
          <w:color w:val="auto"/>
        </w:rPr>
        <w:t>The Company is a clinical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232" w:lineRule="exact"/>
        <w:rPr>
          <w:sz w:val="20"/>
          <w:szCs w:val="20"/>
          <w:color w:val="auto"/>
        </w:rPr>
      </w:pPr>
    </w:p>
    <w:p>
      <w:pPr>
        <w:jc w:val="both"/>
        <w:ind w:firstLine="577"/>
        <w:spacing w:after="0" w:line="250" w:lineRule="auto"/>
        <w:rPr>
          <w:sz w:val="20"/>
          <w:szCs w:val="20"/>
          <w:color w:val="auto"/>
        </w:rPr>
      </w:pPr>
      <w:r>
        <w:rPr>
          <w:rFonts w:ascii="Arial" w:cs="Arial" w:eastAsia="Arial" w:hAnsi="Arial"/>
          <w:sz w:val="16"/>
          <w:szCs w:val="16"/>
          <w:color w:val="auto"/>
        </w:rPr>
        <w:t>The Company is generally awarded projects based upon responses to requests for proposals received from companies in the pharmaceutical, biotechnology and medical device industries or work orders executed under our strategic partnership arrangements. Contracts with customers are generally entered into centrally, in most cases with ICON Clinical Research Limited (“ICON Ireland”), the Company’s principal operating subsidiary in Ireland. Revenues, which consist primarily of fees earned under these contracts, are allocated to individual entities within the Group, based on where the work is performed in accordance with the Company’s global transfer pricing model.</w:t>
      </w:r>
    </w:p>
    <w:p>
      <w:pPr>
        <w:spacing w:after="0" w:line="230"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6"/>
          <w:szCs w:val="16"/>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228" w:lineRule="exact"/>
        <w:rPr>
          <w:sz w:val="20"/>
          <w:szCs w:val="20"/>
          <w:color w:val="auto"/>
        </w:rPr>
      </w:pPr>
    </w:p>
    <w:p>
      <w:pPr>
        <w:jc w:val="both"/>
        <w:ind w:firstLine="407"/>
        <w:spacing w:after="0" w:line="251" w:lineRule="auto"/>
        <w:rPr>
          <w:sz w:val="20"/>
          <w:szCs w:val="20"/>
          <w:color w:val="auto"/>
        </w:rPr>
      </w:pPr>
      <w:r>
        <w:rPr>
          <w:rFonts w:ascii="Arial" w:cs="Arial" w:eastAsia="Arial" w:hAnsi="Arial"/>
          <w:sz w:val="16"/>
          <w:szCs w:val="16"/>
          <w:color w:val="auto"/>
        </w:rPr>
        <w:t>ICON Ireland remunerates other operating entities in the ICON Group on the basis of a guaranteed cost plus mark-up for the services they perform in each of their local territories. The cost plus mark-up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 up policy is reviewed annually to ensure that it is market appropriate.</w:t>
      </w:r>
    </w:p>
    <w:p>
      <w:pPr>
        <w:spacing w:after="0" w:line="229" w:lineRule="exact"/>
        <w:rPr>
          <w:sz w:val="20"/>
          <w:szCs w:val="20"/>
          <w:color w:val="auto"/>
        </w:rPr>
      </w:pPr>
    </w:p>
    <w:p>
      <w:pPr>
        <w:jc w:val="both"/>
        <w:ind w:firstLine="357"/>
        <w:spacing w:after="0" w:line="251" w:lineRule="auto"/>
        <w:rPr>
          <w:sz w:val="20"/>
          <w:szCs w:val="20"/>
          <w:color w:val="auto"/>
        </w:rPr>
      </w:pPr>
      <w:r>
        <w:rPr>
          <w:rFonts w:ascii="Arial" w:cs="Arial" w:eastAsia="Arial" w:hAnsi="Arial"/>
          <w:sz w:val="16"/>
          <w:szCs w:val="16"/>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cost plus revenues attributable to the activities performed outside Ireland.</w:t>
      </w:r>
    </w:p>
    <w:p>
      <w:pPr>
        <w:spacing w:after="0" w:line="229" w:lineRule="exact"/>
        <w:rPr>
          <w:sz w:val="20"/>
          <w:szCs w:val="20"/>
          <w:color w:val="auto"/>
        </w:rPr>
      </w:pPr>
    </w:p>
    <w:p>
      <w:pPr>
        <w:jc w:val="both"/>
        <w:ind w:firstLine="473"/>
        <w:spacing w:after="0" w:line="251" w:lineRule="auto"/>
        <w:rPr>
          <w:sz w:val="20"/>
          <w:szCs w:val="20"/>
          <w:color w:val="auto"/>
        </w:rPr>
      </w:pPr>
      <w:r>
        <w:rPr>
          <w:rFonts w:ascii="Arial" w:cs="Arial" w:eastAsia="Arial" w:hAnsi="Arial"/>
          <w:sz w:val="16"/>
          <w:szCs w:val="16"/>
          <w:color w:val="auto"/>
        </w:rPr>
        <w:t>The Company's areas of operation outside of Ireland include the United States, United Kingdom, Belgium, Bulgaria, France, Germany, Italy, Spain, Poland, Portugal, Czech Republic, Hungary, Israel, Latvia, Romania, Russia, Serbia, Sweden, The Netherlands, Turkey, Ukraine, Canada, Argentina, Brazil, Chile, Colombia, Mexico, Peru, India, China (including Hong Kong), Japan, Singapore, South Korea, The Philippines, Taiwan, Thailand, Australia, New Zealand and South Africa.</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ind w:firstLine="472"/>
        <w:spacing w:after="0" w:line="260" w:lineRule="auto"/>
        <w:rPr>
          <w:sz w:val="20"/>
          <w:szCs w:val="20"/>
          <w:color w:val="auto"/>
        </w:rPr>
      </w:pPr>
      <w:r>
        <w:rPr>
          <w:rFonts w:ascii="Arial" w:cs="Arial" w:eastAsia="Arial" w:hAnsi="Arial"/>
          <w:sz w:val="16"/>
          <w:szCs w:val="16"/>
          <w:color w:val="auto"/>
        </w:rPr>
        <w:t>The geographical distribution of the Company’s segment measures as at June 30, 2020 and December 31, 2019 and for the three and six months ended June 30, 2020 and June 30, 2019 is as follows: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The distribution of revenue by geographical area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460" w:type="dxa"/>
            <w:vAlign w:val="bottom"/>
            <w:tcBorders>
              <w:bottom w:val="single" w:sz="8" w:color="auto"/>
            </w:tcBorders>
            <w:gridSpan w:val="3"/>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shd w:val="clear" w:color="auto" w:fill="CCEEFF"/>
          </w:tcPr>
          <w:p>
            <w:pPr>
              <w:spacing w:after="0"/>
              <w:rPr>
                <w:sz w:val="20"/>
                <w:szCs w:val="20"/>
                <w:color w:val="auto"/>
              </w:rPr>
            </w:pPr>
          </w:p>
        </w:tc>
        <w:tc>
          <w:tcPr>
            <w:tcW w:w="2420" w:type="dxa"/>
            <w:vAlign w:val="bottom"/>
            <w:tcBorders>
              <w:bottom w:val="single" w:sz="8" w:color="auto"/>
            </w:tcBorders>
            <w:gridSpan w:val="3"/>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Six Months Ended</w:t>
            </w:r>
          </w:p>
        </w:tc>
      </w:tr>
      <w:tr>
        <w:trPr>
          <w:trHeight w:val="234"/>
        </w:trPr>
        <w:tc>
          <w:tcPr>
            <w:tcW w:w="6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2019</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June 30, 2019</w:t>
            </w:r>
          </w:p>
        </w:tc>
      </w:tr>
      <w:tr>
        <w:trPr>
          <w:trHeight w:val="243"/>
        </w:trPr>
        <w:tc>
          <w:tcPr>
            <w:tcW w:w="6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60" w:type="dxa"/>
            <w:vAlign w:val="bottom"/>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(in thousands)</w:t>
            </w:r>
          </w:p>
        </w:tc>
        <w:tc>
          <w:tcPr>
            <w:tcW w:w="180" w:type="dxa"/>
            <w:vAlign w:val="bottom"/>
            <w:shd w:val="clear" w:color="auto" w:fill="CCEEFF"/>
          </w:tcPr>
          <w:p>
            <w:pPr>
              <w:spacing w:after="0"/>
              <w:rPr>
                <w:sz w:val="21"/>
                <w:szCs w:val="21"/>
                <w:color w:val="auto"/>
              </w:rPr>
            </w:pPr>
          </w:p>
        </w:tc>
        <w:tc>
          <w:tcPr>
            <w:tcW w:w="2420" w:type="dxa"/>
            <w:vAlign w:val="bottom"/>
            <w:gridSpan w:val="3"/>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6060" w:type="dxa"/>
            <w:vAlign w:val="bottom"/>
          </w:tcPr>
          <w:p>
            <w:pPr>
              <w:ind w:left="20"/>
              <w:spacing w:after="0"/>
              <w:rPr>
                <w:sz w:val="20"/>
                <w:szCs w:val="20"/>
                <w:color w:val="auto"/>
              </w:rPr>
            </w:pPr>
            <w:r>
              <w:rPr>
                <w:rFonts w:ascii="Arial" w:cs="Arial" w:eastAsia="Arial" w:hAnsi="Arial"/>
                <w:sz w:val="16"/>
                <w:szCs w:val="16"/>
                <w:color w:val="auto"/>
              </w:rPr>
              <w:t>Ireland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279,743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310,477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594,715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608,960</w:t>
            </w:r>
          </w:p>
        </w:tc>
      </w:tr>
      <w:tr>
        <w:trPr>
          <w:trHeight w:val="25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89,387</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94,192</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191,818</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184,637</w:t>
            </w:r>
          </w:p>
        </w:tc>
      </w:tr>
      <w:tr>
        <w:trPr>
          <w:trHeight w:val="233"/>
        </w:trPr>
        <w:tc>
          <w:tcPr>
            <w:tcW w:w="6060" w:type="dxa"/>
            <w:vAlign w:val="bottom"/>
          </w:tcPr>
          <w:p>
            <w:pPr>
              <w:ind w:left="20"/>
              <w:spacing w:after="0"/>
              <w:rPr>
                <w:sz w:val="20"/>
                <w:szCs w:val="20"/>
                <w:color w:val="auto"/>
              </w:rPr>
            </w:pPr>
            <w:r>
              <w:rPr>
                <w:rFonts w:ascii="Arial" w:cs="Arial" w:eastAsia="Arial" w:hAnsi="Arial"/>
                <w:sz w:val="16"/>
                <w:szCs w:val="16"/>
                <w:color w:val="auto"/>
              </w:rPr>
              <w:t>U.S.</w:t>
            </w:r>
          </w:p>
        </w:tc>
        <w:tc>
          <w:tcPr>
            <w:tcW w:w="12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189,466</w:t>
            </w:r>
          </w:p>
        </w:tc>
        <w:tc>
          <w:tcPr>
            <w:tcW w:w="18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222,312</w:t>
            </w:r>
          </w:p>
        </w:tc>
        <w:tc>
          <w:tcPr>
            <w:tcW w:w="18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414,933</w:t>
            </w:r>
          </w:p>
        </w:tc>
        <w:tc>
          <w:tcPr>
            <w:tcW w:w="18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440,852</w:t>
            </w:r>
          </w:p>
        </w:tc>
      </w:tr>
      <w:tr>
        <w:trPr>
          <w:trHeight w:val="260"/>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61,632</w:t>
            </w: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68,156</w:t>
            </w: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133,864</w:t>
            </w: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135,540</w:t>
            </w:r>
          </w:p>
        </w:tc>
      </w:tr>
      <w:tr>
        <w:trPr>
          <w:trHeight w:val="243"/>
        </w:trPr>
        <w:tc>
          <w:tcPr>
            <w:tcW w:w="6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2"/>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620,228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695,137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1,335,330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1,369,989</w:t>
            </w: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600" w:hanging="106"/>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sales shown for Ireland are export sales.</w:t>
      </w:r>
    </w:p>
    <w:p>
      <w:pPr>
        <w:spacing w:after="0" w:line="248" w:lineRule="exact"/>
        <w:rPr>
          <w:rFonts w:ascii="Arial" w:cs="Arial" w:eastAsia="Arial" w:hAnsi="Arial"/>
          <w:sz w:val="16"/>
          <w:szCs w:val="16"/>
          <w:color w:val="auto"/>
        </w:rPr>
      </w:pPr>
    </w:p>
    <w:p>
      <w:pPr>
        <w:ind w:left="840" w:hanging="184"/>
        <w:spacing w:after="0"/>
        <w:tabs>
          <w:tab w:leader="none" w:pos="84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distribution of income from operations including restructuring by geographical area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460" w:type="dxa"/>
            <w:vAlign w:val="bottom"/>
            <w:tcBorders>
              <w:bottom w:val="single" w:sz="8" w:color="auto"/>
            </w:tcBorders>
            <w:gridSpan w:val="3"/>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shd w:val="clear" w:color="auto" w:fill="CCEEFF"/>
          </w:tcPr>
          <w:p>
            <w:pPr>
              <w:spacing w:after="0"/>
              <w:rPr>
                <w:sz w:val="20"/>
                <w:szCs w:val="20"/>
                <w:color w:val="auto"/>
              </w:rPr>
            </w:pPr>
          </w:p>
        </w:tc>
        <w:tc>
          <w:tcPr>
            <w:tcW w:w="2420" w:type="dxa"/>
            <w:vAlign w:val="bottom"/>
            <w:tcBorders>
              <w:bottom w:val="single" w:sz="8" w:color="auto"/>
            </w:tcBorders>
            <w:gridSpan w:val="3"/>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Six Months Ended</w:t>
            </w:r>
          </w:p>
        </w:tc>
      </w:tr>
      <w:tr>
        <w:trPr>
          <w:trHeight w:val="234"/>
        </w:trPr>
        <w:tc>
          <w:tcPr>
            <w:tcW w:w="6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2019</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June 30, 2019</w:t>
            </w:r>
          </w:p>
        </w:tc>
      </w:tr>
      <w:tr>
        <w:trPr>
          <w:trHeight w:val="243"/>
        </w:trPr>
        <w:tc>
          <w:tcPr>
            <w:tcW w:w="6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60" w:type="dxa"/>
            <w:vAlign w:val="bottom"/>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(in thousands)</w:t>
            </w:r>
          </w:p>
        </w:tc>
        <w:tc>
          <w:tcPr>
            <w:tcW w:w="180" w:type="dxa"/>
            <w:vAlign w:val="bottom"/>
            <w:shd w:val="clear" w:color="auto" w:fill="CCEEFF"/>
          </w:tcPr>
          <w:p>
            <w:pPr>
              <w:spacing w:after="0"/>
              <w:rPr>
                <w:sz w:val="21"/>
                <w:szCs w:val="21"/>
                <w:color w:val="auto"/>
              </w:rPr>
            </w:pPr>
          </w:p>
        </w:tc>
        <w:tc>
          <w:tcPr>
            <w:tcW w:w="2420" w:type="dxa"/>
            <w:vAlign w:val="bottom"/>
            <w:gridSpan w:val="3"/>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6060" w:type="dxa"/>
            <w:vAlign w:val="bottom"/>
          </w:tcPr>
          <w:p>
            <w:pPr>
              <w:ind w:left="20"/>
              <w:spacing w:after="0"/>
              <w:rPr>
                <w:sz w:val="20"/>
                <w:szCs w:val="20"/>
                <w:color w:val="auto"/>
              </w:rPr>
            </w:pPr>
            <w:r>
              <w:rPr>
                <w:rFonts w:ascii="Arial" w:cs="Arial" w:eastAsia="Arial" w:hAnsi="Arial"/>
                <w:sz w:val="16"/>
                <w:szCs w:val="16"/>
                <w:color w:val="auto"/>
              </w:rPr>
              <w:t>Ireland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38,655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78,052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112,590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148,673</w:t>
            </w:r>
          </w:p>
        </w:tc>
      </w:tr>
      <w:tr>
        <w:trPr>
          <w:trHeight w:val="25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7,120</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5,663</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17,816</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11,513</w:t>
            </w:r>
          </w:p>
        </w:tc>
      </w:tr>
      <w:tr>
        <w:trPr>
          <w:trHeight w:val="233"/>
        </w:trPr>
        <w:tc>
          <w:tcPr>
            <w:tcW w:w="6060" w:type="dxa"/>
            <w:vAlign w:val="bottom"/>
          </w:tcPr>
          <w:p>
            <w:pPr>
              <w:ind w:left="20"/>
              <w:spacing w:after="0"/>
              <w:rPr>
                <w:sz w:val="20"/>
                <w:szCs w:val="20"/>
                <w:color w:val="auto"/>
              </w:rPr>
            </w:pPr>
            <w:r>
              <w:rPr>
                <w:rFonts w:ascii="Arial" w:cs="Arial" w:eastAsia="Arial" w:hAnsi="Arial"/>
                <w:sz w:val="16"/>
                <w:szCs w:val="16"/>
                <w:color w:val="auto"/>
              </w:rPr>
              <w:t>U.S.</w:t>
            </w:r>
          </w:p>
        </w:tc>
        <w:tc>
          <w:tcPr>
            <w:tcW w:w="12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9,377</w:t>
            </w:r>
          </w:p>
        </w:tc>
        <w:tc>
          <w:tcPr>
            <w:tcW w:w="18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16,300</w:t>
            </w:r>
          </w:p>
        </w:tc>
        <w:tc>
          <w:tcPr>
            <w:tcW w:w="18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23,268</w:t>
            </w:r>
          </w:p>
        </w:tc>
        <w:tc>
          <w:tcPr>
            <w:tcW w:w="18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33,407</w:t>
            </w:r>
          </w:p>
        </w:tc>
      </w:tr>
      <w:tr>
        <w:trPr>
          <w:trHeight w:val="260"/>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1,797</w:t>
            </w: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6,075</w:t>
            </w: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9,566</w:t>
            </w: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14,443</w:t>
            </w:r>
          </w:p>
        </w:tc>
      </w:tr>
      <w:tr>
        <w:trPr>
          <w:trHeight w:val="243"/>
        </w:trPr>
        <w:tc>
          <w:tcPr>
            <w:tcW w:w="6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1"/>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56,949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106,090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163,240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208,036</w:t>
            </w: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 The distribution of income from operations excluding restructuring by geographical area was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460" w:type="dxa"/>
            <w:vAlign w:val="bottom"/>
            <w:tcBorders>
              <w:bottom w:val="single" w:sz="8" w:color="auto"/>
            </w:tcBorders>
            <w:gridSpan w:val="3"/>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shd w:val="clear" w:color="auto" w:fill="CCEEFF"/>
          </w:tcPr>
          <w:p>
            <w:pPr>
              <w:spacing w:after="0"/>
              <w:rPr>
                <w:sz w:val="20"/>
                <w:szCs w:val="20"/>
                <w:color w:val="auto"/>
              </w:rPr>
            </w:pPr>
          </w:p>
        </w:tc>
        <w:tc>
          <w:tcPr>
            <w:tcW w:w="2420" w:type="dxa"/>
            <w:vAlign w:val="bottom"/>
            <w:tcBorders>
              <w:bottom w:val="single" w:sz="8" w:color="auto"/>
            </w:tcBorders>
            <w:gridSpan w:val="3"/>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Six Months Ended</w:t>
            </w:r>
          </w:p>
        </w:tc>
      </w:tr>
      <w:tr>
        <w:trPr>
          <w:trHeight w:val="234"/>
        </w:trPr>
        <w:tc>
          <w:tcPr>
            <w:tcW w:w="6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2019</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June 30, 2019</w:t>
            </w:r>
          </w:p>
        </w:tc>
      </w:tr>
      <w:tr>
        <w:trPr>
          <w:trHeight w:val="243"/>
        </w:trPr>
        <w:tc>
          <w:tcPr>
            <w:tcW w:w="6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60" w:type="dxa"/>
            <w:vAlign w:val="bottom"/>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(in thousands)</w:t>
            </w:r>
          </w:p>
        </w:tc>
        <w:tc>
          <w:tcPr>
            <w:tcW w:w="180" w:type="dxa"/>
            <w:vAlign w:val="bottom"/>
            <w:shd w:val="clear" w:color="auto" w:fill="CCEEFF"/>
          </w:tcPr>
          <w:p>
            <w:pPr>
              <w:spacing w:after="0"/>
              <w:rPr>
                <w:sz w:val="21"/>
                <w:szCs w:val="21"/>
                <w:color w:val="auto"/>
              </w:rPr>
            </w:pPr>
          </w:p>
        </w:tc>
        <w:tc>
          <w:tcPr>
            <w:tcW w:w="2420" w:type="dxa"/>
            <w:vAlign w:val="bottom"/>
            <w:gridSpan w:val="3"/>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6060" w:type="dxa"/>
            <w:vAlign w:val="bottom"/>
          </w:tcPr>
          <w:p>
            <w:pPr>
              <w:ind w:left="20"/>
              <w:spacing w:after="0"/>
              <w:rPr>
                <w:sz w:val="20"/>
                <w:szCs w:val="20"/>
                <w:color w:val="auto"/>
              </w:rPr>
            </w:pPr>
            <w:r>
              <w:rPr>
                <w:rFonts w:ascii="Arial" w:cs="Arial" w:eastAsia="Arial" w:hAnsi="Arial"/>
                <w:sz w:val="16"/>
                <w:szCs w:val="16"/>
                <w:color w:val="auto"/>
              </w:rPr>
              <w:t>Ireland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56,744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78,052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130,679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148,673</w:t>
            </w:r>
          </w:p>
        </w:tc>
      </w:tr>
      <w:tr>
        <w:trPr>
          <w:trHeight w:val="25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7,120</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5,663</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17,816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11,513</w:t>
            </w:r>
          </w:p>
        </w:tc>
      </w:tr>
      <w:tr>
        <w:trPr>
          <w:trHeight w:val="233"/>
        </w:trPr>
        <w:tc>
          <w:tcPr>
            <w:tcW w:w="6060" w:type="dxa"/>
            <w:vAlign w:val="bottom"/>
          </w:tcPr>
          <w:p>
            <w:pPr>
              <w:ind w:left="20"/>
              <w:spacing w:after="0"/>
              <w:rPr>
                <w:sz w:val="20"/>
                <w:szCs w:val="20"/>
                <w:color w:val="auto"/>
              </w:rPr>
            </w:pPr>
            <w:r>
              <w:rPr>
                <w:rFonts w:ascii="Arial" w:cs="Arial" w:eastAsia="Arial" w:hAnsi="Arial"/>
                <w:sz w:val="16"/>
                <w:szCs w:val="16"/>
                <w:color w:val="auto"/>
              </w:rPr>
              <w:t>U.S.</w:t>
            </w:r>
          </w:p>
        </w:tc>
        <w:tc>
          <w:tcPr>
            <w:tcW w:w="12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9,377</w:t>
            </w:r>
          </w:p>
        </w:tc>
        <w:tc>
          <w:tcPr>
            <w:tcW w:w="18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16,300</w:t>
            </w:r>
          </w:p>
        </w:tc>
        <w:tc>
          <w:tcPr>
            <w:tcW w:w="18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23,268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33,407</w:t>
            </w:r>
          </w:p>
        </w:tc>
      </w:tr>
      <w:tr>
        <w:trPr>
          <w:trHeight w:val="260"/>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1,797</w:t>
            </w: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6,075</w:t>
            </w: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9,566</w:t>
            </w: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14,443</w:t>
            </w:r>
          </w:p>
        </w:tc>
      </w:tr>
      <w:tr>
        <w:trPr>
          <w:trHeight w:val="243"/>
        </w:trPr>
        <w:tc>
          <w:tcPr>
            <w:tcW w:w="6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1"/>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75,038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106,090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181,329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208,036</w:t>
            </w: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type w:val="continuous"/>
        </w:sectPr>
      </w:pPr>
    </w:p>
    <w:bookmarkStart w:id="24" w:name="page25"/>
    <w:bookmarkEnd w:id="24"/>
    <w:p>
      <w:pPr>
        <w:ind w:left="660"/>
        <w:spacing w:after="0"/>
        <w:rPr>
          <w:sz w:val="20"/>
          <w:szCs w:val="20"/>
          <w:color w:val="auto"/>
        </w:rPr>
      </w:pPr>
      <w:r>
        <w:rPr>
          <w:rFonts w:ascii="Arial" w:cs="Arial" w:eastAsia="Arial" w:hAnsi="Arial"/>
          <w:sz w:val="16"/>
          <w:szCs w:val="16"/>
          <w:color w:val="auto"/>
        </w:rPr>
        <w:t>d) The distribution of long-lived assets (including right-of-use assets), net, by geographical area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2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4820" w:type="dxa"/>
            <w:vAlign w:val="bottom"/>
            <w:tcBorders>
              <w:bottom w:val="single" w:sz="8" w:color="auto"/>
            </w:tcBorders>
            <w:shd w:val="clear" w:color="auto" w:fill="CCEEFF"/>
          </w:tcPr>
          <w:p>
            <w:pPr>
              <w:spacing w:after="0"/>
              <w:rPr>
                <w:sz w:val="19"/>
                <w:szCs w:val="19"/>
                <w:color w:val="auto"/>
              </w:rPr>
            </w:pPr>
          </w:p>
        </w:tc>
        <w:tc>
          <w:tcPr>
            <w:tcW w:w="38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June 30, 2020</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r>
      <w:tr>
        <w:trPr>
          <w:trHeight w:val="233"/>
        </w:trPr>
        <w:tc>
          <w:tcPr>
            <w:tcW w:w="48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56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Ireland</w:t>
            </w:r>
          </w:p>
        </w:tc>
        <w:tc>
          <w:tcPr>
            <w:tcW w:w="3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108,531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110,522</w:t>
            </w:r>
          </w:p>
        </w:tc>
      </w:tr>
      <w:tr>
        <w:trPr>
          <w:trHeight w:val="233"/>
        </w:trPr>
        <w:tc>
          <w:tcPr>
            <w:tcW w:w="4820" w:type="dxa"/>
            <w:vAlign w:val="bottom"/>
          </w:tcPr>
          <w:p>
            <w:pPr>
              <w:ind w:left="20"/>
              <w:spacing w:after="0"/>
              <w:rPr>
                <w:sz w:val="20"/>
                <w:szCs w:val="20"/>
                <w:color w:val="auto"/>
              </w:rPr>
            </w:pPr>
            <w:r>
              <w:rPr>
                <w:rFonts w:ascii="Arial" w:cs="Arial" w:eastAsia="Arial" w:hAnsi="Arial"/>
                <w:sz w:val="16"/>
                <w:szCs w:val="16"/>
                <w:color w:val="auto"/>
              </w:rPr>
              <w:t>Rest of Europe</w:t>
            </w:r>
          </w:p>
        </w:tc>
        <w:tc>
          <w:tcPr>
            <w:tcW w:w="386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33,377</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41,970</w:t>
            </w:r>
          </w:p>
        </w:tc>
      </w:tr>
      <w:tr>
        <w:trPr>
          <w:trHeight w:val="253"/>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8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64,932</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72,578</w:t>
            </w:r>
          </w:p>
        </w:tc>
      </w:tr>
      <w:tr>
        <w:trPr>
          <w:trHeight w:val="25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 of World</w:t>
            </w:r>
          </w:p>
        </w:tc>
        <w:tc>
          <w:tcPr>
            <w:tcW w:w="38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41,979</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44,994</w:t>
            </w:r>
          </w:p>
        </w:tc>
      </w:tr>
      <w:tr>
        <w:trPr>
          <w:trHeight w:val="256"/>
        </w:trPr>
        <w:tc>
          <w:tcPr>
            <w:tcW w:w="4820" w:type="dxa"/>
            <w:vAlign w:val="bottom"/>
            <w:shd w:val="clear" w:color="auto" w:fill="CCEEFF"/>
          </w:tcPr>
          <w:p>
            <w:pPr>
              <w:spacing w:after="0"/>
              <w:rPr>
                <w:sz w:val="22"/>
                <w:szCs w:val="22"/>
                <w:color w:val="auto"/>
              </w:rPr>
            </w:pPr>
          </w:p>
        </w:tc>
        <w:tc>
          <w:tcPr>
            <w:tcW w:w="38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37"/>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248,819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270,064</w:t>
            </w:r>
          </w:p>
        </w:tc>
      </w:tr>
      <w:tr>
        <w:trPr>
          <w:trHeight w:val="21"/>
        </w:trPr>
        <w:tc>
          <w:tcPr>
            <w:tcW w:w="482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
        </w:trPr>
        <w:tc>
          <w:tcPr>
            <w:tcW w:w="482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2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 The distribution of depreciation, amortization and reduction in carrying value of the right-of-use assets by geographical area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480" w:type="dxa"/>
            <w:vAlign w:val="bottom"/>
            <w:tcBorders>
              <w:bottom w:val="single" w:sz="8" w:color="auto"/>
            </w:tcBorders>
            <w:gridSpan w:val="3"/>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shd w:val="clear" w:color="auto" w:fill="CCEEFF"/>
          </w:tcPr>
          <w:p>
            <w:pPr>
              <w:spacing w:after="0"/>
              <w:rPr>
                <w:sz w:val="20"/>
                <w:szCs w:val="20"/>
                <w:color w:val="auto"/>
              </w:rPr>
            </w:pPr>
          </w:p>
        </w:tc>
        <w:tc>
          <w:tcPr>
            <w:tcW w:w="2420" w:type="dxa"/>
            <w:vAlign w:val="bottom"/>
            <w:tcBorders>
              <w:bottom w:val="single" w:sz="8" w:color="auto"/>
            </w:tcBorders>
            <w:gridSpan w:val="3"/>
            <w:shd w:val="clear" w:color="auto" w:fill="CCEEFF"/>
          </w:tcPr>
          <w:p>
            <w:pPr>
              <w:jc w:val="center"/>
              <w:ind w:right="39"/>
              <w:spacing w:after="0"/>
              <w:rPr>
                <w:sz w:val="20"/>
                <w:szCs w:val="20"/>
                <w:color w:val="auto"/>
              </w:rPr>
            </w:pPr>
            <w:r>
              <w:rPr>
                <w:rFonts w:ascii="Arial" w:cs="Arial" w:eastAsia="Arial" w:hAnsi="Arial"/>
                <w:sz w:val="16"/>
                <w:szCs w:val="16"/>
                <w:b w:val="1"/>
                <w:bCs w:val="1"/>
                <w:color w:val="auto"/>
              </w:rPr>
              <w:t>Six Months Ended</w:t>
            </w:r>
          </w:p>
        </w:tc>
      </w:tr>
      <w:tr>
        <w:trPr>
          <w:trHeight w:val="234"/>
        </w:trPr>
        <w:tc>
          <w:tcPr>
            <w:tcW w:w="6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June 30, 2019</w:t>
            </w:r>
          </w:p>
        </w:tc>
      </w:tr>
      <w:tr>
        <w:trPr>
          <w:trHeight w:val="243"/>
        </w:trPr>
        <w:tc>
          <w:tcPr>
            <w:tcW w:w="6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80" w:type="dxa"/>
            <w:vAlign w:val="bottom"/>
            <w:gridSpan w:val="3"/>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(in thousands)</w:t>
            </w:r>
          </w:p>
        </w:tc>
        <w:tc>
          <w:tcPr>
            <w:tcW w:w="160" w:type="dxa"/>
            <w:vAlign w:val="bottom"/>
            <w:shd w:val="clear" w:color="auto" w:fill="CCEEFF"/>
          </w:tcPr>
          <w:p>
            <w:pPr>
              <w:spacing w:after="0"/>
              <w:rPr>
                <w:sz w:val="21"/>
                <w:szCs w:val="21"/>
                <w:color w:val="auto"/>
              </w:rPr>
            </w:pPr>
          </w:p>
        </w:tc>
        <w:tc>
          <w:tcPr>
            <w:tcW w:w="2420" w:type="dxa"/>
            <w:vAlign w:val="bottom"/>
            <w:gridSpan w:val="3"/>
            <w:shd w:val="clear" w:color="auto" w:fill="CCEEFF"/>
          </w:tcPr>
          <w:p>
            <w:pPr>
              <w:jc w:val="center"/>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6060" w:type="dxa"/>
            <w:vAlign w:val="bottom"/>
          </w:tcPr>
          <w:p>
            <w:pPr>
              <w:ind w:left="20"/>
              <w:spacing w:after="0"/>
              <w:rPr>
                <w:sz w:val="20"/>
                <w:szCs w:val="20"/>
                <w:color w:val="auto"/>
              </w:rPr>
            </w:pPr>
            <w:r>
              <w:rPr>
                <w:rFonts w:ascii="Arial" w:cs="Arial" w:eastAsia="Arial" w:hAnsi="Arial"/>
                <w:sz w:val="16"/>
                <w:szCs w:val="16"/>
                <w:color w:val="auto"/>
              </w:rPr>
              <w:t>Ireland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7,951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7,026</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16,192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14,916</w:t>
            </w:r>
          </w:p>
        </w:tc>
      </w:tr>
      <w:tr>
        <w:trPr>
          <w:trHeight w:val="25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3,672</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3,615</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7,487</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7,052</w:t>
            </w:r>
          </w:p>
        </w:tc>
      </w:tr>
      <w:tr>
        <w:trPr>
          <w:trHeight w:val="233"/>
        </w:trPr>
        <w:tc>
          <w:tcPr>
            <w:tcW w:w="6060" w:type="dxa"/>
            <w:vAlign w:val="bottom"/>
          </w:tcPr>
          <w:p>
            <w:pPr>
              <w:ind w:left="20"/>
              <w:spacing w:after="0"/>
              <w:rPr>
                <w:sz w:val="20"/>
                <w:szCs w:val="20"/>
                <w:color w:val="auto"/>
              </w:rPr>
            </w:pPr>
            <w:r>
              <w:rPr>
                <w:rFonts w:ascii="Arial" w:cs="Arial" w:eastAsia="Arial" w:hAnsi="Arial"/>
                <w:sz w:val="16"/>
                <w:szCs w:val="16"/>
                <w:color w:val="auto"/>
              </w:rPr>
              <w:t>U.S.</w:t>
            </w:r>
          </w:p>
        </w:tc>
        <w:tc>
          <w:tcPr>
            <w:tcW w:w="12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6,201</w:t>
            </w:r>
          </w:p>
        </w:tc>
        <w:tc>
          <w:tcPr>
            <w:tcW w:w="18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9,539</w:t>
            </w:r>
          </w:p>
        </w:tc>
        <w:tc>
          <w:tcPr>
            <w:tcW w:w="16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14,840</w:t>
            </w:r>
          </w:p>
        </w:tc>
        <w:tc>
          <w:tcPr>
            <w:tcW w:w="24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17,180</w:t>
            </w:r>
          </w:p>
        </w:tc>
      </w:tr>
      <w:tr>
        <w:trPr>
          <w:trHeight w:val="260"/>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5,043</w:t>
            </w: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2,608</w:t>
            </w: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7,998</w:t>
            </w:r>
          </w:p>
        </w:tc>
        <w:tc>
          <w:tcPr>
            <w:tcW w:w="2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6,583</w:t>
            </w:r>
          </w:p>
        </w:tc>
      </w:tr>
      <w:tr>
        <w:trPr>
          <w:trHeight w:val="243"/>
        </w:trPr>
        <w:tc>
          <w:tcPr>
            <w:tcW w:w="6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2"/>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22,867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22,788</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46,517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45,731</w:t>
            </w: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6060" w:type="dxa"/>
            <w:vAlign w:val="bottom"/>
          </w:tcPr>
          <w:p>
            <w:pPr>
              <w:ind w:left="660"/>
              <w:spacing w:after="0"/>
              <w:rPr>
                <w:sz w:val="20"/>
                <w:szCs w:val="20"/>
                <w:color w:val="auto"/>
              </w:rPr>
            </w:pPr>
            <w:r>
              <w:rPr>
                <w:rFonts w:ascii="Arial" w:cs="Arial" w:eastAsia="Arial" w:hAnsi="Arial"/>
                <w:sz w:val="16"/>
                <w:szCs w:val="16"/>
                <w:color w:val="auto"/>
              </w:rPr>
              <w:t>f) The distribution of total assets by geographical area was as follows: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00"/>
        </w:trPr>
        <w:tc>
          <w:tcPr>
            <w:tcW w:w="6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198"/>
        </w:trPr>
        <w:tc>
          <w:tcPr>
            <w:tcW w:w="6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December 31,</w:t>
            </w:r>
          </w:p>
        </w:tc>
      </w:tr>
      <w:tr>
        <w:trPr>
          <w:trHeight w:val="228"/>
        </w:trPr>
        <w:tc>
          <w:tcPr>
            <w:tcW w:w="60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r>
      <w:tr>
        <w:trPr>
          <w:trHeight w:val="233"/>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Ireland</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1,340,307</w:t>
            </w:r>
          </w:p>
        </w:tc>
        <w:tc>
          <w:tcPr>
            <w:tcW w:w="24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1,323,181</w:t>
            </w:r>
          </w:p>
        </w:tc>
      </w:tr>
      <w:tr>
        <w:trPr>
          <w:trHeight w:val="233"/>
        </w:trPr>
        <w:tc>
          <w:tcPr>
            <w:tcW w:w="6060" w:type="dxa"/>
            <w:vAlign w:val="bottom"/>
          </w:tcPr>
          <w:p>
            <w:pPr>
              <w:ind w:left="20"/>
              <w:spacing w:after="0"/>
              <w:rPr>
                <w:sz w:val="20"/>
                <w:szCs w:val="20"/>
                <w:color w:val="auto"/>
              </w:rPr>
            </w:pPr>
            <w:r>
              <w:rPr>
                <w:rFonts w:ascii="Arial" w:cs="Arial" w:eastAsia="Arial" w:hAnsi="Arial"/>
                <w:sz w:val="16"/>
                <w:szCs w:val="16"/>
                <w:color w:val="auto"/>
              </w:rPr>
              <w:t>Rest of Europe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605,148</w:t>
            </w:r>
          </w:p>
        </w:tc>
        <w:tc>
          <w:tcPr>
            <w:tcW w:w="24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660,797</w:t>
            </w:r>
          </w:p>
        </w:tc>
      </w:tr>
      <w:tr>
        <w:trPr>
          <w:trHeight w:val="25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735,370</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755,271</w:t>
            </w:r>
          </w:p>
        </w:tc>
      </w:tr>
      <w:tr>
        <w:trPr>
          <w:trHeight w:val="250"/>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 of World</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177,895</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168,263</w:t>
            </w:r>
          </w:p>
        </w:tc>
      </w:tr>
      <w:tr>
        <w:trPr>
          <w:trHeight w:val="243"/>
        </w:trPr>
        <w:tc>
          <w:tcPr>
            <w:tcW w:w="6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7"/>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2,858,720</w:t>
            </w:r>
          </w:p>
        </w:tc>
        <w:tc>
          <w:tcPr>
            <w:tcW w:w="2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2,907,512</w:t>
            </w:r>
          </w:p>
        </w:tc>
      </w:tr>
      <w:tr>
        <w:trPr>
          <w:trHeight w:val="27"/>
        </w:trPr>
        <w:tc>
          <w:tcPr>
            <w:tcW w:w="6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14. Impact of change in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ASC 326 Financial Instruments - Credit Losses</w:t>
      </w:r>
    </w:p>
    <w:p>
      <w:pPr>
        <w:spacing w:after="0" w:line="248" w:lineRule="exact"/>
        <w:rPr>
          <w:sz w:val="20"/>
          <w:szCs w:val="20"/>
          <w:color w:val="auto"/>
        </w:rPr>
      </w:pPr>
    </w:p>
    <w:p>
      <w:pPr>
        <w:jc w:val="both"/>
        <w:ind w:firstLine="522"/>
        <w:spacing w:after="0" w:line="263" w:lineRule="auto"/>
        <w:rPr>
          <w:sz w:val="20"/>
          <w:szCs w:val="20"/>
          <w:color w:val="auto"/>
        </w:rPr>
      </w:pPr>
      <w:r>
        <w:rPr>
          <w:rFonts w:ascii="Arial" w:cs="Arial" w:eastAsia="Arial" w:hAnsi="Arial"/>
          <w:sz w:val="16"/>
          <w:szCs w:val="16"/>
          <w:color w:val="auto"/>
        </w:rPr>
        <w:t xml:space="preserve">ASU 2016-13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xml:space="preserve"> (ASU 2016-13) was effective, and adopted by the Group, from January 1, 2020. Primarily, ASU 2016-13 introduces an expected loss methodology that is referred to as the current expected credit loss (CECL) methodology.</w:t>
      </w:r>
    </w:p>
    <w:p>
      <w:pPr>
        <w:spacing w:after="0" w:line="2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objectives of previous loss methodologies for instruments within the scope of this update generally delayed recognition of the full amount of credit losses until the loss was probable of occurring. Under ASU 2016-13, losses reflect an entity’s current estimate of all expected credit losses including, in addition to the consideration of past events and current conditions, as under the current guidance, incorporating the use of forecast information to provide more timely and accurate credit loss estimates. The measurement of expected credit losses under the CECL methodology is applicable to financial assets measured at amortized cost, including loan receivables and held-to-maturity debt securities. It also applies to off-balance sheet credit exposures not accounted as insurance (loan commitments, standby letters of credit, financial guarantees, and other similar instruments) and net investments in leases recognized by a lessor in accordance with ASC 842 on leases.</w:t>
      </w:r>
    </w:p>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addition, ASC 326 changed the accounting for available-for-sale (AFS) debt securities to require credit losses to be presented as an allowance rather than as a write-down to align the income statement recognition of credit losses on AFS debt securities with the reporting period in which the changes occur.</w:t>
      </w:r>
    </w:p>
    <w:p>
      <w:pPr>
        <w:spacing w:after="0" w:line="228" w:lineRule="exact"/>
        <w:rPr>
          <w:sz w:val="20"/>
          <w:szCs w:val="20"/>
          <w:color w:val="auto"/>
        </w:rPr>
      </w:pPr>
    </w:p>
    <w:p>
      <w:pPr>
        <w:jc w:val="both"/>
        <w:ind w:firstLine="382"/>
        <w:spacing w:after="0" w:line="253" w:lineRule="auto"/>
        <w:rPr>
          <w:sz w:val="20"/>
          <w:szCs w:val="20"/>
          <w:color w:val="auto"/>
        </w:rPr>
      </w:pPr>
      <w:r>
        <w:rPr>
          <w:rFonts w:ascii="Arial" w:cs="Arial" w:eastAsia="Arial" w:hAnsi="Arial"/>
          <w:sz w:val="16"/>
          <w:szCs w:val="16"/>
          <w:color w:val="auto"/>
        </w:rPr>
        <w:t>The Group adopted ASC 326 using the modified retrospective method. Under this transition method, the new standard is applied from January 1, 2020 without restatement of comparative period amounts. The adoption of ASC 326 does not have a material impact on the Group and there was no impact of adopting ASC 326 on opening balances at January 1, 2020.</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ICON plc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68" w:lineRule="exact"/>
        <w:rPr>
          <w:sz w:val="20"/>
          <w:szCs w:val="20"/>
          <w:color w:val="auto"/>
        </w:rPr>
      </w:pPr>
    </w:p>
    <w:p>
      <w:pPr>
        <w:jc w:val="both"/>
        <w:ind w:firstLine="698"/>
        <w:spacing w:after="0" w:line="251"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2019. The consolidated financial statements have been prepared in accordance with accounting principles generally accepted in the United States.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8" w:lineRule="exact"/>
        <w:rPr>
          <w:sz w:val="20"/>
          <w:szCs w:val="20"/>
          <w:color w:val="auto"/>
        </w:rPr>
      </w:pPr>
    </w:p>
    <w:p>
      <w:pPr>
        <w:jc w:val="both"/>
        <w:ind w:firstLine="414"/>
        <w:spacing w:after="0" w:line="251" w:lineRule="auto"/>
        <w:rPr>
          <w:sz w:val="20"/>
          <w:szCs w:val="20"/>
          <w:color w:val="auto"/>
        </w:rPr>
      </w:pPr>
      <w:r>
        <w:rPr>
          <w:rFonts w:ascii="Arial" w:cs="Arial" w:eastAsia="Arial" w:hAnsi="Arial"/>
          <w:sz w:val="16"/>
          <w:szCs w:val="16"/>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delivering best in class information, solutions and performance in clinical and outcomes research.</w:t>
      </w:r>
    </w:p>
    <w:p>
      <w:pPr>
        <w:spacing w:after="0" w:line="229" w:lineRule="exact"/>
        <w:rPr>
          <w:sz w:val="20"/>
          <w:szCs w:val="20"/>
          <w:color w:val="auto"/>
        </w:rPr>
      </w:pPr>
    </w:p>
    <w:p>
      <w:pPr>
        <w:jc w:val="both"/>
        <w:ind w:firstLine="422"/>
        <w:spacing w:after="0" w:line="251"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June 30, 2020 we employed approximately 15,150 employees, in 94 locations in 40 countries. During the six months ended June 30, 2020 we derived approximately 31.1%, 58.9% and 10.0% of our revenue in the United States, Europe and Rest of World respectively.</w:t>
      </w:r>
    </w:p>
    <w:p>
      <w:pPr>
        <w:spacing w:after="0" w:line="229" w:lineRule="exact"/>
        <w:rPr>
          <w:sz w:val="20"/>
          <w:szCs w:val="20"/>
          <w:color w:val="auto"/>
        </w:rPr>
      </w:pPr>
    </w:p>
    <w:p>
      <w:pPr>
        <w:jc w:val="both"/>
        <w:ind w:firstLine="422"/>
        <w:spacing w:after="0" w:line="251" w:lineRule="auto"/>
        <w:rPr>
          <w:sz w:val="20"/>
          <w:szCs w:val="20"/>
          <w:color w:val="auto"/>
        </w:rPr>
      </w:pPr>
      <w:r>
        <w:rPr>
          <w:rFonts w:ascii="Arial" w:cs="Arial" w:eastAsia="Arial" w:hAnsi="Arial"/>
          <w:sz w:val="16"/>
          <w:szCs w:val="16"/>
          <w:color w:val="auto"/>
        </w:rPr>
        <w:t>As the nature of our business involves the management of projects having a typical duration of a few weeks to several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clients from year to year.</w:t>
      </w:r>
    </w:p>
    <w:p>
      <w:pPr>
        <w:spacing w:after="0" w:line="229" w:lineRule="exact"/>
        <w:rPr>
          <w:sz w:val="20"/>
          <w:szCs w:val="20"/>
          <w:color w:val="auto"/>
        </w:rPr>
      </w:pPr>
    </w:p>
    <w:p>
      <w:pPr>
        <w:jc w:val="both"/>
        <w:ind w:firstLine="404"/>
        <w:spacing w:after="0" w:line="250" w:lineRule="auto"/>
        <w:rPr>
          <w:sz w:val="20"/>
          <w:szCs w:val="20"/>
          <w:color w:val="auto"/>
        </w:rPr>
      </w:pPr>
      <w:r>
        <w:rPr>
          <w:rFonts w:ascii="Arial" w:cs="Arial" w:eastAsia="Arial" w:hAnsi="Arial"/>
          <w:sz w:val="16"/>
          <w:szCs w:val="16"/>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30" w:lineRule="exact"/>
        <w:rPr>
          <w:sz w:val="20"/>
          <w:szCs w:val="20"/>
          <w:color w:val="auto"/>
        </w:rPr>
      </w:pPr>
    </w:p>
    <w:p>
      <w:pPr>
        <w:jc w:val="both"/>
        <w:ind w:firstLine="497"/>
        <w:spacing w:after="0" w:line="251" w:lineRule="auto"/>
        <w:rPr>
          <w:sz w:val="20"/>
          <w:szCs w:val="20"/>
          <w:color w:val="auto"/>
        </w:rPr>
      </w:pPr>
      <w:r>
        <w:rPr>
          <w:rFonts w:ascii="Arial" w:cs="Arial" w:eastAsia="Arial" w:hAnsi="Arial"/>
          <w:sz w:val="16"/>
          <w:szCs w:val="16"/>
          <w:color w:val="auto"/>
        </w:rPr>
        <w:t xml:space="preserve">Our unsatisfied performance obligation consists of potential revenue yet to be earned from projects awarded by clients. At June 30, 2020 we had unsatisfied performance obligations of approximately $5.7 billion </w:t>
      </w:r>
      <w:r>
        <w:rPr>
          <w:rFonts w:ascii="Arial" w:cs="Arial" w:eastAsia="Arial" w:hAnsi="Arial"/>
          <w:sz w:val="16"/>
          <w:szCs w:val="16"/>
          <w:i w:val="1"/>
          <w:iCs w:val="1"/>
          <w:color w:val="auto"/>
        </w:rPr>
        <w:t>(</w:t>
      </w:r>
      <w:r>
        <w:rPr>
          <w:rFonts w:ascii="Arial" w:cs="Arial" w:eastAsia="Arial" w:hAnsi="Arial"/>
          <w:sz w:val="16"/>
          <w:szCs w:val="16"/>
          <w:color w:val="auto"/>
        </w:rPr>
        <w:t xml:space="preserve">see </w:t>
      </w:r>
      <w:r>
        <w:rPr>
          <w:rFonts w:ascii="Arial" w:cs="Arial" w:eastAsia="Arial" w:hAnsi="Arial"/>
          <w:sz w:val="16"/>
          <w:szCs w:val="16"/>
          <w:i w:val="1"/>
          <w:iCs w:val="1"/>
          <w:color w:val="auto"/>
        </w:rPr>
        <w:t>note 4 - Accounts receivable, unbilled revenue (contract assets) and unearned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revenue or payments on account (contract liabilities) </w:t>
      </w:r>
      <w:r>
        <w:rPr>
          <w:rFonts w:ascii="Arial" w:cs="Arial" w:eastAsia="Arial" w:hAnsi="Arial"/>
          <w:sz w:val="16"/>
          <w:szCs w:val="16"/>
          <w:color w:val="auto"/>
        </w:rPr>
        <w:t>for further details). We believe that our remaining or unrealized performance obligations as of any date</w:t>
      </w:r>
      <w:r>
        <w:rPr>
          <w:rFonts w:ascii="Arial" w:cs="Arial" w:eastAsia="Arial" w:hAnsi="Arial"/>
          <w:sz w:val="16"/>
          <w:szCs w:val="16"/>
          <w:i w:val="1"/>
          <w:iCs w:val="1"/>
          <w:color w:val="auto"/>
        </w:rPr>
        <w:t xml:space="preserve"> </w:t>
      </w:r>
      <w:r>
        <w:rPr>
          <w:rFonts w:ascii="Arial" w:cs="Arial" w:eastAsia="Arial" w:hAnsi="Arial"/>
          <w:sz w:val="16"/>
          <w:szCs w:val="16"/>
          <w:color w:val="auto"/>
        </w:rPr>
        <w:t>is not necessarily a meaningful predictor of future results, due to the potential for cancellation or delay of revenue.</w:t>
      </w:r>
    </w:p>
    <w:p>
      <w:pPr>
        <w:spacing w:after="0" w:line="229" w:lineRule="exact"/>
        <w:rPr>
          <w:sz w:val="20"/>
          <w:szCs w:val="20"/>
          <w:color w:val="auto"/>
        </w:rPr>
      </w:pPr>
    </w:p>
    <w:p>
      <w:pPr>
        <w:jc w:val="both"/>
        <w:ind w:right="20" w:firstLine="484"/>
        <w:spacing w:after="0" w:line="260"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22" w:lineRule="exact"/>
        <w:rPr>
          <w:sz w:val="20"/>
          <w:szCs w:val="20"/>
          <w:color w:val="auto"/>
        </w:rPr>
      </w:pPr>
    </w:p>
    <w:p>
      <w:pPr>
        <w:jc w:val="both"/>
        <w:ind w:firstLine="377"/>
        <w:spacing w:after="0" w:line="248" w:lineRule="auto"/>
        <w:rPr>
          <w:sz w:val="20"/>
          <w:szCs w:val="20"/>
          <w:color w:val="auto"/>
        </w:rPr>
      </w:pPr>
      <w:r>
        <w:rPr>
          <w:rFonts w:ascii="Arial" w:cs="Arial" w:eastAsia="Arial" w:hAnsi="Arial"/>
          <w:sz w:val="16"/>
          <w:szCs w:val="16"/>
          <w:color w:val="auto"/>
        </w:rPr>
        <w:t>In addition to translation exposures, we are also subject to transaction exposures when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w:t>
      </w:r>
    </w:p>
    <w:p>
      <w:pPr>
        <w:spacing w:after="0" w:line="235" w:lineRule="exact"/>
        <w:rPr>
          <w:sz w:val="20"/>
          <w:szCs w:val="20"/>
          <w:color w:val="auto"/>
        </w:rPr>
      </w:pPr>
    </w:p>
    <w:p>
      <w:pPr>
        <w:jc w:val="both"/>
        <w:ind w:firstLine="369"/>
        <w:spacing w:after="0" w:line="253" w:lineRule="auto"/>
        <w:rPr>
          <w:sz w:val="20"/>
          <w:szCs w:val="20"/>
          <w:color w:val="auto"/>
        </w:rPr>
      </w:pPr>
      <w:r>
        <w:rPr>
          <w:rFonts w:ascii="Arial" w:cs="Arial" w:eastAsia="Arial" w:hAnsi="Arial"/>
          <w:sz w:val="16"/>
          <w:szCs w:val="16"/>
          <w:color w:val="auto"/>
        </w:rPr>
        <w:t>As we conduct operations on a global basis, our effective tax rate depends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Operating Results</w:t>
      </w:r>
    </w:p>
    <w:p>
      <w:pPr>
        <w:spacing w:after="0" w:line="268" w:lineRule="exact"/>
        <w:rPr>
          <w:sz w:val="20"/>
          <w:szCs w:val="20"/>
          <w:color w:val="auto"/>
        </w:rPr>
      </w:pPr>
    </w:p>
    <w:p>
      <w:pPr>
        <w:ind w:firstLine="468"/>
        <w:spacing w:after="0" w:line="260" w:lineRule="auto"/>
        <w:rPr>
          <w:sz w:val="20"/>
          <w:szCs w:val="20"/>
          <w:color w:val="auto"/>
        </w:rPr>
      </w:pPr>
      <w:r>
        <w:rPr>
          <w:rFonts w:ascii="Arial" w:cs="Arial" w:eastAsia="Arial" w:hAnsi="Arial"/>
          <w:sz w:val="16"/>
          <w:szCs w:val="16"/>
          <w:color w:val="auto"/>
        </w:rPr>
        <w:t>The following table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1680" w:type="dxa"/>
            <w:vAlign w:val="bottom"/>
            <w:shd w:val="clear" w:color="auto" w:fill="CCEEFF"/>
          </w:tcPr>
          <w:p>
            <w:pPr>
              <w:spacing w:after="0"/>
              <w:rPr>
                <w:sz w:val="20"/>
                <w:szCs w:val="20"/>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June 30, 2020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2019</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 to 2020</w:t>
            </w:r>
          </w:p>
        </w:tc>
      </w:tr>
      <w:tr>
        <w:trPr>
          <w:trHeight w:val="198"/>
        </w:trPr>
        <w:tc>
          <w:tcPr>
            <w:tcW w:w="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0" w:type="dxa"/>
            <w:vAlign w:val="bottom"/>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rPr>
              <w:t>Percentage of Revenue</w:t>
            </w:r>
          </w:p>
        </w:tc>
        <w:tc>
          <w:tcPr>
            <w:tcW w:w="1680" w:type="dxa"/>
            <w:vAlign w:val="bottom"/>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Percentage</w:t>
            </w:r>
          </w:p>
        </w:tc>
      </w:tr>
      <w:tr>
        <w:trPr>
          <w:trHeight w:val="189"/>
        </w:trPr>
        <w:tc>
          <w:tcPr>
            <w:tcW w:w="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4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680" w:type="dxa"/>
            <w:vAlign w:val="bottom"/>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Increase/</w:t>
            </w:r>
          </w:p>
        </w:tc>
      </w:tr>
      <w:tr>
        <w:trPr>
          <w:trHeight w:val="234"/>
        </w:trPr>
        <w:tc>
          <w:tcPr>
            <w:tcW w:w="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80" w:type="dxa"/>
            <w:vAlign w:val="bottom"/>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(Decrease)</w:t>
            </w:r>
          </w:p>
        </w:tc>
      </w:tr>
      <w:tr>
        <w:trPr>
          <w:trHeight w:val="250"/>
        </w:trPr>
        <w:tc>
          <w:tcPr>
            <w:tcW w:w="20" w:type="dxa"/>
            <w:vAlign w:val="bottom"/>
            <w:tcBorders>
              <w:bottom w:val="single" w:sz="8" w:color="auto"/>
            </w:tcBorders>
          </w:tcPr>
          <w:p>
            <w:pPr>
              <w:spacing w:after="0"/>
              <w:rPr>
                <w:sz w:val="21"/>
                <w:szCs w:val="21"/>
                <w:color w:val="auto"/>
              </w:rPr>
            </w:pPr>
          </w:p>
        </w:tc>
        <w:tc>
          <w:tcPr>
            <w:tcW w:w="63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Revenue</w:t>
            </w:r>
          </w:p>
        </w:tc>
        <w:tc>
          <w:tcPr>
            <w:tcW w:w="1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100.0 %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r>
      <w:tr>
        <w:trPr>
          <w:trHeight w:val="243"/>
        </w:trPr>
        <w:tc>
          <w:tcPr>
            <w:tcW w:w="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4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6340" w:type="dxa"/>
            <w:vAlign w:val="bottom"/>
            <w:gridSpan w:val="3"/>
          </w:tcPr>
          <w:p>
            <w:pPr>
              <w:spacing w:after="0"/>
              <w:rPr>
                <w:sz w:val="20"/>
                <w:szCs w:val="20"/>
                <w:color w:val="auto"/>
              </w:rPr>
            </w:pPr>
            <w:r>
              <w:rPr>
                <w:rFonts w:ascii="Arial" w:cs="Arial" w:eastAsia="Arial" w:hAnsi="Arial"/>
                <w:sz w:val="16"/>
                <w:szCs w:val="16"/>
                <w:color w:val="auto"/>
              </w:rPr>
              <w:t>Costs and expenses:</w:t>
            </w:r>
          </w:p>
        </w:tc>
        <w:tc>
          <w:tcPr>
            <w:tcW w:w="1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4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Direct costs</w:t>
            </w:r>
          </w:p>
        </w:tc>
        <w:tc>
          <w:tcPr>
            <w:tcW w:w="18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71.9 %</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70.6 %</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33"/>
        </w:trPr>
        <w:tc>
          <w:tcPr>
            <w:tcW w:w="20" w:type="dxa"/>
            <w:vAlign w:val="bottom"/>
          </w:tcPr>
          <w:p>
            <w:pPr>
              <w:spacing w:after="0"/>
              <w:rPr>
                <w:sz w:val="20"/>
                <w:szCs w:val="20"/>
                <w:color w:val="auto"/>
              </w:rPr>
            </w:pPr>
          </w:p>
        </w:tc>
        <w:tc>
          <w:tcPr>
            <w:tcW w:w="6340" w:type="dxa"/>
            <w:vAlign w:val="bottom"/>
            <w:gridSpan w:val="3"/>
          </w:tcPr>
          <w:p>
            <w:pPr>
              <w:spacing w:after="0"/>
              <w:rPr>
                <w:sz w:val="20"/>
                <w:szCs w:val="20"/>
                <w:color w:val="auto"/>
              </w:rPr>
            </w:pPr>
            <w:r>
              <w:rPr>
                <w:rFonts w:ascii="Arial" w:cs="Arial" w:eastAsia="Arial" w:hAnsi="Arial"/>
                <w:sz w:val="16"/>
                <w:szCs w:val="16"/>
                <w:color w:val="auto"/>
              </w:rPr>
              <w:t>Selling, general and administrative</w:t>
            </w:r>
          </w:p>
        </w:tc>
        <w:tc>
          <w:tcPr>
            <w:tcW w:w="1840" w:type="dxa"/>
            <w:vAlign w:val="bottom"/>
          </w:tcPr>
          <w:p>
            <w:pPr>
              <w:jc w:val="right"/>
              <w:ind w:right="239"/>
              <w:spacing w:after="0"/>
              <w:rPr>
                <w:sz w:val="20"/>
                <w:szCs w:val="20"/>
                <w:color w:val="auto"/>
              </w:rPr>
            </w:pPr>
            <w:r>
              <w:rPr>
                <w:rFonts w:ascii="Arial" w:cs="Arial" w:eastAsia="Arial" w:hAnsi="Arial"/>
                <w:sz w:val="16"/>
                <w:szCs w:val="16"/>
                <w:color w:val="auto"/>
              </w:rPr>
              <w:t>13.5 %</w:t>
            </w:r>
          </w:p>
        </w:tc>
        <w:tc>
          <w:tcPr>
            <w:tcW w:w="1360" w:type="dxa"/>
            <w:vAlign w:val="bottom"/>
          </w:tcPr>
          <w:p>
            <w:pPr>
              <w:jc w:val="right"/>
              <w:spacing w:after="0"/>
              <w:rPr>
                <w:sz w:val="20"/>
                <w:szCs w:val="20"/>
                <w:color w:val="auto"/>
              </w:rPr>
            </w:pPr>
            <w:r>
              <w:rPr>
                <w:rFonts w:ascii="Arial" w:cs="Arial" w:eastAsia="Arial" w:hAnsi="Arial"/>
                <w:sz w:val="16"/>
                <w:szCs w:val="16"/>
                <w:color w:val="auto"/>
              </w:rPr>
              <w:t>12.0 %</w:t>
            </w:r>
          </w:p>
        </w:tc>
        <w:tc>
          <w:tcPr>
            <w:tcW w:w="1680" w:type="dxa"/>
            <w:vAlign w:val="bottom"/>
          </w:tcPr>
          <w:p>
            <w:pPr>
              <w:jc w:val="right"/>
              <w:spacing w:after="0"/>
              <w:rPr>
                <w:sz w:val="20"/>
                <w:szCs w:val="20"/>
                <w:color w:val="auto"/>
              </w:rPr>
            </w:pPr>
            <w:r>
              <w:rPr>
                <w:rFonts w:ascii="Arial" w:cs="Arial" w:eastAsia="Arial" w:hAnsi="Arial"/>
                <w:sz w:val="16"/>
                <w:szCs w:val="16"/>
                <w:color w:val="auto"/>
              </w:rPr>
              <w:t>0.4 %</w:t>
            </w:r>
          </w:p>
        </w:tc>
      </w:tr>
      <w:tr>
        <w:trPr>
          <w:trHeight w:val="253"/>
        </w:trPr>
        <w:tc>
          <w:tcPr>
            <w:tcW w:w="20" w:type="dxa"/>
            <w:vAlign w:val="bottom"/>
            <w:shd w:val="clear" w:color="auto" w:fill="CCEEFF"/>
          </w:tcPr>
          <w:p>
            <w:pPr>
              <w:spacing w:after="0"/>
              <w:rPr>
                <w:sz w:val="21"/>
                <w:szCs w:val="21"/>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Depreciation</w:t>
            </w:r>
          </w:p>
        </w:tc>
        <w:tc>
          <w:tcPr>
            <w:tcW w:w="18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1.8 %</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33"/>
        </w:trPr>
        <w:tc>
          <w:tcPr>
            <w:tcW w:w="20" w:type="dxa"/>
            <w:vAlign w:val="bottom"/>
          </w:tcPr>
          <w:p>
            <w:pPr>
              <w:spacing w:after="0"/>
              <w:rPr>
                <w:sz w:val="20"/>
                <w:szCs w:val="20"/>
                <w:color w:val="auto"/>
              </w:rPr>
            </w:pPr>
          </w:p>
        </w:tc>
        <w:tc>
          <w:tcPr>
            <w:tcW w:w="6340" w:type="dxa"/>
            <w:vAlign w:val="bottom"/>
            <w:gridSpan w:val="3"/>
          </w:tcPr>
          <w:p>
            <w:pPr>
              <w:spacing w:after="0"/>
              <w:rPr>
                <w:sz w:val="20"/>
                <w:szCs w:val="20"/>
                <w:color w:val="auto"/>
              </w:rPr>
            </w:pPr>
            <w:r>
              <w:rPr>
                <w:rFonts w:ascii="Arial" w:cs="Arial" w:eastAsia="Arial" w:hAnsi="Arial"/>
                <w:sz w:val="16"/>
                <w:szCs w:val="16"/>
                <w:color w:val="auto"/>
              </w:rPr>
              <w:t>Amortization</w:t>
            </w:r>
          </w:p>
        </w:tc>
        <w:tc>
          <w:tcPr>
            <w:tcW w:w="1840" w:type="dxa"/>
            <w:vAlign w:val="bottom"/>
          </w:tcPr>
          <w:p>
            <w:pPr>
              <w:jc w:val="right"/>
              <w:ind w:right="239"/>
              <w:spacing w:after="0"/>
              <w:rPr>
                <w:sz w:val="20"/>
                <w:szCs w:val="20"/>
                <w:color w:val="auto"/>
              </w:rPr>
            </w:pPr>
            <w:r>
              <w:rPr>
                <w:rFonts w:ascii="Arial" w:cs="Arial" w:eastAsia="Arial" w:hAnsi="Arial"/>
                <w:sz w:val="16"/>
                <w:szCs w:val="16"/>
                <w:color w:val="auto"/>
              </w:rPr>
              <w:t>0.7 %</w:t>
            </w:r>
          </w:p>
        </w:tc>
        <w:tc>
          <w:tcPr>
            <w:tcW w:w="1360" w:type="dxa"/>
            <w:vAlign w:val="bottom"/>
          </w:tcPr>
          <w:p>
            <w:pPr>
              <w:jc w:val="right"/>
              <w:spacing w:after="0"/>
              <w:rPr>
                <w:sz w:val="20"/>
                <w:szCs w:val="20"/>
                <w:color w:val="auto"/>
              </w:rPr>
            </w:pPr>
            <w:r>
              <w:rPr>
                <w:rFonts w:ascii="Arial" w:cs="Arial" w:eastAsia="Arial" w:hAnsi="Arial"/>
                <w:sz w:val="16"/>
                <w:szCs w:val="16"/>
                <w:color w:val="auto"/>
              </w:rPr>
              <w:t>0.5 %</w:t>
            </w:r>
          </w:p>
        </w:tc>
        <w:tc>
          <w:tcPr>
            <w:tcW w:w="1680" w:type="dxa"/>
            <w:vAlign w:val="bottom"/>
          </w:tcPr>
          <w:p>
            <w:pPr>
              <w:jc w:val="right"/>
              <w:spacing w:after="0"/>
              <w:rPr>
                <w:sz w:val="20"/>
                <w:szCs w:val="20"/>
                <w:color w:val="auto"/>
              </w:rPr>
            </w:pPr>
            <w:r>
              <w:rPr>
                <w:rFonts w:ascii="Arial" w:cs="Arial" w:eastAsia="Arial" w:hAnsi="Arial"/>
                <w:sz w:val="16"/>
                <w:szCs w:val="16"/>
                <w:color w:val="auto"/>
              </w:rPr>
              <w:t>20.1 %</w:t>
            </w:r>
          </w:p>
        </w:tc>
      </w:tr>
      <w:tr>
        <w:trPr>
          <w:trHeight w:val="260"/>
        </w:trPr>
        <w:tc>
          <w:tcPr>
            <w:tcW w:w="20" w:type="dxa"/>
            <w:vAlign w:val="bottom"/>
            <w:tcBorders>
              <w:bottom w:val="single" w:sz="8" w:color="auto"/>
            </w:tcBorders>
            <w:shd w:val="clear" w:color="auto" w:fill="CCEEFF"/>
          </w:tcPr>
          <w:p>
            <w:pPr>
              <w:spacing w:after="0"/>
              <w:rPr>
                <w:sz w:val="22"/>
                <w:szCs w:val="22"/>
                <w:color w:val="auto"/>
              </w:rPr>
            </w:pPr>
          </w:p>
        </w:tc>
        <w:tc>
          <w:tcPr>
            <w:tcW w:w="63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Restructuring</w:t>
            </w:r>
          </w:p>
        </w:tc>
        <w:tc>
          <w:tcPr>
            <w:tcW w:w="18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2.9 %</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62"/>
        </w:trPr>
        <w:tc>
          <w:tcPr>
            <w:tcW w:w="20" w:type="dxa"/>
            <w:vAlign w:val="bottom"/>
            <w:tcBorders>
              <w:bottom w:val="single" w:sz="8" w:color="auto"/>
            </w:tcBorders>
            <w:shd w:val="clear" w:color="auto" w:fill="CCEEFF"/>
          </w:tcPr>
          <w:p>
            <w:pPr>
              <w:spacing w:after="0"/>
              <w:rPr>
                <w:sz w:val="22"/>
                <w:szCs w:val="22"/>
                <w:color w:val="auto"/>
              </w:rPr>
            </w:pPr>
          </w:p>
        </w:tc>
        <w:tc>
          <w:tcPr>
            <w:tcW w:w="63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18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9.2 %</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15.3 %</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0" w:type="dxa"/>
            <w:vAlign w:val="bottom"/>
            <w:tcBorders>
              <w:top w:val="single" w:sz="8" w:color="CCEEFF"/>
              <w:bottom w:val="single" w:sz="8" w:color="auto"/>
            </w:tcBorders>
            <w:gridSpan w:val="2"/>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0" w:type="dxa"/>
            <w:vAlign w:val="bottom"/>
            <w:gridSpan w:val="2"/>
          </w:tcPr>
          <w:p>
            <w:pPr>
              <w:spacing w:after="0"/>
              <w:rPr>
                <w:sz w:val="24"/>
                <w:szCs w:val="24"/>
                <w:color w:val="auto"/>
              </w:rPr>
            </w:pPr>
          </w:p>
        </w:tc>
        <w:tc>
          <w:tcPr>
            <w:tcW w:w="1680" w:type="dxa"/>
            <w:vAlign w:val="bottom"/>
          </w:tcPr>
          <w:p>
            <w:pPr>
              <w:spacing w:after="0"/>
              <w:rPr>
                <w:sz w:val="24"/>
                <w:szCs w:val="24"/>
                <w:color w:val="auto"/>
              </w:rPr>
            </w:pPr>
          </w:p>
        </w:tc>
      </w:tr>
      <w:tr>
        <w:trPr>
          <w:trHeight w:val="237"/>
        </w:trPr>
        <w:tc>
          <w:tcPr>
            <w:tcW w:w="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32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rPr>
              <w:t>Six Months Ended</w:t>
            </w:r>
          </w:p>
        </w:tc>
        <w:tc>
          <w:tcPr>
            <w:tcW w:w="1680" w:type="dxa"/>
            <w:vAlign w:val="bottom"/>
            <w:shd w:val="clear" w:color="auto" w:fill="CCEEFF"/>
          </w:tcPr>
          <w:p>
            <w:pPr>
              <w:spacing w:after="0"/>
              <w:rPr>
                <w:sz w:val="20"/>
                <w:szCs w:val="20"/>
                <w:color w:val="auto"/>
              </w:rPr>
            </w:pPr>
          </w:p>
        </w:tc>
      </w:tr>
      <w:tr>
        <w:trPr>
          <w:trHeight w:val="236"/>
        </w:trPr>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30, 2020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2019</w:t>
            </w:r>
          </w:p>
        </w:tc>
        <w:tc>
          <w:tcPr>
            <w:tcW w:w="1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 to 2020</w:t>
            </w:r>
          </w:p>
        </w:tc>
      </w:tr>
      <w:tr>
        <w:trPr>
          <w:trHeight w:val="243"/>
        </w:trPr>
        <w:tc>
          <w:tcPr>
            <w:tcW w:w="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4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198"/>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0" w:type="dxa"/>
            <w:vAlign w:val="bottom"/>
            <w:gridSpan w:val="2"/>
          </w:tcPr>
          <w:p>
            <w:pPr>
              <w:jc w:val="center"/>
              <w:spacing w:after="0"/>
              <w:rPr>
                <w:sz w:val="20"/>
                <w:szCs w:val="20"/>
                <w:color w:val="auto"/>
              </w:rPr>
            </w:pPr>
            <w:r>
              <w:rPr>
                <w:rFonts w:ascii="Arial" w:cs="Arial" w:eastAsia="Arial" w:hAnsi="Arial"/>
                <w:sz w:val="16"/>
                <w:szCs w:val="16"/>
                <w:b w:val="1"/>
                <w:bCs w:val="1"/>
                <w:color w:val="auto"/>
              </w:rPr>
              <w:t>Percentage of Revenue</w:t>
            </w:r>
          </w:p>
        </w:tc>
        <w:tc>
          <w:tcPr>
            <w:tcW w:w="1680" w:type="dxa"/>
            <w:vAlign w:val="bottom"/>
          </w:tcPr>
          <w:p>
            <w:pPr>
              <w:jc w:val="center"/>
              <w:ind w:left="39"/>
              <w:spacing w:after="0"/>
              <w:rPr>
                <w:sz w:val="20"/>
                <w:szCs w:val="20"/>
                <w:color w:val="auto"/>
              </w:rPr>
            </w:pPr>
            <w:r>
              <w:rPr>
                <w:rFonts w:ascii="Arial" w:cs="Arial" w:eastAsia="Arial" w:hAnsi="Arial"/>
                <w:sz w:val="16"/>
                <w:szCs w:val="16"/>
                <w:b w:val="1"/>
                <w:bCs w:val="1"/>
                <w:color w:val="auto"/>
              </w:rPr>
              <w:t>Percentage</w:t>
            </w:r>
          </w:p>
        </w:tc>
      </w:tr>
      <w:tr>
        <w:trPr>
          <w:trHeight w:val="189"/>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80" w:type="dxa"/>
            <w:vAlign w:val="bottom"/>
          </w:tcPr>
          <w:p>
            <w:pPr>
              <w:jc w:val="center"/>
              <w:ind w:left="19"/>
              <w:spacing w:after="0"/>
              <w:rPr>
                <w:sz w:val="20"/>
                <w:szCs w:val="20"/>
                <w:color w:val="auto"/>
              </w:rPr>
            </w:pPr>
            <w:r>
              <w:rPr>
                <w:rFonts w:ascii="Arial" w:cs="Arial" w:eastAsia="Arial" w:hAnsi="Arial"/>
                <w:sz w:val="16"/>
                <w:szCs w:val="16"/>
                <w:b w:val="1"/>
                <w:bCs w:val="1"/>
                <w:color w:val="auto"/>
              </w:rPr>
              <w:t>Increase/</w:t>
            </w:r>
          </w:p>
        </w:tc>
      </w:tr>
      <w:tr>
        <w:trPr>
          <w:trHeight w:val="224"/>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80" w:type="dxa"/>
            <w:vAlign w:val="bottom"/>
          </w:tcPr>
          <w:p>
            <w:pPr>
              <w:jc w:val="center"/>
              <w:ind w:left="39"/>
              <w:spacing w:after="0"/>
              <w:rPr>
                <w:sz w:val="20"/>
                <w:szCs w:val="20"/>
                <w:color w:val="auto"/>
              </w:rPr>
            </w:pPr>
            <w:r>
              <w:rPr>
                <w:rFonts w:ascii="Arial" w:cs="Arial" w:eastAsia="Arial" w:hAnsi="Arial"/>
                <w:sz w:val="16"/>
                <w:szCs w:val="16"/>
                <w:b w:val="1"/>
                <w:bCs w:val="1"/>
                <w:color w:val="auto"/>
              </w:rPr>
              <w:t>(Decrease)</w:t>
            </w:r>
          </w:p>
        </w:tc>
      </w:tr>
      <w:tr>
        <w:trPr>
          <w:trHeight w:val="260"/>
        </w:trPr>
        <w:tc>
          <w:tcPr>
            <w:tcW w:w="20" w:type="dxa"/>
            <w:vAlign w:val="bottom"/>
            <w:tcBorders>
              <w:bottom w:val="single" w:sz="8" w:color="auto"/>
            </w:tcBorders>
            <w:shd w:val="clear" w:color="auto" w:fill="CCEEFF"/>
          </w:tcPr>
          <w:p>
            <w:pPr>
              <w:spacing w:after="0"/>
              <w:rPr>
                <w:sz w:val="22"/>
                <w:szCs w:val="22"/>
                <w:color w:val="auto"/>
              </w:rPr>
            </w:pPr>
          </w:p>
        </w:tc>
        <w:tc>
          <w:tcPr>
            <w:tcW w:w="63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Revenue</w:t>
            </w:r>
          </w:p>
        </w:tc>
        <w:tc>
          <w:tcPr>
            <w:tcW w:w="18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100.0 %</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Costs and expenses:</w:t>
            </w:r>
          </w:p>
        </w:tc>
        <w:tc>
          <w:tcPr>
            <w:tcW w:w="4820" w:type="dxa"/>
            <w:vAlign w:val="bottom"/>
            <w:tcBorders>
              <w:bottom w:val="single" w:sz="8" w:color="CCEEFF"/>
            </w:tcBorders>
            <w:gridSpan w:val="2"/>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6340" w:type="dxa"/>
            <w:vAlign w:val="bottom"/>
            <w:gridSpan w:val="3"/>
          </w:tcPr>
          <w:p>
            <w:pPr>
              <w:spacing w:after="0"/>
              <w:rPr>
                <w:sz w:val="20"/>
                <w:szCs w:val="20"/>
                <w:color w:val="auto"/>
              </w:rPr>
            </w:pPr>
            <w:r>
              <w:rPr>
                <w:rFonts w:ascii="Arial" w:cs="Arial" w:eastAsia="Arial" w:hAnsi="Arial"/>
                <w:sz w:val="16"/>
                <w:szCs w:val="16"/>
                <w:color w:val="auto"/>
              </w:rPr>
              <w:t>Direct costs</w:t>
            </w:r>
          </w:p>
        </w:tc>
        <w:tc>
          <w:tcPr>
            <w:tcW w:w="1840" w:type="dxa"/>
            <w:vAlign w:val="bottom"/>
          </w:tcPr>
          <w:p>
            <w:pPr>
              <w:jc w:val="right"/>
              <w:ind w:right="259"/>
              <w:spacing w:after="0"/>
              <w:rPr>
                <w:sz w:val="20"/>
                <w:szCs w:val="20"/>
                <w:color w:val="auto"/>
              </w:rPr>
            </w:pPr>
            <w:r>
              <w:rPr>
                <w:rFonts w:ascii="Arial" w:cs="Arial" w:eastAsia="Arial" w:hAnsi="Arial"/>
                <w:sz w:val="16"/>
                <w:szCs w:val="16"/>
                <w:color w:val="auto"/>
              </w:rPr>
              <w:t>71.2 %</w:t>
            </w:r>
          </w:p>
        </w:tc>
        <w:tc>
          <w:tcPr>
            <w:tcW w:w="1360" w:type="dxa"/>
            <w:vAlign w:val="bottom"/>
          </w:tcPr>
          <w:p>
            <w:pPr>
              <w:jc w:val="right"/>
              <w:spacing w:after="0"/>
              <w:rPr>
                <w:sz w:val="20"/>
                <w:szCs w:val="20"/>
                <w:color w:val="auto"/>
              </w:rPr>
            </w:pPr>
            <w:r>
              <w:rPr>
                <w:rFonts w:ascii="Arial" w:cs="Arial" w:eastAsia="Arial" w:hAnsi="Arial"/>
                <w:sz w:val="16"/>
                <w:szCs w:val="16"/>
                <w:color w:val="auto"/>
              </w:rPr>
              <w:t>70.5 %</w:t>
            </w:r>
          </w:p>
        </w:tc>
        <w:tc>
          <w:tcPr>
            <w:tcW w:w="16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53"/>
        </w:trPr>
        <w:tc>
          <w:tcPr>
            <w:tcW w:w="20" w:type="dxa"/>
            <w:vAlign w:val="bottom"/>
            <w:shd w:val="clear" w:color="auto" w:fill="CCEEFF"/>
          </w:tcPr>
          <w:p>
            <w:pPr>
              <w:spacing w:after="0"/>
              <w:rPr>
                <w:sz w:val="21"/>
                <w:szCs w:val="21"/>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8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12.8 %</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233"/>
        </w:trPr>
        <w:tc>
          <w:tcPr>
            <w:tcW w:w="20" w:type="dxa"/>
            <w:vAlign w:val="bottom"/>
          </w:tcPr>
          <w:p>
            <w:pPr>
              <w:spacing w:after="0"/>
              <w:rPr>
                <w:sz w:val="20"/>
                <w:szCs w:val="20"/>
                <w:color w:val="auto"/>
              </w:rPr>
            </w:pPr>
          </w:p>
        </w:tc>
        <w:tc>
          <w:tcPr>
            <w:tcW w:w="6340" w:type="dxa"/>
            <w:vAlign w:val="bottom"/>
            <w:gridSpan w:val="3"/>
          </w:tcPr>
          <w:p>
            <w:pPr>
              <w:spacing w:after="0"/>
              <w:rPr>
                <w:sz w:val="20"/>
                <w:szCs w:val="20"/>
                <w:color w:val="auto"/>
              </w:rPr>
            </w:pPr>
            <w:r>
              <w:rPr>
                <w:rFonts w:ascii="Arial" w:cs="Arial" w:eastAsia="Arial" w:hAnsi="Arial"/>
                <w:sz w:val="16"/>
                <w:szCs w:val="16"/>
                <w:color w:val="auto"/>
              </w:rPr>
              <w:t>Depreciation</w:t>
            </w:r>
          </w:p>
        </w:tc>
        <w:tc>
          <w:tcPr>
            <w:tcW w:w="1840" w:type="dxa"/>
            <w:vAlign w:val="bottom"/>
          </w:tcPr>
          <w:p>
            <w:pPr>
              <w:jc w:val="right"/>
              <w:ind w:right="259"/>
              <w:spacing w:after="0"/>
              <w:rPr>
                <w:sz w:val="20"/>
                <w:szCs w:val="20"/>
                <w:color w:val="auto"/>
              </w:rPr>
            </w:pPr>
            <w:r>
              <w:rPr>
                <w:rFonts w:ascii="Arial" w:cs="Arial" w:eastAsia="Arial" w:hAnsi="Arial"/>
                <w:sz w:val="16"/>
                <w:szCs w:val="16"/>
                <w:color w:val="auto"/>
              </w:rPr>
              <w:t>1.7 %</w:t>
            </w:r>
          </w:p>
        </w:tc>
        <w:tc>
          <w:tcPr>
            <w:tcW w:w="1360" w:type="dxa"/>
            <w:vAlign w:val="bottom"/>
          </w:tcPr>
          <w:p>
            <w:pPr>
              <w:jc w:val="right"/>
              <w:spacing w:after="0"/>
              <w:rPr>
                <w:sz w:val="20"/>
                <w:szCs w:val="20"/>
                <w:color w:val="auto"/>
              </w:rPr>
            </w:pPr>
            <w:r>
              <w:rPr>
                <w:rFonts w:ascii="Arial" w:cs="Arial" w:eastAsia="Arial" w:hAnsi="Arial"/>
                <w:sz w:val="16"/>
                <w:szCs w:val="16"/>
                <w:color w:val="auto"/>
              </w:rPr>
              <w:t>1.7 %</w:t>
            </w:r>
          </w:p>
        </w:tc>
        <w:tc>
          <w:tcPr>
            <w:tcW w:w="16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53"/>
        </w:trPr>
        <w:tc>
          <w:tcPr>
            <w:tcW w:w="20" w:type="dxa"/>
            <w:vAlign w:val="bottom"/>
            <w:shd w:val="clear" w:color="auto" w:fill="CCEEFF"/>
          </w:tcPr>
          <w:p>
            <w:pPr>
              <w:spacing w:after="0"/>
              <w:rPr>
                <w:sz w:val="21"/>
                <w:szCs w:val="21"/>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Amortization</w:t>
            </w:r>
          </w:p>
        </w:tc>
        <w:tc>
          <w:tcPr>
            <w:tcW w:w="18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0.7 %</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22.8 %</w:t>
            </w:r>
          </w:p>
        </w:tc>
      </w:tr>
      <w:tr>
        <w:trPr>
          <w:trHeight w:val="250"/>
        </w:trPr>
        <w:tc>
          <w:tcPr>
            <w:tcW w:w="20" w:type="dxa"/>
            <w:vAlign w:val="bottom"/>
            <w:tcBorders>
              <w:bottom w:val="single" w:sz="8" w:color="auto"/>
            </w:tcBorders>
          </w:tcPr>
          <w:p>
            <w:pPr>
              <w:spacing w:after="0"/>
              <w:rPr>
                <w:sz w:val="21"/>
                <w:szCs w:val="21"/>
                <w:color w:val="auto"/>
              </w:rPr>
            </w:pPr>
          </w:p>
        </w:tc>
        <w:tc>
          <w:tcPr>
            <w:tcW w:w="63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Restructuring</w:t>
            </w:r>
          </w:p>
        </w:tc>
        <w:tc>
          <w:tcPr>
            <w:tcW w:w="1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1.4 %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43"/>
        </w:trPr>
        <w:tc>
          <w:tcPr>
            <w:tcW w:w="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4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63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Income from operations</w:t>
            </w:r>
          </w:p>
        </w:tc>
        <w:tc>
          <w:tcPr>
            <w:tcW w:w="1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12.2 %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15.2 %</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r>
      <w:tr>
        <w:trPr>
          <w:trHeight w:val="27"/>
        </w:trPr>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b w:val="1"/>
          <w:bCs w:val="1"/>
          <w:i w:val="1"/>
          <w:iCs w:val="1"/>
          <w:color w:val="auto"/>
        </w:rPr>
        <w:t>Revenue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center"/>
              <w:ind w:left="239"/>
              <w:spacing w:after="0"/>
              <w:rPr>
                <w:sz w:val="20"/>
                <w:szCs w:val="20"/>
                <w:color w:val="auto"/>
              </w:rPr>
            </w:pPr>
            <w:r>
              <w:rPr>
                <w:rFonts w:ascii="Arial" w:cs="Arial" w:eastAsia="Arial" w:hAnsi="Arial"/>
                <w:sz w:val="16"/>
                <w:szCs w:val="16"/>
                <w:b w:val="1"/>
                <w:bCs w:val="1"/>
                <w:color w:val="auto"/>
              </w:rPr>
              <w:t>Three Months Ended</w:t>
            </w: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8"/>
        </w:trPr>
        <w:tc>
          <w:tcPr>
            <w:tcW w:w="36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gridSpan w:val="2"/>
            <w:shd w:val="clear" w:color="auto" w:fill="CCEEFF"/>
          </w:tcPr>
          <w:p>
            <w:pPr>
              <w:jc w:val="center"/>
              <w:ind w:left="239"/>
              <w:spacing w:after="0"/>
              <w:rPr>
                <w:sz w:val="20"/>
                <w:szCs w:val="20"/>
                <w:color w:val="auto"/>
              </w:rPr>
            </w:pPr>
            <w:r>
              <w:rPr>
                <w:rFonts w:ascii="Arial" w:cs="Arial" w:eastAsia="Arial" w:hAnsi="Arial"/>
                <w:sz w:val="16"/>
                <w:szCs w:val="16"/>
                <w:b w:val="1"/>
                <w:bCs w:val="1"/>
                <w:color w:val="auto"/>
                <w:w w:val="99"/>
              </w:rPr>
              <w:t>June 30,</w:t>
            </w:r>
          </w:p>
        </w:tc>
        <w:tc>
          <w:tcPr>
            <w:tcW w:w="9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Change</w:t>
            </w:r>
          </w:p>
        </w:tc>
        <w:tc>
          <w:tcPr>
            <w:tcW w:w="1100" w:type="dxa"/>
            <w:vAlign w:val="bottom"/>
            <w:tcBorders>
              <w:bottom w:val="single" w:sz="8" w:color="auto"/>
            </w:tcBorders>
            <w:shd w:val="clear" w:color="auto" w:fill="CCEEFF"/>
          </w:tcPr>
          <w:p>
            <w:pPr>
              <w:spacing w:after="0"/>
              <w:rPr>
                <w:sz w:val="19"/>
                <w:szCs w:val="19"/>
                <w:color w:val="auto"/>
              </w:rPr>
            </w:pPr>
          </w:p>
        </w:tc>
      </w:tr>
      <w:tr>
        <w:trPr>
          <w:trHeight w:val="236"/>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9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620,228</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695,137</w:t>
            </w: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208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(74,909)</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bl>
    <w:p>
      <w:pPr>
        <w:spacing w:after="0" w:line="3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Revenue for the three months ended June 30, 2020 decreased by $74.9 million, or 10.8%, to $620.2 million, compared to $695.1 million for the three months ended June 30, 2019. Revenue decreased by 10.3% in constant currency and decreased by 11.4% in constant dollar organic terms. The decrease in revenues in the three months ended June 30, 2020 is due to the impact the COVID-19 global pandemic has had on operations including; our ability to ensure laboratory samples are collected and analyzed on time, our ability to perform on-site monitoring of clinical trials, the ability of patients or other service providers to travel, and our ability to travel.</w:t>
      </w:r>
    </w:p>
    <w:p>
      <w:pPr>
        <w:spacing w:after="0" w:line="230"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16"/>
          <w:szCs w:val="16"/>
          <w:color w:val="auto"/>
        </w:rPr>
        <w:t>During the three months ended June 30, 2020 we derived approximately 30.6%, 59.5% and 9.9% of our revenue in the United States, Europe and Rest of World respectively. During the three months ended June 30, 2020, $254.0 million or 40.9% of our revenues were derived from our top 5 customers. Revenue from our largest customer contributed 12.1% of revenue for the quarter. Revenue from our second largest customer contributed 10.7% of revenue for the quarter. New customer accounts are continually added, particularly from mid-tier pharma customers and biotech customers, which over time will result in a reduction in concentration of revenues from our top 5 customers.</w:t>
      </w:r>
    </w:p>
    <w:p>
      <w:pPr>
        <w:spacing w:after="0" w:line="230" w:lineRule="exact"/>
        <w:rPr>
          <w:sz w:val="20"/>
          <w:szCs w:val="20"/>
          <w:color w:val="auto"/>
        </w:rPr>
      </w:pPr>
    </w:p>
    <w:p>
      <w:pPr>
        <w:jc w:val="both"/>
        <w:ind w:firstLine="468"/>
        <w:spacing w:after="0" w:line="250" w:lineRule="auto"/>
        <w:rPr>
          <w:sz w:val="20"/>
          <w:szCs w:val="20"/>
          <w:color w:val="auto"/>
        </w:rPr>
      </w:pPr>
      <w:r>
        <w:rPr>
          <w:rFonts w:ascii="Arial" w:cs="Arial" w:eastAsia="Arial" w:hAnsi="Arial"/>
          <w:sz w:val="16"/>
          <w:szCs w:val="16"/>
          <w:color w:val="auto"/>
        </w:rPr>
        <w:t xml:space="preserve">Revenue in Ireland for the three months ended June 30, 2020 decreased to $279.7 million compared to $310.5 million for the three months ended June 30, 2019. Revenue in Ireland is principally a function of the Company’s global transfer pricing model (see </w:t>
      </w:r>
      <w:r>
        <w:rPr>
          <w:rFonts w:ascii="Arial" w:cs="Arial" w:eastAsia="Arial" w:hAnsi="Arial"/>
          <w:sz w:val="16"/>
          <w:szCs w:val="16"/>
          <w:i w:val="1"/>
          <w:iCs w:val="1"/>
          <w:color w:val="auto"/>
        </w:rPr>
        <w:t>note 13 - Business segment information</w:t>
      </w:r>
      <w:r>
        <w:rPr>
          <w:rFonts w:ascii="Arial" w:cs="Arial" w:eastAsia="Arial" w:hAnsi="Arial"/>
          <w:sz w:val="16"/>
          <w:szCs w:val="16"/>
          <w:color w:val="auto"/>
        </w:rPr>
        <w:t xml:space="preserve"> for further details). Revenue in our Rest of Europe region decreased to $89.4 million compared to $94.2 million for the three months ended June 30, 2019. Revenue in the Rest of World region decreased to $61.6 million compared to $68.2 million for the three months ended June 30, 2019. Revenue in the U.S. region decreased to $189.5 million from $222.3 million for the three months ended June 30, 2019.</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center"/>
              <w:ind w:left="379"/>
              <w:spacing w:after="0"/>
              <w:rPr>
                <w:sz w:val="20"/>
                <w:szCs w:val="20"/>
                <w:color w:val="auto"/>
              </w:rPr>
            </w:pPr>
            <w:r>
              <w:rPr>
                <w:rFonts w:ascii="Arial" w:cs="Arial" w:eastAsia="Arial" w:hAnsi="Arial"/>
                <w:sz w:val="16"/>
                <w:szCs w:val="16"/>
                <w:b w:val="1"/>
                <w:bCs w:val="1"/>
                <w:color w:val="auto"/>
              </w:rPr>
              <w:t>Six Months Ended</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8"/>
        </w:trPr>
        <w:tc>
          <w:tcPr>
            <w:tcW w:w="35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gridSpan w:val="2"/>
            <w:shd w:val="clear" w:color="auto" w:fill="CCEEFF"/>
          </w:tcPr>
          <w:p>
            <w:pPr>
              <w:jc w:val="center"/>
              <w:ind w:left="379"/>
              <w:spacing w:after="0"/>
              <w:rPr>
                <w:sz w:val="20"/>
                <w:szCs w:val="20"/>
                <w:color w:val="auto"/>
              </w:rPr>
            </w:pPr>
            <w:r>
              <w:rPr>
                <w:rFonts w:ascii="Arial" w:cs="Arial" w:eastAsia="Arial" w:hAnsi="Arial"/>
                <w:sz w:val="16"/>
                <w:szCs w:val="16"/>
                <w:b w:val="1"/>
                <w:bCs w:val="1"/>
                <w:color w:val="auto"/>
                <w:w w:val="99"/>
              </w:rPr>
              <w:t>June 30,</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bottom w:val="single" w:sz="8" w:color="auto"/>
            </w:tcBorders>
            <w:shd w:val="clear" w:color="auto" w:fill="CCEEFF"/>
          </w:tcPr>
          <w:p>
            <w:pPr>
              <w:spacing w:after="0"/>
              <w:rPr>
                <w:sz w:val="19"/>
                <w:szCs w:val="19"/>
                <w:color w:val="auto"/>
              </w:rPr>
            </w:pPr>
          </w:p>
        </w:tc>
      </w:tr>
      <w:tr>
        <w:trPr>
          <w:trHeight w:val="237"/>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8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43"/>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1,335,330</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1,369,989</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214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(34,659)</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bl>
    <w:p>
      <w:pPr>
        <w:spacing w:after="0" w:line="245" w:lineRule="exact"/>
        <w:rPr>
          <w:sz w:val="20"/>
          <w:szCs w:val="20"/>
          <w:color w:val="auto"/>
        </w:rPr>
      </w:pPr>
    </w:p>
    <w:p>
      <w:pPr>
        <w:jc w:val="both"/>
        <w:ind w:firstLine="468"/>
        <w:spacing w:after="0" w:line="250" w:lineRule="auto"/>
        <w:rPr>
          <w:sz w:val="20"/>
          <w:szCs w:val="20"/>
          <w:color w:val="auto"/>
        </w:rPr>
      </w:pPr>
      <w:r>
        <w:rPr>
          <w:rFonts w:ascii="Arial" w:cs="Arial" w:eastAsia="Arial" w:hAnsi="Arial"/>
          <w:sz w:val="16"/>
          <w:szCs w:val="16"/>
          <w:color w:val="auto"/>
        </w:rPr>
        <w:t>Revenue for the six months ended June 30, 2020 decreased by $34.7 million, or 2.5%, to $1,335.3 million compared to $1,370.0 million for the six months ended June 30, 2019. Revenue decreased by 2.0% in constant currency and decreased by 3.4% in constant dollar organic terms. The decrease in revenues in the six months ended June 30, 2020 is due to the impact the COVID-19 global pandemic has had on operations including; our ability to ensure laboratory samples are collected and analyzed on time, our ability to perform on-site monitoring of clinical trials, the ability of patients or other service providers to travel, and our ability to travel.</w:t>
      </w:r>
    </w:p>
    <w:p>
      <w:pPr>
        <w:spacing w:after="0" w:line="230" w:lineRule="exact"/>
        <w:rPr>
          <w:sz w:val="20"/>
          <w:szCs w:val="20"/>
          <w:color w:val="auto"/>
        </w:rPr>
      </w:pPr>
    </w:p>
    <w:p>
      <w:pPr>
        <w:jc w:val="both"/>
        <w:ind w:firstLine="387"/>
        <w:spacing w:after="0" w:line="250" w:lineRule="auto"/>
        <w:rPr>
          <w:sz w:val="20"/>
          <w:szCs w:val="20"/>
          <w:color w:val="auto"/>
        </w:rPr>
      </w:pPr>
      <w:r>
        <w:rPr>
          <w:rFonts w:ascii="Arial" w:cs="Arial" w:eastAsia="Arial" w:hAnsi="Arial"/>
          <w:sz w:val="16"/>
          <w:szCs w:val="16"/>
          <w:color w:val="auto"/>
        </w:rPr>
        <w:t>During the six months ended June 30, 2020 we derived approximately 31.1%, 58.9% and 10.0% of our revenue in the United States, Europe and Rest of World respectively. During the six months ended June 30, 2020, $538.2 million or 40.3% of our revenues were derived from our top 5 customers. The largest of these customers related to a strategic partnership with a large global pharmaceutical company. Revenue from this customer contributed 11.7% of revenue for the six months ended June 30, 2020. Revenue from our second largest customer contributed 11.0% for the for the six months ended June 30, 2020. New customer accounts are continually added, particularly from mid-tier pharma customers and biotech customers.</w:t>
      </w:r>
    </w:p>
    <w:p>
      <w:pPr>
        <w:spacing w:after="0" w:line="230" w:lineRule="exact"/>
        <w:rPr>
          <w:sz w:val="20"/>
          <w:szCs w:val="20"/>
          <w:color w:val="auto"/>
        </w:rPr>
      </w:pPr>
    </w:p>
    <w:p>
      <w:pPr>
        <w:jc w:val="both"/>
        <w:ind w:firstLine="386"/>
        <w:spacing w:after="0" w:line="250" w:lineRule="auto"/>
        <w:rPr>
          <w:sz w:val="20"/>
          <w:szCs w:val="20"/>
          <w:color w:val="auto"/>
        </w:rPr>
      </w:pPr>
      <w:r>
        <w:rPr>
          <w:rFonts w:ascii="Arial" w:cs="Arial" w:eastAsia="Arial" w:hAnsi="Arial"/>
          <w:sz w:val="16"/>
          <w:szCs w:val="16"/>
          <w:color w:val="auto"/>
        </w:rPr>
        <w:t xml:space="preserve">Revenue in Ireland for the six months ended June 30, 2020 decreased to $594.7 million compared to $609.0 million for the six months ended June 30, 2019. Revenue in Ireland is principally a function of the Company’s global transfer pricing model (see </w:t>
      </w:r>
      <w:r>
        <w:rPr>
          <w:rFonts w:ascii="Arial" w:cs="Arial" w:eastAsia="Arial" w:hAnsi="Arial"/>
          <w:sz w:val="16"/>
          <w:szCs w:val="16"/>
          <w:i w:val="1"/>
          <w:iCs w:val="1"/>
          <w:color w:val="auto"/>
        </w:rPr>
        <w:t>note 13 - Business segment information</w:t>
      </w:r>
      <w:r>
        <w:rPr>
          <w:rFonts w:ascii="Arial" w:cs="Arial" w:eastAsia="Arial" w:hAnsi="Arial"/>
          <w:sz w:val="16"/>
          <w:szCs w:val="16"/>
          <w:color w:val="auto"/>
        </w:rPr>
        <w:t xml:space="preserve"> for further details). Revenue in our Rest of Europe region increased to $191.8 million compared to $184.6 million for the six months ended June 30, 2019. Revenue in the Rest of World region decreased to $133.9 million compared to $135.5 million for the six months ended June 30, 2019. Revenue in the U.S. region decreased to $414.9 million from $440.9 million for the six months ended June 30, 2019.</w:t>
      </w:r>
    </w:p>
    <w:p>
      <w:pPr>
        <w:sectPr>
          <w:pgSz w:w="11900" w:h="16838" w:orient="portrait"/>
          <w:cols w:equalWidth="0" w:num="1">
            <w:col w:w="11240"/>
          </w:cols>
          <w:pgMar w:left="320" w:top="13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b w:val="1"/>
          <w:bCs w:val="1"/>
          <w:i w:val="1"/>
          <w:iCs w:val="1"/>
          <w:color w:val="auto"/>
        </w:rPr>
        <w:t>Direct costs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40" w:type="dxa"/>
            <w:vAlign w:val="bottom"/>
            <w:gridSpan w:val="4"/>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8"/>
        </w:trPr>
        <w:tc>
          <w:tcPr>
            <w:tcW w:w="29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June 30,</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June 30,</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r>
      <w:tr>
        <w:trPr>
          <w:trHeight w:val="237"/>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4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costs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445,833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490,656</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(44,823)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951,126</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966,153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(15,027)</w:t>
            </w:r>
          </w:p>
        </w:tc>
      </w:tr>
      <w:tr>
        <w:trPr>
          <w:trHeight w:val="224"/>
        </w:trPr>
        <w:tc>
          <w:tcPr>
            <w:tcW w:w="29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71.9 %</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70.6 %</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71.2 %</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70.5 %</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w:t>
            </w:r>
          </w:p>
        </w:tc>
      </w:tr>
    </w:tbl>
    <w:p>
      <w:pPr>
        <w:spacing w:after="0" w:line="359" w:lineRule="exact"/>
        <w:rPr>
          <w:sz w:val="20"/>
          <w:szCs w:val="20"/>
          <w:color w:val="auto"/>
        </w:rPr>
      </w:pPr>
    </w:p>
    <w:p>
      <w:pPr>
        <w:jc w:val="both"/>
        <w:ind w:firstLine="455"/>
        <w:spacing w:after="0" w:line="249" w:lineRule="auto"/>
        <w:rPr>
          <w:sz w:val="20"/>
          <w:szCs w:val="20"/>
          <w:color w:val="auto"/>
        </w:rPr>
      </w:pPr>
      <w:r>
        <w:rPr>
          <w:rFonts w:ascii="Arial" w:cs="Arial" w:eastAsia="Arial" w:hAnsi="Arial"/>
          <w:sz w:val="16"/>
          <w:szCs w:val="16"/>
          <w:color w:val="auto"/>
        </w:rPr>
        <w:t>Direct costs consist primarily of investigator and other reimbursable costs, compensation, associated fringe benefits and share based compensation expense for project-related employees and other direct project driven costs. Direct costs for the three months ended June 30, 2020 decreased by $44.8 million, or 9.1%, to $445.8 million compared to $490.7 million for the three months ended June 30, 2019. The decrease in direct costs relates to decreases in third party investigator and other reimbursable costs and a decrease in personnel related expenditure reflecting certain cost saving measures introduced in response to COVID-19. These are partly off set by an increase in direct project related costs and an increase in laboratory costs during the period. As a percentage of revenue, direct costs have increased to 71.9% compared to 70.6% for the three months ended June 30, 2019.</w:t>
      </w:r>
    </w:p>
    <w:p>
      <w:pPr>
        <w:spacing w:after="0" w:line="23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Direct costs for the six months ended June 30, 2020 decreased by $15.0 million, or 1.6%, to $951.1 million compared to $966.2 million for the six months ended June 30, 2019. The decrease in direct costs relates to decreases in third party investigator and other reimbursable costs partly offset by an increase in direct project related costs and personnel related expenditure and an increase in laboratory costs during the period. As a percentage of revenue, direct costs have increased to 71.2% compared to 70.5% for the six months ended June 30, 2019.</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60" w:type="dxa"/>
            <w:vAlign w:val="bottom"/>
            <w:gridSpan w:val="4"/>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Six Months Ended</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8"/>
        </w:trPr>
        <w:tc>
          <w:tcPr>
            <w:tcW w:w="37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June 30,</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June 30,</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r>
      <w:tr>
        <w:trPr>
          <w:trHeight w:val="236"/>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83,499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83,203</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296</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170,695</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165,115</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5,580</w:t>
            </w:r>
          </w:p>
        </w:tc>
      </w:tr>
      <w:tr>
        <w:trPr>
          <w:trHeight w:val="223"/>
        </w:trPr>
        <w:tc>
          <w:tcPr>
            <w:tcW w:w="37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13.5 %</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12.0 %</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0.4 %</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12.8 %</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12.1 %</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3.4 %</w:t>
            </w:r>
          </w:p>
        </w:tc>
      </w:tr>
    </w:tbl>
    <w:p>
      <w:pPr>
        <w:spacing w:after="0" w:line="30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Selling, general and administrative expenses for the three months ended June 30, 2020 increased by $0.3 million, or 0.4%, to $83.5 million, compared to $83.2 million for the three months ended June 30, 2019. Decreases in personnel related costs reflect certain cost saving measures introduce in response to COVID-19, were offset by increases in other expenditure. As a percentage of revenue, selling, general and administrative expenses increased to 13.5% compared to 12.0% for the three months ended June 30, 2019.</w:t>
      </w:r>
    </w:p>
    <w:p>
      <w:pPr>
        <w:spacing w:after="0" w:line="23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Selling, general and administrative expenses for the six months ended June 30, 2020 increased by $5.6 million, or 3.4%, to $170.7 million, compared to $165.1 million for the six months ended June 30, 2019. As a percentage of revenue, selling, general and administrative expenses increased to 12.8% compared to 12.1% for the six months ended June 30, 2019.</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760" w:type="dxa"/>
            <w:vAlign w:val="bottom"/>
            <w:gridSpan w:val="4"/>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Three Months Ended</w:t>
            </w: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740" w:type="dxa"/>
            <w:vAlign w:val="bottom"/>
            <w:gridSpan w:val="4"/>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Six Months Ended</w:t>
            </w:r>
          </w:p>
        </w:tc>
        <w:tc>
          <w:tcPr>
            <w:tcW w:w="940" w:type="dxa"/>
            <w:vAlign w:val="bottom"/>
            <w:shd w:val="clear" w:color="auto" w:fill="CCEEFF"/>
          </w:tcPr>
          <w:p>
            <w:pPr>
              <w:spacing w:after="0"/>
              <w:rPr>
                <w:sz w:val="17"/>
                <w:szCs w:val="17"/>
                <w:color w:val="auto"/>
              </w:rPr>
            </w:pPr>
          </w:p>
        </w:tc>
      </w:tr>
      <w:tr>
        <w:trPr>
          <w:trHeight w:val="228"/>
        </w:trPr>
        <w:tc>
          <w:tcPr>
            <w:tcW w:w="3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June 30,</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June 30,</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r>
      <w:tr>
        <w:trPr>
          <w:trHeight w:val="237"/>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43"/>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11,230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11,334</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(104)</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22,643</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22,916</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(273)</w:t>
            </w:r>
          </w:p>
        </w:tc>
      </w:tr>
      <w:tr>
        <w:trPr>
          <w:trHeight w:val="233"/>
        </w:trPr>
        <w:tc>
          <w:tcPr>
            <w:tcW w:w="31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1.8 %</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1.6 %</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(0.9)%</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1.7 %</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1.7 %</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53"/>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4,628</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3,854</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774</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9,537</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7,769</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1,768</w:t>
            </w:r>
          </w:p>
        </w:tc>
      </w:tr>
      <w:tr>
        <w:trPr>
          <w:trHeight w:val="223"/>
        </w:trPr>
        <w:tc>
          <w:tcPr>
            <w:tcW w:w="31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0.7 %</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0.5 %</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20.1 %</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0.7 %</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0.5 %</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0" w:name="page31"/>
    <w:bookmarkEnd w:id="30"/>
    <w:p>
      <w:pPr>
        <w:jc w:val="both"/>
        <w:ind w:firstLine="360"/>
        <w:spacing w:after="0" w:line="250" w:lineRule="auto"/>
        <w:rPr>
          <w:sz w:val="20"/>
          <w:szCs w:val="20"/>
          <w:color w:val="auto"/>
        </w:rPr>
      </w:pPr>
      <w:r>
        <w:rPr>
          <w:rFonts w:ascii="Arial" w:cs="Arial" w:eastAsia="Arial" w:hAnsi="Arial"/>
          <w:sz w:val="16"/>
          <w:szCs w:val="16"/>
          <w:color w:val="auto"/>
        </w:rPr>
        <w:t>Depreciation expense arises principally from investment in facilities, information systems and equipment to support the Company’s growth. Depreciation expense for the three months ended June 30, 2020 decreased by $0.1 million, or 0.9%, to $11.2 million compared to $11.3 million for the three months ended June 30, 2019. As a percentage of revenue the depreciation expense increased to 1.8% from 1.6% for the three months ended June 30, 2019. Depreciation expense for the six months ended June 30, 2020 decreased by $0.3 million, or 1.2%, to $22.6 million compared to $22.9 million for the six months ended June 30, 2019. As a percentage of revenue the depreciation expense was 1.7% which is in line with the six months ended June 30, 2019.</w:t>
      </w:r>
    </w:p>
    <w:p>
      <w:pPr>
        <w:spacing w:after="0" w:line="23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Amortization expense represents the amortization of intangible assets acquired on business combinations. Amortization on intangibles for the three months ended June 30, 2020 increased by $0.8 million, or 20.1%, to $4.6 million compared to $3.9 million for the three months ended June 30, 2019. As a percentage of revenue, amortization expense increased to 0.7%, compared to 0.5% for the three months ended June 30, 2019. Amortization on intangibles for the six months ended June 30, 2020 increased by $1.8 million, or 22.8%, to $9.5 million compared to $7.8 million for the six months ended June 30, 2019. The increase in the amortization expense for the six months ended June 30, 2020 was driven by new acquisitions over the last year. As a percentage of revenue, amortization expense increased to 0.7%, compared to 0.5% for the six months ended June 30, 2019.</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from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740" w:type="dxa"/>
            <w:vAlign w:val="bottom"/>
            <w:gridSpan w:val="4"/>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Six Months Ended</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8"/>
        </w:trPr>
        <w:tc>
          <w:tcPr>
            <w:tcW w:w="28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June 30,</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June 30,</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37"/>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4"/>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 (incl.</w:t>
            </w: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4"/>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56,949</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106,090</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(49,141)</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163,240</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208,036</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(44,796)</w:t>
            </w:r>
          </w:p>
        </w:tc>
      </w:tr>
      <w:tr>
        <w:trPr>
          <w:trHeight w:val="233"/>
        </w:trPr>
        <w:tc>
          <w:tcPr>
            <w:tcW w:w="288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15.3 %</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(46.3)%</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12.2 %</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15.2 %</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28"/>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 (excl.</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4"/>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75,038</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106,090</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(31,052)</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181,329</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208,036</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(26,707)</w:t>
            </w:r>
          </w:p>
        </w:tc>
      </w:tr>
      <w:tr>
        <w:trPr>
          <w:trHeight w:val="224"/>
        </w:trPr>
        <w:tc>
          <w:tcPr>
            <w:tcW w:w="288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12.1 %</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15.3 %</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(29.3)%</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13.6 %</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15.2 %</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w:t>
            </w:r>
          </w:p>
        </w:tc>
      </w:tr>
    </w:tbl>
    <w:p>
      <w:pPr>
        <w:spacing w:after="0" w:line="345" w:lineRule="exact"/>
        <w:rPr>
          <w:sz w:val="20"/>
          <w:szCs w:val="20"/>
          <w:color w:val="auto"/>
        </w:rPr>
      </w:pPr>
    </w:p>
    <w:p>
      <w:pPr>
        <w:jc w:val="both"/>
        <w:ind w:firstLine="482"/>
        <w:spacing w:after="0" w:line="253" w:lineRule="auto"/>
        <w:rPr>
          <w:sz w:val="20"/>
          <w:szCs w:val="20"/>
          <w:color w:val="auto"/>
        </w:rPr>
      </w:pPr>
      <w:r>
        <w:rPr>
          <w:rFonts w:ascii="Arial" w:cs="Arial" w:eastAsia="Arial" w:hAnsi="Arial"/>
          <w:sz w:val="16"/>
          <w:szCs w:val="16"/>
          <w:color w:val="auto"/>
        </w:rPr>
        <w:t>Income from operations for the three months ended June 30, 2020 decreased by $49.1 million, or 46.3%, to $56.9 million ($75.0 million excluding restructuring) compared to $106.1 million for the three months ended June 30, 2019. As a percentage of revenue, income from operations decreased to 9.2% (12.1% excluding restructuring) compared to 15.3% of revenues for the three months ended June 30, 2019.</w:t>
      </w:r>
    </w:p>
    <w:p>
      <w:pPr>
        <w:spacing w:after="0" w:line="2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Income from operations for the six months ended June 30, 2020 decreased by $44.8 million, or 21.5%, to $163.2 million ($181.3 million excluding restructuring) compared to $208.0 million for the six months ended June 30, 2019. As a percentage of revenue, income from operations decreased to 12.2% (13.6% excluding restructuring), compared to 15.2% of revenues for the six months ended June 30, 2019.</w:t>
      </w:r>
    </w:p>
    <w:p>
      <w:pPr>
        <w:spacing w:after="0" w:line="228" w:lineRule="exact"/>
        <w:rPr>
          <w:sz w:val="20"/>
          <w:szCs w:val="20"/>
          <w:color w:val="auto"/>
        </w:rPr>
      </w:pPr>
    </w:p>
    <w:p>
      <w:pPr>
        <w:jc w:val="both"/>
        <w:ind w:firstLine="475"/>
        <w:spacing w:after="0" w:line="250" w:lineRule="auto"/>
        <w:rPr>
          <w:sz w:val="20"/>
          <w:szCs w:val="20"/>
          <w:color w:val="auto"/>
        </w:rPr>
      </w:pPr>
      <w:r>
        <w:rPr>
          <w:rFonts w:ascii="Arial" w:cs="Arial" w:eastAsia="Arial" w:hAnsi="Arial"/>
          <w:sz w:val="16"/>
          <w:szCs w:val="16"/>
          <w:color w:val="auto"/>
        </w:rPr>
        <w:t xml:space="preserve">Income from operations in Ireland decreased to a profit of $38.7 million ($56.7 million excluding restructuring) compared to a profit of $78.1 million ($78.1 million excluding restructuring) for the three months ended June 30, 2019. Income from operations in Ireland decreased to a profit of $112.6 million ($130.7 million excluding restructuring) compared to a profit of $148.7 million ($148.7 million excluding restructuring) for the six months ended June 30, 2019. Income from operations in Ireland is impacted by the Group’s global transfer pricing model </w:t>
      </w:r>
      <w:r>
        <w:rPr>
          <w:rFonts w:ascii="Arial" w:cs="Arial" w:eastAsia="Arial" w:hAnsi="Arial"/>
          <w:sz w:val="16"/>
          <w:szCs w:val="16"/>
          <w:i w:val="1"/>
          <w:iCs w:val="1"/>
          <w:color w:val="auto"/>
        </w:rPr>
        <w:t>(see note 13 - Business segment information</w:t>
      </w:r>
      <w:r>
        <w:rPr>
          <w:rFonts w:ascii="Arial" w:cs="Arial" w:eastAsia="Arial" w:hAnsi="Arial"/>
          <w:sz w:val="16"/>
          <w:szCs w:val="16"/>
          <w:color w:val="auto"/>
        </w:rPr>
        <w:t xml:space="preserve"> for further details)</w:t>
      </w:r>
      <w:r>
        <w:rPr>
          <w:rFonts w:ascii="Arial" w:cs="Arial" w:eastAsia="Arial" w:hAnsi="Arial"/>
          <w:sz w:val="16"/>
          <w:szCs w:val="16"/>
          <w:i w:val="1"/>
          <w:iCs w:val="1"/>
          <w:color w:val="auto"/>
        </w:rPr>
        <w:t>.</w:t>
      </w: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from operations in our Rest of Europe region increased to $7.1 million compared to $5.7 million for the three months ended June 30, 2019.</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Income from operations in our Rest of Europe region increased to $17.8 million compared to $11.5 million for the six months ended June 30, 2019.</w:t>
      </w:r>
    </w:p>
    <w:p>
      <w:pPr>
        <w:spacing w:after="0" w:line="24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Income from operations in our Rest of World region decreased to $1.8 million compared to $6.1 million for the three months ended June 30, 2019. Income from operations in our Rest of World region decreased to $9.6 million compared to $14.4 million for the six months ended June 30, 2019.</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Income from operations in the U.S. region decreased to $9.4 million compared to $16.3 million for the three months ended June 30, 2019. Income from operations in the U.S. region decreased to $23.3 million compared to $33.4 million for the six months ended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i w:val="1"/>
          <w:iCs w:val="1"/>
          <w:color w:val="auto"/>
        </w:rPr>
        <w:t>Interest income and expense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0" w:type="dxa"/>
            <w:vAlign w:val="bottom"/>
            <w:gridSpan w:val="3"/>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60" w:type="dxa"/>
            <w:vAlign w:val="bottom"/>
            <w:gridSpan w:val="3"/>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28"/>
        </w:trPr>
        <w:tc>
          <w:tcPr>
            <w:tcW w:w="23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June 30,</w:t>
            </w:r>
          </w:p>
        </w:tc>
        <w:tc>
          <w:tcPr>
            <w:tcW w:w="7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7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June 30,</w:t>
            </w:r>
          </w:p>
        </w:tc>
        <w:tc>
          <w:tcPr>
            <w:tcW w:w="7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720" w:type="dxa"/>
            <w:vAlign w:val="bottom"/>
            <w:tcBorders>
              <w:bottom w:val="single" w:sz="8" w:color="auto"/>
            </w:tcBorders>
            <w:shd w:val="clear" w:color="auto" w:fill="CCEEFF"/>
          </w:tcPr>
          <w:p>
            <w:pPr>
              <w:spacing w:after="0"/>
              <w:rPr>
                <w:sz w:val="19"/>
                <w:szCs w:val="19"/>
                <w:color w:val="auto"/>
              </w:rPr>
            </w:pPr>
          </w:p>
        </w:tc>
      </w:tr>
      <w:tr>
        <w:trPr>
          <w:trHeight w:val="237"/>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43"/>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441</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1,780</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(1,339)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2,250</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3,525</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(1,275)</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r>
      <w:tr>
        <w:trPr>
          <w:trHeight w:val="224"/>
        </w:trPr>
        <w:tc>
          <w:tcPr>
            <w:tcW w:w="23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(3,220)</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(3,199)</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59"/>
              <w:spacing w:after="0"/>
              <w:rPr>
                <w:sz w:val="20"/>
                <w:szCs w:val="20"/>
                <w:color w:val="auto"/>
              </w:rPr>
            </w:pPr>
            <w:r>
              <w:rPr>
                <w:rFonts w:ascii="Arial" w:cs="Arial" w:eastAsia="Arial" w:hAnsi="Arial"/>
                <w:sz w:val="16"/>
                <w:szCs w:val="16"/>
                <w:color w:val="auto"/>
              </w:rPr>
              <w:t>(21)</w:t>
            </w:r>
          </w:p>
        </w:tc>
        <w:tc>
          <w:tcPr>
            <w:tcW w:w="960" w:type="dxa"/>
            <w:vAlign w:val="bottom"/>
            <w:gridSpan w:val="2"/>
          </w:tcPr>
          <w:p>
            <w:pPr>
              <w:jc w:val="right"/>
              <w:ind w:right="59"/>
              <w:spacing w:after="0"/>
              <w:rPr>
                <w:sz w:val="20"/>
                <w:szCs w:val="20"/>
                <w:color w:val="auto"/>
              </w:rPr>
            </w:pPr>
            <w:r>
              <w:rPr>
                <w:rFonts w:ascii="Arial" w:cs="Arial" w:eastAsia="Arial" w:hAnsi="Arial"/>
                <w:sz w:val="16"/>
                <w:szCs w:val="16"/>
                <w:color w:val="auto"/>
              </w:rPr>
              <w:t>0.7 %$</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(6,401)</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(6,553)</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99"/>
              <w:spacing w:after="0"/>
              <w:rPr>
                <w:sz w:val="20"/>
                <w:szCs w:val="20"/>
                <w:color w:val="auto"/>
              </w:rPr>
            </w:pPr>
            <w:r>
              <w:rPr>
                <w:rFonts w:ascii="Arial" w:cs="Arial" w:eastAsia="Arial" w:hAnsi="Arial"/>
                <w:sz w:val="16"/>
                <w:szCs w:val="16"/>
                <w:color w:val="auto"/>
              </w:rPr>
              <w:t>152</w:t>
            </w:r>
          </w:p>
        </w:tc>
        <w:tc>
          <w:tcPr>
            <w:tcW w:w="720" w:type="dxa"/>
            <w:vAlign w:val="bottom"/>
          </w:tcPr>
          <w:p>
            <w:pPr>
              <w:jc w:val="right"/>
              <w:spacing w:after="0"/>
              <w:rPr>
                <w:sz w:val="20"/>
                <w:szCs w:val="20"/>
                <w:color w:val="auto"/>
              </w:rPr>
            </w:pPr>
            <w:r>
              <w:rPr>
                <w:rFonts w:ascii="Arial" w:cs="Arial" w:eastAsia="Arial" w:hAnsi="Arial"/>
                <w:sz w:val="16"/>
                <w:szCs w:val="16"/>
                <w:color w:val="auto"/>
              </w:rPr>
              <w:t>(2.3)%</w:t>
            </w:r>
          </w:p>
        </w:tc>
      </w:tr>
    </w:tbl>
    <w:p>
      <w:pPr>
        <w:spacing w:after="0" w:line="3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Interest income for the three months ended June 30, 2020 decreased to $0.4 million, compared to $1.8 million for the three months ended June 30, 2019. Interest income for the six months ended June 30, 2020 decreased to $2.3 million, compared to $3.5 million for the six months ended June 30, 2019.</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for the three months ended June 30, 2020 was $3.2 million, which is comparable with the three months ended June 30, 2019.</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for the six months ended June 30, 2020 decreased to $6.4 million, compared to $6.6 million for the six months ended June 30, 2019.</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00" w:type="dxa"/>
            <w:vAlign w:val="bottom"/>
            <w:gridSpan w:val="3"/>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40" w:type="dxa"/>
            <w:vAlign w:val="bottom"/>
            <w:gridSpan w:val="3"/>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8"/>
        </w:trPr>
        <w:tc>
          <w:tcPr>
            <w:tcW w:w="4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Change</w:t>
            </w:r>
          </w:p>
        </w:tc>
      </w:tr>
      <w:tr>
        <w:trPr>
          <w:trHeight w:val="237"/>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(including restructuring)</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6,410</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12,456</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(6,046)</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19,000</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24,496</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(5,496)</w:t>
            </w:r>
          </w:p>
        </w:tc>
      </w:tr>
      <w:tr>
        <w:trPr>
          <w:trHeight w:val="233"/>
        </w:trPr>
        <w:tc>
          <w:tcPr>
            <w:tcW w:w="4280" w:type="dxa"/>
            <w:vAlign w:val="bottom"/>
          </w:tcPr>
          <w:p>
            <w:pPr>
              <w:ind w:left="20"/>
              <w:spacing w:after="0"/>
              <w:rPr>
                <w:sz w:val="20"/>
                <w:szCs w:val="20"/>
                <w:color w:val="auto"/>
              </w:rPr>
            </w:pPr>
            <w:r>
              <w:rPr>
                <w:rFonts w:ascii="Arial" w:cs="Arial" w:eastAsia="Arial" w:hAnsi="Arial"/>
                <w:sz w:val="16"/>
                <w:szCs w:val="16"/>
                <w:color w:val="auto"/>
              </w:rPr>
              <w:t>Effective income tax rate (including restructuring)</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11.8 %</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11.9 %</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(48.5)%</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11.9 %</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11.9 %</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53"/>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(excluding restructuring)</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8,671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12,456</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(3,785)</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21,261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24,496</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(3,235)</w:t>
            </w:r>
          </w:p>
        </w:tc>
      </w:tr>
      <w:tr>
        <w:trPr>
          <w:trHeight w:val="223"/>
        </w:trPr>
        <w:tc>
          <w:tcPr>
            <w:tcW w:w="4280" w:type="dxa"/>
            <w:vAlign w:val="bottom"/>
          </w:tcPr>
          <w:p>
            <w:pPr>
              <w:ind w:left="20"/>
              <w:spacing w:after="0"/>
              <w:rPr>
                <w:sz w:val="20"/>
                <w:szCs w:val="20"/>
                <w:color w:val="auto"/>
              </w:rPr>
            </w:pPr>
            <w:r>
              <w:rPr>
                <w:rFonts w:ascii="Arial" w:cs="Arial" w:eastAsia="Arial" w:hAnsi="Arial"/>
                <w:sz w:val="16"/>
                <w:szCs w:val="16"/>
                <w:color w:val="auto"/>
              </w:rPr>
              <w:t>Effective income tax rate (excluding restructuring)</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12.0 %</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11.9 %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(30.4)%</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12.0 %</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11.9 %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w:t>
            </w:r>
          </w:p>
        </w:tc>
      </w:tr>
    </w:tbl>
    <w:p>
      <w:pPr>
        <w:spacing w:after="0" w:line="35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6"/>
          <w:szCs w:val="16"/>
          <w:color w:val="auto"/>
        </w:rPr>
        <w:t>Provision for income taxes decreased to $6.4 million ($8.7 million excluding restructuring), compared to $12.5 million for the three months ended June 30, 2019. The Company’s effective tax rate for the three months ended June 30, 2020 was 11.8% (12.0% excluding restructuring ) compared with 11.9% for the three months ended June 30, 2019.</w:t>
      </w:r>
    </w:p>
    <w:p>
      <w:pPr>
        <w:spacing w:after="0" w:line="22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Provision for income taxes decreased to $19.0 million ($21.3 million excluding restructuring), compared to $24.5 million for the six months ended June 30, 2019. The Company’s effective tax rate for the six months ended June 30, 2020 was 11.9% (12.0% excluding restructuring) compared with 11.9% for the six months ended June 30, 2019. The Company’s effective tax rate remains principally a function of the distribution of pre-tax profits amongst the territories in which it operates.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68"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16"/>
          <w:szCs w:val="16"/>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28" w:lineRule="exact"/>
        <w:rPr>
          <w:sz w:val="20"/>
          <w:szCs w:val="20"/>
          <w:color w:val="auto"/>
        </w:rPr>
      </w:pPr>
    </w:p>
    <w:p>
      <w:pPr>
        <w:jc w:val="both"/>
        <w:ind w:firstLine="428"/>
        <w:spacing w:after="0" w:line="250" w:lineRule="auto"/>
        <w:rPr>
          <w:sz w:val="20"/>
          <w:szCs w:val="20"/>
          <w:color w:val="auto"/>
        </w:rPr>
      </w:pPr>
      <w:r>
        <w:rPr>
          <w:rFonts w:ascii="Arial" w:cs="Arial" w:eastAsia="Arial" w:hAnsi="Arial"/>
          <w:sz w:val="16"/>
          <w:szCs w:val="16"/>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or revenue recognized on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Cash and cash equivalents and net borrowings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Balance</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Drawn</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Net cash</w:t>
            </w:r>
          </w:p>
        </w:tc>
        <w:tc>
          <w:tcPr>
            <w:tcW w:w="15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Other non-</w:t>
            </w:r>
          </w:p>
        </w:tc>
        <w:tc>
          <w:tcPr>
            <w:tcW w:w="138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Effect of</w:t>
            </w:r>
          </w:p>
        </w:tc>
        <w:tc>
          <w:tcPr>
            <w:tcW w:w="1420" w:type="dxa"/>
            <w:vAlign w:val="bottom"/>
            <w:shd w:val="clear" w:color="auto" w:fill="CCEEFF"/>
          </w:tcPr>
          <w:p>
            <w:pPr>
              <w:spacing w:after="0"/>
              <w:rPr>
                <w:sz w:val="17"/>
                <w:szCs w:val="17"/>
                <w:color w:val="auto"/>
              </w:rPr>
            </w:pPr>
          </w:p>
        </w:tc>
      </w:tr>
      <w:tr>
        <w:trPr>
          <w:trHeight w:val="207"/>
        </w:trPr>
        <w:tc>
          <w:tcPr>
            <w:tcW w:w="30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December</w:t>
            </w:r>
          </w:p>
        </w:tc>
        <w:tc>
          <w:tcPr>
            <w:tcW w:w="1060" w:type="dxa"/>
            <w:vAlign w:val="bottom"/>
            <w:shd w:val="clear" w:color="auto" w:fill="CCEEFF"/>
          </w:tcPr>
          <w:p>
            <w:pPr>
              <w:jc w:val="center"/>
              <w:ind w:left="59"/>
              <w:spacing w:after="0"/>
              <w:rPr>
                <w:sz w:val="20"/>
                <w:szCs w:val="20"/>
                <w:color w:val="auto"/>
              </w:rPr>
            </w:pPr>
            <w:r>
              <w:rPr>
                <w:rFonts w:ascii="Arial" w:cs="Arial" w:eastAsia="Arial" w:hAnsi="Arial"/>
                <w:sz w:val="16"/>
                <w:szCs w:val="16"/>
                <w:b w:val="1"/>
                <w:bCs w:val="1"/>
                <w:color w:val="auto"/>
              </w:rPr>
              <w:t>down/</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inflow/</w:t>
            </w:r>
          </w:p>
        </w:tc>
        <w:tc>
          <w:tcPr>
            <w:tcW w:w="15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cash</w:t>
            </w:r>
          </w:p>
        </w:tc>
        <w:tc>
          <w:tcPr>
            <w:tcW w:w="138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exchange</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Balance</w:t>
            </w:r>
          </w:p>
        </w:tc>
      </w:tr>
      <w:tr>
        <w:trPr>
          <w:trHeight w:val="215"/>
        </w:trPr>
        <w:tc>
          <w:tcPr>
            <w:tcW w:w="30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31, 2019</w:t>
            </w: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(repaid)</w:t>
            </w:r>
          </w:p>
        </w:tc>
        <w:tc>
          <w:tcPr>
            <w:tcW w:w="11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(outflow)</w:t>
            </w:r>
          </w:p>
        </w:tc>
        <w:tc>
          <w:tcPr>
            <w:tcW w:w="15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adjustments</w:t>
            </w:r>
          </w:p>
        </w:tc>
        <w:tc>
          <w:tcPr>
            <w:tcW w:w="13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rates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June 30, 2020</w:t>
            </w:r>
          </w:p>
        </w:tc>
      </w:tr>
      <w:tr>
        <w:trPr>
          <w:trHeight w:val="227"/>
        </w:trPr>
        <w:tc>
          <w:tcPr>
            <w:tcW w:w="30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0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 (in thousands)</w:t>
            </w:r>
          </w:p>
        </w:tc>
        <w:tc>
          <w:tcPr>
            <w:tcW w:w="13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3"/>
        </w:trPr>
        <w:tc>
          <w:tcPr>
            <w:tcW w:w="3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6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520,309</w:t>
            </w:r>
          </w:p>
        </w:tc>
        <w:tc>
          <w:tcPr>
            <w:tcW w:w="106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99"/>
              </w:rPr>
              <w:t>—</w:t>
            </w:r>
          </w:p>
        </w:tc>
        <w:tc>
          <w:tcPr>
            <w:tcW w:w="11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75,234</w:t>
            </w:r>
          </w:p>
        </w:tc>
        <w:tc>
          <w:tcPr>
            <w:tcW w:w="15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(3,443)</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592,100</w:t>
            </w:r>
          </w:p>
        </w:tc>
      </w:tr>
      <w:tr>
        <w:trPr>
          <w:trHeight w:val="233"/>
        </w:trPr>
        <w:tc>
          <w:tcPr>
            <w:tcW w:w="3000" w:type="dxa"/>
            <w:vAlign w:val="bottom"/>
          </w:tcPr>
          <w:p>
            <w:pPr>
              <w:ind w:left="220"/>
              <w:spacing w:after="0"/>
              <w:rPr>
                <w:sz w:val="20"/>
                <w:szCs w:val="20"/>
                <w:color w:val="auto"/>
              </w:rPr>
            </w:pPr>
            <w:r>
              <w:rPr>
                <w:rFonts w:ascii="Arial" w:cs="Arial" w:eastAsia="Arial" w:hAnsi="Arial"/>
                <w:sz w:val="16"/>
                <w:szCs w:val="16"/>
                <w:color w:val="auto"/>
              </w:rPr>
              <w:t>Available for sale investments</w:t>
            </w:r>
          </w:p>
        </w:tc>
        <w:tc>
          <w:tcPr>
            <w:tcW w:w="1680" w:type="dxa"/>
            <w:vAlign w:val="bottom"/>
          </w:tcPr>
          <w:p>
            <w:pPr>
              <w:jc w:val="right"/>
              <w:ind w:right="279"/>
              <w:spacing w:after="0"/>
              <w:rPr>
                <w:sz w:val="20"/>
                <w:szCs w:val="20"/>
                <w:color w:val="auto"/>
              </w:rPr>
            </w:pPr>
            <w:r>
              <w:rPr>
                <w:rFonts w:ascii="Arial" w:cs="Arial" w:eastAsia="Arial" w:hAnsi="Arial"/>
                <w:sz w:val="16"/>
                <w:szCs w:val="16"/>
                <w:color w:val="auto"/>
              </w:rPr>
              <w:t>49,628</w:t>
            </w:r>
          </w:p>
        </w:tc>
        <w:tc>
          <w:tcPr>
            <w:tcW w:w="1060" w:type="dxa"/>
            <w:vAlign w:val="bottom"/>
          </w:tcPr>
          <w:p>
            <w:pPr>
              <w:jc w:val="center"/>
              <w:ind w:left="99"/>
              <w:spacing w:after="0"/>
              <w:rPr>
                <w:sz w:val="20"/>
                <w:szCs w:val="20"/>
                <w:color w:val="auto"/>
              </w:rPr>
            </w:pPr>
            <w:r>
              <w:rPr>
                <w:rFonts w:ascii="Arial" w:cs="Arial" w:eastAsia="Arial" w:hAnsi="Arial"/>
                <w:sz w:val="16"/>
                <w:szCs w:val="16"/>
                <w:color w:val="auto"/>
                <w:w w:val="99"/>
              </w:rPr>
              <w:t>—</w:t>
            </w: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(47,902)</w:t>
            </w: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2</w:t>
            </w:r>
          </w:p>
        </w:tc>
        <w:tc>
          <w:tcPr>
            <w:tcW w:w="13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79"/>
              <w:spacing w:after="0"/>
              <w:rPr>
                <w:sz w:val="20"/>
                <w:szCs w:val="20"/>
                <w:color w:val="auto"/>
              </w:rPr>
            </w:pPr>
            <w:r>
              <w:rPr>
                <w:rFonts w:ascii="Arial" w:cs="Arial" w:eastAsia="Arial" w:hAnsi="Arial"/>
                <w:sz w:val="16"/>
                <w:szCs w:val="16"/>
                <w:b w:val="1"/>
                <w:bCs w:val="1"/>
                <w:color w:val="auto"/>
              </w:rPr>
              <w:t>1,728</w:t>
            </w:r>
          </w:p>
        </w:tc>
      </w:tr>
      <w:tr>
        <w:trPr>
          <w:trHeight w:val="260"/>
        </w:trPr>
        <w:tc>
          <w:tcPr>
            <w:tcW w:w="3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Private placement notes</w:t>
            </w:r>
          </w:p>
        </w:tc>
        <w:tc>
          <w:tcPr>
            <w:tcW w:w="16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(349,640)</w:t>
            </w:r>
          </w:p>
        </w:tc>
        <w:tc>
          <w:tcPr>
            <w:tcW w:w="1060" w:type="dxa"/>
            <w:vAlign w:val="bottom"/>
            <w:tcBorders>
              <w:bottom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w w:val="99"/>
              </w:rPr>
              <w:t>—</w:t>
            </w:r>
          </w:p>
        </w:tc>
        <w:tc>
          <w:tcPr>
            <w:tcW w:w="11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(188)</w:t>
            </w:r>
          </w:p>
        </w:tc>
        <w:tc>
          <w:tcPr>
            <w:tcW w:w="13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(349,828)</w:t>
            </w:r>
          </w:p>
        </w:tc>
      </w:tr>
      <w:tr>
        <w:trPr>
          <w:trHeight w:val="243"/>
        </w:trPr>
        <w:tc>
          <w:tcPr>
            <w:tcW w:w="30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62"/>
        </w:trPr>
        <w:tc>
          <w:tcPr>
            <w:tcW w:w="300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220,297</w:t>
            </w:r>
          </w:p>
        </w:tc>
        <w:tc>
          <w:tcPr>
            <w:tcW w:w="1060" w:type="dxa"/>
            <w:vAlign w:val="bottom"/>
            <w:tcBorders>
              <w:bottom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b w:val="1"/>
                <w:bCs w:val="1"/>
                <w:color w:val="auto"/>
                <w:w w:val="99"/>
              </w:rPr>
              <w:t>—</w:t>
            </w:r>
          </w:p>
        </w:tc>
        <w:tc>
          <w:tcPr>
            <w:tcW w:w="11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27,332</w:t>
            </w:r>
          </w:p>
        </w:tc>
        <w:tc>
          <w:tcPr>
            <w:tcW w:w="1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(186)</w:t>
            </w:r>
          </w:p>
        </w:tc>
        <w:tc>
          <w:tcPr>
            <w:tcW w:w="13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(3,443)</w:t>
            </w: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244,000</w:t>
            </w:r>
          </w:p>
        </w:tc>
      </w:tr>
      <w:tr>
        <w:trPr>
          <w:trHeight w:val="20"/>
        </w:trPr>
        <w:tc>
          <w:tcPr>
            <w:tcW w:w="30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both"/>
        <w:ind w:firstLine="382"/>
        <w:spacing w:after="0" w:line="251" w:lineRule="auto"/>
        <w:rPr>
          <w:sz w:val="20"/>
          <w:szCs w:val="20"/>
          <w:color w:val="auto"/>
        </w:rPr>
      </w:pPr>
      <w:r>
        <w:rPr>
          <w:rFonts w:ascii="Arial" w:cs="Arial" w:eastAsia="Arial" w:hAnsi="Arial"/>
          <w:sz w:val="16"/>
          <w:szCs w:val="16"/>
          <w:color w:val="auto"/>
        </w:rPr>
        <w:t>The Company’s cash and short term investment balances at June 30, 2020 amounted to $593.8 million compared with cash and short term investment balances of $569.9 million at December 31, 2019. The Company’s cash and short term investment balances at June 30, 2020 comprised of cash and cash equivalents of $592.1 million and short-term investments of $1.7 million. The Company’s cash and short term investment balances at December 31, 2019 comprised of cash and cash equivalents of $520.3 million and short-term investments of $49.6 million.</w:t>
      </w:r>
    </w:p>
    <w:p>
      <w:pPr>
        <w:spacing w:after="0" w:line="229" w:lineRule="exact"/>
        <w:rPr>
          <w:sz w:val="20"/>
          <w:szCs w:val="20"/>
          <w:color w:val="auto"/>
        </w:rPr>
      </w:pPr>
    </w:p>
    <w:p>
      <w:pPr>
        <w:jc w:val="both"/>
        <w:ind w:firstLine="427"/>
        <w:spacing w:after="0" w:line="253" w:lineRule="auto"/>
        <w:rPr>
          <w:sz w:val="20"/>
          <w:szCs w:val="20"/>
          <w:color w:val="auto"/>
        </w:rPr>
      </w:pPr>
      <w:r>
        <w:rPr>
          <w:rFonts w:ascii="Arial" w:cs="Arial" w:eastAsia="Arial" w:hAnsi="Arial"/>
          <w:sz w:val="16"/>
          <w:szCs w:val="16"/>
          <w:color w:val="auto"/>
        </w:rPr>
        <w:t>On December 15, 2015, ICON Investments Five Unlimited Company issued Senior Notes for aggregate gross proceeds of $350.0 million in a private placement. The Senior Notes will mature on December 15, 2020. Interest payable is fixed at 3.64%, and is payable semi-annually on the Senior Notes on each June 15 and December 15, commencing June 15, 2016. The Senior Notes are guaranteed by ICON plc.</w:t>
      </w:r>
    </w:p>
    <w:p>
      <w:pPr>
        <w:spacing w:after="0" w:line="228" w:lineRule="exact"/>
        <w:rPr>
          <w:sz w:val="20"/>
          <w:szCs w:val="20"/>
          <w:color w:val="auto"/>
        </w:rPr>
      </w:pPr>
    </w:p>
    <w:p>
      <w:pPr>
        <w:jc w:val="both"/>
        <w:ind w:firstLine="520"/>
        <w:spacing w:after="0" w:line="250" w:lineRule="auto"/>
        <w:rPr>
          <w:sz w:val="20"/>
          <w:szCs w:val="20"/>
          <w:color w:val="auto"/>
        </w:rPr>
      </w:pPr>
      <w:r>
        <w:rPr>
          <w:rFonts w:ascii="Arial" w:cs="Arial" w:eastAsia="Arial" w:hAnsi="Arial"/>
          <w:sz w:val="16"/>
          <w:szCs w:val="16"/>
          <w:color w:val="auto"/>
        </w:rPr>
        <w:t>On March 12, 2018, the Company entered into a five year committed multi-currency Revolving Credit Facility for $150.0 million with Citibank, JP Morgan, Santander, HSBC Bank and Morgan Stanley International (“Revolving Credit Facility”). Each bank subject to the agreement has committed $30.0 million to the facility, with equal terms and conditions in place with all institutions. The facility is guaranteed by ICON plc. The facility bears interest at LIBOR plus a margin. No amounts were drawn at June 30, 2020, or at December 31, 2019, in respect of the Revolving Credit Facility. Amounts available to the Group under the facility at June 30, 2020 and at December 31, 2019 were $150.0 million.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re-financing</w:t>
      </w:r>
    </w:p>
    <w:p>
      <w:pPr>
        <w:spacing w:after="0" w:line="25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On December 15, 2015, ICON Investments Five Unlimited Company issued Senior Notes for aggregate gross proceeds of $350.0 million in a private placement. The Senior Notes will mature on December 15, 2020. This debt will be repaid and new Senior Notes will be drawn in December 2020. In June 2020, the Company entered into an interest rate hedge in respect of the planned refinancing. The interest rate hedge was effective in accordance with Financial Accounting Standards Board (“FASB”) ASC 815, “Derivatives and Hedging”. The fair value of this derivative is recorded within other comprehensive income. The interest rate hedge matured on July 9, 2020 when the interest rates on the issue of new Senior Notes were fixed.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from operating activities</w:t>
      </w:r>
    </w:p>
    <w:p>
      <w:pPr>
        <w:spacing w:after="0" w:line="268" w:lineRule="exact"/>
        <w:rPr>
          <w:sz w:val="20"/>
          <w:szCs w:val="20"/>
          <w:color w:val="auto"/>
        </w:rPr>
      </w:pPr>
    </w:p>
    <w:p>
      <w:pPr>
        <w:jc w:val="both"/>
        <w:ind w:firstLine="518"/>
        <w:spacing w:after="0" w:line="248" w:lineRule="auto"/>
        <w:rPr>
          <w:sz w:val="20"/>
          <w:szCs w:val="20"/>
          <w:color w:val="auto"/>
        </w:rPr>
      </w:pPr>
      <w:r>
        <w:rPr>
          <w:rFonts w:ascii="Arial" w:cs="Arial" w:eastAsia="Arial" w:hAnsi="Arial"/>
          <w:sz w:val="16"/>
          <w:szCs w:val="16"/>
          <w:color w:val="auto"/>
        </w:rPr>
        <w:t>Net cash provided by operating activities was $260.6 million for the six months ended June 30, 2020 compared with cash provided by operating activities of $117.4 million for the six months ended June 30, 2019. This reflects the movements in working capital balances in the period.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delivery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delivery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June 30, 2020 was 71 days compared with 72 days at December 31, 2019 and 78 days at June 30, 2019. This reflects the timing of cash collections.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68" w:lineRule="exact"/>
        <w:rPr>
          <w:sz w:val="20"/>
          <w:szCs w:val="20"/>
          <w:color w:val="auto"/>
        </w:rPr>
      </w:pPr>
    </w:p>
    <w:p>
      <w:pPr>
        <w:jc w:val="both"/>
        <w:ind w:firstLine="465"/>
        <w:spacing w:after="0" w:line="247" w:lineRule="auto"/>
        <w:rPr>
          <w:sz w:val="20"/>
          <w:szCs w:val="20"/>
          <w:color w:val="auto"/>
        </w:rPr>
      </w:pPr>
      <w:r>
        <w:rPr>
          <w:rFonts w:ascii="Arial" w:cs="Arial" w:eastAsia="Arial" w:hAnsi="Arial"/>
          <w:sz w:val="16"/>
          <w:szCs w:val="16"/>
          <w:color w:val="auto"/>
        </w:rPr>
        <w:t>Net cash used in investing activities was $11.7 million for the six months ended June 30, 2020 compared to net cash used in investing activities of $94.8 million for the six months ended June 30, 2019. Net cash used in investing activities in the six months ended June 30, 2020 was largely attributable to cash outflows on the acquisition of MedPass of $47.0 million on January 22, 2020, cash outflows of $0.3 million in relation to the working capital adjustment on the acquisition of Symphony which was acquired on September 24, 2019, cash outflows of $0.5 million in relation to the contingent consideration paid for Symphony in the period and and a cash inflow of $0.5 million in relation to the working capital adjustment on the acquisition of MeDiNova which was acquired on May 23, 2019. These were offset in part by cash acquired of $10.2 million. During the six months ended June 30, 2020, capital expenditure of $21.2 million was made mainly relating to investment in facilities and IT infrastructure. In addition, $1.3 million was used for the purchase of investments in equity. During the six months ended June 30, 2020 $47.9 million was generated by the sale of short term investments. Net cash used in investing activities during the six months ended June 30, 2019 was largely attributable to the initial cash outflow on acquisition of MMD of $42.3 million on January 25, 2019 and cash outflows on the acquisition of MeDiNova on May 23, 2019 of $39.3 million. These were offset in party by cash acquired of $8.4 million. In addition capital expenditure of $18.2 million was made which was mainly comprised of investment in facilities and IT infrastructure. In addition $3.3 million was used for the purchase of investments in equity. During the six months ended June 30, 2019 $9.1 million was used for the purchase of short term investments and $9.1 million was generated by the sale of short term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68"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6"/>
          <w:szCs w:val="16"/>
          <w:color w:val="auto"/>
        </w:rPr>
        <w:t>Net cash used in financing activities during the six months ended June 30, 2020 amounted to $173.7 million compared to net cash used in financing activities of $48.1 million for the six months ended June 30, 2019. Cash outflows in respect of financing includes cash payments in respect of the Company’s share repurchase program totaling $175.0 million during the six months ended June 30, 2020. In addition, $1.5 million was received by the Company from the exercise of share options. During the six months ended June 30, 2019, $65.1 million was recognized in relation to the Company's share repurchase program. In addition, $17.1 million was received by the Company from the exercise of share options.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outflow</w:t>
      </w:r>
    </w:p>
    <w:p>
      <w:pPr>
        <w:spacing w:after="0" w:line="268" w:lineRule="exact"/>
        <w:rPr>
          <w:sz w:val="20"/>
          <w:szCs w:val="20"/>
          <w:color w:val="auto"/>
        </w:rPr>
      </w:pPr>
    </w:p>
    <w:p>
      <w:pPr>
        <w:jc w:val="both"/>
        <w:ind w:right="20" w:firstLine="370"/>
        <w:spacing w:after="0" w:line="260" w:lineRule="auto"/>
        <w:rPr>
          <w:sz w:val="20"/>
          <w:szCs w:val="20"/>
          <w:color w:val="auto"/>
        </w:rPr>
      </w:pPr>
      <w:r>
        <w:rPr>
          <w:rFonts w:ascii="Arial" w:cs="Arial" w:eastAsia="Arial" w:hAnsi="Arial"/>
          <w:sz w:val="16"/>
          <w:szCs w:val="16"/>
          <w:color w:val="auto"/>
        </w:rPr>
        <w:t>As a result of these cash flows, cash and cash equivalents increased by $71.8 million for the six months ended June 30, 2020 compared to a decrease of $25.6 million for the six months ended June 30, 2019.</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Inflation</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the effects of inflation generally do not have a material adverse impact on our operations or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5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On April 20, 2020, a putative class action, Chrystal Miller v. ICON plc et al, was filed against the Company in the Superior Court of California, County of San Mateo. The complaint alleges that the Company and a subsidiary violated the California Labor Code and the California Business &amp; Professions Code by failing to pay overtime wages, provide meal and rest periods, provide accurate and itemized wage statements and timely pay all final wages to Clinical Research Associates employed in California since April 20, 2016. The suit seeks monetary damages, interest, injunctive relief, and attorneys’ fees and costs. On June 22, 2020, the case was removed to the U.S. District Court, Northern District of California. The Company denies the allegations and will vigorously defend the lawsuit.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68"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6"/>
          <w:szCs w:val="16"/>
          <w:color w:val="auto"/>
        </w:rPr>
        <w:t>Certain statements contained herein are forward looking statements. These statements are based on management's current expectations and information currently available, including current economic and industry conditions. Actual results may differ materially from those stated or implied by forward looking statements due to risks and uncertainties associated with the Company’s business and forward looking statements are not guarantees of future performance. Forward-looking statements are only as of the date they are made and we do not undertake any obligation to update publicly any forward-looking statement, either as a result of new information, future events or otherwise. Please also refer to the Form 20-F filed on February 27, 2020 for risks and uncertainties facing the Company.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SIGNATURES</w:t>
      </w:r>
    </w:p>
    <w:p>
      <w:pPr>
        <w:spacing w:after="0" w:line="268" w:lineRule="exact"/>
        <w:rPr>
          <w:sz w:val="20"/>
          <w:szCs w:val="20"/>
          <w:color w:val="auto"/>
        </w:rPr>
      </w:pPr>
    </w:p>
    <w:p>
      <w:pPr>
        <w:ind w:firstLine="488"/>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ICON plc</w:t>
      </w:r>
    </w:p>
    <w:p>
      <w:pPr>
        <w:spacing w:after="0" w:line="200" w:lineRule="exact"/>
        <w:rPr>
          <w:sz w:val="20"/>
          <w:szCs w:val="20"/>
          <w:color w:val="auto"/>
        </w:rPr>
      </w:pPr>
    </w:p>
    <w:p>
      <w:pPr>
        <w:spacing w:after="0" w:line="379" w:lineRule="exact"/>
        <w:rPr>
          <w:sz w:val="20"/>
          <w:szCs w:val="20"/>
          <w:color w:val="auto"/>
        </w:rPr>
      </w:pPr>
    </w:p>
    <w:p>
      <w:pPr>
        <w:ind w:left="7920"/>
        <w:spacing w:after="0"/>
        <w:rPr>
          <w:sz w:val="20"/>
          <w:szCs w:val="20"/>
          <w:color w:val="auto"/>
        </w:rPr>
      </w:pPr>
      <w:r>
        <w:rPr>
          <w:rFonts w:ascii="Arial" w:cs="Arial" w:eastAsia="Arial" w:hAnsi="Arial"/>
          <w:sz w:val="16"/>
          <w:szCs w:val="16"/>
          <w:u w:val="single" w:color="auto"/>
          <w:color w:val="auto"/>
        </w:rPr>
        <w:t>/s/Brendan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64033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9" w:lineRule="exact"/>
        <w:rPr>
          <w:sz w:val="20"/>
          <w:szCs w:val="20"/>
          <w:color w:val="auto"/>
        </w:rPr>
      </w:pPr>
    </w:p>
    <w:p>
      <w:pPr>
        <w:ind w:left="720" w:right="1740" w:hanging="7883"/>
        <w:spacing w:after="0" w:line="285" w:lineRule="auto"/>
        <w:tabs>
          <w:tab w:leader="none" w:pos="7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July 24, 2020 Brendan Brennan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2020-07-24T09:19:40Z</dcterms:created>
  <dcterms:modified xsi:type="dcterms:W3CDTF">2020-07-24T09:19:40Z</dcterms:modified>
</cp:coreProperties>
</file>