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20-F</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580" w:right="1560" w:hanging="5572"/>
        <w:spacing w:after="0" w:line="52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PURSUANT TO SECTION 12(b) OR (g) OF THE SECURITIES EXCHANGE ACT OF 1934 OR</w:t>
      </w:r>
    </w:p>
    <w:p>
      <w:pPr>
        <w:ind w:left="4060" w:right="2480" w:hanging="4052"/>
        <w:spacing w:after="0" w:line="559" w:lineRule="auto"/>
        <w:tabs>
          <w:tab w:leader="none" w:pos="57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2007</w:t>
      </w:r>
    </w:p>
    <w:p>
      <w:pPr>
        <w:spacing w:after="0" w:line="19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Commission file number:</w:t>
            </w:r>
          </w:p>
        </w:tc>
        <w:tc>
          <w:tcPr>
            <w:tcW w:w="2520" w:type="dxa"/>
            <w:vAlign w:val="bottom"/>
          </w:tcPr>
          <w:p>
            <w:pPr>
              <w:jc w:val="right"/>
              <w:spacing w:after="0"/>
              <w:rPr>
                <w:sz w:val="20"/>
                <w:szCs w:val="20"/>
                <w:color w:val="auto"/>
              </w:rPr>
            </w:pPr>
            <w:r>
              <w:rPr>
                <w:rFonts w:ascii="Arial" w:cs="Arial" w:eastAsia="Arial" w:hAnsi="Arial"/>
                <w:sz w:val="18"/>
                <w:szCs w:val="18"/>
                <w:color w:val="auto"/>
              </w:rPr>
              <w:t>000-29714</w:t>
            </w:r>
          </w:p>
        </w:tc>
      </w:tr>
    </w:tbl>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(Jurisdiction of incorporation or organization)</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Securities registered or to be registered pursuant to Section 12(b) of the Act:</w:t>
            </w:r>
          </w:p>
        </w:tc>
        <w:tc>
          <w:tcPr>
            <w:tcW w:w="4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560" w:type="dxa"/>
            <w:vAlign w:val="bottom"/>
          </w:tcPr>
          <w:p>
            <w:pPr>
              <w:spacing w:after="0"/>
              <w:rPr>
                <w:sz w:val="24"/>
                <w:szCs w:val="24"/>
                <w:color w:val="auto"/>
              </w:rPr>
            </w:pPr>
          </w:p>
        </w:tc>
        <w:tc>
          <w:tcPr>
            <w:tcW w:w="4860" w:type="dxa"/>
            <w:vAlign w:val="bottom"/>
          </w:tcPr>
          <w:p>
            <w:pPr>
              <w:ind w:left="1060"/>
              <w:spacing w:after="0"/>
              <w:rPr>
                <w:sz w:val="20"/>
                <w:szCs w:val="20"/>
                <w:color w:val="auto"/>
              </w:rPr>
            </w:pPr>
            <w:r>
              <w:rPr>
                <w:rFonts w:ascii="Arial" w:cs="Arial" w:eastAsia="Arial" w:hAnsi="Arial"/>
                <w:sz w:val="18"/>
                <w:szCs w:val="18"/>
                <w:color w:val="auto"/>
              </w:rPr>
              <w:t>Name of exchange</w:t>
            </w:r>
          </w:p>
        </w:tc>
        <w:tc>
          <w:tcPr>
            <w:tcW w:w="20" w:type="dxa"/>
            <w:vAlign w:val="bottom"/>
          </w:tcPr>
          <w:p>
            <w:pPr>
              <w:spacing w:after="0"/>
              <w:rPr>
                <w:sz w:val="24"/>
                <w:szCs w:val="24"/>
                <w:color w:val="auto"/>
              </w:rPr>
            </w:pPr>
          </w:p>
        </w:tc>
      </w:tr>
      <w:tr>
        <w:trPr>
          <w:trHeight w:val="230"/>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 of each class</w:t>
            </w:r>
          </w:p>
        </w:tc>
        <w:tc>
          <w:tcPr>
            <w:tcW w:w="48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on which registered</w:t>
            </w:r>
          </w:p>
        </w:tc>
        <w:tc>
          <w:tcPr>
            <w:tcW w:w="20" w:type="dxa"/>
            <w:vAlign w:val="bottom"/>
          </w:tcPr>
          <w:p>
            <w:pPr>
              <w:spacing w:after="0"/>
              <w:rPr>
                <w:sz w:val="20"/>
                <w:szCs w:val="20"/>
                <w:color w:val="auto"/>
              </w:rPr>
            </w:pPr>
          </w:p>
        </w:tc>
      </w:tr>
      <w:tr>
        <w:trPr>
          <w:trHeight w:val="411"/>
        </w:trPr>
        <w:tc>
          <w:tcPr>
            <w:tcW w:w="6560" w:type="dxa"/>
            <w:vAlign w:val="bottom"/>
          </w:tcPr>
          <w:p>
            <w:pPr>
              <w:spacing w:after="0"/>
              <w:rPr>
                <w:sz w:val="20"/>
                <w:szCs w:val="20"/>
                <w:color w:val="auto"/>
              </w:rPr>
            </w:pPr>
            <w:r>
              <w:rPr>
                <w:rFonts w:ascii="Arial" w:cs="Arial" w:eastAsia="Arial" w:hAnsi="Arial"/>
                <w:sz w:val="18"/>
                <w:szCs w:val="18"/>
                <w:color w:val="auto"/>
              </w:rPr>
              <w:t>American Depository Shares, representing Ordinary</w:t>
            </w:r>
          </w:p>
        </w:tc>
        <w:tc>
          <w:tcPr>
            <w:tcW w:w="4860" w:type="dxa"/>
            <w:vAlign w:val="bottom"/>
          </w:tcPr>
          <w:p>
            <w:pPr>
              <w:ind w:left="1060"/>
              <w:spacing w:after="0"/>
              <w:rPr>
                <w:sz w:val="20"/>
                <w:szCs w:val="20"/>
                <w:color w:val="auto"/>
              </w:rPr>
            </w:pPr>
            <w:r>
              <w:rPr>
                <w:rFonts w:ascii="Arial" w:cs="Arial" w:eastAsia="Arial" w:hAnsi="Arial"/>
                <w:sz w:val="18"/>
                <w:szCs w:val="18"/>
                <w:color w:val="auto"/>
              </w:rPr>
              <w:t>NASDAQ Global Select Market</w:t>
            </w:r>
          </w:p>
        </w:tc>
        <w:tc>
          <w:tcPr>
            <w:tcW w:w="20" w:type="dxa"/>
            <w:vAlign w:val="bottom"/>
          </w:tcPr>
          <w:p>
            <w:pPr>
              <w:spacing w:after="0"/>
              <w:rPr>
                <w:sz w:val="24"/>
                <w:szCs w:val="24"/>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Shares, par value €0.06 each Ordinary Shares, par</w:t>
            </w: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value €0.06 each</w:t>
            </w:r>
          </w:p>
        </w:tc>
        <w:tc>
          <w:tcPr>
            <w:tcW w:w="4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8"/>
        </w:trPr>
        <w:tc>
          <w:tcPr>
            <w:tcW w:w="6560" w:type="dxa"/>
            <w:vAlign w:val="bottom"/>
          </w:tcPr>
          <w:p>
            <w:pPr>
              <w:spacing w:after="0"/>
              <w:rPr>
                <w:sz w:val="20"/>
                <w:szCs w:val="20"/>
                <w:color w:val="auto"/>
              </w:rPr>
            </w:pPr>
            <w:r>
              <w:rPr>
                <w:rFonts w:ascii="Arial" w:cs="Arial" w:eastAsia="Arial" w:hAnsi="Arial"/>
                <w:sz w:val="18"/>
                <w:szCs w:val="18"/>
                <w:color w:val="auto"/>
              </w:rPr>
              <w:t>Securities registered or to be registered pursuant to Section 12(g) of the Act:</w:t>
            </w: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Title of each class</w:t>
            </w:r>
          </w:p>
        </w:tc>
        <w:tc>
          <w:tcPr>
            <w:tcW w:w="4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8"/>
        </w:trPr>
        <w:tc>
          <w:tcPr>
            <w:tcW w:w="6560" w:type="dxa"/>
            <w:vAlign w:val="bottom"/>
            <w:tcBorders>
              <w:bottom w:val="single" w:sz="8" w:color="808080"/>
            </w:tcBorders>
          </w:tcPr>
          <w:p>
            <w:pPr>
              <w:spacing w:after="0"/>
              <w:rPr>
                <w:sz w:val="9"/>
                <w:szCs w:val="9"/>
                <w:color w:val="auto"/>
              </w:rPr>
            </w:pPr>
          </w:p>
        </w:tc>
        <w:tc>
          <w:tcPr>
            <w:tcW w:w="4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30"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28,835,244 Ordinary Shares.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determined in Rule 405 of the Securities Act.</w:t>
      </w:r>
    </w:p>
    <w:p>
      <w:pPr>
        <w:spacing w:after="0" w:line="252"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registrant is not required to file reports pursuant to section 13 or 15(d) of the Securities Exchange Act of 1934.</w:t>
      </w:r>
    </w:p>
    <w:p>
      <w:pPr>
        <w:spacing w:after="0" w:line="197"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ectPr>
          <w:pgSz w:w="11900" w:h="16838" w:orient="portrait"/>
          <w:cols w:equalWidth="0" w:num="1">
            <w:col w:w="11440"/>
          </w:cols>
          <w:pgMar w:left="240" w:top="301" w:right="219" w:bottom="0" w:gutter="0" w:footer="0" w:header="0"/>
        </w:sectPr>
      </w:pPr>
    </w:p>
    <w:bookmarkStart w:id="1" w:name="page2"/>
    <w:bookmarkEnd w:id="1"/>
    <w:p>
      <w:pPr>
        <w:spacing w:after="0"/>
        <w:tabs>
          <w:tab w:leader="none" w:pos="3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Yes x</w:t>
            </w:r>
          </w:p>
        </w:tc>
        <w:tc>
          <w:tcPr>
            <w:tcW w:w="3760" w:type="dxa"/>
            <w:vAlign w:val="bottom"/>
          </w:tcPr>
          <w:p>
            <w:pPr>
              <w:ind w:left="820"/>
              <w:spacing w:after="0"/>
              <w:rPr>
                <w:sz w:val="20"/>
                <w:szCs w:val="20"/>
                <w:color w:val="auto"/>
              </w:rPr>
            </w:pPr>
            <w:r>
              <w:rPr>
                <w:rFonts w:ascii="Arial" w:cs="Arial" w:eastAsia="Arial" w:hAnsi="Arial"/>
                <w:sz w:val="18"/>
                <w:szCs w:val="18"/>
                <w:color w:val="auto"/>
              </w:rPr>
              <w:t>No o</w:t>
            </w:r>
          </w:p>
        </w:tc>
        <w:tc>
          <w:tcPr>
            <w:tcW w:w="5060" w:type="dxa"/>
            <w:vAlign w:val="bottom"/>
          </w:tcPr>
          <w:p>
            <w:pPr>
              <w:spacing w:after="0"/>
              <w:rPr>
                <w:sz w:val="20"/>
                <w:szCs w:val="20"/>
                <w:color w:val="auto"/>
              </w:rPr>
            </w:pPr>
          </w:p>
        </w:tc>
      </w:tr>
      <w:tr>
        <w:trPr>
          <w:trHeight w:val="459"/>
        </w:trPr>
        <w:tc>
          <w:tcPr>
            <w:tcW w:w="11440" w:type="dxa"/>
            <w:vAlign w:val="bottom"/>
            <w:gridSpan w:val="3"/>
          </w:tcPr>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w:t>
            </w:r>
          </w:p>
        </w:tc>
      </w:tr>
      <w:tr>
        <w:trPr>
          <w:trHeight w:val="459"/>
        </w:trPr>
        <w:tc>
          <w:tcPr>
            <w:tcW w:w="2620" w:type="dxa"/>
            <w:vAlign w:val="bottom"/>
          </w:tcPr>
          <w:p>
            <w:pPr>
              <w:spacing w:after="0"/>
              <w:rPr>
                <w:sz w:val="20"/>
                <w:szCs w:val="20"/>
                <w:color w:val="auto"/>
              </w:rPr>
            </w:pPr>
            <w:r>
              <w:rPr>
                <w:rFonts w:ascii="Arial" w:cs="Arial" w:eastAsia="Arial" w:hAnsi="Arial"/>
                <w:sz w:val="18"/>
                <w:szCs w:val="18"/>
                <w:color w:val="auto"/>
              </w:rPr>
              <w:t>Large Accelerated filer x</w:t>
            </w:r>
          </w:p>
        </w:tc>
        <w:tc>
          <w:tcPr>
            <w:tcW w:w="3760" w:type="dxa"/>
            <w:vAlign w:val="bottom"/>
          </w:tcPr>
          <w:p>
            <w:pPr>
              <w:ind w:left="1180"/>
              <w:spacing w:after="0"/>
              <w:rPr>
                <w:sz w:val="20"/>
                <w:szCs w:val="20"/>
                <w:color w:val="auto"/>
              </w:rPr>
            </w:pPr>
            <w:r>
              <w:rPr>
                <w:rFonts w:ascii="Arial" w:cs="Arial" w:eastAsia="Arial" w:hAnsi="Arial"/>
                <w:sz w:val="18"/>
                <w:szCs w:val="18"/>
                <w:color w:val="auto"/>
              </w:rPr>
              <w:t>Accelerated filer o</w:t>
            </w:r>
          </w:p>
        </w:tc>
        <w:tc>
          <w:tcPr>
            <w:tcW w:w="5060" w:type="dxa"/>
            <w:vAlign w:val="bottom"/>
          </w:tcPr>
          <w:p>
            <w:pPr>
              <w:ind w:left="1240"/>
              <w:spacing w:after="0"/>
              <w:rPr>
                <w:sz w:val="20"/>
                <w:szCs w:val="20"/>
                <w:color w:val="auto"/>
              </w:rPr>
            </w:pPr>
            <w:r>
              <w:rPr>
                <w:rFonts w:ascii="Arial" w:cs="Arial" w:eastAsia="Arial" w:hAnsi="Arial"/>
                <w:sz w:val="18"/>
                <w:szCs w:val="18"/>
                <w:color w:val="auto"/>
              </w:rPr>
              <w:t>Non-accelerated filer o</w:t>
            </w:r>
          </w:p>
        </w:tc>
      </w:tr>
      <w:tr>
        <w:trPr>
          <w:trHeight w:val="108"/>
        </w:trPr>
        <w:tc>
          <w:tcPr>
            <w:tcW w:w="262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financial statement item the registrant has elected to follow:</w:t>
      </w:r>
    </w:p>
    <w:p>
      <w:pPr>
        <w:spacing w:after="0" w:line="252"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Item 17 o</w:t>
      </w:r>
      <w:r>
        <w:rPr>
          <w:sz w:val="20"/>
          <w:szCs w:val="20"/>
          <w:color w:val="auto"/>
        </w:rPr>
        <w:tab/>
      </w:r>
      <w:r>
        <w:rPr>
          <w:rFonts w:ascii="Arial" w:cs="Arial" w:eastAsia="Arial" w:hAnsi="Arial"/>
          <w:sz w:val="16"/>
          <w:szCs w:val="16"/>
          <w:color w:val="auto"/>
        </w:rPr>
        <w:t>Item 18 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52"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620" w:type="dxa"/>
            <w:vAlign w:val="bottom"/>
            <w:gridSpan w:val="10"/>
          </w:tcPr>
          <w:p>
            <w:pPr>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9"/>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General</w:t>
              </w:r>
            </w:hyperlink>
          </w:p>
        </w:tc>
        <w:tc>
          <w:tcPr>
            <w:tcW w:w="194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72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Cautionary Statement</w:t>
              </w:r>
            </w:hyperlink>
          </w:p>
        </w:tc>
        <w:tc>
          <w:tcPr>
            <w:tcW w:w="9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2620" w:type="dxa"/>
            <w:vAlign w:val="bottom"/>
            <w:gridSpan w:val="1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2"/>
        </w:trPr>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Item 1.</w:t>
              </w:r>
            </w:hyperlink>
          </w:p>
        </w:tc>
        <w:tc>
          <w:tcPr>
            <w:tcW w:w="280" w:type="dxa"/>
            <w:vAlign w:val="bottom"/>
            <w:gridSpan w:val="2"/>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83"/>
              </w:rPr>
            </w:pPr>
            <w:hyperlink w:anchor="page5">
              <w:r>
                <w:rPr>
                  <w:rFonts w:ascii="Arial" w:cs="Arial" w:eastAsia="Arial" w:hAnsi="Arial"/>
                  <w:sz w:val="18"/>
                  <w:szCs w:val="18"/>
                  <w:color w:val="0000EE"/>
                  <w:w w:val="83"/>
                </w:rPr>
                <w:t>Item 2.</w:t>
              </w:r>
            </w:hyperlink>
          </w:p>
        </w:tc>
        <w:tc>
          <w:tcPr>
            <w:tcW w:w="80" w:type="dxa"/>
            <w:vAlign w:val="bottom"/>
            <w:tcBorders>
              <w:top w:val="single" w:sz="8" w:color="0000EE"/>
            </w:tcBorders>
          </w:tcPr>
          <w:p>
            <w:pPr>
              <w:spacing w:after="0"/>
              <w:rPr>
                <w:sz w:val="24"/>
                <w:szCs w:val="24"/>
                <w:color w:val="auto"/>
              </w:rPr>
            </w:pPr>
          </w:p>
        </w:tc>
        <w:tc>
          <w:tcPr>
            <w:tcW w:w="280" w:type="dxa"/>
            <w:vAlign w:val="bottom"/>
            <w:gridSpan w:val="2"/>
          </w:tcPr>
          <w:p>
            <w:pPr>
              <w:spacing w:after="0"/>
              <w:rPr>
                <w:sz w:val="24"/>
                <w:szCs w:val="24"/>
                <w:color w:val="auto"/>
              </w:rPr>
            </w:pPr>
          </w:p>
        </w:tc>
        <w:tc>
          <w:tcPr>
            <w:tcW w:w="4000" w:type="dxa"/>
            <w:vAlign w:val="bottom"/>
            <w:tcBorders>
              <w:top w:val="single" w:sz="8" w:color="0000EE"/>
            </w:tcBorders>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Offer Statistics and Expected Timetable</w:t>
              </w:r>
            </w:hyperlink>
          </w:p>
        </w:tc>
        <w:tc>
          <w:tcPr>
            <w:tcW w:w="3100" w:type="dxa"/>
            <w:vAlign w:val="bottom"/>
            <w:gridSpan w:val="3"/>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6">
              <w:r>
                <w:rPr>
                  <w:rFonts w:ascii="Arial" w:cs="Arial" w:eastAsia="Arial" w:hAnsi="Arial"/>
                  <w:sz w:val="18"/>
                  <w:szCs w:val="18"/>
                  <w:color w:val="0000EE"/>
                  <w:w w:val="83"/>
                </w:rPr>
                <w:t>Item 3.</w:t>
              </w:r>
            </w:hyperlink>
          </w:p>
        </w:tc>
        <w:tc>
          <w:tcPr>
            <w:tcW w:w="360" w:type="dxa"/>
            <w:vAlign w:val="bottom"/>
            <w:gridSpan w:val="3"/>
          </w:tcPr>
          <w:p>
            <w:pPr>
              <w:spacing w:after="0"/>
              <w:rPr>
                <w:sz w:val="24"/>
                <w:szCs w:val="24"/>
                <w:color w:val="auto"/>
              </w:rPr>
            </w:pPr>
          </w:p>
        </w:tc>
        <w:tc>
          <w:tcPr>
            <w:tcW w:w="1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Key Information</w:t>
              </w:r>
            </w:hyperlink>
          </w:p>
        </w:tc>
        <w:tc>
          <w:tcPr>
            <w:tcW w:w="1660" w:type="dxa"/>
            <w:vAlign w:val="bottom"/>
            <w:tcBorders>
              <w:top w:val="single" w:sz="8" w:color="0000EE"/>
            </w:tcBorders>
            <w:gridSpan w:val="7"/>
          </w:tcPr>
          <w:p>
            <w:pPr>
              <w:spacing w:after="0"/>
              <w:rPr>
                <w:sz w:val="24"/>
                <w:szCs w:val="24"/>
                <w:color w:val="auto"/>
              </w:rPr>
            </w:pPr>
          </w:p>
        </w:tc>
        <w:tc>
          <w:tcPr>
            <w:tcW w:w="4240" w:type="dxa"/>
            <w:vAlign w:val="bottom"/>
            <w:gridSpan w:val="9"/>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3"/>
              </w:rPr>
            </w:pPr>
            <w:hyperlink w:anchor="page12">
              <w:r>
                <w:rPr>
                  <w:rFonts w:ascii="Arial" w:cs="Arial" w:eastAsia="Arial" w:hAnsi="Arial"/>
                  <w:sz w:val="18"/>
                  <w:szCs w:val="18"/>
                  <w:color w:val="0000EE"/>
                  <w:w w:val="83"/>
                </w:rPr>
                <w:t>Item 4.</w:t>
              </w:r>
            </w:hyperlink>
          </w:p>
        </w:tc>
        <w:tc>
          <w:tcPr>
            <w:tcW w:w="360" w:type="dxa"/>
            <w:vAlign w:val="bottom"/>
            <w:gridSpan w:val="3"/>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Information on the Company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3"/>
              </w:rPr>
            </w:pPr>
            <w:hyperlink w:anchor="page25">
              <w:r>
                <w:rPr>
                  <w:rFonts w:ascii="Arial" w:cs="Arial" w:eastAsia="Arial" w:hAnsi="Arial"/>
                  <w:sz w:val="18"/>
                  <w:szCs w:val="18"/>
                  <w:color w:val="0000EE"/>
                  <w:w w:val="83"/>
                </w:rPr>
                <w:t>Item 5.</w:t>
              </w:r>
            </w:hyperlink>
          </w:p>
        </w:tc>
        <w:tc>
          <w:tcPr>
            <w:tcW w:w="360" w:type="dxa"/>
            <w:vAlign w:val="bottom"/>
            <w:gridSpan w:val="3"/>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Operating and Financial Review and Prospects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6.</w:t>
              </w:r>
            </w:hyperlink>
          </w:p>
        </w:tc>
        <w:tc>
          <w:tcPr>
            <w:tcW w:w="360" w:type="dxa"/>
            <w:vAlign w:val="bottom"/>
            <w:gridSpan w:val="3"/>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Directors, Senior Management and Employees.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3"/>
              </w:rPr>
            </w:pPr>
            <w:hyperlink w:anchor="page45">
              <w:r>
                <w:rPr>
                  <w:rFonts w:ascii="Arial" w:cs="Arial" w:eastAsia="Arial" w:hAnsi="Arial"/>
                  <w:sz w:val="18"/>
                  <w:szCs w:val="18"/>
                  <w:color w:val="0000EE"/>
                  <w:w w:val="83"/>
                </w:rPr>
                <w:t>Item 7.</w:t>
              </w:r>
            </w:hyperlink>
          </w:p>
        </w:tc>
        <w:tc>
          <w:tcPr>
            <w:tcW w:w="360" w:type="dxa"/>
            <w:vAlign w:val="bottom"/>
            <w:gridSpan w:val="3"/>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Major Shareholders and Related Party Transactions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8.</w:t>
              </w:r>
            </w:hyperlink>
          </w:p>
        </w:tc>
        <w:tc>
          <w:tcPr>
            <w:tcW w:w="8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3700" w:type="dxa"/>
            <w:vAlign w:val="bottom"/>
            <w:tcBorders>
              <w:top w:val="single" w:sz="8" w:color="0000EE"/>
            </w:tcBorders>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Information</w:t>
              </w:r>
            </w:hyperlink>
          </w:p>
        </w:tc>
        <w:tc>
          <w:tcPr>
            <w:tcW w:w="3400" w:type="dxa"/>
            <w:vAlign w:val="bottom"/>
            <w:gridSpan w:val="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0000EE"/>
            </w:tcBorders>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9.</w:t>
              </w:r>
            </w:hyperlink>
          </w:p>
        </w:tc>
        <w:tc>
          <w:tcPr>
            <w:tcW w:w="8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8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The Offer and the Listing</w:t>
              </w:r>
            </w:hyperlink>
          </w:p>
        </w:tc>
        <w:tc>
          <w:tcPr>
            <w:tcW w:w="5260" w:type="dxa"/>
            <w:vAlign w:val="bottom"/>
            <w:gridSpan w:val="12"/>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10.</w:t>
              </w:r>
            </w:hyperlink>
          </w:p>
        </w:tc>
        <w:tc>
          <w:tcPr>
            <w:tcW w:w="710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Additional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11.</w:t>
              </w:r>
            </w:hyperlink>
          </w:p>
        </w:tc>
        <w:tc>
          <w:tcPr>
            <w:tcW w:w="710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3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12.</w:t>
              </w:r>
            </w:hyperlink>
          </w:p>
        </w:tc>
        <w:tc>
          <w:tcPr>
            <w:tcW w:w="7100" w:type="dxa"/>
            <w:vAlign w:val="bottom"/>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Description of Securities Other than Equity Securities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92"/>
        </w:trPr>
        <w:tc>
          <w:tcPr>
            <w:tcW w:w="1780" w:type="dxa"/>
            <w:vAlign w:val="bottom"/>
            <w:gridSpan w:val="6"/>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w:t>
              </w:r>
            </w:hyperlink>
          </w:p>
        </w:tc>
        <w:tc>
          <w:tcPr>
            <w:tcW w:w="560" w:type="dxa"/>
            <w:vAlign w:val="bottom"/>
            <w:tcBorders>
              <w:top w:val="single" w:sz="8" w:color="0000EE"/>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2"/>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Item 13.</w:t>
              </w:r>
            </w:hyperlink>
          </w:p>
        </w:tc>
        <w:tc>
          <w:tcPr>
            <w:tcW w:w="260" w:type="dxa"/>
            <w:vAlign w:val="bottom"/>
          </w:tcPr>
          <w:p>
            <w:pPr>
              <w:spacing w:after="0"/>
              <w:rPr>
                <w:sz w:val="24"/>
                <w:szCs w:val="24"/>
                <w:color w:val="auto"/>
              </w:rPr>
            </w:pPr>
          </w:p>
        </w:tc>
        <w:tc>
          <w:tcPr>
            <w:tcW w:w="35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Defaults, Dividend Arrearages and Delinquencies</w:t>
              </w:r>
            </w:hyperlink>
          </w:p>
        </w:tc>
        <w:tc>
          <w:tcPr>
            <w:tcW w:w="3520" w:type="dxa"/>
            <w:vAlign w:val="bottom"/>
            <w:gridSpan w:val="6"/>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14.</w:t>
              </w:r>
            </w:hyperlink>
          </w:p>
        </w:tc>
        <w:tc>
          <w:tcPr>
            <w:tcW w:w="56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Material Modifications to the Rights of Security Holders and Use of Proceeds</w:t>
              </w:r>
            </w:hyperlink>
          </w:p>
        </w:tc>
        <w:tc>
          <w:tcPr>
            <w:tcW w:w="1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Item 15.</w:t>
              </w:r>
            </w:hyperlink>
          </w:p>
        </w:tc>
        <w:tc>
          <w:tcPr>
            <w:tcW w:w="260" w:type="dxa"/>
            <w:vAlign w:val="bottom"/>
          </w:tcPr>
          <w:p>
            <w:pPr>
              <w:spacing w:after="0"/>
              <w:rPr>
                <w:sz w:val="24"/>
                <w:szCs w:val="24"/>
                <w:color w:val="auto"/>
              </w:rPr>
            </w:pPr>
          </w:p>
        </w:tc>
        <w:tc>
          <w:tcPr>
            <w:tcW w:w="7100" w:type="dxa"/>
            <w:vAlign w:val="bottom"/>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0000EE"/>
            </w:tcBorders>
            <w:gridSpan w:val="3"/>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Item 16.</w:t>
              </w:r>
            </w:hyperlink>
          </w:p>
        </w:tc>
        <w:tc>
          <w:tcPr>
            <w:tcW w:w="260" w:type="dxa"/>
            <w:vAlign w:val="bottom"/>
          </w:tcPr>
          <w:p>
            <w:pPr>
              <w:spacing w:after="0"/>
              <w:rPr>
                <w:sz w:val="24"/>
                <w:szCs w:val="24"/>
                <w:color w:val="auto"/>
              </w:rPr>
            </w:pP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Reserved</w:t>
              </w:r>
            </w:hyperlink>
          </w:p>
        </w:tc>
        <w:tc>
          <w:tcPr>
            <w:tcW w:w="5340" w:type="dxa"/>
            <w:vAlign w:val="bottom"/>
            <w:gridSpan w:val="13"/>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1780" w:type="dxa"/>
            <w:vAlign w:val="bottom"/>
            <w:gridSpan w:val="6"/>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III</w:t>
              </w:r>
            </w:hyperlink>
          </w:p>
        </w:tc>
        <w:tc>
          <w:tcPr>
            <w:tcW w:w="560" w:type="dxa"/>
            <w:vAlign w:val="bottom"/>
            <w:tcBorders>
              <w:top w:val="single" w:sz="8" w:color="0000EE"/>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2"/>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58">
              <w:r>
                <w:rPr>
                  <w:rFonts w:ascii="Arial" w:cs="Arial" w:eastAsia="Arial" w:hAnsi="Arial"/>
                  <w:sz w:val="18"/>
                  <w:szCs w:val="18"/>
                  <w:color w:val="0000EE"/>
                  <w:w w:val="86"/>
                </w:rPr>
                <w:t>Item 17.</w:t>
              </w:r>
            </w:hyperlink>
          </w:p>
        </w:tc>
        <w:tc>
          <w:tcPr>
            <w:tcW w:w="260" w:type="dxa"/>
            <w:vAlign w:val="bottom"/>
          </w:tcPr>
          <w:p>
            <w:pPr>
              <w:spacing w:after="0"/>
              <w:rPr>
                <w:sz w:val="24"/>
                <w:szCs w:val="24"/>
                <w:color w:val="auto"/>
              </w:rPr>
            </w:pPr>
          </w:p>
        </w:tc>
        <w:tc>
          <w:tcPr>
            <w:tcW w:w="1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Financial Statements</w:t>
              </w:r>
            </w:hyperlink>
          </w:p>
        </w:tc>
        <w:tc>
          <w:tcPr>
            <w:tcW w:w="5540" w:type="dxa"/>
            <w:vAlign w:val="bottom"/>
            <w:gridSpan w:val="1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18.</w:t>
              </w:r>
            </w:hyperlink>
          </w:p>
        </w:tc>
        <w:tc>
          <w:tcPr>
            <w:tcW w:w="1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Financial Statements</w:t>
              </w:r>
            </w:hyperlink>
          </w:p>
        </w:tc>
        <w:tc>
          <w:tcPr>
            <w:tcW w:w="5540" w:type="dxa"/>
            <w:vAlign w:val="bottom"/>
            <w:gridSpan w:val="1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19.</w:t>
              </w:r>
            </w:hyperlink>
          </w:p>
        </w:tc>
        <w:tc>
          <w:tcPr>
            <w:tcW w:w="710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Exhibits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2"/>
        </w:trPr>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6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used herein, “ICON plc”, the “Company” and “we” or “us” refer to ICON public limited company and its consolidated subsidiaries, unless the context requires otherwise.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fifteen members of the European Union (including the Republic of Ireland, France, Germany, Spain, Italy and the Netherlands). ICON publishes its consolidated financial statements in U.S. dollars.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27, 2005, the Board of Directors of the Company approved a change of the Company’s fiscal year end from a twelve-month period ending on May 31 to a twelve-month period ending on December 31. The Company made this change in order to align its fiscal year end with the majority of other contract research organizations. As a requirement of this change, the Company reported results for the seven-month period from June 1, 2005, to December 31, 2005, as a separate transition period. As of January 1, 2006, the Company’s fiscal year now begins on January 1 and ends on December 31 and its fiscal quarters end on the last day of March, June, September and December.</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Statements included herein which are not historical facts are forward looking statements. Such forward looking statements are made pursuant to the safe harbor provisions of the U.S. Private Securities Litigation Reform Act of 1995 (the “PSLRA”).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the Company’s Securities and Exchange Commission filings. The Company has no obligation under the PSLRA to update any forward looking statements and does not intend to do so.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selected financial data set forth below are derived from ICON’s consolidated financial statements and should be read in conjunction with, and are qualified by reference to, Item 5 “Operating and Financial Review and Prospects” and ICON's consolidated financial statements and related notes thereto included elsewhere in this Form 20-F.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7 month</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Period</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ended</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ended</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Year ended May 31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2003</w:t>
            </w:r>
          </w:p>
        </w:tc>
        <w:tc>
          <w:tcPr>
            <w:tcW w:w="40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2004</w:t>
            </w:r>
          </w:p>
        </w:tc>
        <w:tc>
          <w:tcPr>
            <w:tcW w:w="260" w:type="dxa"/>
            <w:vAlign w:val="bottom"/>
          </w:tcPr>
          <w:p>
            <w:pPr>
              <w:spacing w:after="0"/>
              <w:rPr>
                <w:sz w:val="18"/>
                <w:szCs w:val="18"/>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5"/>
              </w:rPr>
              <w:t>(in thousands, except share and per share data)</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Gross revenue</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340,971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443,875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469,583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275,586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649,826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867,473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Subcontractor costs (1)</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(146,952)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(142,925)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(73,636)</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(194,229)</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revenue</w:t>
            </w: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225,725</w:t>
            </w: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296,923</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326,658</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201,950</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455,597</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630,722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Direct costs</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122,373</w:t>
            </w:r>
          </w:p>
        </w:tc>
        <w:tc>
          <w:tcPr>
            <w:tcW w:w="4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162,562</w:t>
            </w:r>
          </w:p>
        </w:tc>
        <w:tc>
          <w:tcPr>
            <w:tcW w:w="26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179,661</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114,004</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256,263</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71,118</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88,807</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103,784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62,276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136,569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7,305</w:t>
            </w:r>
          </w:p>
        </w:tc>
        <w:tc>
          <w:tcPr>
            <w:tcW w:w="4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11,171</w:t>
            </w:r>
          </w:p>
        </w:tc>
        <w:tc>
          <w:tcPr>
            <w:tcW w:w="26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13,331</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8,094</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14,949</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 based compensation (2)</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charges (4)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11,275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200,796</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262,540</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308,051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190,398</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407,781</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24,929</w:t>
            </w:r>
          </w:p>
        </w:tc>
        <w:tc>
          <w:tcPr>
            <w:tcW w:w="4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34,383</w:t>
            </w:r>
          </w:p>
        </w:tc>
        <w:tc>
          <w:tcPr>
            <w:tcW w:w="26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18,607</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11,552</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47,816</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3,640</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5"/>
              </w:rPr>
              <w:t>Income before provision for income taxes</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25,283</w:t>
            </w:r>
          </w:p>
        </w:tc>
        <w:tc>
          <w:tcPr>
            <w:tcW w:w="4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34,671</w:t>
            </w:r>
          </w:p>
        </w:tc>
        <w:tc>
          <w:tcPr>
            <w:tcW w:w="26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19,586</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12,824</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51,456</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(8,929)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(5,852)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Minority interest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25,742</w:t>
            </w: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13,545</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7,418</w:t>
            </w: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38,304</w:t>
            </w: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(3):</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0.49</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0.94</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of ordinary shares outstanding:</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23,627,576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26,535,062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27,720,406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27,940,212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28,314,985</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28,705,272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24,362,188</w:t>
            </w: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27,406,326</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28,306,890</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28,495,084</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28,863,334</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29,747,964</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As of May 31,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As of December 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6"/>
          </w:tcPr>
          <w:p>
            <w:pPr>
              <w:ind w:left="42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18,311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55,678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56,341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59,509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63,039</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76,881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53,827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113,813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125,288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132,312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160,321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193,271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235,014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335,323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349,067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476,341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693,138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94,829</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Long term government grants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136,910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216,760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233,066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241,558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302,738</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388,400</w:t>
            </w:r>
          </w:p>
        </w:tc>
      </w:tr>
    </w:tbl>
    <w:p>
      <w:pPr>
        <w:spacing w:after="0" w:line="200" w:lineRule="exact"/>
        <w:rPr>
          <w:sz w:val="20"/>
          <w:szCs w:val="20"/>
          <w:color w:val="auto"/>
        </w:rPr>
      </w:pPr>
    </w:p>
    <w:p>
      <w:pPr>
        <w:spacing w:after="0" w:line="258" w:lineRule="exact"/>
        <w:rPr>
          <w:sz w:val="20"/>
          <w:szCs w:val="20"/>
          <w:color w:val="auto"/>
        </w:rPr>
      </w:pPr>
    </w:p>
    <w:p>
      <w:pPr>
        <w:ind w:left="920" w:hanging="331"/>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Subcontractor costs are comprised of investigator payments and certain other costs reimbursed by clients under terms specific to each of ICON's contracts. See Note 2 (d) to the Audited Consolidated Financial Statements.</w:t>
      </w:r>
    </w:p>
    <w:p>
      <w:pPr>
        <w:spacing w:after="0" w:line="170" w:lineRule="exact"/>
        <w:rPr>
          <w:rFonts w:ascii="Arial" w:cs="Arial" w:eastAsia="Arial" w:hAnsi="Arial"/>
          <w:sz w:val="18"/>
          <w:szCs w:val="18"/>
          <w:color w:val="auto"/>
        </w:rPr>
      </w:pPr>
    </w:p>
    <w:p>
      <w:pPr>
        <w:ind w:left="920" w:hanging="331"/>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 million share-based compensation expensed during the period ended December 31, 2005, was recorded in relation to the transfer of 288,000 shares from the founders of the Company to the Chief Executive Officer.</w:t>
      </w:r>
    </w:p>
    <w:p>
      <w:pPr>
        <w:spacing w:after="0" w:line="170" w:lineRule="exact"/>
        <w:rPr>
          <w:rFonts w:ascii="Arial" w:cs="Arial" w:eastAsia="Arial" w:hAnsi="Arial"/>
          <w:sz w:val="18"/>
          <w:szCs w:val="18"/>
          <w:color w:val="auto"/>
        </w:rPr>
      </w:pPr>
    </w:p>
    <w:p>
      <w:pPr>
        <w:ind w:left="920" w:hanging="331"/>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170" w:lineRule="exact"/>
        <w:rPr>
          <w:rFonts w:ascii="Arial" w:cs="Arial" w:eastAsia="Arial" w:hAnsi="Arial"/>
          <w:sz w:val="18"/>
          <w:szCs w:val="18"/>
          <w:color w:val="auto"/>
        </w:rPr>
      </w:pPr>
    </w:p>
    <w:p>
      <w:pPr>
        <w:jc w:val="both"/>
        <w:ind w:left="920" w:right="20" w:hanging="331"/>
        <w:spacing w:after="0" w:line="264"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operating charges of $11.3 million were recorded in the year ended May 31, 2005. These charges related to the recognition of an impairment in the carrying value of our investment in the central laboratory, a write-down of certain fixed assets and the lease termination and exit costs associated with the consolidation of some of our office facilities in the US.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We depend on a limited number of clients and a loss of or significant decrease in business from them could affect our business.</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in the past and may in the future derive a significant portion of our net revenue from a relatively limited number of clients. A loss of, or a significant decrease in business from any one or more of such clients could have a material adverse effect on our business. During the year ended December 31, 2007, 30% of our net revenue was derived from our top five clients. During 2007, no client contributed more than 10% of net revenues. During the year ended December 31, 2006, 35% of our net revenue was derived from our top five clients. During 2006, no client contributed more than 10% of net revenues. During the 7 month transition period ended December 31, 2005, 39% of our net revenue was derived from our top five clients and no client contributed more than 10% of net revenues. During the fiscal year ended May 31, 2005, 43% of our net revenue was derived from our top five clients. In the fiscal year ended May 31, 2005, 12% of our net revenue was from Astra Zeneca plc, no other client contributed more than 10% of net revenues.</w:t>
      </w: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 we may not receive their business in the future or may not be able to attract new clients.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208" w:lineRule="exact"/>
        <w:rPr>
          <w:sz w:val="20"/>
          <w:szCs w:val="20"/>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project performance, insufficient patient enrollment or investigator recruitment; or</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5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74"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The market for Contract Research Organizations (“CROs”) is highly competitive. We primarily compete against in-house departments of pharmaceutical companies and other CROs including Covance Inc., i3 Research (United Health Group Incorporated), Kendle International Inc., MDS Inc., Omnicare Inc., PARAEXEL International Corporation, Pharmaceutical Product Development Inc., PharmaNet Development Group Inc., PRA International Inc. and Quintiles Transnational Corporation.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getting the opportunity to bid on new projects or prevent us from being competitive in bidding on new contracts.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Central Laboratory segment has been loss making in the past and may experience losses in the future.</w:t>
      </w:r>
    </w:p>
    <w:p>
      <w:pPr>
        <w:spacing w:after="0" w:line="25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Our central laboratory has experienced a period of underperformance over the past number of years. This business unit returned to profitability for the year ended December 31, 2006, and remained profitable during the year ended December 31, 2007. To maintain this profitability we require continued strong levels of new business awards and economies of scale in the usage of both resources and lab inputs. If we do not achieve continued momentum in winning new business and if these economies are not sustained, then our central laboratory may return to a loss making position in the future.</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Approximately 84% of our net revenue is earned from long-term fixed-fee contracts. We would lose money in performing these contracts if the costs of performance exceed the fixed fees for these projects.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Approximately 84% of our net revenue is earned from long-term fixed-fee contracts. We have in the past and will continue to bear the risk of cost overruns under these contracts. If the costs of performing these projects exceed the fixed fees for these projects, (for example if we under price these contracts), if there are significant cost overruns or if there are unanticipated delays under these contracts, our business, financial condition and operating results could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1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9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74" w:lineRule="exact"/>
        <w:rPr>
          <w:sz w:val="20"/>
          <w:szCs w:val="20"/>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of any research;</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disqualification of data;</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denial of the right to conduct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penalties;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derived approximately 50% of our consolidated net revenue in the year ended December 31, 2007,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This risk is partially mitigated by clauses in certain of our contracts which allow for price renegotiation with our clients if changes in the relative value of those currencies exceed predetermined tolerances. We regularly review our currency exchange exposure and on occasion hedge a portion of this exposure using forward exchange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20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For instance, in the past the U.S. Congress has entertained several comprehensive healthcare reform proposals. The proposals were generally intended to expand healthcare coverage for the uninsured and reduce the growth of total healthcare expenditures. While the U.S. Congress has not yet adopted any comprehensive reform proposals, members of Congress may raise similar proposals in the future. We are unable to predict the likelihood that healthcare reform proposals will be enacted into law.</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or acquire new services.</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services.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depend on third parties to provide us with services critical to our business. The failure of any of these third parties to adequately provide the needed services could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5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151" w:lineRule="exact"/>
        <w:rPr>
          <w:sz w:val="20"/>
          <w:szCs w:val="20"/>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Acquisitions of foreign companies may also involve additional risks, including assimilating differences in foreign business practices and overcoming language and cultural barriers.</w:t>
      </w:r>
    </w:p>
    <w:p>
      <w:pPr>
        <w:spacing w:after="0" w:line="19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rely on our interactive voice response systems to provide accurate information regarding the randomization of patients and the dosage required for patients enrolled in the trials.</w:t>
      </w:r>
    </w:p>
    <w:p>
      <w:pPr>
        <w:spacing w:after="0" w:line="19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develop and maintain computer run interactive voice response systems to automatically manage the randomization of patients in trials, assign study drug, and adjust the dosage when required for patients enrolled in trials we support. An error in the design, programming or validation of these systems could lead to inappropriate assignment or dosing of patients which could give rise to patient safety issues, invalidation of the trial, liability claims against the Company or all three.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various control measures to mitigate the risk of a serious adverse event resulting from healthy volunteer Phase I trials.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conduct healthy volunteer Phase I trials including first-into-man trials for new clinical entities in the UK and the US. Due to the experimental nature of these studies, serious adverse events may arise. We mitigate such events by following Good Clinical Practice and ensuring appropriately trained and experienced clinical physicians are managing these trials and that internal Standards Operating Procedures and client protocols are rigorously adhered to. We also ensure that a signed contract is in place with the client in advance of clinical dosing with appropriate indemnifications and insurance coverage. We maintain our own no-faults clinical trial insurance. Following our internal review and submission, an Independent Ethics committee approves the study protocol and appropriate approval is obtained from the UK regulatory body.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 highly fragmented industry, we are one of a small number of companies with the capability and expertise to conduct clinical trials in all major therapeutic areas on a global basis. At December 31, 2007, we had 5,610 employees, in 67 locations in 36 countries, providing Phase I - IV Clinical Trial Management, Drug Development Support Services, Data Management and Biostatistics and Central Laboratory and Imaging Services. We have the operational flexibility to provide development services on a stand-alone basis or as part of an integrated “full service” solution.</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Headquartered in Dublin, Ireland, we began operations in 1990 and have expanded our business through internal growth and strategic acquisitions. For the year ended December 31, 2007, we derived approximately 50%, 44% and 6% of our net revenue in the United States, Europe and Rest of World, respectively.</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year ended December 31, 2007, we commenced operations in Prague, Czech Republic; Kiev, Ukraine; Bucharest, Romania; Auckland, New Zealand; Osaka, Japan; Lima, Peru; and San Antonio, USA. On July 12, 2007, the Company acquired 100% of the common stock of DOCS International, a European based clinical research staffing organization, for a cash consideration of $40.6 million (€29.5 million). DOCS International operates in eight European countries and focuses on the training and supply of contract and permanent clinical research personnel to the pharmaceutical and biotech industry. As a result of the acquisition of DOCS International offices were also acquired in Manchester and Cambridge, UK; Munich and Berlin, Germany; Paris, France; Amsterdam, Netherlands; Stockholm, Sweden; Helsinki, Finland; Copenhagen, Denmark; and Warsaw, Poland.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9, 2007, ICON plc entered into a five year committed multi-currency facility agreement for €35 million ($51.1 million) with The Governor and Company of the Bank of Ireland. Our obligations under the facility are secured by certain composite guarantees and indemnities and pledges in favor of the bank. The facility bears interest at an annual rate equal to the EURIBOR plus a margin. On July 10, 2007, the Company drew down €29.5 million ($40.6 million) of the facility to fund the acquisition of DOCS International. On October 15, 2007, the remaining €5.5 million ($8 million) of the facility was drawn down to cover head office expansion in Ireland.</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17, 2007, an uncommitted credit facility was negotiated with Allied Irish Banks plc, for €30 million ($43.8 million). Interest is calculated at the EUR interbank rate plus a margin. The facility is secured by the same composite guarantees and indemnities in place for the ICON plc committed facility. On December 31, 2007, this facility was fully drawn. The funds were used to refinance overdraft facilities in place to fund expenditure on the head office expansion. On January 8, 2008, the facility with Allied Irish Banks plc was increased to €50 Million ($72.9 million). All terms of this facility remain the same. The facility is due to be reviewed on October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average margin payable in the above mentioned facilities is 0.65 per cent.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On July 10, 2006, we acquired 100% of the common stock of Ovation Healthcare Research 2 Inc. (“Ovation”), based in Illinois, USA, for an initial cash consideration of U.S.$6.6 million, excluding costs of acquisition. Working capital provisions were built into the acquisition contract requiring the potential payment of additional deferred consideration up to a maximum of $1.4 million. On October 27, 2006, $0.18 million was paid to the former shareholders of Ovation in full and final settlement of the working capital provisions.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27, 2005, our Board of Directors approved a change of our fiscal year end from a twelve-month period ending on May 31, to a twelve-month period ending on December 31. We made this change in order to align our fiscal year end with the majority of other contract research organizations. Our fiscal quarters now end on the last day of March, June, September and December of each year.</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1, 2004, we acquired the workforce of Biomines Research Solutions Private Limited, based in Chennai, India. The workforce is engaged in the business of clinical trial data management and statistical analysis services and has been transferred to our existing Indian operation.</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 2004, we acquired 70% of the outstanding share capital of Beacon Bioscience, Inc., a leading specialist CRO, which provides a range of medical imaging services to the pharmaceutical, biotechnology and medical device industries.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plc’s principal executive office is located at: South County Business Park, Leopardstown, Dublin 18, Republic of Ireland. The contact telephone number of this office is 353 (1) 291 2000.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both patent-protected and generic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post marketing surveillance, central laboratory and regulatory affairs services. CROs are required to provide these services in accordance with good clinical and laboratory practices, as governed by the applicable regulatory authorities.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New Drug Development - An Overview</w:t>
      </w:r>
    </w:p>
    <w:p>
      <w:pPr>
        <w:spacing w:after="0" w:line="25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Preclinical Research (1 to 3.5 years). </w:t>
      </w:r>
      <w:r>
        <w:rPr>
          <w:rFonts w:ascii="Arial" w:cs="Arial" w:eastAsia="Arial" w:hAnsi="Arial"/>
          <w:sz w:val="18"/>
          <w:szCs w:val="18"/>
          <w:color w:val="auto"/>
        </w:rPr>
        <w:t>“In vitro” (test tube) and animal studies are conducted to establish the relative toxicity of the drug over a wide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doses and to detect any potential to cause birth defects or cancer. If results warrant continuing development of the drug, the manufacturer will file for an Investigational New Drug Application, or IND, upon which the FDA may grant permission to begin human trials.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(3.5 to 6 years)</w:t>
      </w:r>
    </w:p>
    <w:p>
      <w:pPr>
        <w:spacing w:after="0" w:line="24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Basic safety and pharmacology testing in 20 to 80 human subjects, usually healthy volunteers, includes studies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how the drug works, if it is safe, how it is affected by other drugs, where it goes in the body, how long it remains active and how it is broken down and eliminated from the body.</w:t>
      </w:r>
    </w:p>
    <w:p>
      <w:pPr>
        <w:spacing w:after="0" w:line="20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 to 2 years).</w:t>
      </w:r>
      <w:r>
        <w:rPr>
          <w:rFonts w:ascii="Arial" w:cs="Arial" w:eastAsia="Arial" w:hAnsi="Arial"/>
          <w:sz w:val="18"/>
          <w:szCs w:val="18"/>
          <w:b w:val="1"/>
          <w:bCs w:val="1"/>
          <w:color w:val="auto"/>
        </w:rPr>
        <w:t xml:space="preserve"> </w:t>
      </w:r>
      <w:r>
        <w:rPr>
          <w:rFonts w:ascii="Arial" w:cs="Arial" w:eastAsia="Arial" w:hAnsi="Arial"/>
          <w:sz w:val="18"/>
          <w:szCs w:val="18"/>
          <w:color w:val="auto"/>
        </w:rPr>
        <w:t>Basic efficacy (effectiveness) and dose-range testing in 100 to 200 patients to help determine the best effective dose, confirm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drug works as expected, and provide additional safety data.</w:t>
      </w:r>
    </w:p>
    <w:p>
      <w:pPr>
        <w:spacing w:after="0" w:line="18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u w:val="single" w:color="auto"/>
          <w:color w:val="auto"/>
        </w:rPr>
        <w:t>Phase III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 to 3 years).</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studies in hundreds or thousands of patients at many investigational sites (hospitals and clinics). These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can be placebo-controlled trials, in which the new drug is compared with a “sugar pill”, or studies comparing the new drug with one or more drugs with established safety and efficacy profiles in the same therapeutic category.</w:t>
      </w:r>
    </w:p>
    <w:p>
      <w:pPr>
        <w:spacing w:after="0" w:line="20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 xml:space="preserve">TIND (may span late Phase II, Phase III, and FDA review). </w:t>
      </w:r>
      <w:r>
        <w:rPr>
          <w:rFonts w:ascii="Arial" w:cs="Arial" w:eastAsia="Arial" w:hAnsi="Arial"/>
          <w:sz w:val="17"/>
          <w:szCs w:val="17"/>
          <w:color w:val="auto"/>
        </w:rPr>
        <w:t>When results from Phase II or Phase III show special promise in the treatment of a serious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19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 xml:space="preserve">NDA Preparation and Submission. </w:t>
      </w:r>
      <w:r>
        <w:rPr>
          <w:rFonts w:ascii="Arial" w:cs="Arial" w:eastAsia="Arial" w:hAnsi="Arial"/>
          <w:sz w:val="16"/>
          <w:szCs w:val="16"/>
          <w:color w:val="auto"/>
        </w:rPr>
        <w:t>Upon completion of Phase III trials, the manufacturer assembles the statistically analyzed data from all phases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into a single large submission, the New Drug Application, or NDA, which today comprises, on average, approximately 100,000 pages.</w:t>
      </w:r>
    </w:p>
    <w:p>
      <w:pPr>
        <w:spacing w:after="0" w:line="15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 xml:space="preserve">FDA Review &amp; Approval (1 to 1.5 years). </w:t>
      </w:r>
      <w:r>
        <w:rPr>
          <w:rFonts w:ascii="Arial" w:cs="Arial" w:eastAsia="Arial" w:hAnsi="Arial"/>
          <w:sz w:val="18"/>
          <w:szCs w:val="18"/>
          <w:color w:val="auto"/>
        </w:rPr>
        <w:t>Data from all phases of development (including a TIND) is scrutinized to confirm that the manufacturer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with regulations and that the drug is safe and effective for the specific use (or “indication”) under study.</w:t>
      </w:r>
    </w:p>
    <w:p>
      <w:pPr>
        <w:spacing w:after="0" w:line="19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Post-Marketing Surveillance and Phase IV Studies. </w:t>
      </w:r>
      <w:r>
        <w:rPr>
          <w:rFonts w:ascii="Arial" w:cs="Arial" w:eastAsia="Arial" w:hAnsi="Arial"/>
          <w:sz w:val="16"/>
          <w:szCs w:val="16"/>
          <w:color w:val="auto"/>
        </w:rPr>
        <w:t>Federal regulation requires the manufacturer to collect and periodically report to the FDA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2007 was approximately $18 billion. We believe that the following trends create further growth opportunities for global CROs, although there is no assurance that growth will materialize.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Technologies such as combinational chemistry and high throughput screening, together with improved understanding of disease pathology (driven by scientific advances such as the mapping of the human genome) have greatly increased the number of new drug candidates being investigated in early development and greatly broadened the number of biological mechanisms being targeted by such candidates. Arising from this innovation, funding for research and development, particularly by biotechnology companies, has been growing strongly. This is leading to significant increased activity in both Preclinical and Phase I development which we believe will lead to more treatments in Phase II-III clinical trials. As the number of trials that need to be performed increases, we believe that drug developers will increasingly rely on CROs to manage these trials in order to continue to focus on drug discovery.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Declining productivity within Research and Development programs.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Whilst the total number of compounds that have entered clinical development has risen over the last few years, the number of novel drugs that have successfully been approved for marketing has remained relatively stable. Pharmaceutical and biotechnology companies have responded in a number of ways including looking to extend the product life cycle of existing drugs and initiating programs to drive efficiency in the development process. One example of this has been the efforts to achieve a more seamless transition across development phases, particularly Phase I-III. In parallel regulatory initiatives such as the FDA’s “Critical Path” and the emergence of techniques such as adaptive trial design are focused on ensuring unsafe or ineffective drugs are eliminated from the development process earlier, allowing effective treatments to get to patients quicker at potentially reduced development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Pressure to Accelerate Time to Markets; Globalization of the Marketplace.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 Alongside this, the increasing need to access pools of “treatment naive” patients is leading to the conduct of clinical trials in new “emerging regions” such as Eastern Europe, Latin America, South America and India. We believe that having access to both traditional and emerging clinical research markets gives global CROs a competitive advantage.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Emergence of the Biotechnology Sector</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nature of the drugs being developed is changing. Biotechnology is enabling the development of targeted drugs with diagnostic tests to determine a priori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smaller biotechnology firms. We believe that it is to these organizations that the large pharmaceutical companies will look for an increasing proportion of their new drug pipelines. Whether it is through licensing agreements, joint ventures or equity investment, we believe we will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Increasing Number of Large Long-Term Studies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High profile recalls for drugs in recent times have increased the emphasis on monitoring the health effects of long term drug usage. Historically the industry has not tracked what has happened to consumers of drugs over long periods. This is important given that people can potentially be taking a drug for 20 or 30 years, and may have no idea what side-effects it will have over that period of time. Registry studies are one method of collecting safety and efficacy data over an extensive patient population once a drug is on the market. Much of the information collected is voluntary by both physicians and patients as part of routine care. This data can provide an early warning if a patient were to experience a serious adverse reaction. With increasing regulation in the area of post marketing surveillance, we believe pharmaceutical firms will look to CROs for support in the design and rollout of major post marketing safety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ICON Strategy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ICON’s mission is to provide flexible, superior quality, global pharmaceutical development services, that enable clients to expedite development, reduce costs and establish the benefits of treatments that enhance people’s lives.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these development services to clients on a stand-alone basis or as part of an integrated “full service” solution. Our primary approach is to use dedicated teams to achieve optimum results. While we believe that this operating model differentiates us from our competition in the CRO industry and enables us to deliver high quality services to our clients, we do retain the operational flexibility to implement a range of resourcing models to suit client requirements.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strategy is to continue to grow by penetrating further our existing client base and adding new clients within the Phase I-IV outsourced development services market; the aim being to ensure we will be considered by every company for every major Phase I – IV project.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implement our strategy by continuing to deliver high quality services, by increasing our geographic presence, expanding the scale and range of our services and, where appropriate, cross selling these services into clients. As needed we intend to supplement our internal growth with strategic acquisitions.</w:t>
      </w:r>
    </w:p>
    <w:p>
      <w:pPr>
        <w:spacing w:after="0" w:line="208" w:lineRule="exact"/>
        <w:rPr>
          <w:sz w:val="20"/>
          <w:szCs w:val="20"/>
          <w:color w:val="auto"/>
        </w:rPr>
      </w:pPr>
    </w:p>
    <w:p>
      <w:pPr>
        <w:jc w:val="both"/>
        <w:ind w:left="920" w:right="180" w:hanging="331"/>
        <w:spacing w:after="0" w:line="264"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Deliver High Quality Services and Customer Satisfaction. </w:t>
      </w:r>
      <w:r>
        <w:rPr>
          <w:rFonts w:ascii="Arial" w:cs="Arial" w:eastAsia="Arial" w:hAnsi="Arial"/>
          <w:sz w:val="18"/>
          <w:szCs w:val="18"/>
          <w:color w:val="auto"/>
        </w:rPr>
        <w:t>ICON’s core competency is project management, built up over the last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seventeen years managing complex projects and underpinned by comprehensive and consistent processes which conform to the ISO9001:2000 quality standard.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ind w:left="340" w:right="180"/>
        <w:spacing w:after="0" w:line="277" w:lineRule="auto"/>
        <w:rPr>
          <w:sz w:val="20"/>
          <w:szCs w:val="20"/>
          <w:color w:val="auto"/>
        </w:rPr>
      </w:pPr>
      <w:r>
        <w:rPr>
          <w:rFonts w:ascii="Arial" w:cs="Arial" w:eastAsia="Arial" w:hAnsi="Arial"/>
          <w:sz w:val="18"/>
          <w:szCs w:val="18"/>
          <w:color w:val="auto"/>
        </w:rPr>
        <w:t>We have extensive therapeutic and scientific knowledge residing in the organization and the capability to consistently solve the challenges that arise during clinical trials, each of which is the equivalent of a unique scientific study.</w:t>
      </w:r>
    </w:p>
    <w:p>
      <w:pPr>
        <w:spacing w:after="0" w:line="170"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We believe our quality processes, extensive experience and dedicated team approach allows us to provide consistent high quality, timely and cost effective services. We believe that the resulting customer satisfaction and enhanced reputation in the industry will continue to enable us to penetrate our existing client base and add new clients.</w:t>
      </w:r>
    </w:p>
    <w:p>
      <w:pPr>
        <w:spacing w:after="0" w:line="181" w:lineRule="exact"/>
        <w:rPr>
          <w:sz w:val="20"/>
          <w:szCs w:val="20"/>
          <w:color w:val="auto"/>
        </w:rPr>
      </w:pPr>
    </w:p>
    <w:p>
      <w:pPr>
        <w:ind w:left="340" w:hanging="331"/>
        <w:spacing w:after="0" w:line="29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Geographic Presence. </w:t>
      </w:r>
      <w:r>
        <w:rPr>
          <w:rFonts w:ascii="Arial" w:cs="Arial" w:eastAsia="Arial" w:hAnsi="Arial"/>
          <w:sz w:val="16"/>
          <w:szCs w:val="16"/>
          <w:color w:val="auto"/>
        </w:rPr>
        <w:t>In a highly fragmented industry, we are one of a small group of organizations with the capability and expertise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through the establishment of 67 offices in 36 countries and intend to continue expanding in regions that have the potential to increase our client base or increase our investigator and patient populations. We have most recently been expanding our presence in Eastern Europe and Latin America as well as parts of Asia including India and Japan.</w:t>
      </w:r>
    </w:p>
    <w:p>
      <w:pPr>
        <w:spacing w:after="0" w:line="164" w:lineRule="exact"/>
        <w:rPr>
          <w:rFonts w:ascii="Arial" w:cs="Arial" w:eastAsia="Arial" w:hAnsi="Arial"/>
          <w:sz w:val="16"/>
          <w:szCs w:val="16"/>
          <w:color w:val="auto"/>
        </w:rPr>
      </w:pPr>
    </w:p>
    <w:p>
      <w:pPr>
        <w:ind w:left="340" w:hanging="331"/>
        <w:spacing w:after="0" w:line="272"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 Scale and Range of Services. </w:t>
      </w:r>
      <w:r>
        <w:rPr>
          <w:rFonts w:ascii="Arial" w:cs="Arial" w:eastAsia="Arial" w:hAnsi="Arial"/>
          <w:sz w:val="17"/>
          <w:szCs w:val="17"/>
          <w:color w:val="auto"/>
        </w:rPr>
        <w:t>We seek to enhance our competitive position by increasing the scale and range of our services. We intend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expand our clinical trials, central laboratory, digital imaging, IVRS (interactive voice recognition system), data management, statistical and consulting operations in order to capitalize further on the outsourcing opportunities currently available from our clients. The recent high profile withdrawal of several drugs from the market is also placing the spotlight on drug safety which will lead to greater emphasis, by all involved in drug development, on post-marketing safety monitoring. ICON’s acquisition of Ovation added additional capabilities to the organization in the areas of health economics, patient registries and outcomes research, while the recent acquisition of DOCS International has given ICON the ability to compete across global clinical research staffing markets.</w:t>
      </w:r>
    </w:p>
    <w:p>
      <w:pPr>
        <w:spacing w:after="0" w:line="177" w:lineRule="exact"/>
        <w:rPr>
          <w:rFonts w:ascii="Arial" w:cs="Arial" w:eastAsia="Arial" w:hAnsi="Arial"/>
          <w:sz w:val="17"/>
          <w:szCs w:val="17"/>
          <w:color w:val="auto"/>
        </w:rPr>
      </w:pPr>
    </w:p>
    <w:p>
      <w:pPr>
        <w:ind w:left="340" w:right="100" w:hanging="331"/>
        <w:spacing w:after="0" w:line="30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Cross Sell Services: </w:t>
      </w:r>
      <w:r>
        <w:rPr>
          <w:rFonts w:ascii="Arial" w:cs="Arial" w:eastAsia="Arial" w:hAnsi="Arial"/>
          <w:sz w:val="16"/>
          <w:szCs w:val="16"/>
          <w:color w:val="auto"/>
        </w:rPr>
        <w:t>By building up a full range of development services, ICON can support clients through all stages of their product lifecycle.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signs that certain client segments are looking to rationalize their supply base down to a small number of CROs who can provide this breadth of service. A core part of our business development strategy is to “cross sell” ICON’s service portfolio. By developing and maintaining close relationships with clients, we gain repeat business and achieve lateral penetration of services with the client organization.</w:t>
      </w:r>
    </w:p>
    <w:p>
      <w:pPr>
        <w:spacing w:after="0" w:line="154" w:lineRule="exact"/>
        <w:rPr>
          <w:rFonts w:ascii="Arial" w:cs="Arial" w:eastAsia="Arial" w:hAnsi="Arial"/>
          <w:sz w:val="16"/>
          <w:szCs w:val="16"/>
          <w:color w:val="auto"/>
        </w:rPr>
      </w:pPr>
    </w:p>
    <w:p>
      <w:pPr>
        <w:ind w:left="340" w:right="160" w:hanging="331"/>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acquisitions: </w:t>
      </w:r>
      <w:r>
        <w:rPr>
          <w:rFonts w:ascii="Arial" w:cs="Arial" w:eastAsia="Arial" w:hAnsi="Arial"/>
          <w:sz w:val="18"/>
          <w:szCs w:val="18"/>
          <w:color w:val="auto"/>
        </w:rPr>
        <w:t>Alongside organic growth, we will continue to seek strategic acquisitions that fall within and are complimentary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service lines.</w:t>
      </w:r>
    </w:p>
    <w:p>
      <w:pPr>
        <w:spacing w:after="0" w:line="200" w:lineRule="exact"/>
        <w:rPr>
          <w:sz w:val="20"/>
          <w:szCs w:val="20"/>
          <w:color w:val="auto"/>
        </w:rPr>
      </w:pPr>
    </w:p>
    <w:p>
      <w:pPr>
        <w:spacing w:after="0" w:line="2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820" w:top="368"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Services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ICON is a global provider of outsourced development services to the pharmaceutical, biotechnology and medical device industries. We specialize in the strategic development, management and analysis of programs that support Clinical Development - from compound selection to Phase I-IV clinical studies.</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core Clinical Research business specializes in the planning, management, execution and analysis of Phase I – IV clinical trials, ranging from small studies to complex, multinational projects. Specific clinical research services offered include:</w:t>
      </w:r>
    </w:p>
    <w:p>
      <w:pPr>
        <w:spacing w:after="0" w:line="197" w:lineRule="exact"/>
        <w:rPr>
          <w:sz w:val="20"/>
          <w:szCs w:val="20"/>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Investigator Recruitment</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Study Monitoring and Data Collection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Case Report Form ("CRF") Preparation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Safety Monitoring</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Data Management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IVR (Interactive Voice Response)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Medical Reporting</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Registries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Outcomes Research</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Economics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Analysis and Data Operations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Bioanalysis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Pharmacokinetic and Pharmacodynamic analysis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Consulting</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 Staffing</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ICON Central Laboratories provides global central laboratory services dedicated exclusively to clinical trials. Specific services offered by ICON Central Laboratories include:</w:t>
      </w:r>
    </w:p>
    <w:p>
      <w:pPr>
        <w:spacing w:after="0" w:line="214" w:lineRule="exact"/>
        <w:rPr>
          <w:sz w:val="20"/>
          <w:szCs w:val="20"/>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Sample analyses</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testing</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Microbiology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 flow cytometry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Electronic transmission of test results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Organizational Structure</w:t>
            </w:r>
          </w:p>
        </w:tc>
        <w:tc>
          <w:tcPr>
            <w:tcW w:w="366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2"/>
        </w:trPr>
        <w:tc>
          <w:tcPr>
            <w:tcW w:w="36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Name</w:t>
            </w:r>
          </w:p>
        </w:tc>
        <w:tc>
          <w:tcPr>
            <w:tcW w:w="36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Country of incorporation</w:t>
            </w:r>
          </w:p>
        </w:tc>
        <w:tc>
          <w:tcPr>
            <w:tcW w:w="4100" w:type="dxa"/>
            <w:vAlign w:val="bottom"/>
          </w:tcPr>
          <w:p>
            <w:pPr>
              <w:ind w:left="1500"/>
              <w:spacing w:after="0"/>
              <w:rPr>
                <w:sz w:val="20"/>
                <w:szCs w:val="20"/>
                <w:color w:val="auto"/>
              </w:rPr>
            </w:pPr>
            <w:r>
              <w:rPr>
                <w:rFonts w:ascii="Arial" w:cs="Arial" w:eastAsia="Arial" w:hAnsi="Arial"/>
                <w:sz w:val="18"/>
                <w:szCs w:val="18"/>
                <w:b w:val="1"/>
                <w:bCs w:val="1"/>
                <w:i w:val="1"/>
                <w:iCs w:val="1"/>
                <w:color w:val="auto"/>
              </w:rPr>
              <w:t>Group ownership*</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(UK) Limited</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Inc.</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Limited</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Republic of Ireland</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Japan K.K.</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Japan</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GmbH</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Germany</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Pty Limited</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Australia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S.A.</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Argentina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SARL</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France</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Pte. Limited</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Singapore</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Israel Limited</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Israel</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Medeval Limited</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UK</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Central Laboratories Inc.</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Contracting Solutions,Inc.</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(Canada) Inc.</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Development Solutions Inc.</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Espana S.L.</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Spain</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Kft</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Hungary</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Beacon Bioscience, Inc.</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USA</w:t>
            </w:r>
          </w:p>
        </w:tc>
        <w:tc>
          <w:tcPr>
            <w:tcW w:w="41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70%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ICON Clinical Research India Private Limited</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India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ICON Clinical Research México, S.A. de C.V.</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Mexico</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Pesquisas Clinicas LTDA</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Brazil</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Ovation Healthcare Research 2, Inc.</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Chile Limitada</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Chile</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ICON Clinical Research Korea Yuhan Hoesa</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Korea</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216"/>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DOCS International BV</w:t>
            </w: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Netherlands</w:t>
            </w:r>
          </w:p>
        </w:tc>
        <w:tc>
          <w:tcPr>
            <w:tcW w:w="41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100%</w:t>
            </w:r>
          </w:p>
        </w:tc>
      </w:tr>
      <w:tr>
        <w:trPr>
          <w:trHeight w:val="459"/>
        </w:trPr>
        <w:tc>
          <w:tcPr>
            <w:tcW w:w="3660" w:type="dxa"/>
            <w:vAlign w:val="bottom"/>
          </w:tcPr>
          <w:p>
            <w:pPr>
              <w:spacing w:after="0"/>
              <w:rPr>
                <w:sz w:val="24"/>
                <w:szCs w:val="24"/>
                <w:color w:val="auto"/>
              </w:rPr>
            </w:pPr>
          </w:p>
        </w:tc>
        <w:tc>
          <w:tcPr>
            <w:tcW w:w="3660" w:type="dxa"/>
            <w:vAlign w:val="bottom"/>
          </w:tcPr>
          <w:p>
            <w:pPr>
              <w:ind w:left="1960"/>
              <w:spacing w:after="0"/>
              <w:rPr>
                <w:sz w:val="20"/>
                <w:szCs w:val="20"/>
                <w:color w:val="auto"/>
              </w:rPr>
            </w:pPr>
            <w:r>
              <w:rPr>
                <w:rFonts w:ascii="Arial" w:cs="Arial" w:eastAsia="Arial" w:hAnsi="Arial"/>
                <w:sz w:val="18"/>
                <w:szCs w:val="18"/>
                <w:color w:val="auto"/>
              </w:rPr>
              <w:t>15</w:t>
            </w:r>
          </w:p>
        </w:tc>
        <w:tc>
          <w:tcPr>
            <w:tcW w:w="4100" w:type="dxa"/>
            <w:vAlign w:val="bottom"/>
          </w:tcPr>
          <w:p>
            <w:pPr>
              <w:spacing w:after="0"/>
              <w:rPr>
                <w:sz w:val="24"/>
                <w:szCs w:val="24"/>
                <w:color w:val="auto"/>
              </w:rPr>
            </w:pPr>
          </w:p>
        </w:tc>
      </w:tr>
      <w:tr>
        <w:trPr>
          <w:trHeight w:val="108"/>
        </w:trPr>
        <w:tc>
          <w:tcPr>
            <w:tcW w:w="366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Peru SA</w:t>
            </w:r>
          </w:p>
        </w:tc>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Peru</w:t>
            </w:r>
          </w:p>
        </w:tc>
        <w:tc>
          <w:tcPr>
            <w:tcW w:w="43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rPr>
              <w:t>100%</w:t>
            </w:r>
          </w:p>
        </w:tc>
      </w:tr>
      <w:tr>
        <w:trPr>
          <w:trHeight w:val="216"/>
        </w:trPr>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ICON Clinical Research (New Zealand) Limited</w:t>
            </w:r>
          </w:p>
        </w:tc>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Zealand</w:t>
            </w:r>
          </w:p>
        </w:tc>
        <w:tc>
          <w:tcPr>
            <w:tcW w:w="43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rPr>
              <w:t>100%</w:t>
            </w:r>
          </w:p>
        </w:tc>
      </w:tr>
      <w:tr>
        <w:trPr>
          <w:trHeight w:val="216"/>
        </w:trPr>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S.R.L.</w:t>
            </w:r>
          </w:p>
        </w:tc>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Romania</w:t>
            </w:r>
          </w:p>
        </w:tc>
        <w:tc>
          <w:tcPr>
            <w:tcW w:w="43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rPr>
              <w:t>100%</w:t>
            </w:r>
          </w:p>
        </w:tc>
      </w:tr>
      <w:tr>
        <w:trPr>
          <w:trHeight w:val="216"/>
        </w:trPr>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LLC</w:t>
            </w:r>
          </w:p>
        </w:tc>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Ukraine</w:t>
            </w:r>
          </w:p>
        </w:tc>
        <w:tc>
          <w:tcPr>
            <w:tcW w:w="43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rPr>
              <w:t>100%</w:t>
            </w:r>
          </w:p>
        </w:tc>
      </w:tr>
      <w:tr>
        <w:trPr>
          <w:trHeight w:val="216"/>
        </w:trPr>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ICON Clinical Research S.R.O.</w:t>
            </w:r>
          </w:p>
        </w:tc>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Czech Republic</w:t>
            </w:r>
          </w:p>
        </w:tc>
        <w:tc>
          <w:tcPr>
            <w:tcW w:w="43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All shareholdings comprise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Information Systems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information technology strategy is built around deploying IT systems to enable the delivery of our business services in a global environment. The focus is to provide ease of access to information for our staff and clients globally. Our current information systems are built on open standards and leading commercial business applications from vendors including Microsoft, Oracle, EMC, BEA, Phase Forward and Medidata. IT expenditure is authorized by strict IT Governance policies requiring senior level approval of all strategic IT expenditure. All critical business systems are formally delivered following a structured project management and systems delivery life cycle approach. Critical clinical information systems, which manage clinical data, are validated in accordance with FDA regulations and those of other equivalent regulatory bodies throughout the world.</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Clinical Operations, we have deployed a suite of software applications that assist in the management and tracking of our clinical trials activities. These software applications are both internally developed and commercially available applications from leading vendors in the industry. These include a clinical trials management application that tracks all relevant data in a trial and automates all management and reporting processes. In our Data Management function, we have deployed leading clinical data management solutions plus Electronic Data Capture (EDC) solutions from leading industry vendors. Our state of the art workflow technology allows us to process clinical trials data seamlessly throughout the Company.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a WAP enabled device.</w:t>
      </w:r>
    </w:p>
    <w:p>
      <w:pPr>
        <w:spacing w:after="0" w:line="21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Recognizing that each client has its own requirements and systems, we seek to ensure an entirely flexible approach to client needs. An example of this flexibility is in the provision of portal solutions that allows clients access to study related information via a secure web based environment. We also provide secure remote access to client systems for clients who require us to utilize their internal platforms.</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ICON’s strategy of using technology to enhance our global process can be seen in our recent deployment of a global SOP Document Management system and a WEB based training delivery solution.</w:t>
      </w:r>
    </w:p>
    <w:p>
      <w:pPr>
        <w:spacing w:after="0" w:line="19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our central laboratory, we utilize a comprehensive suite of software, including a laboratory information management system (LIMS), a kit/sample management system and a web interface system to allow clients to review results online.</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IT systems are operated from two centralized hubs in Philadelphia and Dublin. Other offices are linked to these hubs through a resilient network that is outsourced to a leading tier one telecommunications provider. Traveling staff can also access all systems via secure remote dial up facilities. A global corporate intranet portal provides access to all authorized data and applications for our internal staff as well as providing an internal platform for company wide communication.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global sales and marketing strategy is to focus our business development efforts on pharmaceutical, biotechnology and medical device companies whose development projects are advancing. By developing and maintaining close relationships with our clients, we gain repeat business, can leverage a full service portfolio and achieve lateral penetration into other therapeutic divisions where applicable. Simultaneously, we are actively establishing new client relationships.</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While our sales and marketing activities are carried out locally by executives in each of the major locations, the sales and marketing process is coordinated centrally to ensure a consistent and differentiated market positioning for ICON and ongoing development of the ICON brand. In addition, all our business development professionals, senior executives and project team leaders share responsibility for the maintenance of key client relationships and business development activities.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Clients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year ended December 31, 2007, revenue was earned from over 400 clients, including all of the top 20 pharmaceutical companies as ranked by 2006 revenues.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in the past and may in the future derive a significant portion of our net revenue from a relatively limited number of major projects or clients. During the year ended December 31, 2007, 30% of our net revenue was derived from our top five clients and no one client contributed more than 10% of net revenues. During the year ended December 31, 2006, 35% of our net revenue was derived from our top five clients and no one client contributed more than 10% of net revenues. In the transition period ended December 31, 2005, no client contributed more than 10% of net revenues. During the fiscal year ended May 31, 2005, we received 12% of our net revenue from Astra Zeneca. No other client contributed more than 10% of net revenues in the fiscal year ended May 31, 2005. We believe that the importance of certain clients reflects our success in penetrating our client base. The loss of, or a significant decrease in business from one or more of these key clients could result in a material adverse effect.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generally awarded contracts based upon our response to requests for proposals received from pharmaceutical, biotechnology and medical device industries.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revenues are earned from contracts which are fixed price, based on certain activities and performance specifications. Payment terms usually provide either for payments based on the achievement of certain identified milestones or activity levels or monthly payments according to a fixed payment schedule over the life of the contract. Where clients request changes in the scope of a trial or in the services to be provided by us, a change order or amendment is issued often resulting in additional revenues for us. We also contract on a "fee-for-service," or "time and materials" basis, but this accounts for a small portion of overall project activities.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Contract terms may range from several weeks to several years depending on the nature of the work to be performed. In most cases, a portion of the contract fee, typically 10% to 20%, is paid at the time the study or trial is started.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client.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contracts are terminable immediately by the client with justifiable cause or with 60 days notice without cause. In the event of termination, we are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backlog consists of potential net revenue yet to be earned from projects awarded by clients.</w:t>
      </w:r>
    </w:p>
    <w:p>
      <w:pPr>
        <w:spacing w:after="0" w:line="25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At December 31, 2007, we had a backlog of approximately $1.3 billion, compared with approximately $872 million at December 31, 2006.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Covance Inc., i3 Research (United Health Group Incorporated), Kendle International Inc., MDS Inc., Omnicare Inc., PARAEXEL International Corporation, Pharmaceutical Product Development Inc., PharmaNet Development Group Inc., PRA International Inc. and Quintiles Transnational Corporation. The trend toward CRO industry consolidation has resulted in heightened competition among the larger CROs for clients and acquisition candidates.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w:t>
      </w:r>
    </w:p>
    <w:p>
      <w:pPr>
        <w:spacing w:after="0" w:line="21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providing our services in the United States, we are obligated to comply with FDA requirements governing such activities. These include ensuring that the study is approved by an appropriate independent review board (IRB)/Ethics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 during audits.</w:t>
      </w:r>
    </w:p>
    <w:p>
      <w:pPr>
        <w:spacing w:after="0" w:line="19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services we provide outside the United States are ultimately subject to similar regulation by the relevant regulatory authority, including the Medicines Control Agency in the United Kingdom and the Bundesinstitut für Arzneimittel und Medizinprodukte in Germany. In addition, our activities in Europe are affected by the European Medicines Evaluation Agency, which is based in London, England.</w:t>
      </w:r>
    </w:p>
    <w:p>
      <w:pPr>
        <w:spacing w:after="0" w:line="2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must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5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that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21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we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lease all but one of our facilities under operating leases.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on approximately four and a half acres.</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February 2006, we began building an extension to this facility comprising four 4 storey office blocks linked to the existing building. The four additional blocks will extend the premises by approximately 12,900 square meters, bringing the entire facility when completed to approximately 15,800 square meters. Two blocks of this new development, comprising approximately 5,300 square metres, were completed in July 2007. The remaining blocks are due for completion in July 2008.</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two offices in each of the following US cities: New York, Philadelphia, Chicago and San Francisco, and one office in each of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cities: Irvine, Nashville, Wilmington, Raleigh, Baltimore, Tampa, San Diego, Salt Lake City, Houston and San Antonio.</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European operations maintain two offices in Manchester, Paris, Amsterdam, Stockholm and Warsaw, and one office in each of the following cities: Southampton, Cambridge, Marlow, Frankfurt, Munich, Berlin, Helsinki, Copenhagen, Milan, Barcelona, Riga, Budapest, Vilinius, Prague, Kiev, Bucharest, Moscow, Novosibirsk and Tel Aviv.</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Rest of World offices are located in Auckland, Sydney, Tokyo, Osaka, Seoul, Beijing, Taipei, Hong Kong, Bangkok, Singapore, Chennai, Bangalore, Johannesburg, Montreal, Mexico City, Sao Paolo, Lima, Buenos Aires and Santiago.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primary approach is to use dedicated teams to achieve optimum results, but we can implement a range of resourcing models to suit client requirements.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 highly fragmented industry, we are one of a small number of companies with the capability and expertise to conduct clinical trials in all major therapeutic areas on a global basis. Currently, we have 5,610 employees, in 67 locations in 36 countries, providing Phase I - IV Clinical Trial Management, Drug Development Support Services, Data Management and Biostatistics and Central Laboratory and Imaging Services. For the year ended December 31, 2007, we derived approximately 50%, 44% and 6% of our net revenue in the United States, Europe and Rest of World,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Direct costs consist primarily of compensation, associated fringe benefits and share based compensation expense for project-related employees and other direct project driven costs. Selling, general and administrative expenses consist of compensation, related fringe benefits and share based compensation expense for selling and administrative employees, professional services, advertising costs and all costs related to facilities and information systems.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2007, we had a backlog of approximately $1.3 billion, compared with approximately $872 million at December 31, 2006.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both"/>
        <w:spacing w:after="0" w:line="287"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18 operations operating in U.S. dollars, 11 trading in Euros, 5 in pounds Sterling, 2 each in Indian Rupee, Russian Rouble, Japanese Yen, Swedish Krona and Polish Zloty, and 1 each in Australian dollars, Singapore dollars, Israeli New Shekels, Latvian Lats, Argentine Peso, South African Rand, Canadian dollar, Hungarian Forint, Danish Krone, Czech Koruna, Ukraine Hryvnia, Romanian New Leu, Hong Kong dollar, Taiwan dollar, Mexican Peso, Brazilian Real, Chilean Peso, South Korean Won, Thai Baht, Chinese Yuan Renminbi, Lithuanian Litas, Peruvian Neuvo Sol &amp; New Zealand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hedge a portion of these, using forward exchange contracts, where they are not covered by natural hedges.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ICON or failing to comply in other respects with the grant agreements. The operating expenditure grant agreements provide for repayment in the event of a downsizing calculated by reference to any reduction in employee numbers. We have not recognized any loss contingency having assessed as remote the likelihood of these events arising. Up to December 31, 2007, we have received $3.0 million and $2.2 million under capital grants and operating grants, respectively. Pursuant to the terms of the grant agreements, we are restricted from distributing some of these amounts by way of dividend or otherwise.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Operating Results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Transition</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Period</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1,</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Jan 1, 2006</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Jan 1, 2007</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Jan 1, 2006</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Jan 1,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to Dec 31,</w:t>
            </w: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to Dec 31,</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to Dec 31,</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to Dec 31,</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to Dec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b w:val="1"/>
                <w:bCs w:val="1"/>
                <w:color w:val="auto"/>
              </w:rPr>
              <w:t>Percentage of Net Revenue</w:t>
            </w:r>
          </w:p>
        </w:tc>
        <w:tc>
          <w:tcPr>
            <w:tcW w:w="1140" w:type="dxa"/>
            <w:vAlign w:val="bottom"/>
          </w:tcPr>
          <w:p>
            <w:pPr>
              <w:spacing w:after="0"/>
              <w:rPr>
                <w:sz w:val="20"/>
                <w:szCs w:val="20"/>
                <w:color w:val="auto"/>
              </w:rPr>
            </w:pPr>
          </w:p>
        </w:tc>
        <w:tc>
          <w:tcPr>
            <w:tcW w:w="27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0"/>
              </w:rPr>
              <w:t>Percentage Increase/ (Decrease)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56.5%</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30.8%</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2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313.9%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2006</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revenue increased by $175.1 million, or 38.4%, from $455.6 million to $630.7 million. (Revenues in the United States, Europe and the Rest of World increased by 17.8%, 71.2% and 35.0% respectively). In the year ended December 31, 2007, net revenue from our central laboratory business increased by 13.3%, from $47.2 million, to $53.5 million, while our clinical research segment improved by 41.3%, from $408.4 million to $577.2 million, over the prior period. This increase in net revenue has resulted from a combination of increased business from existing clients, business won from new clients, increased use of outsourcing by the pharmaceutical, biotechnology and medical device industries and an underlying increase in research and development spending.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increased by $98.2 million, or 38.3%, from $256.3 million to $354.5 million. Direct costs as a percentage of net revenue remained static at 56.2% in the year ended December 31, 2007, compared to the year ended December 31, 2006. The primary reason for the increase in direct costs was the increase in personnel related costs of $86.3 million resulting from the increase in direct headcount of over 1,100 employees. The remainder of the increase resulted primarily from increased laboratory and consulting expenses.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increased by $51.4 million, or 37.6%, from $136.6 million to $188.0 million. As a percentage of net revenue, selling, general and administrative expenses, decreased from 30.0% for the year ended December 31, 2006, to 29.8% for the year ended December 31, 2007. The increase in SG&amp;A costs is primarily driven by increased personnel costs of $22.0 million principally driven by the increased levels of both administrative and operations infrastructure staff to support expanding operations and revenue growth. In addition to these personnel costs there were additional rental charges of $4.9 million from further office openings in 2007, increased professional, legal and accounting costs of $4.5 million, increased information technology costs of $3.8 million, an increase of $4.7 million in relation to realized and unrealized foreign exchange loss and increased temporary staff and recruitment costs of $6.6 million.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share based compensation expense recognized during the year ended December 31, 2007 amounted to $5.7m compared to $4.1 million during the year ended December 31, 2006.</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 increased by $4.1 million, or 27.2%, from $14.9 million to $19.0 million. As a percentage of net revenue, depreciation and amortization decreased from 3.3% of net revenues for the year ended December 31, 2006, to 3.0% for the year ended December 31, 2007. This increase in absolute terms relates primarily to our investment in facilities and equipment to enable our continued growth. Capital expenditures were $75.7 million in 2007. $37.9 million of this spend is attributable to the construction of the Company’s new headquarter building in Dublin, Republic of Ireland, while the balance relates to the Company’s continued investment in facilities and information technology to support its continued growth globally. We expect depreciation in 2008 to increase as a result of this investment.</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increased by $21.4 million, or 44.8%, from $47.8 million to $69.2 million. As a percentage of net revenue, income from operations increased from 10.5% of net revenues for the year ended December 31, 2006, to 11% for the year ended December 31, 2007. The year ended December 31, 2007, saw a continued improvement in the performance of the central laboratory business, with results improving from an operating profit of 4.9% for the year ended December 31, 2006, to an operating profit of 6.9% for the year ended December 31, 2007. The central laboratory constitutes approximately 8.5% of our business revenues for the year ended December 31, 2007. Operating margins for our clinical research segment increased to 11.4% in the year ended December 31, 2007, from 11.1% for the year ended December 31, 2006.</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income for the year ended December 31, 2007, was $2.7 million, a decrease of $0.9 million from the year ended December 31, 2006. The Company entered into two significant banking facilities during 2007 to fund the acquisition of DOCS International in July 2007 $40.6 million (€29.5 million) and the construction of the Company’s new headquarter building in Dublin, Republic of Ireland.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provision for income taxes increased from $12.9 million for the year ended December 31, 2006, to $15.8 million for the year ended December 31, 2007. ICON plc’s effective tax rate for the year ended December 31, 2007, was 22% compared with 25% for the year ended December 31, 2006. The effective tax rate is principally a function of the distribution of pre-tax profits in the territories in which the Group operates.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Year ended December 31, 2006 compared to Seven Month Transition Period Ended December 31, 2005</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Note: Results below compare a 12-month accounting period ended December 31, 2006 to a 7-month accounting period ended December 31, 2005</w:t>
      </w: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 increased by $253.7 million, or 125.6%, from $201.9 million to $455.6 million. Revenues in the United States, Europe and the Rest of World increased by 125%, 139% and 70% respectively. In the year ended December 31, 2006, net revenue from our central laboratory business increased by 160%, from $18.2 million, to $47.2 million, while our clinical research segment improved by 122%, from $183.8 million to $408.4 million, over the prior period. This increase in net revenue has resulted from a combination of increased business from existing clients, business won from new clients, increased use of outsourcing by the pharmaceutical, biotechnology and medical device industries, an underlying increase in research and development spending and consolidation in the CRO industry.</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Direct costs increased by $142.3 million, or 124.8%, from $114.0 million to $256.3 million. Direct costs as a percentage of net revenue decreased from 56.5% in the seven month transition period ended December 31, 2005, to 56.2% in the year ended December 31, 2006. A comparative period analysis shows an increase in direct costs primarily due to increased staff numbers needed to support increased project related activity. In addition, $2.3m can be attributed to the share based compensation expense arising from the adoption of SFAS 123R </w:t>
      </w:r>
      <w:r>
        <w:rPr>
          <w:rFonts w:ascii="Arial" w:cs="Arial" w:eastAsia="Arial" w:hAnsi="Arial"/>
          <w:sz w:val="17"/>
          <w:szCs w:val="17"/>
          <w:i w:val="1"/>
          <w:iCs w:val="1"/>
          <w:color w:val="auto"/>
        </w:rPr>
        <w:t>Share Based Payments</w:t>
      </w:r>
      <w:r>
        <w:rPr>
          <w:rFonts w:ascii="Arial" w:cs="Arial" w:eastAsia="Arial" w:hAnsi="Arial"/>
          <w:sz w:val="17"/>
          <w:szCs w:val="17"/>
          <w:color w:val="auto"/>
        </w:rPr>
        <w:t xml:space="preserve"> in 2006.</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Selling, general and administrative expenses increased by $74.3 million, or 119.3%, from $62.3 million to $136.6 million. As a percentage of net revenue, selling, general and administrative expenses, decreased from 30.8% in the seven month transition period ended December 31, 2005, to 30% for the year ended December 31, 2006. A comparative period analysis shows an increase in SG&amp;A costs due to the continued expansion of our operations. In addition, $1.8m can be attributed to the share based compensation expense arising from the adoption of SFAS 123R </w:t>
      </w:r>
      <w:r>
        <w:rPr>
          <w:rFonts w:ascii="Arial" w:cs="Arial" w:eastAsia="Arial" w:hAnsi="Arial"/>
          <w:sz w:val="16"/>
          <w:szCs w:val="16"/>
          <w:i w:val="1"/>
          <w:iCs w:val="1"/>
          <w:color w:val="auto"/>
        </w:rPr>
        <w:t>Share Based Payments</w:t>
      </w:r>
      <w:r>
        <w:rPr>
          <w:rFonts w:ascii="Arial" w:cs="Arial" w:eastAsia="Arial" w:hAnsi="Arial"/>
          <w:sz w:val="16"/>
          <w:szCs w:val="16"/>
          <w:color w:val="auto"/>
        </w:rPr>
        <w:t xml:space="preserve"> in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total share based compensation expense during 2006 amounted to $4.1million.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by $6.9 million, or 84.7%, from $8.1 million to $14.9 million. As a percentage of net revenue, depreciation and amortization decreased from 4% of net revenues in the seven month transition period ended December 31, 2005, to 3.3% for the year ended December 31, 2006. A comparative period analysis shows an increase in depreciation as a result of continued investment in facilities and information technology to support the growth in activity and in providing for future capacity.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increased by $36.3 million, or 313.9%, from $11.6 million to $47.8 million. As a percentage of net revenue, income from operations increased from 5.7% of net revenues in the seven month transition period ended December 31, 2005, to 10.5% for the year ended December 31, 2006. The year ended December 31, 2006, saw a continued improvement in the performance of the central laboratory business, from a loss from operations, as a percentage of net revenue of 16.7% for the seven month transition period ended December 31, 2005, to an operating profit of 4.9% for the year ended December 31, 2006. The central laboratory constitutes approximately 10.4% of our business revenues for the year ended December 31, 2006. Operating margins for our clinical research segment increased to 11.1% in the year ended December 31, 2006, from 7.9% for the seven month transition period ended December 31, 2005.</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income for the year ended December 31, 2006, was $3.6 million, an increase of $2.4 million from the seven month transition period ended December 31, 2005. Higher interest rates in 2006 over the 2005 transition period contributed to the increased interest income.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ICON plc’s effective tax rate for the year ended December 31, 2006, was 25% compared with 42% for the seven month transition period ended December 31, 2005. The decrease in the effective tax rate is due to a number of factors, including the release of $3.0 million of the valuation allowance against the losses forward in ICON Laboratories, Inc. In addition, in the seven month period ended December 31, 2005, there had been a once off tax disallowance of the compensation expense amounting to $6.0 million in respect of the gift of 128,000 and 160,000 ADSs made by Dr. Ronan Lambe and Dr. John Climax to Mr. Peter Gray, the Company’s Chief Executive Officer.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CRO industry generally is not capital intensive. Since our inception, we have financed our operations and growth primarily with cash flows from operations, net proceeds of $49.1 million raised in our initial public offering in May 1998, net proceeds of $44.3 million raised in our public offering in August 2003 and borrowings of $94.8 million received during the year ended December 31, 2007, used to finance the acquisition of DOCS International and the expenditure on our head office expansion. Our principal cash needs are payment of salaries, office rents, travel expenditures and payments to investigators. The aggregate amount of employee compensation, excluding stock compensation expense, paid by us and our subsidiaries for the year ended May 31, 2005, the seven month transition period ending December 31, 2005 and the years ended December 31, 2006 and December 31, 2007, amounted to $194.1 million, $121.4 million, $274.6 million, and $382.7 million respectively. Investing activities primarily reflect capital expenditures for facilities, information systems enhancements, the purchase of short-term investments and acquisitions.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2007, our working capital was $193.3 million, compared to $160.3 million at December 31, 2006 and $132.3 million at December 31, 2005.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and the timing of cash receipts. The number of days revenue outstanding was 66 days at December 31, 2007, 53 days at December 31, 2006 and 65 days at December 31, 2005.</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operating activities was $43.0 million in the year ended December 31, 2007, compared with $50.5 million in the year ended December 31, 2006, $13.8 million in the transition period ended December 31, 2005 and $25.2 million in fiscal year ended May 31, 2005.</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investing activities was $118.5 million for the year ended December 31, 2007, compared with $55.3 million in the year ended December 31, 2006, $16.3 million in the seven month period ended December 31, 2005 and $25.7 million in the year ended May 31, 2005. The increase in net cash used in the year ended December 31, 2007, over the year ended December 31, 2006 is due principally to the continued construction of the new head office building located in Dublin, Republic of Ireland, the Company’s continued investment in its global infrastructure and information technology systems to support its ongoing expansion and the acquisition of DOCS International in July 2007.</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was $94.0 million in the year ended December 31, 2007, compared with $7.7 million in the year ended December 31, 2006, $6.6 million in the seven month transition period ended December 31, 2005 and $0.9 million in the year ended May 31, 2005. We received $89.8 million in net borrowings, $5.3 million on the exercise of share options and $1.5 million in income tax benefits from the exercise of share options during the year ended December 31, 2007.</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these cash flows, cash and cash equivalents at December 31, 2007, was $76.9 million, an increase of $13.8 million in the year ended December 31, 2007, compared to an increase of $3.5 million in the year ended December 31, 2006, an increase of $3.2 million in the transition period ended December 31, 2005 and an increase of $0.7 million in the year ended May 31, 2005. Total borrowings at December 31, 2007, amounted to $94.8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On July 3, 2003, ICON plc entered into a facility agreement (the "Facility Agreement") for the provision of a term loan facility of $40 million, multi-currency overdraft facility of $5 million and revolving credit facility of $15 million (the "Facilities") with The Governor and Company of the Bank of Ireland and Ulster Bank Ireland Limited (the “Banks”). Our obligations under the facility were secured by certain composite guarantees and indemnities and pledges in favour of the bank. On July 9, 2007, ICON plc entered into a five year committed multi-currency facility agreement for €35 million ($51.1 million) with The Governor and Company of the Bank of Ireland. This facility replaces the facilities negotiated in July 2003. The current facility bears interest at an annual rate equal to the reference rate of EURIBOR plus a margin. On July 10, 2007, the Company drew down €29.5 million ($43.1 million) of the facility to fund the acquisition of DOCS International. On October 15, 2007, the remaining €5.5 million ($8 million) of the facility was drawn down to cover head office expansion in Ireland.</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17, 2007, a credit facility was negotiated with Allied Irish Banks plc for €30 million ($43.8 million). This facility is structured as an uncommitted facility and interest is calculated at the EUR interbank rate plus a margin. The facility is secured by the same composite guarantees and indemnities in place for the ICON plc committed facility. The facility was fully drawn on December 31, 2007. The funds were used to refinance overdraft facilities which were in place to finance the expenditure to date on the head office expansion. On January 8, 2008, the uncommitted facility with Allied Irish Banks plc was increased to €50 million ($72.9 million). All terms of this facility remain the same. The facility is due to be reviewed on October 31, 2010.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average margin payable on the above mentioned facilities is 0.65 percent.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available overdraft facility with Allied Irish Banks plc is €2 million ($2.9 million). The applicable interest rate when utilised is the bank’s prime rate and is repayable on demand if the Company defaults under its obligations as specified in the loan agreement. As of December 31, 2007, the facility was undrawn and available.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12, 2007, the Company acquired 100% of the common stock of DOCS International, a European based clinical research staffing organization, for a cash consideration of $40.6 million (€29.5 million). DOCS International operates in eight European countries and focuses on the training and supply of contract and permanent clinical research personnel to the pharmaceutical and biotech industry.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2006, we acquired 100% of the common stock of Ovation Healthcare Research 2 Inc. (“Ovation”), based in Illinois, USA, for an initial cash consideration of U.S.$6.6 million, excluding costs of acquisition. Working capital provisions were built into the acquisition contract requiring the potential payment of additional deferred consideration up to a maximum of U.S.$1.4 million. On October 27, 2006, $0.18 million was paid to the former shareholders of Ovation in full and final settlement of the working capital provisions.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July 1, 2004, we completed the acquisition of 70% of Beacon Biosciences, Inc. for an initial cash consideration of U.S. $9.9 million.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 2004, we acquired the workforce of Biomines Research Solutions Private Limited for a total cash consideration of U.S. $0.25 million. The workforce is engaged in the business of clinical trial data management and statistical analysis services and has been transferred to our existing Indian operation.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December 31, 2007, the Company had $311.3 million in contractual obligations and commercial commitments. As at December 31, 2007, the Company had known obligations of $20.4 million relating to the completion of the new head office building located in Dublin, Republic of Ireland, and $185.1 million operating lease obligations, primarily relating to leased office facilities. Additionally, the Company had bank debt of $94.8 million used to finance the acquisition of DOCS International and the expenditure on our head office expansion.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Contractual obligations table</w:t>
            </w: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760" w:type="dxa"/>
            <w:vAlign w:val="bottom"/>
            <w:gridSpan w:val="7"/>
          </w:tcPr>
          <w:p>
            <w:pPr>
              <w:spacing w:after="0"/>
              <w:rPr>
                <w:sz w:val="20"/>
                <w:szCs w:val="20"/>
                <w:color w:val="auto"/>
              </w:rPr>
            </w:pPr>
            <w:r>
              <w:rPr>
                <w:rFonts w:ascii="Arial" w:cs="Arial" w:eastAsia="Arial" w:hAnsi="Arial"/>
                <w:sz w:val="18"/>
                <w:szCs w:val="18"/>
                <w:color w:val="auto"/>
                <w:w w:val="95"/>
              </w:rPr>
              <w:t>The following table represents our contractual obligations and commercial commitments as of December 31, 2007:</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3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Payments due by period</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4"/>
              </w:rPr>
              <w:t>Less than 1</w:t>
            </w:r>
          </w:p>
        </w:tc>
        <w:tc>
          <w:tcPr>
            <w:tcW w:w="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 to 3</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3 to 5</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More than</w:t>
            </w:r>
          </w:p>
        </w:tc>
      </w:tr>
      <w:tr>
        <w:trPr>
          <w:trHeight w:val="216"/>
        </w:trPr>
        <w:tc>
          <w:tcPr>
            <w:tcW w:w="3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years</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 years</w:t>
            </w:r>
          </w:p>
        </w:tc>
      </w:tr>
      <w:tr>
        <w:trPr>
          <w:trHeight w:val="234"/>
        </w:trPr>
        <w:tc>
          <w:tcPr>
            <w:tcW w:w="3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(U.S.$ in millions)</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 construction commitments</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14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185.1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w:t>
            </w:r>
          </w:p>
        </w:tc>
        <w:tc>
          <w:tcPr>
            <w:tcW w:w="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58.3</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obligations</w:t>
            </w: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Bank credit lines and loans facilities</w:t>
            </w:r>
          </w:p>
        </w:tc>
        <w:tc>
          <w:tcPr>
            <w:tcW w:w="14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94.8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w:t>
            </w:r>
          </w:p>
        </w:tc>
        <w:tc>
          <w:tcPr>
            <w:tcW w:w="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25.5</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tax liabilities</w:t>
            </w: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37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3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(U.S.$ in millions)</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311.4</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89.8</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Excluding expenditure in relation to the building construction, we expect to spend approximately $15 million in the next twelve months on further investments in information technology, the expansion of existing facilities and the addition of new offices and expect to increase this level of spending in subsequent years.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2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7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imaging and laboratory services. We recognize biometric, consulting, imaging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2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principal judgments and uncertainties affecting our accounting for goodwill relate to carrying values. The carrying values of purchased goodwill are assessed annually, using discounted cash flows and net realizable values. The estimates and judgments used to assess carrying values include those relating to commercial risk, revenue and cost projections, our intention with respect to the acquired goodwill, the impact of competition, the impact of any reorganization or change of our business focus, the level of third party interest in our operations and market conditions.</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the implied fair value of reporting unit goodwill is lower then its carrying amount, goodwill is impaired and written down to its implied fair value. If we were to use different estimates or judgments, particularly with respect to expected revenue and cost projections or the impact of any reorganization or change of business focus, a material impairment charge to the statement of operations could arise. We believe that we have used reasonable estimates and judgments in assessing the carrying value of our goodwill.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and liabilities are determined using enacted or substantially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22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operate within multiple taxing jurisdictions and are subject to audits in these jurisdictions. These audits can involve complex issues which may require an extended period of time for resolution. Management believe that adequate provisions for income taxes have been made in the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2007, the FASB issued Statement of Financial Accounting Standards No. 159, </w:t>
      </w:r>
      <w:r>
        <w:rPr>
          <w:rFonts w:ascii="Arial" w:cs="Arial" w:eastAsia="Arial" w:hAnsi="Arial"/>
          <w:sz w:val="17"/>
          <w:szCs w:val="17"/>
          <w:i w:val="1"/>
          <w:iCs w:val="1"/>
          <w:color w:val="auto"/>
        </w:rPr>
        <w:t>The Fair Value Option for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 including an amendment of FASB Statement No. 115 </w:t>
      </w:r>
      <w:r>
        <w:rPr>
          <w:rFonts w:ascii="Arial" w:cs="Arial" w:eastAsia="Arial" w:hAnsi="Arial"/>
          <w:sz w:val="17"/>
          <w:szCs w:val="17"/>
          <w:color w:val="auto"/>
        </w:rPr>
        <w:t>(SFAS No. 159). SFAS No. 159 gives the Company the irrevocable option to carry most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and liabilities at fair value that are not currently required to be measured at fair value. If the fair value option is elected, changes in fair value would be recorded in earnings at each subsequent reporting date. SFAS No. 159 is effective for the Company’s 2008 fiscal year. The Company does not expect the adoption of SFAS No. 159 to have a material impact on the financial statements.</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2006, the FASB issued FASB Statement No. 157,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(SFAS No. 157). Statement 157 defines fair value, establishes a framework for the measurement of fair value, and enhances disclosures about fair value measurements. The Statement does not require any new fair value measures. The Statement is effective for fair value measures already required or permitted by other standards for fiscal years beginning after November 15, 2007. The Company is required to adopt SFAS No. 157 beginning on January 1, 2008. SFAS No. 157 is required to be applied prospectively, except for certain financial instruments. Any transition adjustment will be recognized as an adjustment to opening retained earnings in the year of adoption. In November 2007, the FASB proposed a one-year deferral of SFAS No. 157’s fair-value measurement requirements for nonfinancial assets and liabilities that are not required or permitted to be measured at fair value on a recurring basis. The Company does not expect the adoption of SFAS No. 157 to have a material impact on the financial statements.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2007, the FASB issued FASB Statement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141R) and FASB Statement No. 160, </w:t>
      </w:r>
      <w:r>
        <w:rPr>
          <w:rFonts w:ascii="Arial" w:cs="Arial" w:eastAsia="Arial" w:hAnsi="Arial"/>
          <w:sz w:val="18"/>
          <w:szCs w:val="18"/>
          <w:i w:val="1"/>
          <w:iCs w:val="1"/>
          <w:color w:val="auto"/>
        </w:rPr>
        <w:t>Noncontrolling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Interests in Consolidated Financial Statements– an amendment to ARB No. 51 </w:t>
      </w:r>
      <w:r>
        <w:rPr>
          <w:rFonts w:ascii="Arial" w:cs="Arial" w:eastAsia="Arial" w:hAnsi="Arial"/>
          <w:sz w:val="18"/>
          <w:szCs w:val="18"/>
          <w:color w:val="auto"/>
        </w:rPr>
        <w:t>(SFAS No. 160). SFAS No. 141R and SFAS No. 160 require most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liabilities, noncontrolling interests, and goodwill acquired in a business combination to be recorded at “full fair value” and require noncontrolling interests (previously referred to as minority interests) to be reported as a component of equity, which changes the accounting for transactions with noncontrolling interest holders. Both Statements are effective for periods beginning on or after December 15, 2008, and earlier adoption is prohibited. SFAS No. 141R will be applied to business combinations occurring after the effective date. SFAS No. 160 will be applied prospectively to all noncontrolling interests, including any that arose before the effective date. The Company does not expect the adoption of SFAS No. 141R and SFAS No. 160 to have a material impact on the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December 31,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0" w:type="dxa"/>
            <w:vAlign w:val="bottom"/>
          </w:tcPr>
          <w:p>
            <w:pPr>
              <w:ind w:left="220"/>
              <w:spacing w:after="0"/>
              <w:rPr>
                <w:sz w:val="20"/>
                <w:szCs w:val="20"/>
                <w:color w:val="auto"/>
              </w:rPr>
            </w:pPr>
            <w:r>
              <w:rPr>
                <w:rFonts w:ascii="Arial" w:cs="Arial" w:eastAsia="Arial" w:hAnsi="Arial"/>
                <w:sz w:val="18"/>
                <w:szCs w:val="18"/>
                <w:b w:val="1"/>
                <w:bCs w:val="1"/>
                <w:color w:val="auto"/>
              </w:rPr>
              <w:t>Age</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 (1)(5)</w:t>
            </w: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55</w:t>
            </w:r>
          </w:p>
        </w:tc>
        <w:tc>
          <w:tcPr>
            <w:tcW w:w="85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Executive Chairman of the Board, Director</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Peter Gray (1)(5)</w:t>
            </w:r>
          </w:p>
        </w:tc>
        <w:tc>
          <w:tcPr>
            <w:tcW w:w="780" w:type="dxa"/>
            <w:vAlign w:val="bottom"/>
          </w:tcPr>
          <w:p>
            <w:pPr>
              <w:ind w:left="220"/>
              <w:spacing w:after="0"/>
              <w:rPr>
                <w:sz w:val="20"/>
                <w:szCs w:val="20"/>
                <w:color w:val="auto"/>
              </w:rPr>
            </w:pPr>
            <w:r>
              <w:rPr>
                <w:rFonts w:ascii="Arial" w:cs="Arial" w:eastAsia="Arial" w:hAnsi="Arial"/>
                <w:sz w:val="18"/>
                <w:szCs w:val="18"/>
                <w:color w:val="auto"/>
              </w:rPr>
              <w:t>53</w:t>
            </w:r>
          </w:p>
        </w:tc>
        <w:tc>
          <w:tcPr>
            <w:tcW w:w="8560" w:type="dxa"/>
            <w:vAlign w:val="bottom"/>
          </w:tcPr>
          <w:p>
            <w:pPr>
              <w:ind w:left="24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Ciaran Murray (1)(5)</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45</w:t>
            </w: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Dr. Ronan Lambe (5)</w:t>
            </w:r>
          </w:p>
        </w:tc>
        <w:tc>
          <w:tcPr>
            <w:tcW w:w="780" w:type="dxa"/>
            <w:vAlign w:val="bottom"/>
          </w:tcPr>
          <w:p>
            <w:pPr>
              <w:ind w:left="220"/>
              <w:spacing w:after="0"/>
              <w:rPr>
                <w:sz w:val="20"/>
                <w:szCs w:val="20"/>
                <w:color w:val="auto"/>
              </w:rPr>
            </w:pPr>
            <w:r>
              <w:rPr>
                <w:rFonts w:ascii="Arial" w:cs="Arial" w:eastAsia="Arial" w:hAnsi="Arial"/>
                <w:sz w:val="18"/>
                <w:szCs w:val="18"/>
                <w:color w:val="auto"/>
              </w:rPr>
              <w:t>68</w:t>
            </w:r>
          </w:p>
        </w:tc>
        <w:tc>
          <w:tcPr>
            <w:tcW w:w="856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Thomas Lynch (2)(3)(4)</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51</w:t>
            </w: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Edward Roberts (2)(3)(4)</w:t>
            </w:r>
          </w:p>
        </w:tc>
        <w:tc>
          <w:tcPr>
            <w:tcW w:w="780" w:type="dxa"/>
            <w:vAlign w:val="bottom"/>
          </w:tcPr>
          <w:p>
            <w:pPr>
              <w:ind w:left="220"/>
              <w:spacing w:after="0"/>
              <w:rPr>
                <w:sz w:val="20"/>
                <w:szCs w:val="20"/>
                <w:color w:val="auto"/>
              </w:rPr>
            </w:pPr>
            <w:r>
              <w:rPr>
                <w:rFonts w:ascii="Arial" w:cs="Arial" w:eastAsia="Arial" w:hAnsi="Arial"/>
                <w:sz w:val="18"/>
                <w:szCs w:val="18"/>
                <w:color w:val="auto"/>
              </w:rPr>
              <w:t>73</w:t>
            </w:r>
          </w:p>
        </w:tc>
        <w:tc>
          <w:tcPr>
            <w:tcW w:w="856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Shuji Higuchi</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67</w:t>
            </w: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Dr. Bruce Given (2)(3)(4)</w:t>
            </w:r>
          </w:p>
        </w:tc>
        <w:tc>
          <w:tcPr>
            <w:tcW w:w="780" w:type="dxa"/>
            <w:vAlign w:val="bottom"/>
          </w:tcPr>
          <w:p>
            <w:pPr>
              <w:ind w:left="220"/>
              <w:spacing w:after="0"/>
              <w:rPr>
                <w:sz w:val="20"/>
                <w:szCs w:val="20"/>
                <w:color w:val="auto"/>
              </w:rPr>
            </w:pPr>
            <w:r>
              <w:rPr>
                <w:rFonts w:ascii="Arial" w:cs="Arial" w:eastAsia="Arial" w:hAnsi="Arial"/>
                <w:sz w:val="18"/>
                <w:szCs w:val="18"/>
                <w:color w:val="auto"/>
              </w:rPr>
              <w:t>53</w:t>
            </w:r>
          </w:p>
        </w:tc>
        <w:tc>
          <w:tcPr>
            <w:tcW w:w="856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William Taaffe</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59</w:t>
            </w: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President Corporate Development</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Dr. John Hubbard</w:t>
            </w:r>
          </w:p>
        </w:tc>
        <w:tc>
          <w:tcPr>
            <w:tcW w:w="780" w:type="dxa"/>
            <w:vAlign w:val="bottom"/>
          </w:tcPr>
          <w:p>
            <w:pPr>
              <w:ind w:left="220"/>
              <w:spacing w:after="0"/>
              <w:rPr>
                <w:sz w:val="20"/>
                <w:szCs w:val="20"/>
                <w:color w:val="auto"/>
              </w:rPr>
            </w:pPr>
            <w:r>
              <w:rPr>
                <w:rFonts w:ascii="Arial" w:cs="Arial" w:eastAsia="Arial" w:hAnsi="Arial"/>
                <w:sz w:val="18"/>
                <w:szCs w:val="18"/>
                <w:color w:val="auto"/>
              </w:rPr>
              <w:t>51</w:t>
            </w:r>
          </w:p>
        </w:tc>
        <w:tc>
          <w:tcPr>
            <w:tcW w:w="8560" w:type="dxa"/>
            <w:vAlign w:val="bottom"/>
          </w:tcPr>
          <w:p>
            <w:pPr>
              <w:ind w:left="240"/>
              <w:spacing w:after="0"/>
              <w:rPr>
                <w:sz w:val="20"/>
                <w:szCs w:val="20"/>
                <w:color w:val="auto"/>
              </w:rPr>
            </w:pPr>
            <w:r>
              <w:rPr>
                <w:rFonts w:ascii="Arial" w:cs="Arial" w:eastAsia="Arial" w:hAnsi="Arial"/>
                <w:sz w:val="18"/>
                <w:szCs w:val="18"/>
                <w:color w:val="auto"/>
              </w:rPr>
              <w:t>Global President – Clinical Research Division</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Robert Scott-Edwards</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54</w:t>
            </w: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President of ICON Laboratories</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Sean Leech</w:t>
            </w:r>
          </w:p>
        </w:tc>
        <w:tc>
          <w:tcPr>
            <w:tcW w:w="780" w:type="dxa"/>
            <w:vAlign w:val="bottom"/>
          </w:tcPr>
          <w:p>
            <w:pPr>
              <w:ind w:left="220"/>
              <w:spacing w:after="0"/>
              <w:rPr>
                <w:sz w:val="20"/>
                <w:szCs w:val="20"/>
                <w:color w:val="auto"/>
              </w:rPr>
            </w:pPr>
            <w:r>
              <w:rPr>
                <w:rFonts w:ascii="Arial" w:cs="Arial" w:eastAsia="Arial" w:hAnsi="Arial"/>
                <w:sz w:val="18"/>
                <w:szCs w:val="18"/>
                <w:color w:val="auto"/>
              </w:rPr>
              <w:t>37</w:t>
            </w:r>
          </w:p>
        </w:tc>
        <w:tc>
          <w:tcPr>
            <w:tcW w:w="8560" w:type="dxa"/>
            <w:vAlign w:val="bottom"/>
          </w:tcPr>
          <w:p>
            <w:pPr>
              <w:ind w:left="240"/>
              <w:spacing w:after="0"/>
              <w:rPr>
                <w:sz w:val="20"/>
                <w:szCs w:val="20"/>
                <w:color w:val="auto"/>
              </w:rPr>
            </w:pPr>
            <w:r>
              <w:rPr>
                <w:rFonts w:ascii="Arial" w:cs="Arial" w:eastAsia="Arial" w:hAnsi="Arial"/>
                <w:sz w:val="18"/>
                <w:szCs w:val="18"/>
                <w:color w:val="auto"/>
              </w:rPr>
              <w:t>President ICON Contracting Solutions</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Dr. Thomas Frey</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55</w:t>
            </w: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President ICON Development Solutions</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Josephine Coyle</w:t>
            </w:r>
          </w:p>
        </w:tc>
        <w:tc>
          <w:tcPr>
            <w:tcW w:w="780" w:type="dxa"/>
            <w:vAlign w:val="bottom"/>
          </w:tcPr>
          <w:p>
            <w:pPr>
              <w:ind w:left="220"/>
              <w:spacing w:after="0"/>
              <w:rPr>
                <w:sz w:val="20"/>
                <w:szCs w:val="20"/>
                <w:color w:val="auto"/>
              </w:rPr>
            </w:pPr>
            <w:r>
              <w:rPr>
                <w:rFonts w:ascii="Arial" w:cs="Arial" w:eastAsia="Arial" w:hAnsi="Arial"/>
                <w:sz w:val="18"/>
                <w:szCs w:val="18"/>
                <w:color w:val="auto"/>
              </w:rPr>
              <w:t>50</w:t>
            </w:r>
          </w:p>
        </w:tc>
        <w:tc>
          <w:tcPr>
            <w:tcW w:w="8560" w:type="dxa"/>
            <w:vAlign w:val="bottom"/>
          </w:tcPr>
          <w:p>
            <w:pPr>
              <w:ind w:left="240"/>
              <w:spacing w:after="0"/>
              <w:rPr>
                <w:sz w:val="20"/>
                <w:szCs w:val="20"/>
                <w:color w:val="auto"/>
              </w:rPr>
            </w:pPr>
            <w:r>
              <w:rPr>
                <w:rFonts w:ascii="Arial" w:cs="Arial" w:eastAsia="Arial" w:hAnsi="Arial"/>
                <w:sz w:val="18"/>
                <w:szCs w:val="18"/>
                <w:color w:val="auto"/>
              </w:rPr>
              <w:t>Vice President for Corporate Quality Assurance</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Eimear Kenny</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38</w:t>
            </w: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Vice President for Strategic Human Resources</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Simon Holmes</w:t>
            </w:r>
          </w:p>
        </w:tc>
        <w:tc>
          <w:tcPr>
            <w:tcW w:w="780" w:type="dxa"/>
            <w:vAlign w:val="bottom"/>
          </w:tcPr>
          <w:p>
            <w:pPr>
              <w:ind w:left="220"/>
              <w:spacing w:after="0"/>
              <w:rPr>
                <w:sz w:val="20"/>
                <w:szCs w:val="20"/>
                <w:color w:val="auto"/>
              </w:rPr>
            </w:pPr>
            <w:r>
              <w:rPr>
                <w:rFonts w:ascii="Arial" w:cs="Arial" w:eastAsia="Arial" w:hAnsi="Arial"/>
                <w:sz w:val="18"/>
                <w:szCs w:val="18"/>
                <w:color w:val="auto"/>
              </w:rPr>
              <w:t>41</w:t>
            </w:r>
          </w:p>
        </w:tc>
        <w:tc>
          <w:tcPr>
            <w:tcW w:w="8560" w:type="dxa"/>
            <w:vAlign w:val="bottom"/>
          </w:tcPr>
          <w:p>
            <w:pPr>
              <w:ind w:left="240"/>
              <w:spacing w:after="0"/>
              <w:rPr>
                <w:sz w:val="20"/>
                <w:szCs w:val="20"/>
                <w:color w:val="auto"/>
              </w:rPr>
            </w:pPr>
            <w:r>
              <w:rPr>
                <w:rFonts w:ascii="Arial" w:cs="Arial" w:eastAsia="Arial" w:hAnsi="Arial"/>
                <w:sz w:val="18"/>
                <w:szCs w:val="18"/>
                <w:color w:val="auto"/>
              </w:rPr>
              <w:t>Vice President Group Marketing and Market Development</w:t>
            </w:r>
          </w:p>
        </w:tc>
      </w:tr>
      <w:tr>
        <w:trPr>
          <w:trHeight w:val="223"/>
        </w:trPr>
        <w:tc>
          <w:tcPr>
            <w:tcW w:w="20" w:type="dxa"/>
            <w:vAlign w:val="bottom"/>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McGrath</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45</w:t>
            </w:r>
          </w:p>
        </w:tc>
        <w:tc>
          <w:tcPr>
            <w:tcW w:w="8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Senior Vice President of Group Information Technology</w:t>
            </w:r>
          </w:p>
        </w:tc>
      </w:tr>
    </w:tbl>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Nomination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Executive Committee.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Dr. John Climax</w:t>
      </w:r>
      <w:r>
        <w:rPr>
          <w:rFonts w:ascii="Arial" w:cs="Arial" w:eastAsia="Arial" w:hAnsi="Arial"/>
          <w:sz w:val="18"/>
          <w:szCs w:val="18"/>
          <w:color w:val="auto"/>
        </w:rPr>
        <w:t>, one of the Company’s co-founders, has served as a director of the Company and its subsidiaries since June 1990. Dr. Climax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from June 1990 to October 2002 and was appointed Executive Chairman of the Board in November 2002. Dr. Climax has over 21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Peter Gray </w:t>
      </w:r>
      <w:r>
        <w:rPr>
          <w:rFonts w:ascii="Arial" w:cs="Arial" w:eastAsia="Arial" w:hAnsi="Arial"/>
          <w:sz w:val="17"/>
          <w:szCs w:val="17"/>
          <w:color w:val="auto"/>
        </w:rPr>
        <w:t>has served as the Chief Executive Officer of ICON and its subsidiaries since November 2002. He served as the Group Chief Operating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ICON and its subsidiaries from June 2001, and was Chief Financial Officer from June 1997 to June 2001. He has been a director of the Company since June 1997. Mr. Gray has over 16 years experience in the pharmaceutical services industry and has also worked in the engineering and food sectors. Mr. Gray received a degree in Law from Trinity College Dublin in 1977 and became a chartered accountant in 1980.</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Ciaran Murray </w:t>
      </w:r>
      <w:r>
        <w:rPr>
          <w:rFonts w:ascii="Arial" w:cs="Arial" w:eastAsia="Arial" w:hAnsi="Arial"/>
          <w:sz w:val="17"/>
          <w:szCs w:val="17"/>
          <w:color w:val="auto"/>
        </w:rPr>
        <w:t>was appointed as Chief Financial Officer of ICON and its subsidiaries in October 2005. Mr. Murray developed his experience in senior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positions in the technology and food sectors, in such companies as Kraft Foods, Inc. and Novell, Inc. Prior to joining ICON, Mr. Murray served as the CFO of Codec Systems from 1999 to 2005, a technology company headquartered in Ireland. Mr. Murray is a business graduate of University College Dublin. He trained as a chartered accountant with PricewaterhouseCoopers and is a Fellow of the Institute of Chartered Accountants in Ireland.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He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holds a position as an outside director since January 2008. Dr. Lambe has over 24 years of experience in the contract research industry in Europe. Dr. Lambe attended the National University of Ireland where he received his bachelor of science degree in chemistry in 1959, his masters in biochemistry in 1962 and his PhD. in pharmacology in 1976.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i w:val="1"/>
          <w:iCs w:val="1"/>
          <w:color w:val="auto"/>
        </w:rPr>
        <w:t xml:space="preserve">Thomas Lynch </w:t>
      </w:r>
      <w:r>
        <w:rPr>
          <w:rFonts w:ascii="Arial" w:cs="Arial" w:eastAsia="Arial" w:hAnsi="Arial"/>
          <w:sz w:val="18"/>
          <w:szCs w:val="18"/>
          <w:color w:val="auto"/>
        </w:rPr>
        <w:t>has served as an outside director of the Company since January 1996. Mr. Lynch served as a director of Nanogen Inc., from 1996 to 2000. Mr.</w:t>
      </w:r>
      <w:r>
        <w:rPr>
          <w:rFonts w:ascii="Arial" w:cs="Arial" w:eastAsia="Arial" w:hAnsi="Arial"/>
          <w:sz w:val="18"/>
          <w:szCs w:val="18"/>
          <w:i w:val="1"/>
          <w:iCs w:val="1"/>
          <w:color w:val="auto"/>
        </w:rPr>
        <w:t xml:space="preserve"> </w:t>
      </w:r>
      <w:r>
        <w:rPr>
          <w:rFonts w:ascii="Arial" w:cs="Arial" w:eastAsia="Arial" w:hAnsi="Arial"/>
          <w:sz w:val="18"/>
          <w:szCs w:val="18"/>
          <w:color w:val="auto"/>
        </w:rPr>
        <w:t>Lynch is currently Chairman and Chief Executive Officer of Amarin Corporation plc, a director of Royal Opera House (Covent Garden) and a non-executive director of IDA Ireland. In the period from May 1993 to July 2004, Mr. Lynch held several senior positions in Elan Corporation, plc, a specialty pharmaceutical company, including Executive Vice President, Chief Financial Officer, Vice Chairman and Senior Advisor to the Chairman of the Board of Elan Corporation, plc. Mr. Lynch was a partner at KPMG from May 1990 to May 1993.</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Edward Roberts </w:t>
      </w:r>
      <w:r>
        <w:rPr>
          <w:rFonts w:ascii="Arial" w:cs="Arial" w:eastAsia="Arial" w:hAnsi="Arial"/>
          <w:sz w:val="18"/>
          <w:szCs w:val="18"/>
          <w:color w:val="auto"/>
        </w:rPr>
        <w:t>has served as an outside director of the Company since February 1998. Mr. Roberts was Managing Director of the Pharmaceutical Division</w:t>
      </w:r>
      <w:r>
        <w:rPr>
          <w:rFonts w:ascii="Arial" w:cs="Arial" w:eastAsia="Arial" w:hAnsi="Arial"/>
          <w:sz w:val="18"/>
          <w:szCs w:val="18"/>
          <w:i w:val="1"/>
          <w:iCs w:val="1"/>
          <w:color w:val="auto"/>
        </w:rPr>
        <w:t xml:space="preserve"> </w:t>
      </w:r>
      <w:r>
        <w:rPr>
          <w:rFonts w:ascii="Arial" w:cs="Arial" w:eastAsia="Arial" w:hAnsi="Arial"/>
          <w:sz w:val="18"/>
          <w:szCs w:val="18"/>
          <w:color w:val="auto"/>
        </w:rPr>
        <w:t>of Merck KGaA from 1990 to 1998. Prior to that, he held a number of senior management positions with Eli Lilly International in Europe and the United States. Mr. Roberts has over 40 years of experience in the pharmaceutical industry. Mr Roberts serves as Chairman of Merz &amp; Co. GmbH and is also on the Board of Lupin.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Mr. Shuji Higuchi </w:t>
      </w:r>
      <w:r>
        <w:rPr>
          <w:rFonts w:ascii="Arial" w:cs="Arial" w:eastAsia="Arial" w:hAnsi="Arial"/>
          <w:sz w:val="18"/>
          <w:szCs w:val="18"/>
          <w:color w:val="auto"/>
        </w:rPr>
        <w:t>has served as an outside director of the Company since September 2004. Dr. Higuchi has over 40 years of experience in the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Dr. Higuchi is currently Director of R&amp;D and Corporate Integration, Kyoto University Hospital, Japan. Prior to this Dr. Higuchi has served as President of Takeda Pharma GmbH from 1983 to 1992, President of Takeda Europe R&amp;D Centre, Frankfurt / London from 1992 to 2002, and served as a Corporate Officer of Takeda Chemical Industries Limited, Japan from 1999 to 2002.</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Dr. Bruce Given </w:t>
      </w:r>
      <w:r>
        <w:rPr>
          <w:rFonts w:ascii="Arial" w:cs="Arial" w:eastAsia="Arial" w:hAnsi="Arial"/>
          <w:sz w:val="18"/>
          <w:szCs w:val="18"/>
          <w:color w:val="auto"/>
        </w:rPr>
        <w:t>has served as an outside director of the Company since September 2004. From March 2002 until June 2007 he served as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Encysive Pharmaceuticals Inc. Previously, Dr. Given has held various positions in Johnson &amp; Johnson group companies. Dr. Given obtained his doctorate from the University of Chicago in 1980.</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William Taaffe </w:t>
      </w:r>
      <w:r>
        <w:rPr>
          <w:rFonts w:ascii="Arial" w:cs="Arial" w:eastAsia="Arial" w:hAnsi="Arial"/>
          <w:sz w:val="17"/>
          <w:szCs w:val="17"/>
          <w:color w:val="auto"/>
        </w:rPr>
        <w:t>has served as President Corporate Development since April 2005. Prior to this Mr. Taaffe served as President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ICON Clinical Research - U.S. since 1993. Mr. Taaffe has over 30 years of experience in the contract research and pharmaceutical industries in Ireland, Canada and the United States. Mr. Taaffe received his bachelor of science degree in 1970 from University College Dublin.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Dr. John W. Hubbard </w:t>
      </w:r>
      <w:r>
        <w:rPr>
          <w:rFonts w:ascii="Arial" w:cs="Arial" w:eastAsia="Arial" w:hAnsi="Arial"/>
          <w:sz w:val="17"/>
          <w:szCs w:val="17"/>
          <w:color w:val="auto"/>
        </w:rPr>
        <w:t>has served as Global President of the Clinical Research Division since March 2007. Previously he served as President of ICON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 U.S. since April 2005 and as Chief Operating Officer, U.S Operations since October 1999. Dr. Hubbard has more than 20 years of experience in pharmaceutical research and development. He has held positions of increasing responsibility at Revlon Health Care Group, Hoechst Marion Roussel Pharmaceuticals, Parexel International Corporation, and from July 1997 until joining ICON, he held the position of Senior Vice President of Clinical Research Operations at Clinical Studies, an industry leading site management organization and division of Innovative Clinical Solutions, Ltd. Dr. Hubbard received a B.S. in Psychology/Biology from the University of Santa Clara, a Ph.D. in Cardiovascular Physiology from the University of Tennessee, and was a NIH Postdoctoral Fellow in Cardiovascular Pharmacology at the University of Texas Health Sciences Center.</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Robert Scott-Edwards, </w:t>
      </w:r>
      <w:r>
        <w:rPr>
          <w:rFonts w:ascii="Arial" w:cs="Arial" w:eastAsia="Arial" w:hAnsi="Arial"/>
          <w:sz w:val="17"/>
          <w:szCs w:val="17"/>
          <w:color w:val="auto"/>
        </w:rPr>
        <w:t>has served the Company as President of ICON Laboratories since August 2004, having previously held the position of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Sales &amp; Marketing for ICON Laboratories since June 2000. Prior to joining ICON, Mr. Scott-Edwards held various senior positions at Bristol-Myers Squibb from 1979 through 1997. Mr. Scott-Edwards began his career in the pharmaceutical industry in 1971 at Wyeth.</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Sean Leech </w:t>
      </w:r>
      <w:r>
        <w:rPr>
          <w:rFonts w:ascii="Arial" w:cs="Arial" w:eastAsia="Arial" w:hAnsi="Arial"/>
          <w:sz w:val="17"/>
          <w:szCs w:val="17"/>
          <w:color w:val="auto"/>
        </w:rPr>
        <w:t>has served as President of ICON Contracting Solutions since March 2007. Prior to this Mr. Leech served as Executive Vice President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Organization Development since October 2005, as the Chief Financial Officer of ICON and its subsidiaries since June 2001 and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i w:val="1"/>
          <w:iCs w:val="1"/>
          <w:color w:val="auto"/>
        </w:rPr>
        <w:t xml:space="preserve">Dr. Thomas Frey </w:t>
      </w:r>
      <w:r>
        <w:rPr>
          <w:rFonts w:ascii="Arial" w:cs="Arial" w:eastAsia="Arial" w:hAnsi="Arial"/>
          <w:sz w:val="18"/>
          <w:szCs w:val="18"/>
          <w:color w:val="auto"/>
        </w:rPr>
        <w:t>has served as President of ICON Developments Solutions since June 2005. He previously held positions as Chief Operating Officer for</w:t>
      </w:r>
      <w:r>
        <w:rPr>
          <w:rFonts w:ascii="Arial" w:cs="Arial" w:eastAsia="Arial" w:hAnsi="Arial"/>
          <w:sz w:val="18"/>
          <w:szCs w:val="18"/>
          <w:i w:val="1"/>
          <w:iCs w:val="1"/>
          <w:color w:val="auto"/>
        </w:rPr>
        <w:t xml:space="preserve"> </w:t>
      </w:r>
      <w:r>
        <w:rPr>
          <w:rFonts w:ascii="Arial" w:cs="Arial" w:eastAsia="Arial" w:hAnsi="Arial"/>
          <w:sz w:val="18"/>
          <w:szCs w:val="18"/>
          <w:color w:val="auto"/>
        </w:rPr>
        <w:t>ICON Clinical Research Europe from June 2001 and Vice President of ICON Clinical Operations Europe from January 2000 to May 2005. Dr. Frey has 18 years of experience in pharmaceutical research and development. He started his career in 1987 with Hoechst Pharmaceuticals. From 1995 to the end of 1999 he was Senior Director of Clinical Development Europe at Hoechst Pharmaceuticals. Dr. Frey received his medical degree in 1980 from the University of Heidelberg.</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Josephine Coyle </w:t>
      </w:r>
      <w:r>
        <w:rPr>
          <w:rFonts w:ascii="Arial" w:cs="Arial" w:eastAsia="Arial" w:hAnsi="Arial"/>
          <w:sz w:val="18"/>
          <w:szCs w:val="18"/>
          <w:color w:val="auto"/>
        </w:rPr>
        <w:t>has served as Vice President for Corporate Quality Assurance since April 2000. Ms. Coyle has held positions of increasing responsibility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ICON since August 1992 and previously held the position of Director of Quality Assurance.</w:t>
      </w:r>
    </w:p>
    <w:p>
      <w:pPr>
        <w:spacing w:after="0" w:line="19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Eimear Kenny</w:t>
      </w:r>
      <w:r>
        <w:rPr>
          <w:rFonts w:ascii="Arial" w:cs="Arial" w:eastAsia="Arial" w:hAnsi="Arial"/>
          <w:sz w:val="17"/>
          <w:szCs w:val="17"/>
          <w:color w:val="auto"/>
        </w:rPr>
        <w:t>, has served as Vice President of Strategic Human Resources since April 2007, having previously held the position of Vice President of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for ICON Clinical Research Europe and Rest of World since joining the Company in November 1999. Prior to joining ICON, Ms. Kenny was HR Manager for GE Global Consumer Finance Ireland. Ms. Kenny holds a degree in both business studies from Portobello College, Dublin &amp; human resource management from the National College of Ireland. She is also a Member of the Chartered Institute of Personnel and Development.</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Simon Holmes </w:t>
      </w:r>
      <w:r>
        <w:rPr>
          <w:rFonts w:ascii="Arial" w:cs="Arial" w:eastAsia="Arial" w:hAnsi="Arial"/>
          <w:sz w:val="18"/>
          <w:szCs w:val="18"/>
          <w:color w:val="auto"/>
        </w:rPr>
        <w:t>has served as Vice President Group Marketing and Market Development since November 2007. In this role Mr Holmes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ICON's global marketing function and for managing ICON's internal process for the proactive identification and evaluation of potential acquisition candidates. Prior to this role, Mr.Holmes was Group Director of Marketing, a position he assumed on joining ICON in July 2005. Mr. Holmes has held senior positions within Microsoft, LogicaCMG and Cable and Wireless. A graduate of the University of East Anglia and Cambridge University he holds an MBA from the UCD Smurfit Business School.</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Michael Mc Grath </w:t>
      </w:r>
      <w:r>
        <w:rPr>
          <w:rFonts w:ascii="Arial" w:cs="Arial" w:eastAsia="Arial" w:hAnsi="Arial"/>
          <w:sz w:val="18"/>
          <w:szCs w:val="18"/>
          <w:color w:val="auto"/>
        </w:rPr>
        <w:t>has served as Senior Vice President of Group Information Technology since June 2007. He joined ICON in December 2002 as Director 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of Europe before moving to a role as Global Vice President of Information Technology for the Clinical Research Division. He previously held a number of senior Information Technology positions in the Financial Services Industry with GE Capital and Woodchester Bank Ltd. Prior to this he worked as an IT Consultant and also as a Software Engineer. He has over 15 years experience in the IT industry across many areas including Pharmaceuticals, Financial Services and Utilities. He holds an MSc in Information Technology Management from Dublin City University and a Higher Diploma in Electronic Engineering.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ICON's Articles of Association provide that, unless otherwise determined by ICON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Accordingly, at the annual general meeting of ICON to be held in 2008, it is anticipated that two directors will retire by rotation and offer themselves for re-election, such directors to be determined, unless otherwise agreed, by lot. Any additional director appointed by us shall hold office until the next annual general meeting and will be subject to re-election at that meeting.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ICON established a compensation committee and an audit committee in 1998, a nomination committee in 2004, and an executive committee in 2005, all of which are committees of the Board of Directors and are, with the exception of the Executive Committee, composed mainly of non-executive directors of ICON plc.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3"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The Compensation Committee comprises Thomas Lynch (Chairman), Edward Roberts, and Dr. Bruce Given. It deals with all aspects of senior executive remuneration. The committee aims to ensure that remuneration packages are competitive so that individuals are appropriately rewarded relative to their responsibility, experience and value to ICON.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Annual bonuses for executive directors are determined by the committee based on the achievement of ICON’s objectives.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Audit Committee comprises Edward Roberts (Chairman), Thomas Lynch and Dr. Bruce Given. It reviews the annual report, the quarterly earnings releases, the effectiveness of the system of internal controls, compliance with our ethical code and legal requirements, and approves the appointment and removal of the external auditors. It also addresses all issues raised and recommendations made by the external auditors and pre-approves all auditor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Committee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Nomination Committee comprises Thomas Lynch (Chairman), Edward Roberts and Dr. Bruce Given. On an ongoing basis it reviews the membership of the board of directors and board committees. It identifies and recommends individuals to fill any vacancy that is anticipated or arises on the board of directors. It reviews and recommends the corporate governance principles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Committee</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Executive Committee comprises Dr. John Climax, Peter Gray (Chairman), Dr. Ronan Lambe and Ciaran Murray. Established in March 2005, this Committee is responsible for the management of the Company in intervals between meetings of the Board and exercises business judgment to act in what the Committee members reasonably believe to be in the best interest of the Company and its shareholders. All powers exercised by the Executive Committee are ratified at board meetings. This Committee convenes as often as it determines to be necessary or appropriate.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compensation (including share-based compensation of $0.4m) paid by ICON to all persons who served in the capacity of director or executive officer in 2007 (8 persons) was approximately $3.9 million, but does not include expenses reimbursed to directors and executive officers (including business travel, professional and business association dues and expenses). As of December 31, 2007, options granted to directors and executive officers of ICON to purchase an aggregate of 181,600 of our ordinary shares were outstanding. The options are exercisable at prices between $14.00 and $42.50 and expire between January 11, 2010 and February 16, 2015.</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officers are eligible to participate in ICON’s Incentive Share Option Scheme. See Note 10 to the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employed 5,610, 4,290, 3,036, and 2,713 people for the years ended December 31, 2007, and December 31, 2006, the seven month period ended December 31, 2005, and the year ended May 31, 2005 respectively. Our employees are not unionized and we believe that our relations with our employees are good.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Share Ownership</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certain information regarding beneficial ownership of our ordinary shares (including Amercian Depository Securities, ADS’s) as of February 20, 2008,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Name of Owner or</w:t>
            </w:r>
          </w:p>
        </w:tc>
        <w:tc>
          <w:tcPr>
            <w:tcW w:w="2300" w:type="dxa"/>
            <w:vAlign w:val="bottom"/>
          </w:tcPr>
          <w:p>
            <w:pPr>
              <w:jc w:val="right"/>
              <w:ind w:right="190"/>
              <w:spacing w:after="0"/>
              <w:rPr>
                <w:sz w:val="20"/>
                <w:szCs w:val="20"/>
                <w:color w:val="auto"/>
              </w:rPr>
            </w:pPr>
            <w:r>
              <w:rPr>
                <w:rFonts w:ascii="Arial" w:cs="Arial" w:eastAsia="Arial" w:hAnsi="Arial"/>
                <w:sz w:val="18"/>
                <w:szCs w:val="18"/>
                <w:b w:val="1"/>
                <w:bCs w:val="1"/>
                <w:color w:val="auto"/>
              </w:rPr>
              <w:t>No. of Shares</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No. of Options</w:t>
            </w:r>
          </w:p>
        </w:tc>
        <w:tc>
          <w:tcPr>
            <w:tcW w:w="13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Exercise</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Identity of Group</w:t>
            </w:r>
          </w:p>
        </w:tc>
        <w:tc>
          <w:tcPr>
            <w:tcW w:w="2300" w:type="dxa"/>
            <w:vAlign w:val="bottom"/>
          </w:tcPr>
          <w:p>
            <w:pPr>
              <w:jc w:val="right"/>
              <w:ind w:right="190"/>
              <w:spacing w:after="0"/>
              <w:rPr>
                <w:sz w:val="20"/>
                <w:szCs w:val="20"/>
                <w:color w:val="auto"/>
              </w:rPr>
            </w:pPr>
            <w:r>
              <w:rPr>
                <w:rFonts w:ascii="Arial" w:cs="Arial" w:eastAsia="Arial" w:hAnsi="Arial"/>
                <w:sz w:val="18"/>
                <w:szCs w:val="18"/>
                <w:b w:val="1"/>
                <w:bCs w:val="1"/>
                <w:color w:val="auto"/>
              </w:rPr>
              <w:t>(1)</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price</w:t>
            </w:r>
          </w:p>
        </w:tc>
        <w:tc>
          <w:tcPr>
            <w:tcW w:w="278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Expiration 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1,553,784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14.50</w:t>
            </w:r>
          </w:p>
        </w:tc>
        <w:tc>
          <w:tcPr>
            <w:tcW w:w="278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7"/>
              </w:rPr>
              <w:t>January 11,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14.00</w:t>
            </w:r>
          </w:p>
        </w:tc>
        <w:tc>
          <w:tcPr>
            <w:tcW w:w="2780" w:type="dxa"/>
            <w:vAlign w:val="bottom"/>
          </w:tcPr>
          <w:p>
            <w:pPr>
              <w:jc w:val="center"/>
              <w:ind w:right="310"/>
              <w:spacing w:after="0"/>
              <w:rPr>
                <w:sz w:val="20"/>
                <w:szCs w:val="20"/>
                <w:color w:val="auto"/>
              </w:rPr>
            </w:pPr>
            <w:r>
              <w:rPr>
                <w:rFonts w:ascii="Arial" w:cs="Arial" w:eastAsia="Arial" w:hAnsi="Arial"/>
                <w:sz w:val="18"/>
                <w:szCs w:val="18"/>
                <w:color w:val="auto"/>
                <w:w w:val="87"/>
              </w:rPr>
              <w:t>January 21,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17.75</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0"/>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22.00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90"/>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42.50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Dr. Ronan Lambe</w:t>
            </w:r>
          </w:p>
        </w:tc>
        <w:tc>
          <w:tcPr>
            <w:tcW w:w="2300" w:type="dxa"/>
            <w:vAlign w:val="bottom"/>
          </w:tcPr>
          <w:p>
            <w:pPr>
              <w:jc w:val="right"/>
              <w:ind w:right="190"/>
              <w:spacing w:after="0"/>
              <w:rPr>
                <w:sz w:val="20"/>
                <w:szCs w:val="20"/>
                <w:color w:val="auto"/>
              </w:rPr>
            </w:pPr>
            <w:r>
              <w:rPr>
                <w:rFonts w:ascii="Arial" w:cs="Arial" w:eastAsia="Arial" w:hAnsi="Arial"/>
                <w:sz w:val="18"/>
                <w:szCs w:val="18"/>
                <w:color w:val="auto"/>
              </w:rPr>
              <w:t>367,940</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14.50</w:t>
            </w:r>
          </w:p>
        </w:tc>
        <w:tc>
          <w:tcPr>
            <w:tcW w:w="2780" w:type="dxa"/>
            <w:vAlign w:val="bottom"/>
          </w:tcPr>
          <w:p>
            <w:pPr>
              <w:jc w:val="center"/>
              <w:ind w:right="310"/>
              <w:spacing w:after="0"/>
              <w:rPr>
                <w:sz w:val="20"/>
                <w:szCs w:val="20"/>
                <w:color w:val="auto"/>
              </w:rPr>
            </w:pPr>
            <w:r>
              <w:rPr>
                <w:rFonts w:ascii="Arial" w:cs="Arial" w:eastAsia="Arial" w:hAnsi="Arial"/>
                <w:sz w:val="18"/>
                <w:szCs w:val="18"/>
                <w:color w:val="auto"/>
                <w:w w:val="87"/>
              </w:rPr>
              <w:t>January 11,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14.00</w:t>
            </w:r>
          </w:p>
        </w:tc>
        <w:tc>
          <w:tcPr>
            <w:tcW w:w="278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7"/>
              </w:rPr>
              <w:t>January 21,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17.75</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90"/>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17.20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22.00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90"/>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42.50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Mr. Peter Gray</w:t>
            </w:r>
          </w:p>
        </w:tc>
        <w:tc>
          <w:tcPr>
            <w:tcW w:w="2300" w:type="dxa"/>
            <w:vAlign w:val="bottom"/>
          </w:tcPr>
          <w:p>
            <w:pPr>
              <w:jc w:val="right"/>
              <w:ind w:right="190"/>
              <w:spacing w:after="0"/>
              <w:rPr>
                <w:sz w:val="20"/>
                <w:szCs w:val="20"/>
                <w:color w:val="auto"/>
              </w:rPr>
            </w:pPr>
            <w:r>
              <w:rPr>
                <w:rFonts w:ascii="Arial" w:cs="Arial" w:eastAsia="Arial" w:hAnsi="Arial"/>
                <w:sz w:val="18"/>
                <w:szCs w:val="18"/>
                <w:color w:val="auto"/>
              </w:rPr>
              <w:t>270,040</w:t>
            </w: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14.50</w:t>
            </w:r>
          </w:p>
        </w:tc>
        <w:tc>
          <w:tcPr>
            <w:tcW w:w="2780" w:type="dxa"/>
            <w:vAlign w:val="bottom"/>
          </w:tcPr>
          <w:p>
            <w:pPr>
              <w:jc w:val="center"/>
              <w:ind w:right="310"/>
              <w:spacing w:after="0"/>
              <w:rPr>
                <w:sz w:val="20"/>
                <w:szCs w:val="20"/>
                <w:color w:val="auto"/>
              </w:rPr>
            </w:pPr>
            <w:r>
              <w:rPr>
                <w:rFonts w:ascii="Arial" w:cs="Arial" w:eastAsia="Arial" w:hAnsi="Arial"/>
                <w:sz w:val="18"/>
                <w:szCs w:val="18"/>
                <w:color w:val="auto"/>
                <w:w w:val="87"/>
              </w:rPr>
              <w:t>January 11,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14.00</w:t>
            </w:r>
          </w:p>
        </w:tc>
        <w:tc>
          <w:tcPr>
            <w:tcW w:w="278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7"/>
              </w:rPr>
              <w:t>January 21,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17.75</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90"/>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22.00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0"/>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42.50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89"/>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Mr. Ciaran Murray</w:t>
            </w:r>
          </w:p>
        </w:tc>
        <w:tc>
          <w:tcPr>
            <w:tcW w:w="2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20.84</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January 17,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22.00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90"/>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42.50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Mr. Thomas Lynch</w:t>
            </w:r>
          </w:p>
        </w:tc>
        <w:tc>
          <w:tcPr>
            <w:tcW w:w="23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14.00</w:t>
            </w:r>
          </w:p>
        </w:tc>
        <w:tc>
          <w:tcPr>
            <w:tcW w:w="2780" w:type="dxa"/>
            <w:vAlign w:val="bottom"/>
          </w:tcPr>
          <w:p>
            <w:pPr>
              <w:jc w:val="center"/>
              <w:ind w:right="310"/>
              <w:spacing w:after="0"/>
              <w:rPr>
                <w:sz w:val="20"/>
                <w:szCs w:val="20"/>
                <w:color w:val="auto"/>
              </w:rPr>
            </w:pPr>
            <w:r>
              <w:rPr>
                <w:rFonts w:ascii="Arial" w:cs="Arial" w:eastAsia="Arial" w:hAnsi="Arial"/>
                <w:sz w:val="18"/>
                <w:szCs w:val="18"/>
                <w:color w:val="auto"/>
                <w:w w:val="87"/>
              </w:rPr>
              <w:t>January 21,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17.75</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0"/>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17.20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89"/>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22.00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0"/>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42.50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89"/>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Mr. Edward Roberts</w:t>
            </w:r>
          </w:p>
        </w:tc>
        <w:tc>
          <w:tcPr>
            <w:tcW w:w="2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7,002</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14.00</w:t>
            </w:r>
          </w:p>
        </w:tc>
        <w:tc>
          <w:tcPr>
            <w:tcW w:w="278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7"/>
              </w:rPr>
              <w:t>January 21,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17.75</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90"/>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17.20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22.00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90"/>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42.50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Mr. Shugi Higuchi</w:t>
            </w:r>
          </w:p>
        </w:tc>
        <w:tc>
          <w:tcPr>
            <w:tcW w:w="23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17.75</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90"/>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17.20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22.00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93"/>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42.50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89"/>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Dr. Bruce Given</w:t>
            </w:r>
          </w:p>
        </w:tc>
        <w:tc>
          <w:tcPr>
            <w:tcW w:w="23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17.20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89"/>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22.00</w:t>
            </w:r>
          </w:p>
        </w:tc>
        <w:tc>
          <w:tcPr>
            <w:tcW w:w="27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0"/>
              </w:rPr>
              <w:t>February 3,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42.50</w:t>
            </w:r>
          </w:p>
        </w:tc>
        <w:tc>
          <w:tcPr>
            <w:tcW w:w="2780" w:type="dxa"/>
            <w:vAlign w:val="bottom"/>
          </w:tcPr>
          <w:p>
            <w:pPr>
              <w:jc w:val="center"/>
              <w:ind w:right="330"/>
              <w:spacing w:after="0"/>
              <w:rPr>
                <w:sz w:val="20"/>
                <w:szCs w:val="20"/>
                <w:color w:val="auto"/>
              </w:rPr>
            </w:pPr>
            <w:r>
              <w:rPr>
                <w:rFonts w:ascii="Arial" w:cs="Arial" w:eastAsia="Arial" w:hAnsi="Arial"/>
                <w:sz w:val="18"/>
                <w:szCs w:val="18"/>
                <w:color w:val="auto"/>
                <w:w w:val="89"/>
              </w:rPr>
              <w:t>February 16, 2015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920" w:hanging="331"/>
        <w:spacing w:after="0" w:line="271"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securities covered by all of the above options are non-revenue qualified.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Employee Share Option Schemes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January 17, 2003, we adopted the Share Option Plan 2003, or the 2003 Plan, pursuant to which the Compensation Committee of the Board may grant options to employees of the Company or its subsidiaries for the purchase of ordinary shares. Each option will be an employee stock option, or “NSO”. Each grant of an option under the 2003 Plan will be evidenced by a Stock Option Agreement between the optionee and the Company. The exercise price will be specified in each Stock Option Agreement.</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 aggregate of 3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200,000 ordinary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 options can be granted after January 17,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Compensation Committee (the “Committee”) seeks to achieve the following goals with the Company’s executive compensation programs: to attract, motivate and retain key executives and to reward executives for value creation. The Committee seeks to foster a performance-oriented environment by tying a significant portion of each executive’s cash and equity compensation to the achievement of performance targets that are important to the Company and its shareholders.</w:t>
      </w:r>
    </w:p>
    <w:p>
      <w:pPr>
        <w:spacing w:after="0" w:line="21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Company’s executive compensation program has three elements: base salary, a bonus plan and equity incentives in the form of stock option awards granted under the Share Option Plan 2003 (the “2003 Plan”). All elements of executive compensation are determined by the Committee based on the achievement of ICON’s objectives.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 the year ended December 31, 2007, the officers earned a bonus and the Company awarded executive officers equity incentives in the form of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 and Bonus Incentive</w:t>
      </w:r>
    </w:p>
    <w:p>
      <w:pPr>
        <w:spacing w:after="0" w:line="2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Total cash compensation is divided into a base salary portion and a bonus incentive portion. Base salary is established based on peer group and is adjusted based on individual performance and experience. The Committee targets total cash compensation at the peer group median of comparable Irish companies and peer CRO companies, adjusted upward or downward based on individual performance and experience. The Committee believes that the higher the executive’s level of responsibility within the Company, the greater the percentage of the executive’s compensation that should be tied to the Company’s performance. Target bonus incentive for executive officers is 80% of base salary.</w:t>
      </w:r>
    </w:p>
    <w:p>
      <w:pPr>
        <w:spacing w:after="0" w:line="20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For fiscal 2007, based upon the Company’s income performance relative to the targets set by the Committee, and Company business unit, and individual objectives approved by the Committee, the Company’s named executive officers, excluding the Chief Executive Officer, earned an aggregate bonus of $816,410.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executive officers are eligible to receive stock options granted under the Company’s equity incentive plans. If executive officers receive equity incentive grants, they are awarded annually at the first regularly scheduled meeting of the Committee in the fiscal year. Newly hired executive officers may receive sign-on grants, if approved by the Committee. In addition, the Committee may, in its discretion, issue additional equity incentive awards to executive officers if the Committee determines the awards are necessary for retention. The number of equity awards granted to each participant is determined primarily based on an award range determined by the Committee at the start of each year. The extent of existing options is not generally considered in granting equity awards, except that the Company occasionally grants an initial round of equity awards to newly recruited executives to provide them a stake in the Company’s success from the commencement of their employment. The Company granted equity incentive awards to executive officers in its fiscal years ended December 31, 2006 and 2007.</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On February 3, 2006, the Company granted performance-based stock options to certain executive officers. The purpose of these grants is to align management and shareholder interests as measured by both revenue growth and the stock markets’ assessment of the Company’s performance. No performance-based stock options were granted to executive officers during the fiscal year ended December 31,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Compensation</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Committee uses the same factors in determining the compensation of the Chief Executive Officer as it does for the other participants. The Chief Executive Officer’s base salary for the year ended December 31, 2007, was $545,116.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Executive Compensation</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492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1"/>
              </w:rPr>
              <w:t>Summary compensation table - Year ended December 31, 2007</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7"/>
        </w:trPr>
        <w:tc>
          <w:tcPr>
            <w:tcW w:w="60" w:type="dxa"/>
            <w:vAlign w:val="bottom"/>
          </w:tcPr>
          <w:p>
            <w:pPr>
              <w:spacing w:after="0"/>
              <w:rPr>
                <w:sz w:val="23"/>
                <w:szCs w:val="23"/>
                <w:color w:val="auto"/>
              </w:rPr>
            </w:pPr>
          </w:p>
        </w:tc>
        <w:tc>
          <w:tcPr>
            <w:tcW w:w="2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185"/>
        </w:trPr>
        <w:tc>
          <w:tcPr>
            <w:tcW w:w="6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Pension</w:t>
            </w:r>
          </w:p>
        </w:tc>
        <w:tc>
          <w:tcPr>
            <w:tcW w:w="104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All other</w:t>
            </w:r>
          </w:p>
        </w:tc>
        <w:tc>
          <w:tcPr>
            <w:tcW w:w="10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w w:val="93"/>
              </w:rPr>
              <w:t>Share-based</w:t>
            </w:r>
          </w:p>
        </w:tc>
        <w:tc>
          <w:tcPr>
            <w:tcW w:w="136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Total</w:t>
            </w:r>
          </w:p>
        </w:tc>
      </w:tr>
      <w:tr>
        <w:trPr>
          <w:trHeight w:val="257"/>
        </w:trPr>
        <w:tc>
          <w:tcPr>
            <w:tcW w:w="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 &amp; principal position</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Year</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Salary</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Bonus</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contribution</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compensation</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Subtotal</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Subtotal</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5"/>
              </w:rPr>
              <w:t>compensation</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compensation</w:t>
            </w:r>
          </w:p>
        </w:tc>
      </w:tr>
      <w:tr>
        <w:trPr>
          <w:trHeight w:val="267"/>
        </w:trPr>
        <w:tc>
          <w:tcPr>
            <w:tcW w:w="60" w:type="dxa"/>
            <w:vAlign w:val="bottom"/>
            <w:tcBorders>
              <w:right w:val="single" w:sz="8" w:color="auto"/>
            </w:tcBorders>
          </w:tcPr>
          <w:p>
            <w:pPr>
              <w:spacing w:after="0"/>
              <w:rPr>
                <w:sz w:val="23"/>
                <w:szCs w:val="23"/>
                <w:color w:val="auto"/>
              </w:rPr>
            </w:pPr>
          </w:p>
        </w:tc>
        <w:tc>
          <w:tcPr>
            <w:tcW w:w="222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r>
      <w:tr>
        <w:trPr>
          <w:trHeight w:val="181"/>
        </w:trPr>
        <w:tc>
          <w:tcPr>
            <w:tcW w:w="60" w:type="dxa"/>
            <w:vAlign w:val="bottom"/>
            <w:tcBorders>
              <w:right w:val="single" w:sz="8" w:color="auto"/>
            </w:tcBorders>
            <w:shd w:val="clear" w:color="auto" w:fill="000000"/>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USD</w:t>
            </w:r>
          </w:p>
        </w:tc>
        <w:tc>
          <w:tcPr>
            <w:tcW w:w="10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USD</w:t>
            </w:r>
          </w:p>
        </w:tc>
        <w:tc>
          <w:tcPr>
            <w:tcW w:w="1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USD</w:t>
            </w:r>
          </w:p>
        </w:tc>
      </w:tr>
      <w:tr>
        <w:trPr>
          <w:trHeight w:val="241"/>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22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Peter Gray,</w:t>
            </w:r>
          </w:p>
        </w:tc>
        <w:tc>
          <w:tcPr>
            <w:tcW w:w="58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r>
      <w:tr>
        <w:trPr>
          <w:trHeight w:val="264"/>
        </w:trPr>
        <w:tc>
          <w:tcPr>
            <w:tcW w:w="60" w:type="dxa"/>
            <w:vAlign w:val="bottom"/>
            <w:tcBorders>
              <w:bottom w:val="single" w:sz="8" w:color="auto"/>
              <w:right w:val="single" w:sz="8" w:color="auto"/>
            </w:tcBorders>
            <w:shd w:val="clear" w:color="auto" w:fill="000000"/>
          </w:tcPr>
          <w:p>
            <w:pPr>
              <w:spacing w:after="0"/>
              <w:rPr>
                <w:sz w:val="22"/>
                <w:szCs w:val="22"/>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320,000</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40,600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37,919</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798,519</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1,120,308</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61,381</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1,181,689</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22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Ciaran Murray,</w:t>
            </w:r>
          </w:p>
        </w:tc>
        <w:tc>
          <w:tcPr>
            <w:tcW w:w="58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r>
      <w:tr>
        <w:trPr>
          <w:trHeight w:val="264"/>
        </w:trPr>
        <w:tc>
          <w:tcPr>
            <w:tcW w:w="60" w:type="dxa"/>
            <w:vAlign w:val="bottom"/>
            <w:tcBorders>
              <w:bottom w:val="single" w:sz="8" w:color="auto"/>
              <w:right w:val="single" w:sz="8" w:color="auto"/>
            </w:tcBorders>
            <w:shd w:val="clear" w:color="auto" w:fill="000000"/>
          </w:tcPr>
          <w:p>
            <w:pPr>
              <w:spacing w:after="0"/>
              <w:rPr>
                <w:sz w:val="22"/>
                <w:szCs w:val="22"/>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240,000</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180,000</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23,999</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15,998</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459,997</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645,001</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142,560</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787,561</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22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John Climax,</w:t>
            </w:r>
          </w:p>
        </w:tc>
        <w:tc>
          <w:tcPr>
            <w:tcW w:w="580" w:type="dxa"/>
            <w:vAlign w:val="bottom"/>
            <w:tcBorders>
              <w:right w:val="single" w:sz="8" w:color="auto"/>
            </w:tcBorders>
            <w:shd w:val="clear" w:color="auto" w:fill="CCEEFF"/>
          </w:tcPr>
          <w:p>
            <w:pPr>
              <w:ind w:left="80"/>
              <w:spacing w:after="0" w:line="201" w:lineRule="exact"/>
              <w:rPr>
                <w:sz w:val="20"/>
                <w:szCs w:val="20"/>
                <w:color w:val="auto"/>
              </w:rPr>
            </w:pPr>
            <w:r>
              <w:rPr>
                <w:rFonts w:ascii="Arial" w:cs="Arial" w:eastAsia="Arial" w:hAnsi="Arial"/>
                <w:sz w:val="18"/>
                <w:szCs w:val="18"/>
                <w:color w:val="auto"/>
              </w:rPr>
              <w:t>2007</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540,280</w:t>
            </w:r>
          </w:p>
        </w:tc>
        <w:tc>
          <w:tcPr>
            <w:tcW w:w="10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378,000</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46,056</w:t>
            </w:r>
          </w:p>
        </w:tc>
        <w:tc>
          <w:tcPr>
            <w:tcW w:w="10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55,097</w:t>
            </w:r>
          </w:p>
        </w:tc>
        <w:tc>
          <w:tcPr>
            <w:tcW w:w="100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1,019,433</w:t>
            </w:r>
          </w:p>
        </w:tc>
        <w:tc>
          <w:tcPr>
            <w:tcW w:w="10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1,430,381</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61,381</w:t>
            </w:r>
          </w:p>
        </w:tc>
        <w:tc>
          <w:tcPr>
            <w:tcW w:w="13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1,491,762</w:t>
            </w: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Executive Chairman</w:t>
            </w:r>
          </w:p>
        </w:tc>
        <w:tc>
          <w:tcPr>
            <w:tcW w:w="58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34"/>
        </w:trPr>
        <w:tc>
          <w:tcPr>
            <w:tcW w:w="60" w:type="dxa"/>
            <w:vAlign w:val="bottom"/>
            <w:tcBorders>
              <w:right w:val="single" w:sz="8" w:color="auto"/>
            </w:tcBorders>
            <w:shd w:val="clear" w:color="auto" w:fill="000000"/>
          </w:tcPr>
          <w:p>
            <w:pPr>
              <w:spacing w:after="0"/>
              <w:rPr>
                <w:sz w:val="20"/>
                <w:szCs w:val="20"/>
                <w:color w:val="auto"/>
              </w:rPr>
            </w:pPr>
          </w:p>
        </w:tc>
        <w:tc>
          <w:tcPr>
            <w:tcW w:w="22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2007</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€1,180,280</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€878,000</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€110,655</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€109,014</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€2,277,949</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$3,195,690</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$265,322</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$3,461,012</w:t>
            </w:r>
          </w:p>
        </w:tc>
      </w:tr>
      <w:tr>
        <w:trPr>
          <w:trHeight w:val="232"/>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p>
        </w:tc>
        <w:tc>
          <w:tcPr>
            <w:tcW w:w="58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459"/>
        </w:trPr>
        <w:tc>
          <w:tcPr>
            <w:tcW w:w="492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1"/>
              </w:rPr>
              <w:t>Summary compensation table - Year ended December 31, 2006</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7"/>
        </w:trPr>
        <w:tc>
          <w:tcPr>
            <w:tcW w:w="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85"/>
        </w:trPr>
        <w:tc>
          <w:tcPr>
            <w:tcW w:w="6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tcPr>
          <w:p>
            <w:pPr>
              <w:spacing w:after="0"/>
              <w:rPr>
                <w:sz w:val="16"/>
                <w:szCs w:val="16"/>
                <w:color w:val="auto"/>
              </w:rPr>
            </w:pPr>
          </w:p>
        </w:tc>
        <w:tc>
          <w:tcPr>
            <w:tcW w:w="58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Pension</w:t>
            </w:r>
          </w:p>
        </w:tc>
        <w:tc>
          <w:tcPr>
            <w:tcW w:w="1040" w:type="dxa"/>
            <w:vAlign w:val="bottom"/>
            <w:tcBorders>
              <w:top w:val="single" w:sz="8" w:color="auto"/>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All other</w:t>
            </w:r>
          </w:p>
        </w:tc>
        <w:tc>
          <w:tcPr>
            <w:tcW w:w="100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right"/>
              <w:spacing w:after="0" w:line="185" w:lineRule="exact"/>
              <w:rPr>
                <w:sz w:val="20"/>
                <w:szCs w:val="20"/>
                <w:color w:val="auto"/>
              </w:rPr>
            </w:pPr>
            <w:r>
              <w:rPr>
                <w:rFonts w:ascii="Arial" w:cs="Arial" w:eastAsia="Arial" w:hAnsi="Arial"/>
                <w:sz w:val="18"/>
                <w:szCs w:val="18"/>
                <w:color w:val="auto"/>
                <w:w w:val="93"/>
              </w:rPr>
              <w:t>Share-based</w:t>
            </w:r>
          </w:p>
        </w:tc>
        <w:tc>
          <w:tcPr>
            <w:tcW w:w="1360" w:type="dxa"/>
            <w:vAlign w:val="bottom"/>
            <w:tcBorders>
              <w:top w:val="single" w:sz="8" w:color="auto"/>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Total</w:t>
            </w:r>
          </w:p>
        </w:tc>
      </w:tr>
      <w:tr>
        <w:trPr>
          <w:trHeight w:val="257"/>
        </w:trPr>
        <w:tc>
          <w:tcPr>
            <w:tcW w:w="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 &amp; principal position</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Year</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Salary</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Bonus</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contribution</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compensation</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Subtotal</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Subtotal</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5"/>
              </w:rPr>
              <w:t>compensation</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compensation</w:t>
            </w:r>
          </w:p>
        </w:tc>
      </w:tr>
      <w:tr>
        <w:trPr>
          <w:trHeight w:val="240"/>
        </w:trPr>
        <w:tc>
          <w:tcPr>
            <w:tcW w:w="60" w:type="dxa"/>
            <w:vAlign w:val="bottom"/>
            <w:tcBorders>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81"/>
        </w:trPr>
        <w:tc>
          <w:tcPr>
            <w:tcW w:w="60" w:type="dxa"/>
            <w:vAlign w:val="bottom"/>
            <w:tcBorders>
              <w:right w:val="single" w:sz="8" w:color="auto"/>
            </w:tcBorders>
            <w:shd w:val="clear" w:color="auto" w:fill="000000"/>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Euro</w:t>
            </w:r>
          </w:p>
        </w:tc>
        <w:tc>
          <w:tcPr>
            <w:tcW w:w="10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USD</w:t>
            </w:r>
          </w:p>
        </w:tc>
        <w:tc>
          <w:tcPr>
            <w:tcW w:w="10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USD</w:t>
            </w:r>
          </w:p>
        </w:tc>
        <w:tc>
          <w:tcPr>
            <w:tcW w:w="1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USD</w:t>
            </w:r>
          </w:p>
        </w:tc>
      </w:tr>
      <w:tr>
        <w:trPr>
          <w:trHeight w:val="241"/>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22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Peter Gray,</w:t>
            </w:r>
          </w:p>
        </w:tc>
        <w:tc>
          <w:tcPr>
            <w:tcW w:w="580" w:type="dxa"/>
            <w:vAlign w:val="bottom"/>
            <w:tcBorders>
              <w:right w:val="single" w:sz="8" w:color="auto"/>
            </w:tcBorders>
            <w:shd w:val="clear" w:color="auto" w:fill="CCEEFF"/>
          </w:tcPr>
          <w:p>
            <w:pPr>
              <w:ind w:left="80"/>
              <w:spacing w:after="0" w:line="201" w:lineRule="exact"/>
              <w:rPr>
                <w:sz w:val="20"/>
                <w:szCs w:val="20"/>
                <w:color w:val="auto"/>
              </w:rPr>
            </w:pPr>
            <w:r>
              <w:rPr>
                <w:rFonts w:ascii="Arial" w:cs="Arial" w:eastAsia="Arial" w:hAnsi="Arial"/>
                <w:sz w:val="18"/>
                <w:szCs w:val="18"/>
                <w:color w:val="auto"/>
              </w:rPr>
              <w:t>2006</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349,388</w:t>
            </w:r>
          </w:p>
        </w:tc>
        <w:tc>
          <w:tcPr>
            <w:tcW w:w="10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236,000</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35,535</w:t>
            </w:r>
          </w:p>
        </w:tc>
        <w:tc>
          <w:tcPr>
            <w:tcW w:w="10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37,937</w:t>
            </w:r>
          </w:p>
        </w:tc>
        <w:tc>
          <w:tcPr>
            <w:tcW w:w="100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658,860</w:t>
            </w:r>
          </w:p>
        </w:tc>
        <w:tc>
          <w:tcPr>
            <w:tcW w:w="10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832,250</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54,283</w:t>
            </w:r>
          </w:p>
        </w:tc>
        <w:tc>
          <w:tcPr>
            <w:tcW w:w="13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886,533</w:t>
            </w: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58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22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Ciaran Murray,</w:t>
            </w:r>
          </w:p>
        </w:tc>
        <w:tc>
          <w:tcPr>
            <w:tcW w:w="580" w:type="dxa"/>
            <w:vAlign w:val="bottom"/>
            <w:tcBorders>
              <w:right w:val="single" w:sz="8" w:color="auto"/>
            </w:tcBorders>
            <w:shd w:val="clear" w:color="auto" w:fill="CCEEFF"/>
          </w:tcPr>
          <w:p>
            <w:pPr>
              <w:ind w:left="80"/>
              <w:spacing w:after="0" w:line="201" w:lineRule="exact"/>
              <w:rPr>
                <w:sz w:val="20"/>
                <w:szCs w:val="20"/>
                <w:color w:val="auto"/>
              </w:rPr>
            </w:pPr>
            <w:r>
              <w:rPr>
                <w:rFonts w:ascii="Arial" w:cs="Arial" w:eastAsia="Arial" w:hAnsi="Arial"/>
                <w:sz w:val="18"/>
                <w:szCs w:val="18"/>
                <w:color w:val="auto"/>
              </w:rPr>
              <w:t>2006</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197,500</w:t>
            </w:r>
          </w:p>
        </w:tc>
        <w:tc>
          <w:tcPr>
            <w:tcW w:w="10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115,000</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21,375</w:t>
            </w:r>
          </w:p>
        </w:tc>
        <w:tc>
          <w:tcPr>
            <w:tcW w:w="10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16,000</w:t>
            </w:r>
          </w:p>
        </w:tc>
        <w:tc>
          <w:tcPr>
            <w:tcW w:w="100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349,875</w:t>
            </w:r>
          </w:p>
        </w:tc>
        <w:tc>
          <w:tcPr>
            <w:tcW w:w="10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442,667</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106,198</w:t>
            </w:r>
          </w:p>
        </w:tc>
        <w:tc>
          <w:tcPr>
            <w:tcW w:w="13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548,865</w:t>
            </w: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58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02"/>
        </w:trPr>
        <w:tc>
          <w:tcPr>
            <w:tcW w:w="60" w:type="dxa"/>
            <w:vAlign w:val="bottom"/>
            <w:tcBorders>
              <w:right w:val="single" w:sz="8" w:color="auto"/>
            </w:tcBorders>
            <w:shd w:val="clear" w:color="auto" w:fill="000000"/>
          </w:tcPr>
          <w:p>
            <w:pPr>
              <w:spacing w:after="0"/>
              <w:rPr>
                <w:sz w:val="17"/>
                <w:szCs w:val="17"/>
                <w:color w:val="auto"/>
              </w:rPr>
            </w:pPr>
          </w:p>
        </w:tc>
        <w:tc>
          <w:tcPr>
            <w:tcW w:w="22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John Climax,</w:t>
            </w:r>
          </w:p>
        </w:tc>
        <w:tc>
          <w:tcPr>
            <w:tcW w:w="580" w:type="dxa"/>
            <w:vAlign w:val="bottom"/>
            <w:tcBorders>
              <w:right w:val="single" w:sz="8" w:color="auto"/>
            </w:tcBorders>
            <w:shd w:val="clear" w:color="auto" w:fill="CCEEFF"/>
          </w:tcPr>
          <w:p>
            <w:pPr>
              <w:ind w:left="80"/>
              <w:spacing w:after="0" w:line="201" w:lineRule="exact"/>
              <w:rPr>
                <w:sz w:val="20"/>
                <w:szCs w:val="20"/>
                <w:color w:val="auto"/>
              </w:rPr>
            </w:pPr>
            <w:r>
              <w:rPr>
                <w:rFonts w:ascii="Arial" w:cs="Arial" w:eastAsia="Arial" w:hAnsi="Arial"/>
                <w:sz w:val="18"/>
                <w:szCs w:val="18"/>
                <w:color w:val="auto"/>
              </w:rPr>
              <w:t>2006</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491,164</w:t>
            </w:r>
          </w:p>
        </w:tc>
        <w:tc>
          <w:tcPr>
            <w:tcW w:w="10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335,000</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14,988</w:t>
            </w:r>
          </w:p>
        </w:tc>
        <w:tc>
          <w:tcPr>
            <w:tcW w:w="10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50,036</w:t>
            </w:r>
          </w:p>
        </w:tc>
        <w:tc>
          <w:tcPr>
            <w:tcW w:w="100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891,188</w:t>
            </w:r>
          </w:p>
        </w:tc>
        <w:tc>
          <w:tcPr>
            <w:tcW w:w="10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1,126,348</w:t>
            </w:r>
          </w:p>
        </w:tc>
        <w:tc>
          <w:tcPr>
            <w:tcW w:w="102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54,283</w:t>
            </w:r>
          </w:p>
        </w:tc>
        <w:tc>
          <w:tcPr>
            <w:tcW w:w="13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1,180,631</w:t>
            </w: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Executive Chairman</w:t>
            </w:r>
          </w:p>
        </w:tc>
        <w:tc>
          <w:tcPr>
            <w:tcW w:w="58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2006</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€1,038,052</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€686,000</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€71,898</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€103,973</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€1,899,923</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$2,401,265</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$214,764</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$2,616,029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of Plan-Based Awards - Fiscal 2007</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With the exception of the bonus element of compensation mentioned above, there were no plan based awards for any of the named executive officers in fiscal 2007.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Director Compensation</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494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1"/>
              </w:rPr>
              <w:t>Summary compensation table - Year ended December 31, 2007</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7"/>
        </w:trPr>
        <w:tc>
          <w:tcPr>
            <w:tcW w:w="60" w:type="dxa"/>
            <w:vAlign w:val="bottom"/>
          </w:tcPr>
          <w:p>
            <w:pPr>
              <w:spacing w:after="0"/>
              <w:rPr>
                <w:sz w:val="23"/>
                <w:szCs w:val="23"/>
                <w:color w:val="auto"/>
              </w:rPr>
            </w:pPr>
          </w:p>
        </w:tc>
        <w:tc>
          <w:tcPr>
            <w:tcW w:w="2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185"/>
        </w:trPr>
        <w:tc>
          <w:tcPr>
            <w:tcW w:w="6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Company</w:t>
            </w:r>
          </w:p>
        </w:tc>
        <w:tc>
          <w:tcPr>
            <w:tcW w:w="10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16"/>
        </w:trPr>
        <w:tc>
          <w:tcPr>
            <w:tcW w:w="6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Pension</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All other</w:t>
            </w: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Share-based</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Director’s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Total</w:t>
            </w:r>
          </w:p>
        </w:tc>
      </w:tr>
      <w:tr>
        <w:trPr>
          <w:trHeight w:val="244"/>
        </w:trPr>
        <w:tc>
          <w:tcPr>
            <w:tcW w:w="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Year</w:t>
            </w:r>
          </w:p>
        </w:tc>
        <w:tc>
          <w:tcPr>
            <w:tcW w:w="102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Salary</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contribution</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5"/>
              </w:rPr>
              <w:t>compensation</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Subtotal</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Subtotal</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5"/>
              </w:rPr>
              <w:t>compensation</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fees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compensation</w:t>
            </w:r>
          </w:p>
        </w:tc>
      </w:tr>
      <w:tr>
        <w:trPr>
          <w:trHeight w:val="253"/>
        </w:trPr>
        <w:tc>
          <w:tcPr>
            <w:tcW w:w="60" w:type="dxa"/>
            <w:vAlign w:val="bottom"/>
            <w:tcBorders>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r>
      <w:tr>
        <w:trPr>
          <w:trHeight w:val="185"/>
        </w:trPr>
        <w:tc>
          <w:tcPr>
            <w:tcW w:w="60" w:type="dxa"/>
            <w:vAlign w:val="bottom"/>
            <w:tcBorders>
              <w:right w:val="single" w:sz="8" w:color="auto"/>
            </w:tcBorders>
            <w:shd w:val="clear" w:color="auto" w:fill="000000"/>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Euro</w:t>
            </w:r>
          </w:p>
        </w:tc>
        <w:tc>
          <w:tcPr>
            <w:tcW w:w="106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Euro</w:t>
            </w: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Euro</w:t>
            </w:r>
          </w:p>
        </w:tc>
        <w:tc>
          <w:tcPr>
            <w:tcW w:w="106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Euro</w:t>
            </w: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USD</w:t>
            </w: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USD</w:t>
            </w:r>
          </w:p>
        </w:tc>
        <w:tc>
          <w:tcPr>
            <w:tcW w:w="100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USD</w:t>
            </w:r>
          </w:p>
        </w:tc>
        <w:tc>
          <w:tcPr>
            <w:tcW w:w="136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USD</w:t>
            </w: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John Climax</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540,280</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46,056</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433,097</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1,019,433</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1,430,381</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61,381</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1,491,762</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Peter Gray</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40,600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357,919</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798,519</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1,120,308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61,381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1,181,689</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Ronan Lambe</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104,394</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112,460</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148,402</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167,558</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Thomas Lynch</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24,475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79,475</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Roberts</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87,495</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Shuji Higuchi</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18,589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58,589</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Bruce Given</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2007</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58,624</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€1,044,674</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€90,819</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€794,919</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€1,930,412</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$2,699,091</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$221,101</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$205,000</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$3,125,192</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459"/>
        </w:trPr>
        <w:tc>
          <w:tcPr>
            <w:tcW w:w="494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1"/>
              </w:rPr>
              <w:t>Summary compensation table - Year ended December 31, 2006</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7"/>
        </w:trPr>
        <w:tc>
          <w:tcPr>
            <w:tcW w:w="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85"/>
        </w:trPr>
        <w:tc>
          <w:tcPr>
            <w:tcW w:w="6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tcPr>
          <w:p>
            <w:pPr>
              <w:spacing w:after="0"/>
              <w:rPr>
                <w:sz w:val="16"/>
                <w:szCs w:val="16"/>
                <w:color w:val="auto"/>
              </w:rPr>
            </w:pPr>
          </w:p>
        </w:tc>
        <w:tc>
          <w:tcPr>
            <w:tcW w:w="58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Company</w:t>
            </w:r>
          </w:p>
        </w:tc>
        <w:tc>
          <w:tcPr>
            <w:tcW w:w="102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spacing w:after="0"/>
              <w:rPr>
                <w:sz w:val="16"/>
                <w:szCs w:val="16"/>
                <w:color w:val="auto"/>
              </w:rPr>
            </w:pPr>
          </w:p>
        </w:tc>
      </w:tr>
      <w:tr>
        <w:trPr>
          <w:trHeight w:val="216"/>
        </w:trPr>
        <w:tc>
          <w:tcPr>
            <w:tcW w:w="6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Pension</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All other</w:t>
            </w: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Share-based</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Director’s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Total</w:t>
            </w:r>
          </w:p>
        </w:tc>
      </w:tr>
      <w:tr>
        <w:trPr>
          <w:trHeight w:val="244"/>
        </w:trPr>
        <w:tc>
          <w:tcPr>
            <w:tcW w:w="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Year</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Salary</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contribution</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5"/>
              </w:rPr>
              <w:t>compensation</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Subtotal</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Subtotal</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5"/>
              </w:rPr>
              <w:t>compensation</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fees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compensation</w:t>
            </w:r>
          </w:p>
        </w:tc>
      </w:tr>
      <w:tr>
        <w:trPr>
          <w:trHeight w:val="253"/>
        </w:trPr>
        <w:tc>
          <w:tcPr>
            <w:tcW w:w="60" w:type="dxa"/>
            <w:vAlign w:val="bottom"/>
            <w:tcBorders>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r>
      <w:tr>
        <w:trPr>
          <w:trHeight w:val="185"/>
        </w:trPr>
        <w:tc>
          <w:tcPr>
            <w:tcW w:w="60" w:type="dxa"/>
            <w:vAlign w:val="bottom"/>
            <w:tcBorders>
              <w:right w:val="single" w:sz="8" w:color="auto"/>
            </w:tcBorders>
            <w:shd w:val="clear" w:color="auto" w:fill="000000"/>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Euro</w:t>
            </w:r>
          </w:p>
        </w:tc>
        <w:tc>
          <w:tcPr>
            <w:tcW w:w="106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Euro</w:t>
            </w: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Euro</w:t>
            </w:r>
          </w:p>
        </w:tc>
        <w:tc>
          <w:tcPr>
            <w:tcW w:w="106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Euro</w:t>
            </w: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USD</w:t>
            </w: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USD</w:t>
            </w:r>
          </w:p>
        </w:tc>
        <w:tc>
          <w:tcPr>
            <w:tcW w:w="100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USD</w:t>
            </w:r>
          </w:p>
        </w:tc>
        <w:tc>
          <w:tcPr>
            <w:tcW w:w="136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USD</w:t>
            </w:r>
          </w:p>
        </w:tc>
      </w:tr>
      <w:tr>
        <w:trPr>
          <w:trHeight w:val="237"/>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John Climax</w:t>
            </w:r>
          </w:p>
        </w:tc>
        <w:tc>
          <w:tcPr>
            <w:tcW w:w="58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2006</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491,164</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14,988</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385,036</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891,188</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1,126,348</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54,283</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1,180,631</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Peter Gray</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349,388</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35,535</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273,937</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658,860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832,250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54,283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886,533</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Ronan Lambe</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2006</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147,349</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24,981</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46,192</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218,522</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272,175</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23,839</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296,014</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Thomas Lynch</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21,645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56,645</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Roberts</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2006</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19,665</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69,665</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Shuji Higuchi</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11,585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41,585</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Bruce Given</w:t>
            </w:r>
          </w:p>
        </w:tc>
        <w:tc>
          <w:tcPr>
            <w:tcW w:w="5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2006</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41,620</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€987,901</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€75,504</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€705,165</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€1,768,570</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$2,230,773</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$191,920</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$2,572,693</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459"/>
        </w:trPr>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8"/>
        </w:trPr>
        <w:tc>
          <w:tcPr>
            <w:tcW w:w="6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Outstanding Equity Interests Received as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Equity Awards Table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stock options held by the named Executive Officers at December 31, 2007: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Option awards</w:t>
            </w:r>
          </w:p>
        </w:tc>
        <w:tc>
          <w:tcPr>
            <w:tcW w:w="1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Equity</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No. of</w:t>
            </w:r>
          </w:p>
        </w:tc>
        <w:tc>
          <w:tcPr>
            <w:tcW w:w="1480" w:type="dxa"/>
            <w:vAlign w:val="bottom"/>
            <w:vMerge w:val="restart"/>
          </w:tcPr>
          <w:p>
            <w:pPr>
              <w:jc w:val="right"/>
              <w:ind w:right="130"/>
              <w:spacing w:after="0"/>
              <w:rPr>
                <w:sz w:val="20"/>
                <w:szCs w:val="20"/>
                <w:color w:val="auto"/>
              </w:rPr>
            </w:pPr>
            <w:r>
              <w:rPr>
                <w:rFonts w:ascii="Arial" w:cs="Arial" w:eastAsia="Arial" w:hAnsi="Arial"/>
                <w:sz w:val="18"/>
                <w:szCs w:val="18"/>
                <w:color w:val="auto"/>
              </w:rPr>
              <w:t>No. of</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incentive</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plan awards:</w:t>
            </w: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securities</w:t>
            </w:r>
          </w:p>
        </w:tc>
        <w:tc>
          <w:tcPr>
            <w:tcW w:w="1480" w:type="dxa"/>
            <w:vAlign w:val="bottom"/>
            <w:vMerge w:val="restart"/>
          </w:tcPr>
          <w:p>
            <w:pPr>
              <w:jc w:val="right"/>
              <w:ind w:right="130"/>
              <w:spacing w:after="0"/>
              <w:rPr>
                <w:sz w:val="20"/>
                <w:szCs w:val="20"/>
                <w:color w:val="auto"/>
              </w:rPr>
            </w:pPr>
            <w:r>
              <w:rPr>
                <w:rFonts w:ascii="Arial" w:cs="Arial" w:eastAsia="Arial" w:hAnsi="Arial"/>
                <w:sz w:val="18"/>
                <w:szCs w:val="18"/>
                <w:color w:val="auto"/>
              </w:rPr>
              <w:t>securities</w:t>
            </w:r>
          </w:p>
        </w:tc>
        <w:tc>
          <w:tcPr>
            <w:tcW w:w="12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No. of</w:t>
            </w:r>
          </w:p>
        </w:tc>
        <w:tc>
          <w:tcPr>
            <w:tcW w:w="620" w:type="dxa"/>
            <w:vAlign w:val="bottom"/>
          </w:tcPr>
          <w:p>
            <w:pPr>
              <w:spacing w:after="0"/>
              <w:rPr>
                <w:sz w:val="9"/>
                <w:szCs w:val="9"/>
                <w:color w:val="auto"/>
              </w:rPr>
            </w:pP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color w:val="auto"/>
              </w:rPr>
              <w:t>Option</w:t>
            </w: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underlying</w:t>
            </w:r>
          </w:p>
        </w:tc>
        <w:tc>
          <w:tcPr>
            <w:tcW w:w="1480" w:type="dxa"/>
            <w:vAlign w:val="bottom"/>
            <w:vMerge w:val="restart"/>
          </w:tcPr>
          <w:p>
            <w:pPr>
              <w:jc w:val="right"/>
              <w:ind w:right="130"/>
              <w:spacing w:after="0"/>
              <w:rPr>
                <w:sz w:val="20"/>
                <w:szCs w:val="20"/>
                <w:color w:val="auto"/>
              </w:rPr>
            </w:pPr>
            <w:r>
              <w:rPr>
                <w:rFonts w:ascii="Arial" w:cs="Arial" w:eastAsia="Arial" w:hAnsi="Arial"/>
                <w:sz w:val="18"/>
                <w:szCs w:val="18"/>
                <w:color w:val="auto"/>
              </w:rPr>
              <w:t>underlying</w:t>
            </w:r>
          </w:p>
        </w:tc>
        <w:tc>
          <w:tcPr>
            <w:tcW w:w="12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460" w:type="dxa"/>
            <w:vAlign w:val="bottom"/>
            <w:vMerge w:val="restart"/>
          </w:tcPr>
          <w:p>
            <w:pPr>
              <w:jc w:val="center"/>
              <w:ind w:right="310"/>
              <w:spacing w:after="0"/>
              <w:rPr>
                <w:sz w:val="20"/>
                <w:szCs w:val="20"/>
                <w:color w:val="auto"/>
              </w:rPr>
            </w:pPr>
            <w:r>
              <w:rPr>
                <w:rFonts w:ascii="Arial" w:cs="Arial" w:eastAsia="Arial" w:hAnsi="Arial"/>
                <w:sz w:val="18"/>
                <w:szCs w:val="18"/>
                <w:color w:val="auto"/>
                <w:w w:val="94"/>
              </w:rPr>
              <w:t>Option</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securities</w:t>
            </w:r>
          </w:p>
        </w:tc>
        <w:tc>
          <w:tcPr>
            <w:tcW w:w="620" w:type="dxa"/>
            <w:vAlign w:val="bottom"/>
          </w:tcPr>
          <w:p>
            <w:pPr>
              <w:spacing w:after="0"/>
              <w:rPr>
                <w:sz w:val="9"/>
                <w:szCs w:val="9"/>
                <w:color w:val="auto"/>
              </w:rPr>
            </w:pP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color w:val="auto"/>
                <w:w w:val="89"/>
              </w:rPr>
              <w:t>exercise</w:t>
            </w: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unexercised</w:t>
            </w:r>
          </w:p>
        </w:tc>
        <w:tc>
          <w:tcPr>
            <w:tcW w:w="1480" w:type="dxa"/>
            <w:vAlign w:val="bottom"/>
            <w:vMerge w:val="restart"/>
          </w:tcPr>
          <w:p>
            <w:pPr>
              <w:jc w:val="right"/>
              <w:ind w:right="130"/>
              <w:spacing w:after="0"/>
              <w:rPr>
                <w:sz w:val="20"/>
                <w:szCs w:val="20"/>
                <w:color w:val="auto"/>
              </w:rPr>
            </w:pPr>
            <w:r>
              <w:rPr>
                <w:rFonts w:ascii="Arial" w:cs="Arial" w:eastAsia="Arial" w:hAnsi="Arial"/>
                <w:sz w:val="18"/>
                <w:szCs w:val="18"/>
                <w:color w:val="auto"/>
              </w:rPr>
              <w:t>unexercised</w:t>
            </w:r>
          </w:p>
        </w:tc>
        <w:tc>
          <w:tcPr>
            <w:tcW w:w="12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46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expiration date</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underlying</w:t>
            </w:r>
          </w:p>
        </w:tc>
        <w:tc>
          <w:tcPr>
            <w:tcW w:w="620" w:type="dxa"/>
            <w:vAlign w:val="bottom"/>
          </w:tcPr>
          <w:p>
            <w:pPr>
              <w:spacing w:after="0"/>
              <w:rPr>
                <w:sz w:val="9"/>
                <w:szCs w:val="9"/>
                <w:color w:val="auto"/>
              </w:rPr>
            </w:pP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color w:val="auto"/>
                <w:w w:val="90"/>
              </w:rPr>
              <w:t>price ($)</w:t>
            </w: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options –</w:t>
            </w:r>
          </w:p>
        </w:tc>
        <w:tc>
          <w:tcPr>
            <w:tcW w:w="1480" w:type="dxa"/>
            <w:vAlign w:val="bottom"/>
            <w:vMerge w:val="restart"/>
          </w:tcPr>
          <w:p>
            <w:pPr>
              <w:jc w:val="right"/>
              <w:ind w:right="130"/>
              <w:spacing w:after="0"/>
              <w:rPr>
                <w:sz w:val="20"/>
                <w:szCs w:val="20"/>
                <w:color w:val="auto"/>
              </w:rPr>
            </w:pPr>
            <w:r>
              <w:rPr>
                <w:rFonts w:ascii="Arial" w:cs="Arial" w:eastAsia="Arial" w:hAnsi="Arial"/>
                <w:sz w:val="18"/>
                <w:szCs w:val="18"/>
                <w:color w:val="auto"/>
              </w:rPr>
              <w:t>options –</w:t>
            </w:r>
          </w:p>
        </w:tc>
        <w:tc>
          <w:tcPr>
            <w:tcW w:w="12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unexercised</w:t>
            </w: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exercisable</w:t>
            </w:r>
          </w:p>
        </w:tc>
        <w:tc>
          <w:tcPr>
            <w:tcW w:w="1480" w:type="dxa"/>
            <w:vAlign w:val="bottom"/>
            <w:vMerge w:val="restart"/>
          </w:tcPr>
          <w:p>
            <w:pPr>
              <w:jc w:val="right"/>
              <w:ind w:right="130"/>
              <w:spacing w:after="0"/>
              <w:rPr>
                <w:sz w:val="20"/>
                <w:szCs w:val="20"/>
                <w:color w:val="auto"/>
              </w:rPr>
            </w:pPr>
            <w:r>
              <w:rPr>
                <w:rFonts w:ascii="Arial" w:cs="Arial" w:eastAsia="Arial" w:hAnsi="Arial"/>
                <w:sz w:val="18"/>
                <w:szCs w:val="18"/>
                <w:color w:val="auto"/>
              </w:rPr>
              <w:t>unexercisable</w:t>
            </w:r>
          </w:p>
        </w:tc>
        <w:tc>
          <w:tcPr>
            <w:tcW w:w="12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unearned</w:t>
            </w:r>
          </w:p>
        </w:tc>
        <w:tc>
          <w:tcPr>
            <w:tcW w:w="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options</w:t>
            </w: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Peter Gray</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14.50</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6"/>
              </w:rPr>
              <w:t>Jan 11, 2010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14.00</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6"/>
              </w:rPr>
              <w:t>Jan 21, 2011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17.75</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9"/>
              </w:rPr>
              <w:t>Feb 4, 2012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22.00</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9"/>
              </w:rPr>
              <w:t>Feb 3, 2014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42.50</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8"/>
              </w:rPr>
              <w:t>Feb 16, 2015</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Ciaran Murray</w:t>
            </w:r>
          </w:p>
        </w:tc>
        <w:tc>
          <w:tcPr>
            <w:tcW w:w="240" w:type="dxa"/>
            <w:vAlign w:val="bottom"/>
          </w:tcPr>
          <w:p>
            <w:pPr>
              <w:spacing w:after="0"/>
              <w:rPr>
                <w:sz w:val="17"/>
                <w:szCs w:val="17"/>
                <w:color w:val="auto"/>
              </w:rPr>
            </w:pPr>
          </w:p>
        </w:tc>
        <w:tc>
          <w:tcPr>
            <w:tcW w:w="11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30,000</w:t>
            </w:r>
          </w:p>
        </w:tc>
        <w:tc>
          <w:tcPr>
            <w:tcW w:w="12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20.84</w:t>
            </w:r>
          </w:p>
        </w:tc>
        <w:tc>
          <w:tcPr>
            <w:tcW w:w="2460" w:type="dxa"/>
            <w:vAlign w:val="bottom"/>
          </w:tcPr>
          <w:p>
            <w:pPr>
              <w:jc w:val="center"/>
              <w:ind w:right="290"/>
              <w:spacing w:after="0" w:line="201" w:lineRule="exact"/>
              <w:rPr>
                <w:sz w:val="20"/>
                <w:szCs w:val="20"/>
                <w:color w:val="auto"/>
              </w:rPr>
            </w:pPr>
            <w:r>
              <w:rPr>
                <w:rFonts w:ascii="Arial" w:cs="Arial" w:eastAsia="Arial" w:hAnsi="Arial"/>
                <w:sz w:val="18"/>
                <w:szCs w:val="18"/>
                <w:color w:val="auto"/>
                <w:w w:val="88"/>
              </w:rPr>
              <w:t>Jan 17, 2014</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1,800</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7,200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22.00</w:t>
            </w:r>
          </w:p>
        </w:tc>
        <w:tc>
          <w:tcPr>
            <w:tcW w:w="2460" w:type="dxa"/>
            <w:vAlign w:val="bottom"/>
          </w:tcPr>
          <w:p>
            <w:pPr>
              <w:jc w:val="center"/>
              <w:ind w:right="310"/>
              <w:spacing w:after="0"/>
              <w:rPr>
                <w:sz w:val="20"/>
                <w:szCs w:val="20"/>
                <w:color w:val="auto"/>
              </w:rPr>
            </w:pPr>
            <w:r>
              <w:rPr>
                <w:rFonts w:ascii="Arial" w:cs="Arial" w:eastAsia="Arial" w:hAnsi="Arial"/>
                <w:sz w:val="18"/>
                <w:szCs w:val="18"/>
                <w:color w:val="auto"/>
                <w:w w:val="89"/>
              </w:rPr>
              <w:t>Feb 3, 2014</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8,000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42.50</w:t>
            </w:r>
          </w:p>
        </w:tc>
        <w:tc>
          <w:tcPr>
            <w:tcW w:w="2460" w:type="dxa"/>
            <w:vAlign w:val="bottom"/>
          </w:tcPr>
          <w:p>
            <w:pPr>
              <w:jc w:val="center"/>
              <w:ind w:right="310"/>
              <w:spacing w:after="0"/>
              <w:rPr>
                <w:sz w:val="20"/>
                <w:szCs w:val="20"/>
                <w:color w:val="auto"/>
              </w:rPr>
            </w:pPr>
            <w:r>
              <w:rPr>
                <w:rFonts w:ascii="Arial" w:cs="Arial" w:eastAsia="Arial" w:hAnsi="Arial"/>
                <w:sz w:val="18"/>
                <w:szCs w:val="18"/>
                <w:color w:val="auto"/>
                <w:w w:val="88"/>
              </w:rPr>
              <w:t>Feb 16, 2015</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John Climax</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14.50</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6"/>
              </w:rPr>
              <w:t>Jan 11, 2010</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14.00</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6"/>
              </w:rPr>
              <w:t>Jan 21, 2011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17.75</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9"/>
              </w:rPr>
              <w:t>Feb 4, 2012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22.00</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9"/>
              </w:rPr>
              <w:t>Feb 3, 2014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42.50</w:t>
            </w:r>
          </w:p>
        </w:tc>
        <w:tc>
          <w:tcPr>
            <w:tcW w:w="246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8"/>
              </w:rPr>
              <w:t>Feb 16, 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information in this table relates to nonqualified stock options. The Company has not granted any stock appreciation rights ("SARs") in fiscal year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options become exercisable in five equal installments each year beginning on the first anniversary of the grant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Exercised Table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exercised during fiscal 2007 by any of the named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 &amp; Other Post-Employment Payments &amp;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23"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All named executive officers are eligible to participate in a defined contribution pension plan (the "Plan"). The Company matches each participant's contributions up to a percentage of their annual compensation. Contributions to this plan are recorded as an expense in the Consolidated Statement of Operations. Total company contributions for the named executive officers for the year ended December 31, 2007, was €110,655 ($154,567).</w:t>
      </w:r>
    </w:p>
    <w:p>
      <w:pPr>
        <w:spacing w:after="0" w:line="18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Company's United States operations maintain a retirement plan (the "U.S. Plan") that qualifies as a deferred salary arrangement under Section 401(k) of the Internal Revenue Code. In addition one of the Company’s subsidiaries which was acquired during the 2003 fiscal year, Medeval Group Limited, operates a defined benefit pension plan in the United Kingdom for its employees. None of the named executive officers are participants in the U.S. Plan or the defined benefit pension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retirement plans can be found in Note 9 to the Consolidated Financial Statements “Employee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Defined Contribution and Deferred Compensation Plans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None of the named executive officers are involved in any non-qualified defined contribution plan or receives any nonqualified deferred compensation.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Termination or Change of Control Agreements with its named executive officers.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Peter Gray</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Mr. Peter Gray has served as the Chief Executive Officer since November 2002. He served as the Chief Operating Officer of the Company from June 2001 to November 2002 and as an Executive Director of the Company since June 1997. The service agreement with Mr. Gray is terminable on 12 months notice by either party. He is entitled to receive a bonus to be agreed by the Committee. He is also entitled to receive a pension contribution, company car and medical insurance cover for himself and his dependants. He currently holds 42,000 ordinary share options at exercise prices ranging from $14.00 to $42.50 per share. His service agreement requires him to devote his full time and attention to his duties for the Company excepting certain non-executive positions authorized by the Board. The agreement includes certain post termination clauses including non-disclosure, non-competition and non-solicitation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Mr. Ciaran Murray has served as the Chief Financial Officer since October 2005. The service agreement with Mr. Murray is terminable on 12 months notice by either party. He is entitled to receive a bonus to be agreed by the Committee. He is also entitled to receive a pension contribution, a company car and medical insurance cover for himself and his dependants. He currently holds 47,000 ordinary share options at exercise prices ranging from $20.84 to $42.50 per share. His service agreement requires him to devote his full time and attention to his duties for the Company excepting certain non-executive positions authorized by the Board The agreement includes certain post-termination clauses including non-disclosure, non-competition and non-solicitation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John Climax</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Dr. John Climax, one of the Company’s co-founders, has served as a Director since June 1990, and Chief Executive Officer from June 1990 to October 2002. He was appointed Chairman of the Board in November 2002. The service agreement with Dr. Climax is terminable on 12 months notice by either party. He is entitled to receive a bonus to be agreed by the Committee. He is entitled to receive a pension contribution, company car and medical insurance cover for himself and his dependants. He currently holds 42,000 ordinary share options at exercise prices ranging from $14.00 to $42.50 per share. His service agreement requires him to devote his full time and attention to his duties for the Company excepting certain non-executive positions authorized by the Board. The agreement includes certain post-termination clauses including non-disclosure, non-competition and non-solicitation provisions.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256" w:lineRule="exact"/>
        <w:rPr>
          <w:sz w:val="20"/>
          <w:szCs w:val="20"/>
          <w:color w:val="auto"/>
        </w:rPr>
      </w:pPr>
    </w:p>
    <w:p>
      <w:pPr>
        <w:ind w:left="920" w:hanging="331"/>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25" w:lineRule="exact"/>
        <w:rPr>
          <w:rFonts w:ascii="Arial" w:cs="Arial" w:eastAsia="Arial" w:hAnsi="Arial"/>
          <w:sz w:val="18"/>
          <w:szCs w:val="18"/>
          <w:color w:val="auto"/>
        </w:rPr>
      </w:pPr>
    </w:p>
    <w:p>
      <w:pPr>
        <w:jc w:val="both"/>
        <w:ind w:left="920" w:hanging="331"/>
        <w:spacing w:after="0" w:line="25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table sets forth certain information regarding beneficial ownership of ICON's ordinary shares (including ADSs) as of February 20, 2008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4280" w:type="dxa"/>
            <w:vAlign w:val="bottom"/>
          </w:tcPr>
          <w:p>
            <w:pPr>
              <w:jc w:val="right"/>
              <w:ind w:right="370"/>
              <w:spacing w:after="0"/>
              <w:rPr>
                <w:sz w:val="20"/>
                <w:szCs w:val="20"/>
                <w:color w:val="auto"/>
              </w:rPr>
            </w:pPr>
            <w:r>
              <w:rPr>
                <w:rFonts w:ascii="Arial" w:cs="Arial" w:eastAsia="Arial" w:hAnsi="Arial"/>
                <w:sz w:val="18"/>
                <w:szCs w:val="18"/>
                <w:b w:val="1"/>
                <w:bCs w:val="1"/>
                <w:color w:val="auto"/>
              </w:rPr>
              <w:t>No. of Shares (1)</w:t>
            </w:r>
          </w:p>
        </w:tc>
        <w:tc>
          <w:tcPr>
            <w:tcW w:w="2900" w:type="dxa"/>
            <w:vAlign w:val="bottom"/>
          </w:tcPr>
          <w:p>
            <w:pPr>
              <w:jc w:val="right"/>
              <w:ind w:right="1230"/>
              <w:spacing w:after="0"/>
              <w:rPr>
                <w:sz w:val="20"/>
                <w:szCs w:val="20"/>
                <w:color w:val="auto"/>
              </w:rPr>
            </w:pPr>
            <w:r>
              <w:rPr>
                <w:rFonts w:ascii="Arial" w:cs="Arial" w:eastAsia="Arial" w:hAnsi="Arial"/>
                <w:sz w:val="18"/>
                <w:szCs w:val="18"/>
                <w:b w:val="1"/>
                <w:bCs w:val="1"/>
                <w:color w:val="auto"/>
              </w:rPr>
              <w:t>Percent of Class</w:t>
            </w:r>
          </w:p>
        </w:tc>
      </w:tr>
      <w:tr>
        <w:trPr>
          <w:trHeight w:val="216"/>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Fidelity Group Companies (3)</w:t>
            </w:r>
          </w:p>
        </w:tc>
        <w:tc>
          <w:tcPr>
            <w:tcW w:w="42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3,960,345</w:t>
            </w:r>
          </w:p>
        </w:tc>
        <w:tc>
          <w:tcPr>
            <w:tcW w:w="2900" w:type="dxa"/>
            <w:vAlign w:val="bottom"/>
            <w:tcBorders>
              <w:top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Alliance Berstein LP</w:t>
            </w:r>
          </w:p>
        </w:tc>
        <w:tc>
          <w:tcPr>
            <w:tcW w:w="4280" w:type="dxa"/>
            <w:vAlign w:val="bottom"/>
          </w:tcPr>
          <w:p>
            <w:pPr>
              <w:jc w:val="right"/>
              <w:ind w:right="270"/>
              <w:spacing w:after="0"/>
              <w:rPr>
                <w:sz w:val="20"/>
                <w:szCs w:val="20"/>
                <w:color w:val="auto"/>
              </w:rPr>
            </w:pPr>
            <w:r>
              <w:rPr>
                <w:rFonts w:ascii="Arial" w:cs="Arial" w:eastAsia="Arial" w:hAnsi="Arial"/>
                <w:sz w:val="18"/>
                <w:szCs w:val="18"/>
                <w:color w:val="auto"/>
              </w:rPr>
              <w:t>1,693,540</w:t>
            </w:r>
          </w:p>
        </w:tc>
        <w:tc>
          <w:tcPr>
            <w:tcW w:w="2900" w:type="dxa"/>
            <w:vAlign w:val="bottom"/>
          </w:tcPr>
          <w:p>
            <w:pPr>
              <w:jc w:val="right"/>
              <w:ind w:right="143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Dr. John Climax (2)</w:t>
            </w:r>
          </w:p>
        </w:tc>
        <w:tc>
          <w:tcPr>
            <w:tcW w:w="4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1,595,784</w:t>
            </w:r>
          </w:p>
        </w:tc>
        <w:tc>
          <w:tcPr>
            <w:tcW w:w="290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Wasatch Group Companies (3)</w:t>
            </w:r>
          </w:p>
        </w:tc>
        <w:tc>
          <w:tcPr>
            <w:tcW w:w="4280" w:type="dxa"/>
            <w:vAlign w:val="bottom"/>
          </w:tcPr>
          <w:p>
            <w:pPr>
              <w:jc w:val="right"/>
              <w:ind w:right="270"/>
              <w:spacing w:after="0"/>
              <w:rPr>
                <w:sz w:val="20"/>
                <w:szCs w:val="20"/>
                <w:color w:val="auto"/>
              </w:rPr>
            </w:pPr>
            <w:r>
              <w:rPr>
                <w:rFonts w:ascii="Arial" w:cs="Arial" w:eastAsia="Arial" w:hAnsi="Arial"/>
                <w:sz w:val="18"/>
                <w:szCs w:val="18"/>
                <w:color w:val="auto"/>
              </w:rPr>
              <w:t>1,474,820</w:t>
            </w:r>
          </w:p>
        </w:tc>
        <w:tc>
          <w:tcPr>
            <w:tcW w:w="2900" w:type="dxa"/>
            <w:vAlign w:val="bottom"/>
          </w:tcPr>
          <w:p>
            <w:pPr>
              <w:jc w:val="right"/>
              <w:ind w:right="143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officers as a group (4)</w:t>
            </w:r>
          </w:p>
        </w:tc>
        <w:tc>
          <w:tcPr>
            <w:tcW w:w="4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2,773,398</w:t>
            </w:r>
          </w:p>
        </w:tc>
        <w:tc>
          <w:tcPr>
            <w:tcW w:w="290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9.6%</w:t>
            </w:r>
          </w:p>
        </w:tc>
      </w:tr>
      <w:tr>
        <w:trPr>
          <w:trHeight w:val="4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80" w:type="dxa"/>
            <w:vAlign w:val="bottom"/>
          </w:tcPr>
          <w:p>
            <w:pPr>
              <w:jc w:val="right"/>
              <w:ind w:right="2630"/>
              <w:spacing w:after="0"/>
              <w:rPr>
                <w:sz w:val="20"/>
                <w:szCs w:val="20"/>
                <w:color w:val="auto"/>
              </w:rPr>
            </w:pPr>
            <w:r>
              <w:rPr>
                <w:rFonts w:ascii="Arial" w:cs="Arial" w:eastAsia="Arial" w:hAnsi="Arial"/>
                <w:sz w:val="18"/>
                <w:szCs w:val="18"/>
                <w:color w:val="auto"/>
              </w:rPr>
              <w:t>41</w:t>
            </w:r>
          </w:p>
        </w:tc>
        <w:tc>
          <w:tcPr>
            <w:tcW w:w="29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45" w:name="page46"/>
    <w:bookmarkEnd w:id="45"/>
    <w:p>
      <w:pPr>
        <w:jc w:val="both"/>
        <w:ind w:left="920" w:hanging="331"/>
        <w:spacing w:after="0" w:line="279"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 Note that all figures have been amended to reflect the Bonus Issue which took place with an effective date of October 13, 2006.</w:t>
      </w:r>
    </w:p>
    <w:p>
      <w:pPr>
        <w:spacing w:after="0" w:line="171" w:lineRule="exact"/>
        <w:rPr>
          <w:rFonts w:ascii="Arial" w:cs="Arial" w:eastAsia="Arial" w:hAnsi="Arial"/>
          <w:sz w:val="17"/>
          <w:szCs w:val="17"/>
          <w:color w:val="auto"/>
        </w:rPr>
      </w:pPr>
    </w:p>
    <w:p>
      <w:pPr>
        <w:ind w:left="920" w:hanging="331"/>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1,553,784 ADSs held by Poplar Limited, a Jersey company controlled by Dr. Climax, and options to purchase 42,000 ADSs.</w:t>
      </w:r>
    </w:p>
    <w:p>
      <w:pPr>
        <w:spacing w:after="0" w:line="236" w:lineRule="exact"/>
        <w:rPr>
          <w:rFonts w:ascii="Arial" w:cs="Arial" w:eastAsia="Arial" w:hAnsi="Arial"/>
          <w:sz w:val="17"/>
          <w:szCs w:val="17"/>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 any voting power in this entity.</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574,530 ordinary shares issuable upon the exercise of stock options granted by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at December 31, 2007, Amarin Investment Holding Limited (a company controlled by Mr. Thomas Lynch), and Sunninghill Limited (a company controlled by Dr. John Climax) held 10.7 million and 9.4 million shares respectively in Amarin Corporation plc (“Amarin”). These respective holdings equate to approximately 7.7% and 6.8% respectively, of Amarin's issued share capital. Thomas Lynch also serves as Chairman and Chief Executive Officer of Amarin. Amarin Corporation plc ("Amarin") is a neuroscience company focused on the research, development and commercialization of drugs for the treatment of central nervous system disorders. During the fiscal year ending May 31, 2005, Amarin contracted ICON Clinical Research Limited (a wholly owned subsidiary of ICON), to conduct a clinical trial on its behalf. The total potential value of this study is $7 million. During the year ended December 31, 2007, the Company recognized $2.2 million of revenue relating to the Amarin contract. At December 31, 2007, $1.5 million was outstanding to be received from Amarin on this trial.</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at December 31, 2007, Dr. John Climax and Dr. Ronan Lambe held 4.47% and 4.19% respectively of the issued share capital of NuPathe Inc. (“NuPathe”). NuPathe is a specialty pharmaceutical company specializing in the acquisition and development of therapeutic products in the area of neuroscience. Dr. Climax also serves as a non-executive director and chairman of the compensation committee on the Board of NuPathe. During the year ending December 31, 2006, NuPathe engaged ICON Clinical Research Limited (a wholly owned subsidiary of ICON), in consulting and clinical trial related activities. During the year ended December 31, 2007, the Company recognized $0.1 million relating to the NuPathe contract. As at December 31, 2007, $0.1 million was due from NuPathe.</w:t>
      </w:r>
    </w:p>
    <w:p>
      <w:pPr>
        <w:spacing w:after="0" w:line="22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Prior to June 25, 2007, Dr. Bruce Given served as the President and Chief Executive Officer of Encysive Pharmaceuticals Inc. (“Encysive”). Encysive is a biopharmaceutical company specializing in the development and commercialization of synthetic, small molecule compounds. As of December 31, 2007, Dr. Bruce Given’s holdings in Encysive was less than 0.1% of the issued share capital. During the year ending December 31, 2003, Encysive engaged ICON Clinical Research Limited (a wholly owned subsidiary of ICON), in consulting and clinical trial related activities. The total potential contract value of this study is $0.8 million. During the year ending December 31, 2007, ICON recognized a total of $0.1 million of revenue in relation to these activities.</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2007, Dr. Ronan Lambe held 1.4 million shares in AGI Therapeutics Limited (“AGI”), a specialty pharmaceutical company focused on developing drug therapies for gastrointestinal diseases and disorders. This holding equates to approximately 2.13% of AGI's issued share capital. In January 2006, Dr. Ronan Lambe was appointed a non-executive director of AGI and took up the position of non-executive Chairman from February 2006. ICON is engaged in conducting a series of clinical trials on behalf of AGI. During September 2004, AGI contracted ICON Clinical Research Limited (a wholly owned subsidiary of ICON), to conduct a clinical trial on its behalf. The total potential value of this study is $2.8 million. During the year ended December 31, 2006, the Company recognized $0.5 million of revenue relating to the AGI contract. No revenue was recognized during the year ended December 31, 2007. At December 31, 2006, $0.4m was outstanding to be received from AGI on this trial. There were no amounts outstanding as at December 31, 2007.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6" w:name="page47"/>
    <w:bookmarkEnd w:id="46"/>
    <w:p>
      <w:pPr>
        <w:spacing w:after="0" w:line="297" w:lineRule="auto"/>
        <w:rPr>
          <w:sz w:val="20"/>
          <w:szCs w:val="20"/>
          <w:color w:val="auto"/>
        </w:rPr>
      </w:pPr>
      <w:r>
        <w:rPr>
          <w:rFonts w:ascii="Arial" w:cs="Arial" w:eastAsia="Arial" w:hAnsi="Arial"/>
          <w:sz w:val="16"/>
          <w:szCs w:val="16"/>
          <w:color w:val="auto"/>
        </w:rPr>
        <w:t>On December 6, 2005, Dr. Ronan Lambe and Dr. John Climax gifted 128,000 and 160,000 ADSs, respectively, to Mr. Peter Gray, the Company’s Chief Executive Officer. ICON has accounted for these transfers of equity instruments from shareholders to Mr. Gray as share based payment transactions, and recorded a compensation expense of $6,024,000 in its Statement of Operations, measured by reference to the fair value of the ADSs on the grant date. As this transaction is a transfer of already issued stock between officers and directors of the Company, the expense recorded had no cash flow impact on the Company and created no dilution of ordinary shares outstanding. The fair value of the ADSs on the date of gift was determined by reference to market price.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have not paid cash dividends on our ordinary shares and do not intend to pay cash dividends on our ordinary shares in the foreseeable future.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the Listing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ICON’s ADSs are traded on the NASDAQ National Market under the symbol “ICLR”. Our Depository for the ADSs is The Bank of New York. ICON also has a secondary listing on the Official List of the Irish Stock Exchange. No securities of ICON are traded in any other market. The following table sets forth the trading price for the dates indicated for ICON plc’s ADSs as reported by NASDAQ.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High Sales</w:t>
            </w: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Low Sales</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Year Ending</w:t>
            </w:r>
          </w:p>
        </w:tc>
        <w:tc>
          <w:tcPr>
            <w:tcW w:w="44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41"/>
        </w:trPr>
        <w:tc>
          <w:tcPr>
            <w:tcW w:w="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gridSpan w:val="2"/>
          </w:tcPr>
          <w:p>
            <w:pPr>
              <w:ind w:left="4320"/>
              <w:spacing w:after="0"/>
              <w:rPr>
                <w:sz w:val="20"/>
                <w:szCs w:val="20"/>
                <w:color w:val="auto"/>
              </w:rPr>
            </w:pPr>
            <w:r>
              <w:rPr>
                <w:rFonts w:ascii="Arial" w:cs="Arial" w:eastAsia="Arial" w:hAnsi="Arial"/>
                <w:sz w:val="18"/>
                <w:szCs w:val="18"/>
                <w:b w:val="1"/>
                <w:bCs w:val="1"/>
                <w:color w:val="auto"/>
              </w:rPr>
              <w:t>During Period</w:t>
            </w: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2"/>
              </w:rPr>
              <w:t>During Period</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May 31, 2003</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May 31, 2004</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May 31, 2005</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22.46</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December 31, 2005 (7 month transition period)</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40.36</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December 31, 2007</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64.79</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36.68</w:t>
            </w:r>
          </w:p>
        </w:tc>
      </w:tr>
      <w:tr>
        <w:trPr>
          <w:trHeight w:val="198"/>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High Sales</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Low Sales</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41"/>
        </w:trPr>
        <w:tc>
          <w:tcPr>
            <w:tcW w:w="20" w:type="dxa"/>
            <w:vAlign w:val="bottom"/>
          </w:tcPr>
          <w:p>
            <w:pPr>
              <w:spacing w:after="0"/>
              <w:rPr>
                <w:sz w:val="20"/>
                <w:szCs w:val="20"/>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Quarter Ending</w:t>
            </w:r>
          </w:p>
        </w:tc>
        <w:tc>
          <w:tcPr>
            <w:tcW w:w="5540" w:type="dxa"/>
            <w:vAlign w:val="bottom"/>
            <w:tcBorders>
              <w:bottom w:val="single" w:sz="8" w:color="auto"/>
            </w:tcBorders>
            <w:gridSpan w:val="2"/>
            <w:shd w:val="clear" w:color="auto" w:fill="CCEEFF"/>
          </w:tcPr>
          <w:p>
            <w:pPr>
              <w:ind w:left="4320"/>
              <w:spacing w:after="0"/>
              <w:rPr>
                <w:sz w:val="20"/>
                <w:szCs w:val="20"/>
                <w:color w:val="auto"/>
              </w:rPr>
            </w:pPr>
            <w:r>
              <w:rPr>
                <w:rFonts w:ascii="Arial" w:cs="Arial" w:eastAsia="Arial" w:hAnsi="Arial"/>
                <w:sz w:val="18"/>
                <w:szCs w:val="18"/>
                <w:b w:val="1"/>
                <w:bCs w:val="1"/>
                <w:color w:val="auto"/>
              </w:rPr>
              <w:t>During Period</w:t>
            </w:r>
          </w:p>
        </w:tc>
        <w:tc>
          <w:tcPr>
            <w:tcW w:w="126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2"/>
              </w:rPr>
              <w:t>During Period</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Aug 31, 2004</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Nov 30, 2004</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Feb 28, 2005</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May 31, 2005</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19.48</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Aug 31, 2005</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Nov 30, 2005</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Mar 31, 2006</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Jun 30, 2006</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28.66</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Sept 30, 2006</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27.25</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Dec 31, 2006</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40.36</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Mar 31, 2007</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44.60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36.68</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June 30, 2007</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Sept 30, 2007</w:t>
            </w:r>
          </w:p>
        </w:tc>
        <w:tc>
          <w:tcPr>
            <w:tcW w:w="4420" w:type="dxa"/>
            <w:vAlign w:val="bottom"/>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53.25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42.51</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Dec 31, 2007</w:t>
            </w:r>
          </w:p>
        </w:tc>
        <w:tc>
          <w:tcPr>
            <w:tcW w:w="4420" w:type="dxa"/>
            <w:vAlign w:val="bottom"/>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64.79</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w:t>
            </w:r>
          </w:p>
        </w:tc>
      </w:tr>
      <w:tr>
        <w:trPr>
          <w:trHeight w:val="4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420" w:type="dxa"/>
            <w:vAlign w:val="bottom"/>
          </w:tcPr>
          <w:p>
            <w:pPr>
              <w:ind w:left="1100"/>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4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High Sales</w:t>
            </w: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Low Sales</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Price</w:t>
            </w: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Month Ending</w:t>
            </w:r>
          </w:p>
        </w:tc>
        <w:tc>
          <w:tcPr>
            <w:tcW w:w="5080" w:type="dxa"/>
            <w:vAlign w:val="bottom"/>
            <w:gridSpan w:val="2"/>
          </w:tcPr>
          <w:p>
            <w:pPr>
              <w:ind w:left="3860"/>
              <w:spacing w:after="0"/>
              <w:rPr>
                <w:sz w:val="20"/>
                <w:szCs w:val="20"/>
                <w:color w:val="auto"/>
              </w:rPr>
            </w:pPr>
            <w:r>
              <w:rPr>
                <w:rFonts w:ascii="Arial" w:cs="Arial" w:eastAsia="Arial" w:hAnsi="Arial"/>
                <w:sz w:val="18"/>
                <w:szCs w:val="18"/>
                <w:b w:val="1"/>
                <w:bCs w:val="1"/>
                <w:color w:val="auto"/>
              </w:rPr>
              <w:t>During Period</w:t>
            </w:r>
          </w:p>
        </w:tc>
        <w:tc>
          <w:tcPr>
            <w:tcW w:w="1360" w:type="dxa"/>
            <w:vAlign w:val="bottom"/>
            <w:gridSpan w:val="3"/>
          </w:tcPr>
          <w:p>
            <w:pPr>
              <w:ind w:left="140"/>
              <w:spacing w:after="0"/>
              <w:rPr>
                <w:sz w:val="20"/>
                <w:szCs w:val="20"/>
                <w:color w:val="auto"/>
              </w:rPr>
            </w:pPr>
            <w:r>
              <w:rPr>
                <w:rFonts w:ascii="Arial" w:cs="Arial" w:eastAsia="Arial" w:hAnsi="Arial"/>
                <w:sz w:val="18"/>
                <w:szCs w:val="18"/>
                <w:b w:val="1"/>
                <w:bCs w:val="1"/>
                <w:color w:val="auto"/>
              </w:rPr>
              <w:t>During Period</w:t>
            </w:r>
          </w:p>
        </w:tc>
      </w:tr>
      <w:tr>
        <w:trPr>
          <w:trHeight w:val="216"/>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31, 2007</w:t>
            </w:r>
          </w:p>
        </w:tc>
        <w:tc>
          <w:tcPr>
            <w:tcW w:w="3960" w:type="dxa"/>
            <w:vAlign w:val="bottom"/>
            <w:tcBorders>
              <w:top w:val="single" w:sz="8" w:color="auto"/>
            </w:tcBorders>
            <w:shd w:val="clear" w:color="auto" w:fill="CCEEFF"/>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Feb 28, 2007</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43.84</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37.04</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3960" w:type="dxa"/>
            <w:vAlign w:val="bottom"/>
            <w:shd w:val="clear" w:color="auto" w:fill="CCEEFF"/>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April 30, 2007</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48.41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41.93</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May 31, 2007</w:t>
            </w:r>
          </w:p>
        </w:tc>
        <w:tc>
          <w:tcPr>
            <w:tcW w:w="3960" w:type="dxa"/>
            <w:vAlign w:val="bottom"/>
            <w:shd w:val="clear" w:color="auto" w:fill="CCEEFF"/>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June 30, 2007</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47.17</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41.65</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July 31, 2007</w:t>
            </w:r>
          </w:p>
        </w:tc>
        <w:tc>
          <w:tcPr>
            <w:tcW w:w="3960" w:type="dxa"/>
            <w:vAlign w:val="bottom"/>
            <w:shd w:val="clear" w:color="auto" w:fill="CCEEFF"/>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47.73</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Aug 31, 2007</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48.84</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42.51</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Sept 30, 2007</w:t>
            </w:r>
          </w:p>
        </w:tc>
        <w:tc>
          <w:tcPr>
            <w:tcW w:w="3960" w:type="dxa"/>
            <w:vAlign w:val="bottom"/>
            <w:shd w:val="clear" w:color="auto" w:fill="CCEEFF"/>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45.56</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Oct 31, 2007</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61.30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50.71</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Nov 30, 2007</w:t>
            </w:r>
          </w:p>
        </w:tc>
        <w:tc>
          <w:tcPr>
            <w:tcW w:w="3960" w:type="dxa"/>
            <w:vAlign w:val="bottom"/>
            <w:shd w:val="clear" w:color="auto" w:fill="CCEEFF"/>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60.77</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54.50</w:t>
            </w: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Dec 31, 2007</w:t>
            </w:r>
          </w:p>
        </w:tc>
        <w:tc>
          <w:tcPr>
            <w:tcW w:w="3960" w:type="dxa"/>
            <w:vAlign w:val="bottom"/>
          </w:tcPr>
          <w:p>
            <w:pPr>
              <w:ind w:left="38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64.79</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54.64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All comparative figures above have been amended to reflect the Bonus Issue which took place with an effective date of October 13, 2006.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w:t>
      </w:r>
    </w:p>
    <w:p>
      <w:pPr>
        <w:spacing w:after="0" w:line="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Transfers Act, 1992 prohibits financial transfers involving certain persons connected with the former regime in Iraq, certain persons indicted by the International Criminal Tribunal for the former Yugoslavia and certain associated persons, Zimbabwe, the Taliban of Afghanistan, Osama bin Laden and Al-Qaeda, Liberia, Burma/Myanmar, Uzbekistan, Sudan, Cote D’Ivoire, the Democratic Republic of Congo, President Lukashenko and certain other officials of Belarus, and countries that harbor certain terrorist groups, without the prior permission of the Central Bank of Ireland.</w:t>
      </w:r>
    </w:p>
    <w:p>
      <w:pPr>
        <w:spacing w:after="0" w:line="20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Sudan, Cote D’Ivoire, Democratic Republic of Congo, Liberia,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hereby incorporate by reference the description of our Memorandum and Articles of Association located under the heading “Description of the Memorandum and Articles of Association of the Company” in our Form 6K filed with the Securities Exchange Commission on January 31, 2003.</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29, 2006, at ICON’s Extraordinary General Meeting, the Articles of Association of ICON plc were amended to increase the authorized share capital. The following amendments were made: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the authorized share capital of the Company be increased from €1,200,000 divided into 20,000,000 Ordinary Shares of €0.06 each, to €2,400,000 divided into 40,000,000 Ordinary Shares of €0.06 each.”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Securities and Exchange Commission approved rule filings by NASDAQ, which requires all securities listed on NASDAQ (subject to limited exceptions not applicable to ICON) to be eligible for a direct registration system such as the Depository Trust Company’s Direct Registration System (the “Direct Registration System”) by January 1, 2008. As a result of this requirement, ICON amended and restated its Deposit Agreement to authorize the issuance of uncertificated shares of some or all of its securities to permit ICON to convert to electronic book−entry issuance of its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purposes of the discussion under Irish Taxation of U.S. Holders (A) is not a resident of, or ordinarily resident in, Ireland for the purposes of Irish tax; and (B) is not engaged in trade or business in Ireland through a permanent establishment.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REFERENCES TO THE ORDINARY SHARES SHALL INCLUDE ADSs REPRESENTING SUCH ORDINARY SHARES AND ADRs EVIDENCING OWNERSHIP OF SUCH ADSs.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is a public limited company incorporated and resident for tax purposes in Ireland.</w:t>
      </w: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Irish tax purposes, the residence of a company is in the jurisdiction where the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Patent exemption is available to Irish resident companies whose income derives from qualifying royalties or license fees paid in respect of qualifying patents. The main requirement to qualify for the exemption is that the research, planning, processing, experimentation, testing, devising, designing, developing or similar activity leading to the invention which is the subject of the patent is carried out in Ireland. Under Irish law, income from such qualifying patents is disregarded for taxation purposes. From January 1, 2008, there is an annual limit of 5 million Euro placed on qualifying patent income. To the extent that income arises above this threshold, it will be subject to Irish corporation tax at 25%.</w:t>
      </w:r>
    </w:p>
    <w:p>
      <w:pPr>
        <w:spacing w:after="0" w:line="21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the extent that the company is involved in the "manufacture" of goods in Ireland, income from this activity, in respect of its data processing operations carried out in Ireland (which is deemed to be manufacturing for Irish tax purposes) , can qualify for a 10% rate of tax. This relief is available until December 31, 2010, and thereafter the income will be taxed at the standard rate applicable to trading income which is currently 12.5%.</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rates discussed above.</w:t>
      </w:r>
    </w:p>
    <w:p>
      <w:pPr>
        <w:spacing w:after="0" w:line="19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Capital gains arising to an Irish resident company are liable to tax at 20%. However, a capital gains tax exemption has been introduced in Ireland in respect of disposals of certain shareholdings. The exemption applies with retrospective effect to disposals occurring on or after February 2, 2004.</w:t>
      </w:r>
    </w:p>
    <w:p>
      <w:pPr>
        <w:spacing w:after="0" w:line="1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197" w:lineRule="exact"/>
        <w:rPr>
          <w:sz w:val="20"/>
          <w:szCs w:val="20"/>
          <w:color w:val="auto"/>
        </w:rPr>
      </w:pPr>
    </w:p>
    <w:p>
      <w:pPr>
        <w:ind w:left="360" w:right="160" w:hanging="352"/>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is being disposed of, for a period of at least one year, within the two year period prior to disposal.</w:t>
      </w:r>
    </w:p>
    <w:p>
      <w:pPr>
        <w:spacing w:after="0" w:line="170" w:lineRule="exact"/>
        <w:rPr>
          <w:rFonts w:ascii="Arial" w:cs="Arial" w:eastAsia="Arial" w:hAnsi="Arial"/>
          <w:sz w:val="18"/>
          <w:szCs w:val="18"/>
          <w:color w:val="auto"/>
        </w:rPr>
      </w:pPr>
    </w:p>
    <w:p>
      <w:pPr>
        <w:ind w:left="360" w:right="60" w:hanging="352"/>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being disposed of must be in a company, which at the date of disposal, is resident in an EU Member State or in a state with which Ireland has a double tax agreement.</w:t>
      </w:r>
    </w:p>
    <w:p>
      <w:pPr>
        <w:spacing w:after="0" w:line="170"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else the company making the disposal together with its “5% plus subsidiaries” should be primarily a trading group.</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of the paying company, the dividend will be exempt if the Irish corporate shareholder makes the requisite declaration.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Non-Irish resident corporate shareholders that:</w:t>
      </w:r>
    </w:p>
    <w:p>
      <w:pPr>
        <w:spacing w:after="0" w:line="252" w:lineRule="exact"/>
        <w:rPr>
          <w:sz w:val="20"/>
          <w:szCs w:val="20"/>
          <w:color w:val="auto"/>
        </w:rPr>
      </w:pPr>
    </w:p>
    <w:p>
      <w:pPr>
        <w:ind w:left="920" w:hanging="331"/>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ultimately controlled by residents of a Relevant Territory;</w:t>
      </w:r>
    </w:p>
    <w:p>
      <w:pPr>
        <w:spacing w:after="0" w:line="225" w:lineRule="exact"/>
        <w:rPr>
          <w:rFonts w:ascii="Arial" w:cs="Arial" w:eastAsia="Arial" w:hAnsi="Arial"/>
          <w:sz w:val="18"/>
          <w:szCs w:val="18"/>
          <w:color w:val="auto"/>
        </w:rPr>
      </w:pPr>
    </w:p>
    <w:p>
      <w:pPr>
        <w:ind w:left="5620" w:right="5000" w:hanging="5031"/>
        <w:spacing w:after="0" w:line="659" w:lineRule="auto"/>
        <w:tabs>
          <w:tab w:leader="none" w:pos="9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are resident in a Relevant Territory and are not controlled by Irish residents;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1" w:name="page52"/>
    <w:bookmarkEnd w:id="51"/>
    <w:p>
      <w:pPr>
        <w:ind w:left="920" w:right="20" w:hanging="331"/>
        <w:spacing w:after="0" w:line="277"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or Territories; or</w:t>
      </w:r>
    </w:p>
    <w:p>
      <w:pPr>
        <w:spacing w:after="0" w:line="170" w:lineRule="exact"/>
        <w:rPr>
          <w:rFonts w:ascii="Arial" w:cs="Arial" w:eastAsia="Arial" w:hAnsi="Arial"/>
          <w:sz w:val="18"/>
          <w:szCs w:val="18"/>
          <w:color w:val="auto"/>
        </w:rPr>
      </w:pPr>
    </w:p>
    <w:p>
      <w:pPr>
        <w:ind w:left="920" w:hanging="331"/>
        <w:spacing w:after="0" w:line="277"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or Territories;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197"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Special arrangements are available in the case of an interest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208" w:lineRule="exact"/>
        <w:rPr>
          <w:sz w:val="20"/>
          <w:szCs w:val="20"/>
          <w:color w:val="auto"/>
        </w:rPr>
      </w:pPr>
    </w:p>
    <w:p>
      <w:pPr>
        <w:ind w:left="920" w:hanging="331"/>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depositary bank’s ADS register shows that the beneficial owner has a U.S. address on the register; or</w:t>
      </w:r>
    </w:p>
    <w:p>
      <w:pPr>
        <w:spacing w:after="0" w:line="225" w:lineRule="exact"/>
        <w:rPr>
          <w:rFonts w:ascii="Arial" w:cs="Arial" w:eastAsia="Arial" w:hAnsi="Arial"/>
          <w:sz w:val="18"/>
          <w:szCs w:val="18"/>
          <w:color w:val="auto"/>
        </w:rPr>
      </w:pPr>
    </w:p>
    <w:p>
      <w:pPr>
        <w:ind w:left="920" w:right="20" w:hanging="331"/>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197" w:lineRule="exact"/>
        <w:rPr>
          <w:sz w:val="20"/>
          <w:szCs w:val="20"/>
          <w:color w:val="auto"/>
        </w:rPr>
      </w:pPr>
    </w:p>
    <w:p>
      <w:pPr>
        <w:ind w:left="920" w:hanging="331"/>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individual resident in the U.S. (or any other country with which Ireland has concluded a double taxation treaty);</w:t>
      </w:r>
    </w:p>
    <w:p>
      <w:pPr>
        <w:spacing w:after="0" w:line="225" w:lineRule="exact"/>
        <w:rPr>
          <w:rFonts w:ascii="Arial" w:cs="Arial" w:eastAsia="Arial" w:hAnsi="Arial"/>
          <w:sz w:val="18"/>
          <w:szCs w:val="18"/>
          <w:color w:val="auto"/>
        </w:rPr>
      </w:pPr>
    </w:p>
    <w:p>
      <w:pPr>
        <w:ind w:left="920" w:hanging="331"/>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any other country with which Ireland has concluded a double taxation treaty);</w:t>
      </w:r>
    </w:p>
    <w:p>
      <w:pPr>
        <w:spacing w:after="0" w:line="170" w:lineRule="exact"/>
        <w:rPr>
          <w:rFonts w:ascii="Arial" w:cs="Arial" w:eastAsia="Arial" w:hAnsi="Arial"/>
          <w:sz w:val="18"/>
          <w:szCs w:val="18"/>
          <w:color w:val="auto"/>
        </w:rPr>
      </w:pPr>
    </w:p>
    <w:p>
      <w:pPr>
        <w:ind w:left="920" w:hanging="331"/>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70" w:lineRule="exact"/>
        <w:rPr>
          <w:rFonts w:ascii="Arial" w:cs="Arial" w:eastAsia="Arial" w:hAnsi="Arial"/>
          <w:sz w:val="18"/>
          <w:szCs w:val="18"/>
          <w:color w:val="auto"/>
        </w:rPr>
      </w:pPr>
    </w:p>
    <w:p>
      <w:pPr>
        <w:ind w:left="920" w:hanging="331"/>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resident in another EU member state or in a country with which Ireland has concluded a double taxation treaty, which is not controlled directly or indirectly by Irish residents; or</w:t>
      </w:r>
    </w:p>
    <w:p>
      <w:pPr>
        <w:spacing w:after="0" w:line="170" w:lineRule="exact"/>
        <w:rPr>
          <w:rFonts w:ascii="Arial" w:cs="Arial" w:eastAsia="Arial" w:hAnsi="Arial"/>
          <w:sz w:val="18"/>
          <w:szCs w:val="18"/>
          <w:color w:val="auto"/>
        </w:rPr>
      </w:pPr>
    </w:p>
    <w:p>
      <w:pPr>
        <w:ind w:left="920" w:hanging="331"/>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Taxation of Capital Gains</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being non-Irish resident, to Irish capital gains tax. This treatment will apply to Irish domiciled individuals - -:</w:t>
      </w:r>
    </w:p>
    <w:p>
      <w:pPr>
        <w:spacing w:after="0" w:line="218" w:lineRule="exact"/>
        <w:rPr>
          <w:sz w:val="20"/>
          <w:szCs w:val="20"/>
          <w:color w:val="auto"/>
        </w:rPr>
      </w:pPr>
    </w:p>
    <w:p>
      <w:pPr>
        <w:ind w:left="920" w:hanging="331"/>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who own the shares when they cease to be resident;</w:t>
      </w:r>
    </w:p>
    <w:p>
      <w:pPr>
        <w:spacing w:after="0" w:line="225" w:lineRule="exact"/>
        <w:rPr>
          <w:rFonts w:ascii="Arial" w:cs="Arial" w:eastAsia="Arial" w:hAnsi="Arial"/>
          <w:sz w:val="18"/>
          <w:szCs w:val="18"/>
          <w:color w:val="auto"/>
        </w:rPr>
      </w:pPr>
    </w:p>
    <w:p>
      <w:pPr>
        <w:ind w:left="920" w:hanging="331"/>
        <w:spacing w:after="0" w:line="277"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share capital of the company or is worth at least €500,000.</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Irish capital acquisitions tax (referred to as CAT) applies to gifts and inheritances.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23" w:lineRule="exact"/>
        <w:rPr>
          <w:sz w:val="20"/>
          <w:szCs w:val="20"/>
          <w:color w:val="auto"/>
        </w:rPr>
      </w:pPr>
    </w:p>
    <w:p>
      <w:pPr>
        <w:ind w:left="920" w:hanging="331"/>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the extent that the property of which the gift or inheritance consists is situated in the Republic of Ireland at the date of the gift or inheritance;</w:t>
      </w:r>
    </w:p>
    <w:p>
      <w:pPr>
        <w:spacing w:after="0" w:line="32" w:lineRule="exact"/>
        <w:rPr>
          <w:rFonts w:ascii="Arial" w:cs="Arial" w:eastAsia="Arial" w:hAnsi="Arial"/>
          <w:sz w:val="16"/>
          <w:szCs w:val="16"/>
          <w:color w:val="auto"/>
        </w:rPr>
      </w:pPr>
    </w:p>
    <w:p>
      <w:pPr>
        <w:ind w:left="920" w:right="240" w:hanging="331"/>
        <w:spacing w:after="0" w:line="250"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ind w:left="920" w:right="480" w:hanging="331"/>
        <w:spacing w:after="0" w:line="281" w:lineRule="auto"/>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his death; or</w:t>
      </w:r>
    </w:p>
    <w:p>
      <w:pPr>
        <w:spacing w:after="0" w:line="1" w:lineRule="exact"/>
        <w:rPr>
          <w:rFonts w:ascii="Arial" w:cs="Arial" w:eastAsia="Arial" w:hAnsi="Arial"/>
          <w:sz w:val="16"/>
          <w:szCs w:val="16"/>
          <w:color w:val="auto"/>
        </w:rPr>
      </w:pPr>
    </w:p>
    <w:p>
      <w:pPr>
        <w:ind w:left="920" w:hanging="331"/>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where the person receiving the gift or inheritance is resident or ordinarily resident in the Republic of Ireland at the date of the gift or inheritance.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an inheritance is taken under a disposition made prior to December 1, 1999, CAT is chargeable in the following circumstances:</w:t>
      </w:r>
    </w:p>
    <w:p>
      <w:pPr>
        <w:spacing w:after="0" w:line="23" w:lineRule="exact"/>
        <w:rPr>
          <w:sz w:val="20"/>
          <w:szCs w:val="20"/>
          <w:color w:val="auto"/>
        </w:rPr>
      </w:pPr>
    </w:p>
    <w:p>
      <w:pPr>
        <w:ind w:left="920" w:hanging="331"/>
        <w:spacing w:after="0"/>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the extent that the property of which the gift or inheritance consists is situated in the Republic of Ireland at the date of the gift or inheritance;</w:t>
      </w:r>
    </w:p>
    <w:p>
      <w:pPr>
        <w:spacing w:after="0" w:line="32" w:lineRule="exact"/>
        <w:rPr>
          <w:rFonts w:ascii="Arial" w:cs="Arial" w:eastAsia="Arial" w:hAnsi="Arial"/>
          <w:sz w:val="16"/>
          <w:szCs w:val="16"/>
          <w:color w:val="auto"/>
        </w:rPr>
      </w:pPr>
    </w:p>
    <w:p>
      <w:pPr>
        <w:ind w:left="920" w:right="100" w:hanging="331"/>
        <w:spacing w:after="0" w:line="250"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domiciled in Ireland at the date of the disposition under which the gift or inheritance is taken;</w:t>
      </w:r>
    </w:p>
    <w:p>
      <w:pPr>
        <w:ind w:left="920" w:right="460" w:hanging="331"/>
        <w:spacing w:after="0" w:line="323"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disponer, who is usually the settlor, in relation to that trust was domiciled in Ireland at the date he made the settlement, or at the date of the gift or, where the gift is taken after his death, at the date of his death.</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person who receives the gift or inheritance is primarily liable for CAT. A person is secondarily liable if he is the donor, his personal representative or an agent, trustee or other person in whose care the property constituting the gift or inheritance or the income therefrom is placed.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tax-free threshold amounts that apply during 2008 are:</w:t>
      </w:r>
    </w:p>
    <w:p>
      <w:pPr>
        <w:spacing w:after="0" w:line="23" w:lineRule="exact"/>
        <w:rPr>
          <w:sz w:val="20"/>
          <w:szCs w:val="20"/>
          <w:color w:val="auto"/>
        </w:rPr>
      </w:pPr>
    </w:p>
    <w:p>
      <w:pPr>
        <w:ind w:left="920" w:hanging="331"/>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€26,060 </w:t>
      </w:r>
      <w:r>
        <w:rPr>
          <w:rFonts w:ascii="Arial" w:cs="Arial" w:eastAsia="Arial" w:hAnsi="Arial"/>
          <w:sz w:val="18"/>
          <w:szCs w:val="18"/>
          <w:i w:val="1"/>
          <w:iCs w:val="1"/>
          <w:color w:val="auto"/>
        </w:rPr>
        <w:t>(2007: €24,841)</w:t>
      </w:r>
      <w:r>
        <w:rPr>
          <w:rFonts w:ascii="Arial" w:cs="Arial" w:eastAsia="Arial" w:hAnsi="Arial"/>
          <w:sz w:val="18"/>
          <w:szCs w:val="18"/>
          <w:color w:val="auto"/>
        </w:rPr>
        <w:t xml:space="preserve"> in the case of persons who are not related to one another;</w:t>
      </w:r>
    </w:p>
    <w:p>
      <w:pPr>
        <w:spacing w:after="0" w:line="9" w:lineRule="exact"/>
        <w:rPr>
          <w:rFonts w:ascii="Arial" w:cs="Arial" w:eastAsia="Arial" w:hAnsi="Arial"/>
          <w:sz w:val="18"/>
          <w:szCs w:val="18"/>
          <w:color w:val="auto"/>
        </w:rPr>
      </w:pPr>
    </w:p>
    <w:p>
      <w:pPr>
        <w:ind w:left="920" w:right="240" w:hanging="331"/>
        <w:spacing w:after="0" w:line="250"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€52,151 </w:t>
      </w:r>
      <w:r>
        <w:rPr>
          <w:rFonts w:ascii="Arial" w:cs="Arial" w:eastAsia="Arial" w:hAnsi="Arial"/>
          <w:sz w:val="18"/>
          <w:szCs w:val="18"/>
          <w:i w:val="1"/>
          <w:iCs w:val="1"/>
          <w:color w:val="auto"/>
        </w:rPr>
        <w:t>(2007: €49,682)</w:t>
      </w:r>
      <w:r>
        <w:rPr>
          <w:rFonts w:ascii="Arial" w:cs="Arial" w:eastAsia="Arial" w:hAnsi="Arial"/>
          <w:sz w:val="18"/>
          <w:szCs w:val="18"/>
          <w:color w:val="auto"/>
        </w:rPr>
        <w:t xml:space="preserve"> in the case of gifts or inheritances received from inter alia a brother or sister or from a brother or sister of a parent or from a grandparent; and</w:t>
      </w:r>
    </w:p>
    <w:p>
      <w:pPr>
        <w:ind w:left="920" w:right="260" w:hanging="331"/>
        <w:spacing w:after="0" w:line="26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€521,208 </w:t>
      </w:r>
      <w:r>
        <w:rPr>
          <w:rFonts w:ascii="Arial" w:cs="Arial" w:eastAsia="Arial" w:hAnsi="Arial"/>
          <w:sz w:val="18"/>
          <w:szCs w:val="18"/>
          <w:i w:val="1"/>
          <w:iCs w:val="1"/>
          <w:color w:val="auto"/>
        </w:rPr>
        <w:t>(2007: €496,824)</w:t>
      </w:r>
      <w:r>
        <w:rPr>
          <w:rFonts w:ascii="Arial" w:cs="Arial" w:eastAsia="Arial" w:hAnsi="Arial"/>
          <w:sz w:val="18"/>
          <w:szCs w:val="18"/>
          <w:color w:val="auto"/>
        </w:rPr>
        <w:t xml:space="preserve"> in the case of gifts and inheritances received from a parent (or from a grandparent by a minor child of a deceased child) and specified inheritances received by a parent from a child.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9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Probate Tax</w:t>
      </w:r>
    </w:p>
    <w:p>
      <w:pPr>
        <w:spacing w:after="0" w:line="2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Irish probate tax was abolished under the Finance Act, 2001. No probate tax will arise on any assets passing in respect of a death occurring on or after December 6, 2000.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Ordinary Shares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Irish stamp duty, which is a tax on certain documents,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€12.70 (the nominal rate) will apply.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ADSs Representing Ordinary Shares</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€12.70 applies.</w:t>
      </w: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Transfers of ADSs are exempt from Irish stamp duty as long as the ADSs are dealt in on the NASDAQ National Market or any recognized stock exchange in the United States or Canada.</w:t>
      </w:r>
    </w:p>
    <w:p>
      <w:pPr>
        <w:spacing w:after="0" w:line="19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Documents on Display</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(the “Exchange Act”) and file reports and other information with the SEC. You may read and copy any of our reports and other information at, and obtain copies upon payment of prescribed fees from, the Public Reference Room maintained by the SEC at 100F Street N.E., Washington, D.C. 20549.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333-8704.</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As a foreign private issuer, we are exempt from the rules under the Exchange Act, prescribing the furnishing and content of proxy statements to shareholders.</w:t>
      </w: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Ciaran Murray, telephone number: (353) 1 291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NASDAQ may provide exemptions from the NASDAQ corporate governance standards to a foreign private issuer when those standards are contrary to a law, rule or regulation of any public authority exercising jurisdiction over such issuer or contrary to generally accepted business practices in the issuer’s country of domicile, except to the extent that such exemptions would be contrary to United States federal securities laws. ICON,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ICON’s Articles of Association require that only 3 members be present at a shareholder meeting to constitute a quorum. This quorum requirement is in accordance with Irish law and generally accepted business practices in Ireland.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Quantitative and Qualitative Disclosures about Market Risk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Qualitative Disclosure of Market Risk</w:t>
      </w:r>
      <w:r>
        <w:rPr>
          <w:rFonts w:ascii="Arial" w:cs="Arial" w:eastAsia="Arial" w:hAnsi="Arial"/>
          <w:sz w:val="18"/>
          <w:szCs w:val="18"/>
          <w:color w:val="auto"/>
        </w:rPr>
        <w:t>. The principal market risks (i.e. risk of loss arising from adverse changes in market rates and prices) to which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exposed are:</w:t>
      </w:r>
    </w:p>
    <w:p>
      <w:pPr>
        <w:spacing w:after="0" w:line="197" w:lineRule="exact"/>
        <w:rPr>
          <w:sz w:val="20"/>
          <w:szCs w:val="20"/>
          <w:color w:val="auto"/>
        </w:rPr>
      </w:pPr>
    </w:p>
    <w:p>
      <w:pPr>
        <w:ind w:left="920" w:right="20" w:hanging="331"/>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rate changes on short term investments (available for sale) in the form of floating rate notes and medium term minimum “AA-” rated corporate securities, and</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rate risk on variable rate debt.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risk on non-U.S. dollar denominated cash and non-U.S. dollar denominated debt.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financial instruments solely to hedge exposure to these market risks and we do not enter into these instruments for trading or speculative purposes. The Company had no interest rate instruments or derivatives as at December 31, 2007.</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primary foreign currency exchange risk relates to movements in rates between the U.S. dollar, Sterling and the Euro. At December 31, 2007, we had cash denominated in non-U.S. dollar denominated currencies. In order to reduce the foreign currency exchange risk, we may enter into certain derivative instruments to reduce our exposure to adverse changes in exchange rates. At December 31, 2007, we held no foreign exchange forward contracts.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5" w:name="page56"/>
    <w:bookmarkEnd w:id="55"/>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Quantitative disclosure of Market Risk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analysis below presents the sensitivity of the market value, or fair value of our financial instruments to selected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market rates and prices. The changes chosen represent our view of changes that are reasonable over a one year period.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hypothetical changes in fair value are estimated based on the same methodology used by the third party financial institutions to calculate the fair value of the original instruments, keeping all variables constant except the relevant exchange rate, as the case may be, which has been adjusted to reflect the hypothetical change. Fair value estimates by their nature are subjective and involve uncertainties and matters of significant judgment and therefore cannot be determined precisely.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sensitivity analysis below represents the hypothetical change in fair value based on an immediate 10% movement in the exchange rates.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Fair value Change</w:t>
            </w:r>
          </w:p>
        </w:tc>
        <w:tc>
          <w:tcPr>
            <w:tcW w:w="2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Fair value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movement in</w:t>
            </w:r>
          </w:p>
        </w:tc>
        <w:tc>
          <w:tcPr>
            <w:tcW w:w="2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movement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Fair value at</w:t>
            </w:r>
          </w:p>
        </w:tc>
        <w:tc>
          <w:tcPr>
            <w:tcW w:w="2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foreign</w:t>
            </w:r>
          </w:p>
        </w:tc>
        <w:tc>
          <w:tcPr>
            <w:tcW w:w="2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2007</w:t>
            </w:r>
          </w:p>
        </w:tc>
        <w:tc>
          <w:tcPr>
            <w:tcW w:w="2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exchange rate</w:t>
            </w:r>
          </w:p>
        </w:tc>
        <w:tc>
          <w:tcPr>
            <w:tcW w:w="2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exchange rate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Non-U.S. Dollar denominated cash</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Non-U.S. Dollar denominated short term debt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94,829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analysis below represents the hypothetical change in our interest income/(expense) based on an immediate 1% movement in market interest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Income/(Expense)</w:t>
            </w:r>
          </w:p>
        </w:tc>
        <w:tc>
          <w:tcPr>
            <w:tcW w:w="24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Income/(Expense)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Income/(Expense)</w:t>
            </w:r>
          </w:p>
        </w:tc>
        <w:tc>
          <w:tcPr>
            <w:tcW w:w="2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 1%</w:t>
            </w:r>
          </w:p>
        </w:tc>
        <w:tc>
          <w:tcPr>
            <w:tcW w:w="24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for the year ended</w:t>
            </w:r>
          </w:p>
        </w:tc>
        <w:tc>
          <w:tcPr>
            <w:tcW w:w="2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increase in</w:t>
            </w:r>
          </w:p>
        </w:tc>
        <w:tc>
          <w:tcPr>
            <w:tcW w:w="24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decrease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 2007</w:t>
            </w:r>
          </w:p>
        </w:tc>
        <w:tc>
          <w:tcPr>
            <w:tcW w:w="17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6"/>
              </w:rPr>
              <w:t>market interest rate</w:t>
            </w:r>
          </w:p>
        </w:tc>
        <w:tc>
          <w:tcPr>
            <w:tcW w:w="18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market interest rate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Expense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20" w:type="dxa"/>
            <w:vAlign w:val="bottom"/>
          </w:tcPr>
          <w:p>
            <w:pPr>
              <w:jc w:val="right"/>
              <w:ind w:right="350"/>
              <w:spacing w:after="0"/>
              <w:rPr>
                <w:sz w:val="20"/>
                <w:szCs w:val="20"/>
                <w:color w:val="auto"/>
              </w:rPr>
            </w:pPr>
            <w:r>
              <w:rPr>
                <w:rFonts w:ascii="Arial" w:cs="Arial" w:eastAsia="Arial" w:hAnsi="Arial"/>
                <w:sz w:val="18"/>
                <w:szCs w:val="18"/>
                <w:color w:val="auto"/>
              </w:rPr>
              <w:t>52</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Description of Securities Other than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incorporate by reference the description of the amendment to our Memorandum and Articles of Association described under the heading “Memorandum and Articles of Association” from Item 10 of this Form 20F.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2007.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56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58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Mr. Thomas Lynch acts as the Audit Committee financial expert serving on our Audit Committee and Board of Directors. Mr. Lynch is independent and serves as one of our non-executive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Board of Directors adopted a code of ethics in 2003 that applies to the Chief Executive Officer, the Chief Financial Officer and any persons performing similar functions, if any,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modifications to, or waivers from, the provisions of such code, which are required to be disclosed.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This code is available on our website at the following 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http://www.iconclinical.com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2007 and December 31, 2006, were KPMG.</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2007, and December 31, 2006, and fees billed for other services rendered by KPMG.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12 month period ending</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12 month period ending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December 31, 2006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(in thousands)</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1,076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2,075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Audit related fees (2)</w:t>
            </w:r>
          </w:p>
        </w:tc>
        <w:tc>
          <w:tcPr>
            <w:tcW w:w="2440" w:type="dxa"/>
            <w:vAlign w:val="bottom"/>
          </w:tcPr>
          <w:p>
            <w:pPr>
              <w:spacing w:after="0"/>
              <w:rPr>
                <w:sz w:val="18"/>
                <w:szCs w:val="18"/>
                <w:color w:val="auto"/>
              </w:rPr>
            </w:pPr>
          </w:p>
        </w:tc>
        <w:tc>
          <w:tcPr>
            <w:tcW w:w="1980" w:type="dxa"/>
            <w:vAlign w:val="bottom"/>
          </w:tcPr>
          <w:p>
            <w:pPr>
              <w:jc w:val="right"/>
              <w:ind w:right="950"/>
              <w:spacing w:after="0"/>
              <w:rPr>
                <w:sz w:val="20"/>
                <w:szCs w:val="20"/>
                <w:color w:val="auto"/>
              </w:rPr>
            </w:pPr>
            <w:r>
              <w:rPr>
                <w:rFonts w:ascii="Arial" w:cs="Arial" w:eastAsia="Arial" w:hAnsi="Arial"/>
                <w:sz w:val="18"/>
                <w:szCs w:val="18"/>
                <w:color w:val="auto"/>
              </w:rPr>
              <w:t>99</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980" w:type="dxa"/>
            <w:vAlign w:val="bottom"/>
          </w:tcPr>
          <w:p>
            <w:pPr>
              <w:jc w:val="right"/>
              <w:ind w:right="970"/>
              <w:spacing w:after="0"/>
              <w:rPr>
                <w:sz w:val="20"/>
                <w:szCs w:val="20"/>
                <w:color w:val="auto"/>
              </w:rPr>
            </w:pPr>
            <w:r>
              <w:rPr>
                <w:rFonts w:ascii="Arial" w:cs="Arial" w:eastAsia="Arial" w:hAnsi="Arial"/>
                <w:sz w:val="18"/>
                <w:szCs w:val="18"/>
                <w:color w:val="auto"/>
              </w:rPr>
              <w:t>418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244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162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429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1,337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2,922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w:t>
            </w:r>
          </w:p>
        </w:tc>
      </w:tr>
      <w:tr>
        <w:trPr>
          <w:trHeight w:val="27"/>
        </w:trPr>
        <w:tc>
          <w:tcPr>
            <w:tcW w:w="20" w:type="dxa"/>
            <w:vAlign w:val="bottom"/>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include annual audit fees for ICON plc and its subsidiaries.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Audit related fees principally consisted of fees for financial due diligence services and fees for audit of financial statements of employee benefit plans.</w:t>
      </w:r>
    </w:p>
    <w:p>
      <w:pPr>
        <w:spacing w:after="0" w:line="275" w:lineRule="exact"/>
        <w:rPr>
          <w:rFonts w:ascii="Arial" w:cs="Arial" w:eastAsia="Arial" w:hAnsi="Arial"/>
          <w:sz w:val="16"/>
          <w:szCs w:val="16"/>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on an annual basis the audit and non-audit services provided to ICON plc by its auditors.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57 to 96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Financial statements of ICON plc and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at December 31, 2005, 2006 and 2007</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Consolidated Statements of Operations for the year ended May 31, 2005, the transition period ended December 31, 2005, and the years ended December 31, 2006 and December 31, 2007</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Consolidated Statements of Shareholders’ Equity and Comprehensive Income for the year ended May 31, 2005, the transition period ended December 31, 2005, and the years ended December 31, 2006 and December 31, 2007</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Consolidated Statements of Cash Flows for the year ended May 31, 2005, the transition period ended December 31, 2005, and the years ended December 31, 2006 and December 31,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Exhibits of ICON plc and subsidiaries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Amended and Restated Deposit Agreement (incorporated by reference to Exhibit 1 to the Post-Effective Amendment No. 1 to the Form F-6 (File No. 333-143546) filed on December 18, 2007).</w:t>
      </w:r>
    </w:p>
    <w:p>
      <w:pPr>
        <w:spacing w:after="0" w:line="19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Exhibit A to Amended and Restated Deposit Agreement (incorporated by reference to Exhibit 1 to the Post-Effective Amendment No. 1 to the Form F-6 (File No. 333-143546) filed on December 18, 2007).</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subsidiaries (Incorporated by reference in Item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302 certifications.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906 certifications.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19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2007. In making this assessment,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used the criteria set forth by the Committee of Sponsoring Organizations of the Treadway Commission (COSO) in Internal Control – Integrated Framework.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upon the assessment performed, we determined that, as of December 31, 2007, the Company’s internal control over financial reporting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In addition, there have been no changes in the Company’s internal control over financial reporting during 2007 that have materially affected, or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reasonably likely to affect materially, the Group’s internal control over financial reporting</w:t>
      </w:r>
    </w:p>
    <w:p>
      <w:pPr>
        <w:spacing w:after="0" w:line="23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KPMG, which has audited the consolidated financial statements of the Company for the year ended December 31, 2007, has also audited the effectiveness of the Company’s internal control over financial reporting under Auditing Standard No. 5 of the Public Company Accounting Oversight Board (United States).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0" w:name="page61"/>
    <w:bookmarkEnd w:id="60"/>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Directors and Shareholders of ICON plc</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ICON plc and subsidiaries as of December 31, 2007, 2006 and 2005 and the related consolidated statements of income, shareholders’ equity and comprehensive income, and cash flows for the years ended December 31, 2007 and December 31, 2006, the seven-month period ended December 31, 2005, and the year ended May 31, 2005. These consolidated financial statements are the responsibility of the Company's management. Our responsibility is to express an opinion on these consolidated financial statements based on our audits.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ICON plc and subsidiaries as of December 31, 2007, 2006 and 2005, and the results of their operations and their cash flows for the years ended December 31, 2007 and December 31, 2006, the seven-month period ended December 31, 2005, and the year ended May 31, 2005, in conformity with U.S. generally accepted accounting principles.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As described in Note 2 to the consolidated financial statements, the Company adopted the provisions of FASB Interpretation No. 48 </w:t>
      </w:r>
      <w:r>
        <w:rPr>
          <w:rFonts w:ascii="Arial" w:cs="Arial" w:eastAsia="Arial" w:hAnsi="Arial"/>
          <w:sz w:val="16"/>
          <w:szCs w:val="16"/>
          <w:i w:val="1"/>
          <w:iCs w:val="1"/>
          <w:color w:val="auto"/>
        </w:rPr>
        <w:t>Accounting for Uncertain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January 1, 2007. As described in Note 2 to the consolidated financial statements, effective January 1, 2006, the Company changed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method of accounting for share-based compensation upon adoption of Statement of Accounting Standard No. 123R </w:t>
      </w:r>
      <w:r>
        <w:rPr>
          <w:rFonts w:ascii="Arial" w:cs="Arial" w:eastAsia="Arial" w:hAnsi="Arial"/>
          <w:sz w:val="16"/>
          <w:szCs w:val="16"/>
          <w:i w:val="1"/>
          <w:iCs w:val="1"/>
          <w:color w:val="auto"/>
        </w:rPr>
        <w:t>Share Based Payments</w:t>
      </w:r>
      <w:r>
        <w:rPr>
          <w:rFonts w:ascii="Arial" w:cs="Arial" w:eastAsia="Arial" w:hAnsi="Arial"/>
          <w:sz w:val="16"/>
          <w:szCs w:val="16"/>
          <w:color w:val="auto"/>
        </w:rPr>
        <w: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ICON plc’s internal control over financial reporting as of December 31, 2007, based on criteria established in Internal Control — Integrated Framework issued by the Committee of Sponsoring Organizations of the Treadway Commission (COSO) and our report dated February 20, 2008, expressed an unqualified opinion on the effectiveness of the Company’s internal control over financial reporting.</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 2008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 w:name="page62"/>
    <w:bookmarkEnd w:id="61"/>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Directors and Shareholders of ICON plc</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ICON plc’s internal control over financial reporting as of December 31, 2007, based on criteria established in Internal Control - Integrated Framework issued by the Committee of Sponsoring Organizations of the Treadway Commission (COSO). ICON plc’s management is responsible for maintaining effective internal control over financial reporting and for its assessment of the effectiveness of internal control over financial reporting, included in the accompanying report. Our responsibility is to express an opinion on the Company’s internal control over financial reporting based on our audit.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our opinion, ICON plc maintained, in all material respects, effective internal control over financial reporting as of December 31, 2007, based on criteria established in Internal Control - Integrated Framework issued by the Committee of Sponsoring Organizations of the Treadway Commission (COSO).</w:t>
      </w:r>
    </w:p>
    <w:p>
      <w:pPr>
        <w:spacing w:after="0" w:line="1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ICON plc as of December 31, 2007, 2006 and 2005, and the related consolidated statements of operations, shareholders’ equity and comprehensive income, and cash flows for the years ended December 31, 2007 and December 31, 2006, the seven-month period ended December 31, 2005, and the year ended May 31, 2005, and our report dated February 20, 2008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 2008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ind w:left="5320"/>
              <w:spacing w:after="0"/>
              <w:rPr>
                <w:sz w:val="20"/>
                <w:szCs w:val="20"/>
                <w:color w:val="auto"/>
              </w:rPr>
            </w:pPr>
            <w:r>
              <w:rPr>
                <w:rFonts w:ascii="Arial" w:cs="Arial" w:eastAsia="Arial" w:hAnsi="Arial"/>
                <w:sz w:val="18"/>
                <w:szCs w:val="18"/>
                <w:b w:val="1"/>
                <w:bCs w:val="1"/>
                <w:color w:val="auto"/>
              </w:rPr>
              <w:t>ICON plc</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0"/>
                <w:szCs w:val="20"/>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8"/>
              </w:rPr>
              <w:t>(in thousands)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59,509</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63,039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 (Note 3)</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22,809</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39,822</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71,450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108,216</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62,270</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89,977</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6,435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7,468</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Deferred tax asset (Note 13)</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1,554</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6,028</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14,335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235,116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328,885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 (Note 6)</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47,652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68,208</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Goodwill (Note 4)</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65,731</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78,717</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Non-current income taxes receivable (Note 13)</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 (Note 13)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 (Note 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349,067</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476,341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693,138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7,575</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Payments on account</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50,211</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90,394</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 (Note 7)</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33,184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51,956</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Deferred tax liability (Note 13)</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682</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credit lines and loan facilities (Note 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payable (Note 13)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6,296</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10,985</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102,804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168,564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 term government grants (Note 11)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Long term finance leases</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income taxes payable (Note 13)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Non-current deferred tax liability (Note 13)</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2,499</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2,586</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liabilities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Non-current bank credit lines and facilities (Note 8)</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Minority interest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Ordinary shares, par value 6 euro cents per share;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40,000,000 shares authorized, (Note 12)</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ind w:left="320"/>
              <w:spacing w:after="0" w:line="201" w:lineRule="exact"/>
              <w:rPr>
                <w:sz w:val="20"/>
                <w:szCs w:val="20"/>
                <w:color w:val="auto"/>
              </w:rPr>
            </w:pPr>
            <w:r>
              <w:rPr>
                <w:rFonts w:ascii="Arial" w:cs="Arial" w:eastAsia="Arial" w:hAnsi="Arial"/>
                <w:sz w:val="18"/>
                <w:szCs w:val="18"/>
                <w:color w:val="auto"/>
                <w:w w:val="90"/>
              </w:rPr>
              <w:t>28,036,184 shares issued and outstanding at December 31, 2005, 28,517,852 shares issued and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w w:val="91"/>
              </w:rPr>
              <w:t>outstanding at December 31, 2006 and 28,835,244 shares issued and outstanding at December</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340"/>
              <w:spacing w:after="0"/>
              <w:rPr>
                <w:sz w:val="20"/>
                <w:szCs w:val="20"/>
                <w:color w:val="auto"/>
              </w:rPr>
            </w:pPr>
            <w:r>
              <w:rPr>
                <w:rFonts w:ascii="Arial" w:cs="Arial" w:eastAsia="Arial" w:hAnsi="Arial"/>
                <w:sz w:val="18"/>
                <w:szCs w:val="18"/>
                <w:color w:val="auto"/>
              </w:rPr>
              <w:t>31, 2007</w:t>
            </w:r>
          </w:p>
        </w:tc>
        <w:tc>
          <w:tcPr>
            <w:tcW w:w="1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2,063</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122,263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133,996</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3,409</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14,515</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113,823</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152,127</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241,558</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302,738</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349,067</w:t>
            </w:r>
          </w:p>
        </w:tc>
        <w:tc>
          <w:tcPr>
            <w:tcW w:w="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476,341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Seven Month</w:t>
            </w:r>
          </w:p>
        </w:tc>
        <w:tc>
          <w:tcPr>
            <w:tcW w:w="260" w:type="dxa"/>
            <w:vAlign w:val="bottom"/>
          </w:tcPr>
          <w:p>
            <w:pPr>
              <w:spacing w:after="0"/>
              <w:rPr>
                <w:sz w:val="18"/>
                <w:szCs w:val="18"/>
                <w:color w:val="auto"/>
              </w:rPr>
            </w:pPr>
          </w:p>
        </w:tc>
        <w:tc>
          <w:tcPr>
            <w:tcW w:w="24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May 31,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Period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180" w:type="dxa"/>
            <w:vAlign w:val="bottom"/>
            <w:gridSpan w:val="7"/>
          </w:tcPr>
          <w:p>
            <w:pPr>
              <w:jc w:val="right"/>
              <w:spacing w:after="0" w:line="194" w:lineRule="exact"/>
              <w:rPr>
                <w:sz w:val="20"/>
                <w:szCs w:val="20"/>
                <w:color w:val="auto"/>
              </w:rPr>
            </w:pPr>
            <w:r>
              <w:rPr>
                <w:rFonts w:ascii="Arial" w:cs="Arial" w:eastAsia="Arial" w:hAnsi="Arial"/>
                <w:sz w:val="18"/>
                <w:szCs w:val="18"/>
                <w:b w:val="1"/>
                <w:bCs w:val="1"/>
                <w:color w:val="auto"/>
              </w:rPr>
              <w:t>(in thousands, except share and per share data)</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Gross revenue</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469,583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275,586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649,826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867,473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Subcontractor costs</w:t>
            </w:r>
          </w:p>
        </w:tc>
        <w:tc>
          <w:tcPr>
            <w:tcW w:w="1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(142,925)</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(194,229)</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Net revenue</w:t>
            </w:r>
          </w:p>
        </w:tc>
        <w:tc>
          <w:tcPr>
            <w:tcW w:w="1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326,658</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201,950</w:t>
            </w: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455,597</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630,722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Direct costs</w:t>
            </w:r>
          </w:p>
        </w:tc>
        <w:tc>
          <w:tcPr>
            <w:tcW w:w="1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179,661</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114,004</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256,263</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103,784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62,276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136,569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13,331</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8,094</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14,949</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based compensation (Note 10)</w:t>
            </w:r>
          </w:p>
        </w:tc>
        <w:tc>
          <w:tcPr>
            <w:tcW w:w="1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 charges (Note 14)</w:t>
            </w:r>
          </w:p>
        </w:tc>
        <w:tc>
          <w:tcPr>
            <w:tcW w:w="1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11,275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308,051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190,398</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407,781</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11,552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47,816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income</w:t>
            </w:r>
          </w:p>
        </w:tc>
        <w:tc>
          <w:tcPr>
            <w:tcW w:w="1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1,208</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1,294</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3,765</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19,586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12,824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51,456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 (Note 13)</w:t>
            </w:r>
          </w:p>
        </w:tc>
        <w:tc>
          <w:tcPr>
            <w:tcW w:w="14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(5,852)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(5,396)</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(12,924)</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38,304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Basic</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Diluted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Basic (Note 2)</w:t>
            </w:r>
          </w:p>
        </w:tc>
        <w:tc>
          <w:tcPr>
            <w:tcW w:w="14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27,720,406</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27,940,212</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28,314,985</w:t>
            </w:r>
          </w:p>
        </w:tc>
        <w:tc>
          <w:tcPr>
            <w:tcW w:w="4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28,705,272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(Note 2)</w:t>
            </w:r>
          </w:p>
        </w:tc>
        <w:tc>
          <w:tcPr>
            <w:tcW w:w="1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28,306,890</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28,495,084</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28,863,334</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29,747,964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6320" w:type="dxa"/>
            <w:vAlign w:val="bottom"/>
            <w:gridSpan w:val="3"/>
          </w:tcPr>
          <w:p>
            <w:pPr>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Accumulated</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May 31, 2004*</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27,676,952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111,879</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9,984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92,860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w:t>
            </w: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121,240</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Share issue costs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Balance at May 31, 2005*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27,798,192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2,047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113,385</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11,229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106,405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(6,049)</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adjustment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237,992</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Share based compensation expense</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6,249</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758</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2005*</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28,036,184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122,263</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113,823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38,304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11,482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Actuarial loss on defined benefit pension</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40" w:type="dxa"/>
            <w:vAlign w:val="bottom"/>
            <w:gridSpan w:val="2"/>
          </w:tcPr>
          <w:p>
            <w:pPr>
              <w:spacing w:after="0"/>
              <w:rPr>
                <w:sz w:val="20"/>
                <w:szCs w:val="20"/>
                <w:color w:val="auto"/>
              </w:rPr>
            </w:pPr>
            <w:r>
              <w:rPr>
                <w:rFonts w:ascii="Arial" w:cs="Arial" w:eastAsia="Arial" w:hAnsi="Arial"/>
                <w:sz w:val="18"/>
                <w:szCs w:val="18"/>
                <w:color w:val="auto"/>
              </w:rPr>
              <w:t>plan (net of nil tax)</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481,668</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6,642</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4,066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Share issue costs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1,109</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Balance at December 31, 2006*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28,517,852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133,996</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14,515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152,127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302,738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61</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28,517,852</w:t>
            </w:r>
          </w:p>
        </w:tc>
        <w:tc>
          <w:tcPr>
            <w:tcW w:w="5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133,996</w:t>
            </w:r>
          </w:p>
        </w:tc>
        <w:tc>
          <w:tcPr>
            <w:tcW w:w="4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14,515</w:t>
            </w:r>
          </w:p>
        </w:tc>
        <w:tc>
          <w:tcPr>
            <w:tcW w:w="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152,127</w:t>
            </w:r>
          </w:p>
        </w:tc>
        <w:tc>
          <w:tcPr>
            <w:tcW w:w="4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55,963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7"/>
              </w:rPr>
              <w:t>Currency translation adjustment (net of tax)</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Actuarial gain on defined benefit pension</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spacing w:after="0"/>
              <w:rPr>
                <w:sz w:val="20"/>
                <w:szCs w:val="20"/>
                <w:color w:val="auto"/>
              </w:rPr>
            </w:pPr>
            <w:r>
              <w:rPr>
                <w:rFonts w:ascii="Arial" w:cs="Arial" w:eastAsia="Arial" w:hAnsi="Arial"/>
                <w:sz w:val="18"/>
                <w:szCs w:val="18"/>
                <w:color w:val="auto"/>
              </w:rPr>
              <w:t>plan (net of nil taxation)</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5,420</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317,392</w:t>
            </w:r>
          </w:p>
        </w:tc>
        <w:tc>
          <w:tcPr>
            <w:tcW w:w="5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5,271</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5,748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Share issue costs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1,466</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28,835,244</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146,355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31,828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208,090</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*Comparative figures have been amended to reflect the Bonus Issue (Stock Split) which took place with an effective date of October 13,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1"/>
              </w:rPr>
              <w:t>Seven Month</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Year Ended</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Period Ended</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Year Ended</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May 31,</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194"/>
        </w:trPr>
        <w:tc>
          <w:tcPr>
            <w:tcW w:w="51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gridSpan w:val="4"/>
          </w:tcPr>
          <w:p>
            <w:pPr>
              <w:jc w:val="right"/>
              <w:ind w:right="860"/>
              <w:spacing w:after="0" w:line="194" w:lineRule="exact"/>
              <w:rPr>
                <w:sz w:val="20"/>
                <w:szCs w:val="20"/>
                <w:color w:val="auto"/>
              </w:rPr>
            </w:pPr>
            <w:r>
              <w:rPr>
                <w:rFonts w:ascii="Arial" w:cs="Arial" w:eastAsia="Arial" w:hAnsi="Arial"/>
                <w:sz w:val="18"/>
                <w:szCs w:val="18"/>
                <w:b w:val="1"/>
                <w:bCs w:val="1"/>
                <w:color w:val="auto"/>
                <w:w w:val="87"/>
              </w:rPr>
              <w:t>(in thousands)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Adjustments to reconcile net income to net cash</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provided by operating activities: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13,331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8,094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Amortization of government grants</w:t>
            </w:r>
          </w:p>
        </w:tc>
        <w:tc>
          <w:tcPr>
            <w:tcW w:w="1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compensation expense</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6,249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1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(1,887)</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Minority interest</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Other charges</w:t>
            </w: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11,275</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(Increase)/decrease in accounts receivable</w:t>
            </w:r>
          </w:p>
        </w:tc>
        <w:tc>
          <w:tcPr>
            <w:tcW w:w="1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(4,930)</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7,487</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(32,893)</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Decrease/(increase) in unbilled revenue</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3,071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(24,178)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Decrease/(increase) in other receivables</w:t>
            </w: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1,383</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(1,530)</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5,089</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(Increase)/decrease in prepayments and other current assets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Increase in other non current assets</w:t>
            </w: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payments on account</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(Decrease) /increase in other liabilities</w:t>
            </w:r>
          </w:p>
        </w:tc>
        <w:tc>
          <w:tcPr>
            <w:tcW w:w="1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(4,324)</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10,699</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other non current liabilities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Increase in income taxes payable</w:t>
            </w: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1,532</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(Decrease) /increase in accounts payable</w:t>
            </w:r>
          </w:p>
        </w:tc>
        <w:tc>
          <w:tcPr>
            <w:tcW w:w="1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25,209</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13,781</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50,452</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Purchase of property, plant and equipment</w:t>
            </w:r>
          </w:p>
        </w:tc>
        <w:tc>
          <w:tcPr>
            <w:tcW w:w="1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(15,595)</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(12,128)</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(31,516)</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intangible asset</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Purchase of subsidiary undertakings and acquisition costs</w:t>
            </w:r>
          </w:p>
        </w:tc>
        <w:tc>
          <w:tcPr>
            <w:tcW w:w="1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(10,052)</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(7,017)</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payments in respect of historical acquisitions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Cash acquired with subsidiary undertaking</w:t>
            </w: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1,658</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 of short term investments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12,022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14,016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Purchase of short term investments</w:t>
            </w:r>
          </w:p>
        </w:tc>
        <w:tc>
          <w:tcPr>
            <w:tcW w:w="1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(10,971)</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(14,791)</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(20,021)</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(55,301)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Drawdown of credit lines and facilities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4,833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Proceeds from the exercise of share options</w:t>
            </w: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1,407</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1,911</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6,679</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issuance costs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Tax benefit from the exercise of share options</w:t>
            </w:r>
          </w:p>
        </w:tc>
        <w:tc>
          <w:tcPr>
            <w:tcW w:w="1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overdraft acquired with subsidiary undertakings</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Repayment of other liabilities and finance lease obligations</w:t>
            </w:r>
          </w:p>
        </w:tc>
        <w:tc>
          <w:tcPr>
            <w:tcW w:w="1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938</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6,624</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7,702</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Effect of exchange rate movements on cash</w:t>
            </w:r>
          </w:p>
        </w:tc>
        <w:tc>
          <w:tcPr>
            <w:tcW w:w="12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677</w:t>
            </w: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663</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3,168</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3,530</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55,678</w:t>
            </w:r>
          </w:p>
        </w:tc>
        <w:tc>
          <w:tcPr>
            <w:tcW w:w="20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56,341</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59,509</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56,341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59,509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63,039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76,881</w:t>
            </w:r>
          </w:p>
        </w:tc>
        <w:tc>
          <w:tcPr>
            <w:tcW w:w="0" w:type="dxa"/>
            <w:vAlign w:val="bottom"/>
          </w:tcPr>
          <w:p>
            <w:pPr>
              <w:spacing w:after="0"/>
              <w:rPr>
                <w:sz w:val="1"/>
                <w:szCs w:val="1"/>
                <w:color w:val="auto"/>
              </w:rPr>
            </w:pPr>
          </w:p>
        </w:tc>
      </w:tr>
      <w:tr>
        <w:trPr>
          <w:trHeight w:val="459"/>
        </w:trPr>
        <w:tc>
          <w:tcPr>
            <w:tcW w:w="6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63</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ICON plc and its subsidiaries (“the Company” or “ICON”) is a contract research organization (“CRO”), providing outsourced development services on a global basis to the pharmaceutical, biotechnology and medical device industries. The Company specializes in the strategic development, management and analysis of programs that support Clinical Development - from compound selection to Phase I-IV clinical studies.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primary approach is to use dedicated teams to achieve optimum results, but the Company can implement a range of resourcing models to suit client requirements.</w:t>
      </w:r>
    </w:p>
    <w:p>
      <w:pPr>
        <w:spacing w:after="0" w:line="19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 highly fragmented industry, we are one of a select group of companies with the capability and expertise to conduct clinical trials in all major therapeutic areas on a global basis. At December 31, 2007, the Company had 5,610 employees, in 67 locations, in 36 countries, providing Phase I - IV Clinical Trial Management, Drug Development Support Services, Data Management and Biostatistics and Central Laboratory and Imaging Services. The Company has the operational flexibility to provide development services on a stand-alone basis or as part of an integrated “full service” solution.</w:t>
      </w:r>
    </w:p>
    <w:p>
      <w:pPr>
        <w:spacing w:after="0" w:line="19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Headquartered in Dublin, Ireland, we began operations in 1990 and have expanded our business through internal growth and strategic acquisitions. For the year ended December 31, 2007, we derived approximately 50%, 44% and 6% of our net revenue in the United States, Europe and Rest of World, respectively.</w:t>
      </w:r>
    </w:p>
    <w:p>
      <w:pPr>
        <w:spacing w:after="0" w:line="15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July 27, 2005, the Board of Directors of ICON approved a change of the Company’s fiscal year end from a twelve-month period ending on May 31 to a twelve-month period ending on December 31. The Company made this change in order to align our fiscal year end with the majority of other contract research organizations. As a requirement of this change, ICON reported results for the seven-month period from June 1, 2005, to December 31, 2005, as a separate transition period. As of January 1, 2006, ICON’s fiscal year now begins on January 1 and ends on December 31 and its fiscal quarters end on the last day of March, June, September and December.</w:t>
      </w:r>
    </w:p>
    <w:p>
      <w:pPr>
        <w:spacing w:after="0" w:line="21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197"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93"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Company primarily earns revenues by providing a number of different services to its customers. These services include clinical trials management, biometric activities, consulting, imaging and laboratory services. Contracts range in duration from a number of months to several years.</w:t>
      </w:r>
    </w:p>
    <w:p>
      <w:pPr>
        <w:spacing w:after="0" w:line="15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Clinical trials management revenue is earned on the basis of the relationship between time incurred and the total estimated duration of the trial. Biometrics revenue is recognized on a fee-for-service method on the basis of the number of units completed in a period as a percentage of the total number of contracted units. Imaging revenue is recognized on a fee-for-service basis. Consulting revenue is recognized on a fee-for-service basis as the related service is performed. Laboratory service revenue is recognized on a fee-for-service basis. The 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recognized on the basis of the number of deliverable units completed in the period.</w:t>
      </w:r>
    </w:p>
    <w:p>
      <w:pPr>
        <w:spacing w:after="0" w:line="20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Contracts generally contain provisions for renegotiation in the event of changes in the scope, nature, duration, volume of services or conditions of the contract. Renegotiated amounts are recognized as revenue by revision to the total contract value arising as a result of an authorized customer change order. Provisions for losses to be incurred on contracts are recognized in full in the period in which it is determined that a loss will result from performance of the contractual arrangement.</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difference between the amount of revenue recognized and the amount billed on a particular contract is included in the balance sheet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22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event of contract termination, if the value of work performed and recognized as revenue is greater than aggregate milestone billings at the date of termination, cancellation clauses ensure that the Company is paid for all work performed to the termination date.</w:t>
      </w:r>
    </w:p>
    <w:p>
      <w:pPr>
        <w:spacing w:after="0" w:line="197"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Subcontractor costs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Subcontractor costs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215"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 costs consist of compensation and associated employee benefits for project-related employees, other direct project-related costs and share based compensation.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9" w:name="page70"/>
    <w:bookmarkEnd w:id="69"/>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costs associated with advertising and promotion are expensed as incurred. The advertising and promotion expense was U.S.$2,401,000, U.S.$1,453,000 and US$2,687,000 for the year ended May 31, 2005, the seven month period ended December 31, 2005, and the year ended December 31, 2006, respectively. For the year ended December 31, 2007, these costs amounted to U.S.$3,612,000.</w:t>
      </w:r>
    </w:p>
    <w:p>
      <w:pPr>
        <w:spacing w:after="0" w:line="208"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currencies and translation of subsidiaries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For the year ended May 31, 2005, the seven month period ending December 31, 2005 and the year ended December 31, 2006 the amounts charged to income amounted to, U.S.$433,000, U.S.$408,000 and U.S. $1,538,000 respectively. For the year ended December 31, 2007, amounts charged to income amounted to U.S. $6,266,000.</w:t>
      </w:r>
    </w:p>
    <w:p>
      <w:pPr>
        <w:spacing w:after="0" w:line="2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balance sheet and average rates for the income statement. Translation gains and losses arising are reported as a movement on accumulated other comprehensive income.</w:t>
      </w:r>
    </w:p>
    <w:p>
      <w:pPr>
        <w:spacing w:after="0" w:line="174"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Disclosure about 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material class of financial instrument: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received on account, accrued liabilities, accrued bonuses, bank overdraft and taxes payable have carrying amounts that approximate fair value due to the short term maturities of these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other liabilities carrying amounts approximate fair value based on net present value of estimated future cash flows.</w:t>
      </w:r>
    </w:p>
    <w:p>
      <w:pPr>
        <w:spacing w:after="0" w:line="252"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Leased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statement of operations on a straight line basis over the lease term.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08"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Goodwill and Impairment</w:t>
      </w:r>
    </w:p>
    <w:p>
      <w:pPr>
        <w:spacing w:after="0" w:line="25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Goodwill represents the excess of the cost of acquired entities over the net of amounts assigned to assets acquired and liabilities assumed.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The Company’s annual test for impairment performed for the year ended May 31, 2005, identified an impairment charge to be taken against the central laboratory reporting unit. For further information, refer to Note 14 to the Consolidated Financial Statements. No impairment was recognized as a result of the impairment testing carried out as at December 31, 2005, December 31, 2006 and December 31, 2007.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0" w:name="page71"/>
    <w:bookmarkEnd w:id="70"/>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are amortized on a straight line basis over their estimated useful life.</w:t>
      </w:r>
    </w:p>
    <w:p>
      <w:pPr>
        <w:spacing w:after="0" w:line="252"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197"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Short term investments - available for sale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classified short-term investments as available for sale in accordance with the terms of SFAS No. 115 </w:t>
      </w:r>
      <w:r>
        <w:rPr>
          <w:rFonts w:ascii="Arial" w:cs="Arial" w:eastAsia="Arial" w:hAnsi="Arial"/>
          <w:sz w:val="18"/>
          <w:szCs w:val="18"/>
          <w:i w:val="1"/>
          <w:iCs w:val="1"/>
          <w:color w:val="auto"/>
        </w:rPr>
        <w:t>Accounting for Certain Investments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Securities</w:t>
      </w:r>
      <w:r>
        <w:rPr>
          <w:rFonts w:ascii="Arial" w:cs="Arial" w:eastAsia="Arial" w:hAnsi="Arial"/>
          <w:sz w:val="18"/>
          <w:szCs w:val="18"/>
          <w:color w:val="auto"/>
        </w:rPr>
        <w:t>. Realized gains and losses are determined using specific identification. The investments are reported at fair value, with unrealized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gains or losses reported in a separate component of shareholders’ equity. Any differences between the cost and fair value of the investments are represented by accrued interest.</w:t>
      </w:r>
    </w:p>
    <w:p>
      <w:pPr>
        <w:spacing w:after="0" w:line="214" w:lineRule="exact"/>
        <w:rPr>
          <w:sz w:val="20"/>
          <w:szCs w:val="20"/>
          <w:color w:val="auto"/>
        </w:rPr>
      </w:pPr>
    </w:p>
    <w:p>
      <w:pPr>
        <w:ind w:left="580" w:hanging="527"/>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Inventory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Inventory is valued at the lower of cost and net market value and after provisions for obsolescence. Cost of raw materials comprises the purchase price and attributable costs, less trade discounts. As at the year ended December 31, 2007, the carrying value of inventory, included within prepayments and other current assets on the balance sheet, was U.S.$2.6 million (2006: U.S.$2.6 million; 2005: U.S.$1.7 million).</w:t>
      </w:r>
    </w:p>
    <w:p>
      <w:pPr>
        <w:spacing w:after="0" w:line="208"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of property, plant and equipment is computed using the straight line method based on the estimated useful lives of the assets as listed below:</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400" w:type="dxa"/>
            <w:vAlign w:val="bottom"/>
          </w:tcPr>
          <w:p>
            <w:pPr>
              <w:spacing w:after="0"/>
              <w:rPr>
                <w:sz w:val="20"/>
                <w:szCs w:val="20"/>
                <w:color w:val="auto"/>
              </w:rPr>
            </w:pPr>
            <w:r>
              <w:rPr>
                <w:rFonts w:ascii="Arial" w:cs="Arial" w:eastAsia="Arial" w:hAnsi="Arial"/>
                <w:sz w:val="18"/>
                <w:szCs w:val="18"/>
                <w:color w:val="auto"/>
              </w:rPr>
              <w:t>4</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Laboratory equipment</w:t>
            </w:r>
          </w:p>
        </w:tc>
        <w:tc>
          <w:tcPr>
            <w:tcW w:w="400" w:type="dxa"/>
            <w:vAlign w:val="bottom"/>
          </w:tcPr>
          <w:p>
            <w:pPr>
              <w:spacing w:after="0"/>
              <w:rPr>
                <w:sz w:val="20"/>
                <w:szCs w:val="20"/>
                <w:color w:val="auto"/>
              </w:rPr>
            </w:pPr>
            <w:r>
              <w:rPr>
                <w:rFonts w:ascii="Arial" w:cs="Arial" w:eastAsia="Arial" w:hAnsi="Arial"/>
                <w:sz w:val="18"/>
                <w:szCs w:val="18"/>
                <w:color w:val="auto"/>
              </w:rPr>
              <w:t>5</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264"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applies Statement of Financial Accounting Standard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which requires the asset and liability method of accounting for income taxes. Under the asset and liability method of SFAS No. 109,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The Company adopted FIN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with effect from January 1, 2007. FIN 48 requires that the Company recognizes the largest amount of tax benefit that is greater than 50% likely of being realized upon ultimate settlement when considering uncertain tax positions.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1" w:name="page72"/>
    <w:bookmarkEnd w:id="71"/>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Government grants received relating to capital expenditure are shown as deferred income and credited to income on a basis consistent with the depreciation policy of the relevant assets.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Grants relating to categories of operating expenditures are credited to income in the period in which the expenditure to which they relate is charged.</w:t>
      </w:r>
    </w:p>
    <w:p>
      <w:pPr>
        <w:spacing w:after="0" w:line="26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recognized any loss contingency having assessed as remote the likelihood of these events arising.</w:t>
      </w:r>
    </w:p>
    <w:p>
      <w:pPr>
        <w:spacing w:after="0" w:line="252"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operates, through a subsidiary, a defined benefit plan for certain of its United Kingdom employees. The Company accounts for the costs of this plan using actuarial models required by SFAS No. 87, </w:t>
      </w:r>
      <w:r>
        <w:rPr>
          <w:rFonts w:ascii="Arial" w:cs="Arial" w:eastAsia="Arial" w:hAnsi="Arial"/>
          <w:sz w:val="18"/>
          <w:szCs w:val="18"/>
          <w:i w:val="1"/>
          <w:iCs w:val="1"/>
          <w:color w:val="auto"/>
        </w:rPr>
        <w:t>Employers Accounting for Pensions</w:t>
      </w:r>
      <w:r>
        <w:rPr>
          <w:rFonts w:ascii="Arial" w:cs="Arial" w:eastAsia="Arial" w:hAnsi="Arial"/>
          <w:sz w:val="18"/>
          <w:szCs w:val="18"/>
          <w:color w:val="auto"/>
        </w:rPr>
        <w:t xml:space="preserve"> and the plan is presented in accordance with the requirements of SFAS No. 158 </w:t>
      </w:r>
      <w:r>
        <w:rPr>
          <w:rFonts w:ascii="Arial" w:cs="Arial" w:eastAsia="Arial" w:hAnsi="Arial"/>
          <w:sz w:val="18"/>
          <w:szCs w:val="18"/>
          <w:i w:val="1"/>
          <w:iCs w:val="1"/>
          <w:color w:val="auto"/>
        </w:rPr>
        <w:t>Employers’ Accounting for Defined Benefit Pensions and Other Post-retirement Plan</w:t>
      </w:r>
      <w:r>
        <w:rPr>
          <w:rFonts w:ascii="Arial" w:cs="Arial" w:eastAsia="Arial" w:hAnsi="Arial"/>
          <w:sz w:val="18"/>
          <w:szCs w:val="18"/>
          <w:color w:val="auto"/>
        </w:rPr>
        <w:t xml:space="preserve"> s.</w:t>
      </w:r>
    </w:p>
    <w:p>
      <w:pPr>
        <w:spacing w:after="0" w:line="208" w:lineRule="exact"/>
        <w:rPr>
          <w:sz w:val="20"/>
          <w:szCs w:val="20"/>
          <w:color w:val="auto"/>
        </w:rPr>
      </w:pPr>
    </w:p>
    <w:p>
      <w:pPr>
        <w:ind w:left="580" w:hanging="527"/>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income per ordinary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Seven month</w:t>
            </w: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Period Ended</w:t>
            </w: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w:t>
            </w: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May 31,</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31,</w:t>
            </w:r>
          </w:p>
        </w:tc>
        <w:tc>
          <w:tcPr>
            <w:tcW w:w="2580" w:type="dxa"/>
            <w:vAlign w:val="bottom"/>
            <w:gridSpan w:val="3"/>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2005</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ordinary shares outstanding for basic net income per</w:t>
            </w:r>
          </w:p>
        </w:tc>
        <w:tc>
          <w:tcPr>
            <w:tcW w:w="1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27,720,406</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27,940,212</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28,314,985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28,705,272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586,484</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554,872</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548,349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1,042,692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ordinary shares outstanding for diluted net income</w:t>
            </w:r>
          </w:p>
        </w:tc>
        <w:tc>
          <w:tcPr>
            <w:tcW w:w="12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per ordinary share</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28,306,890</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28,495,084</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28,863,334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29,747,964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120" w:type="dxa"/>
            <w:vAlign w:val="bottom"/>
            <w:gridSpan w:val="2"/>
          </w:tcPr>
          <w:p>
            <w:pPr>
              <w:jc w:val="right"/>
              <w:ind w:right="230"/>
              <w:spacing w:after="0"/>
              <w:rPr>
                <w:sz w:val="20"/>
                <w:szCs w:val="20"/>
                <w:color w:val="auto"/>
              </w:rPr>
            </w:pPr>
            <w:r>
              <w:rPr>
                <w:rFonts w:ascii="Arial" w:cs="Arial" w:eastAsia="Arial" w:hAnsi="Arial"/>
                <w:sz w:val="18"/>
                <w:szCs w:val="18"/>
                <w:color w:val="auto"/>
              </w:rPr>
              <w:t>68</w:t>
            </w: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72" w:name="page73"/>
    <w:bookmarkEnd w:id="72"/>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accounts for its share options in accordance with the provisions of SFAS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SFAS 123R requires that all share based payments to employees, including stock options granted, be recognized in the financial statements based on their grant date fair values over the requisite service period. The Company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year ended December 31,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and the estimated number of awards that are expected to vest. Results for prior periods have not been restated.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effect on net income and earnings per share as if the fair value method of SFAS No. 123R had been applied to all outstanding and unvested stock options in each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Seven-month</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May 31,</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ended</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2005 *</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2005 *</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(in thousands)</w:t>
            </w: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(except per share data)</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13,545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 Share compensation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13,545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color w:val="auto"/>
                <w:w w:val="91"/>
              </w:rPr>
              <w:t>Deduct: Total share-based employee compensation expense determined under fair value based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7"/>
        </w:trPr>
        <w:tc>
          <w:tcPr>
            <w:tcW w:w="7040" w:type="dxa"/>
            <w:vAlign w:val="bottom"/>
            <w:gridSpan w:val="2"/>
          </w:tcPr>
          <w:p>
            <w:pPr>
              <w:spacing w:after="0"/>
              <w:rPr>
                <w:sz w:val="20"/>
                <w:szCs w:val="20"/>
                <w:color w:val="auto"/>
              </w:rPr>
            </w:pPr>
            <w:r>
              <w:rPr>
                <w:rFonts w:ascii="Arial" w:cs="Arial" w:eastAsia="Arial" w:hAnsi="Arial"/>
                <w:sz w:val="18"/>
                <w:szCs w:val="18"/>
                <w:color w:val="auto"/>
              </w:rPr>
              <w:t>method for all awards, net of related tax effects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(2,729)</w:t>
            </w:r>
          </w:p>
        </w:tc>
        <w:tc>
          <w:tcPr>
            <w:tcW w:w="3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(1,248)</w:t>
            </w:r>
          </w:p>
        </w:tc>
      </w:tr>
      <w:tr>
        <w:trPr>
          <w:trHeight w:val="257"/>
        </w:trPr>
        <w:tc>
          <w:tcPr>
            <w:tcW w:w="20" w:type="dxa"/>
            <w:vAlign w:val="bottom"/>
          </w:tcPr>
          <w:p>
            <w:pPr>
              <w:spacing w:after="0"/>
              <w:rPr>
                <w:sz w:val="22"/>
                <w:szCs w:val="22"/>
                <w:color w:val="auto"/>
              </w:rPr>
            </w:pPr>
          </w:p>
        </w:tc>
        <w:tc>
          <w:tcPr>
            <w:tcW w:w="7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10,816</w:t>
            </w:r>
          </w:p>
        </w:tc>
        <w:tc>
          <w:tcPr>
            <w:tcW w:w="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Earnings per share (in $):</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 as reported *</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Basic – pro forma *</w:t>
            </w:r>
          </w:p>
        </w:tc>
        <w:tc>
          <w:tcPr>
            <w:tcW w:w="36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0.39</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 as reported *</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 pro forma *</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0.38</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Comparative figures have been amended to reflect the Bonus Issue (Stock Split) which took place with an effective date of October 13, 2006 (See note 12).</w:t>
      </w:r>
    </w:p>
    <w:p>
      <w:pPr>
        <w:spacing w:after="0" w:line="275"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215"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Reclassifications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consolidated financial statements have been reclassified where necessary to conform to the current year presentation.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3. Short term investments - available for sale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classified its entire investment portfolio comprising floating rate and medium term minimum “AA-” rated corporate securities, as available for sale. The investments are reported at fair value, with unrealized gains or losses reported in a separate component of shareholders’ equity. In the year to May 31, 2005, the seven month period ended December 31, 2005, and in the years ended December 31, 2006 and December 31, 2007, no unrealized gains or losses arose. Any differences between the cost and fair value of the investments are represented by accrued interest.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4. Goodwill</w:t>
            </w: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3"/>
          </w:tcPr>
          <w:p>
            <w:pPr>
              <w:ind w:left="20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(in thousands)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Opening Goodwill</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67,440</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65,731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Arising during the year</w:t>
            </w:r>
          </w:p>
        </w:tc>
        <w:tc>
          <w:tcPr>
            <w:tcW w:w="14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9,005</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Arising on earn-out (prior year acquisitions)</w:t>
            </w: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1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3,885</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Goodwill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65,731</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78,717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2"/>
          </w:tcPr>
          <w:p>
            <w:pPr>
              <w:spacing w:after="0"/>
              <w:rPr>
                <w:sz w:val="20"/>
                <w:szCs w:val="20"/>
                <w:color w:val="auto"/>
              </w:rPr>
            </w:pPr>
            <w:r>
              <w:rPr>
                <w:rFonts w:ascii="Arial" w:cs="Arial" w:eastAsia="Arial" w:hAnsi="Arial"/>
                <w:sz w:val="18"/>
                <w:szCs w:val="18"/>
                <w:color w:val="auto"/>
              </w:rPr>
              <w:t>The distribution of goodwill by business segment was as follows:</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3"/>
          </w:tcPr>
          <w:p>
            <w:pPr>
              <w:ind w:left="20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(in thousands)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 (Note 14)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1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65,731</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78,717</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65,731</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78,717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 of DOCS International</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12, 2007, the Company acquired 100% of the common stock of DOCS International (“DOCS”), a European based clinical research staffing organization, for a cash consideration of $40.6 million (€29.5 million), excluding costs of acquisition.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DOCS has been accounted for as a purchase in accordance with SFAS No. 141, </w:t>
      </w:r>
      <w:r>
        <w:rPr>
          <w:rFonts w:ascii="Arial" w:cs="Arial" w:eastAsia="Arial" w:hAnsi="Arial"/>
          <w:sz w:val="18"/>
          <w:szCs w:val="18"/>
          <w:i w:val="1"/>
          <w:iCs w:val="1"/>
          <w:color w:val="auto"/>
        </w:rPr>
        <w:t>Business Combination</w:t>
      </w:r>
      <w:r>
        <w:rPr>
          <w:rFonts w:ascii="Arial" w:cs="Arial" w:eastAsia="Arial" w:hAnsi="Arial"/>
          <w:sz w:val="18"/>
          <w:szCs w:val="18"/>
          <w:color w:val="auto"/>
        </w:rPr>
        <w:t>s. The following table summarizes the fair values of the assets acquired and the liabilities assumed at the date of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5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Intangible asset</w:t>
            </w:r>
          </w:p>
        </w:tc>
        <w:tc>
          <w:tcPr>
            <w:tcW w:w="66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42,081</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Bank overdraft</w:t>
            </w:r>
          </w:p>
        </w:tc>
        <w:tc>
          <w:tcPr>
            <w:tcW w:w="66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7,960</w:t>
            </w: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liabilities</w:t>
            </w:r>
          </w:p>
        </w:tc>
        <w:tc>
          <w:tcPr>
            <w:tcW w:w="66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(9,510)</w:t>
            </w:r>
          </w:p>
        </w:tc>
      </w:tr>
      <w:tr>
        <w:trPr>
          <w:trHeight w:val="257"/>
        </w:trPr>
        <w:tc>
          <w:tcPr>
            <w:tcW w:w="20" w:type="dxa"/>
            <w:vAlign w:val="bottom"/>
          </w:tcPr>
          <w:p>
            <w:pPr>
              <w:spacing w:after="0"/>
              <w:rPr>
                <w:sz w:val="22"/>
                <w:szCs w:val="22"/>
                <w:color w:val="auto"/>
              </w:rPr>
            </w:pPr>
          </w:p>
        </w:tc>
        <w:tc>
          <w:tcPr>
            <w:tcW w:w="3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66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640" w:type="dxa"/>
            <w:vAlign w:val="bottom"/>
          </w:tcPr>
          <w:p>
            <w:pPr>
              <w:jc w:val="right"/>
              <w:ind w:right="4650"/>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color w:val="auto"/>
        </w:rPr>
        <w:t>Goodwill above represents the cost associated with the presence in the European contract staffing market which the acquisition affords the Company. The results of DOCS have been included in the consolidated financial statements from July 12, 2007.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proforma effect of the DOCS acquisition if completed on January 1, 2006, would have resulted in net revenue, net income and earnings per share for the fiscal years ended December 31, 2007 and 2006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0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Year Ended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3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478,622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645,527</w:t>
            </w:r>
          </w:p>
        </w:tc>
        <w:tc>
          <w:tcPr>
            <w:tcW w:w="12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37,747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56,245</w:t>
            </w:r>
          </w:p>
        </w:tc>
        <w:tc>
          <w:tcPr>
            <w:tcW w:w="1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Acquisition of Ovation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2006, the Company acquired 100% of the common stock of Ovation Healthcare Research 2 Inc. (“Ovation”), based in Illinois, USA, for an initial cash consideration of U.S.$6.6 million, excluding costs of acquisition. Working capital provisions were built into the acquisition contract requiring the potential payment of additional deferred consideration up to a maximum of U.S.$1.4 million. On October 27, 2006, $0.18 million was paid to the former shareholders of Ovation in full and final settlement of the working capital provisions.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acquisition of Ovation has been accounted for as a purchase in accordance with 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fair values of the assets acquired and the liabilities assumed at the date of acquisition.</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(in</w:t>
            </w: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thousands)</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Goodwill</w:t>
            </w:r>
          </w:p>
        </w:tc>
        <w:tc>
          <w:tcPr>
            <w:tcW w:w="39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9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current assets</w:t>
            </w:r>
          </w:p>
        </w:tc>
        <w:tc>
          <w:tcPr>
            <w:tcW w:w="39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(6,952)</w:t>
            </w: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Long term liabilities</w:t>
            </w:r>
          </w:p>
        </w:tc>
        <w:tc>
          <w:tcPr>
            <w:tcW w:w="39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r>
      <w:tr>
        <w:trPr>
          <w:trHeight w:val="257"/>
        </w:trPr>
        <w:tc>
          <w:tcPr>
            <w:tcW w:w="20" w:type="dxa"/>
            <w:vAlign w:val="bottom"/>
          </w:tcPr>
          <w:p>
            <w:pPr>
              <w:spacing w:after="0"/>
              <w:rPr>
                <w:sz w:val="22"/>
                <w:szCs w:val="22"/>
                <w:color w:val="auto"/>
              </w:rPr>
            </w:pPr>
          </w:p>
        </w:tc>
        <w:tc>
          <w:tcPr>
            <w:tcW w:w="5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Ovation have been included in the consolidated financial statements from July 10, 2006.</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 Acquisition of Beacon Biosciences, Inc</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 2004, the Company acquired 70% of the outstanding shares of Beacon Biosciences, Inc. (“Beacon”), based in Pennsylvania, USA, for an initial cash consideration of U.S.$9.9 million, excluding costs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the liabilities assumed at the date of acquisition.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(in</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thousands)</w:t>
            </w:r>
          </w:p>
        </w:tc>
        <w:tc>
          <w:tcPr>
            <w:tcW w:w="28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Goodwill</w:t>
            </w: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current assets</w:t>
            </w: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28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Long term liabilities</w:t>
            </w: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Minority interest</w:t>
            </w: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280" w:type="dxa"/>
            <w:vAlign w:val="bottom"/>
          </w:tcPr>
          <w:p>
            <w:pPr>
              <w:spacing w:after="0"/>
              <w:rPr>
                <w:sz w:val="19"/>
                <w:szCs w:val="19"/>
                <w:color w:val="auto"/>
              </w:rPr>
            </w:pPr>
          </w:p>
        </w:tc>
      </w:tr>
      <w:tr>
        <w:trPr>
          <w:trHeight w:val="257"/>
        </w:trPr>
        <w:tc>
          <w:tcPr>
            <w:tcW w:w="300" w:type="dxa"/>
            <w:vAlign w:val="bottom"/>
          </w:tcPr>
          <w:p>
            <w:pPr>
              <w:spacing w:after="0"/>
              <w:rPr>
                <w:sz w:val="22"/>
                <w:szCs w:val="22"/>
                <w:color w:val="auto"/>
              </w:rPr>
            </w:pPr>
          </w:p>
        </w:tc>
        <w:tc>
          <w:tcPr>
            <w:tcW w:w="37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60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Pr>
          <w:p>
            <w:pPr>
              <w:spacing w:after="0"/>
              <w:rPr>
                <w:sz w:val="22"/>
                <w:szCs w:val="22"/>
                <w:color w:val="auto"/>
              </w:rPr>
            </w:pPr>
          </w:p>
        </w:tc>
      </w:tr>
      <w:tr>
        <w:trPr>
          <w:trHeight w:val="453"/>
        </w:trPr>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900" w:type="dxa"/>
            <w:vAlign w:val="bottom"/>
          </w:tcPr>
          <w:p>
            <w:pPr>
              <w:jc w:val="right"/>
              <w:ind w:right="405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8"/>
        </w:trPr>
        <w:tc>
          <w:tcPr>
            <w:tcW w:w="30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61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results of Beacon have been included in the consolidated financial statements from July 1, 2004.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5. Intangible Assets</w:t>
            </w:r>
          </w:p>
        </w:tc>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5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December 31,</w:t>
            </w: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(in thousands)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Acquired workforce</w:t>
            </w:r>
          </w:p>
        </w:tc>
        <w:tc>
          <w:tcPr>
            <w:tcW w:w="2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250</w:t>
            </w: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250</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acquired</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27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4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27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12, 2007, the Company acquired 100% of the common stock of DOCS International (“DOCS”), a European based clinical research staffing organization (Note 4). The value of certain customer relationships identified is being amortised over 2.7 years, the estimated period of the benefit. U.S.$345,000 has been amortised in the period since the date of acquisition.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 2004, the Company acquired the workforce of Biomines Research Solutions Private Limited, (“Biomines”), based in Chennai, India, for a cash consideration of U.S.$250,000. The cost of the acquired workforce was amortized over 24 months in line with the life of the non-compete service contracts of the acquired employees.</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expected amortization cost for the years ended December 31, 2008, December 31, 2009, December 31, 2010, December 31, 2011 and December 31, 2012, is U.S. $0.8 million, U.S. $0.8 million, U.S. $0.2 million, U.S. $nil and U.S. $nil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2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December 31,</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December 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(in thousands)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2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Land</w:t>
            </w:r>
          </w:p>
        </w:tc>
        <w:tc>
          <w:tcPr>
            <w:tcW w:w="2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3,477</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3,771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28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12,625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28,131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70,260</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8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53,768</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68,353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28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19,889</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24,639</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Laboratory equipment</w:t>
            </w:r>
          </w:p>
        </w:tc>
        <w:tc>
          <w:tcPr>
            <w:tcW w:w="28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6,820</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8,525</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5,679</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5,674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Motor vehicles</w:t>
            </w:r>
          </w:p>
        </w:tc>
        <w:tc>
          <w:tcPr>
            <w:tcW w:w="2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102,331</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139,203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228,202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asset write off</w:t>
            </w:r>
          </w:p>
        </w:tc>
        <w:tc>
          <w:tcPr>
            <w:tcW w:w="28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(54,679)</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(70,995)</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(94,776)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4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47,652</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68,208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133,426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80" w:type="dxa"/>
            <w:vAlign w:val="bottom"/>
          </w:tcPr>
          <w:p>
            <w:pPr>
              <w:jc w:val="right"/>
              <w:ind w:right="1750"/>
              <w:spacing w:after="0"/>
              <w:rPr>
                <w:sz w:val="20"/>
                <w:szCs w:val="20"/>
                <w:color w:val="auto"/>
              </w:rPr>
            </w:pPr>
            <w:r>
              <w:rPr>
                <w:rFonts w:ascii="Arial" w:cs="Arial" w:eastAsia="Arial" w:hAnsi="Arial"/>
                <w:sz w:val="18"/>
                <w:szCs w:val="18"/>
                <w:color w:val="auto"/>
              </w:rPr>
              <w:t>72</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Total cost at December 31, 2007, includes U.S.$1,043,000 (December 31, 2006: U.S.$1,057,000; December 31, 2005: U.S.$654,000), which relates to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held under capital finance leases. Related accumulated depreciation amounted to U.S. $869,000 (December 31, 2006: U.S. $643,000; December 31, 2005: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U.S.$346,000). The cost of assets under construction as at December 31, 2007, amounted to $23.0 million (December 31, 2006: US$11.2 million).</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7. Other Liabilities</w:t>
            </w:r>
          </w:p>
        </w:tc>
        <w:tc>
          <w:tcPr>
            <w:tcW w:w="2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December 31,</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(in thousands)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17,721</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24,856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salary and bonuses</w:t>
            </w:r>
          </w:p>
        </w:tc>
        <w:tc>
          <w:tcPr>
            <w:tcW w:w="2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5,762</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18,460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Accrued social welfare costs</w:t>
            </w:r>
          </w:p>
        </w:tc>
        <w:tc>
          <w:tcPr>
            <w:tcW w:w="2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3,124</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Lease accruals</w:t>
            </w:r>
          </w:p>
        </w:tc>
        <w:tc>
          <w:tcPr>
            <w:tcW w:w="2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1,123</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1,493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Short term government grants</w:t>
            </w:r>
          </w:p>
        </w:tc>
        <w:tc>
          <w:tcPr>
            <w:tcW w:w="2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pension liability</w:t>
            </w:r>
          </w:p>
        </w:tc>
        <w:tc>
          <w:tcPr>
            <w:tcW w:w="2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5,152</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4,724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Short term finance leases (Note 16)</w:t>
            </w:r>
          </w:p>
        </w:tc>
        <w:tc>
          <w:tcPr>
            <w:tcW w:w="2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193</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174</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4800" w:type="dxa"/>
            <w:vAlign w:val="bottom"/>
            <w:tcBorders>
              <w:bottom w:val="single" w:sz="8" w:color="auto"/>
            </w:tcBorders>
            <w:shd w:val="clear" w:color="auto" w:fill="CCEEFF"/>
          </w:tcPr>
          <w:p>
            <w:pPr>
              <w:spacing w:after="0"/>
              <w:rPr>
                <w:sz w:val="22"/>
                <w:szCs w:val="22"/>
                <w:color w:val="auto"/>
              </w:rPr>
            </w:pPr>
          </w:p>
        </w:tc>
        <w:tc>
          <w:tcPr>
            <w:tcW w:w="2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33,184</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51,956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8. Bank Loans</w:t>
            </w: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December 31,</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(in thousands)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Bank credit lines and facilities</w:t>
            </w:r>
          </w:p>
        </w:tc>
        <w:tc>
          <w:tcPr>
            <w:tcW w:w="2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4,856</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(43,767)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3, 2003, ICON plc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facility were secured by certain composite guarantees and indemnities and pledges in favour of the banks. On July 9, 2007, ICON plc entered into a five year committed multi-currency facility agreement for €35 million ($51.1 million) with The Governor and Company of the Bank of Ireland. This facility replaces the facilities negotiated in July 2003. The current facility bears interest at an annual rate equal to the reference rate of EURIBOR plus a margin. On July 10, 2007, the Company drew down €29.5 million ($43.1 million) of the facility to fund the acquisition of DOCS International. On October 15, 2007, the remaining €5.5 million ($8 million) of the facility was drawn down to cover head office expansion in Ireland.</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17, 2007, a credit facility was negotiated with Allied Irish Banks plc for €30 million ($43.8 million). This facility is structured as an uncommitted facility and interest is calculated at the EUR interbank rate plus a margin. The facility is secured by the same composite guarantees and indemnities in place for the ICON plc committed facility. The facility was fully drawn on December 31, 2007. The funds were used to refinance overdraft facilities which were in place to finance the expenditure to date on the head office expansion. On January 8, 2008, the uncommitted facility with Allied Irish Banks was increased to €50 million ($72.9 million). All terms of this facility remain the same. The facility is due to be reviewed on October 31,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The above facilities are repayable as follows:</w:t>
      </w:r>
    </w:p>
    <w:p>
      <w:pPr>
        <w:spacing w:after="0" w:line="248"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CCEEFF"/>
          </w:tcPr>
          <w:p>
            <w:pPr>
              <w:jc w:val="right"/>
              <w:ind w:right="4230"/>
              <w:spacing w:after="0"/>
              <w:rPr>
                <w:sz w:val="20"/>
                <w:szCs w:val="20"/>
                <w:color w:val="auto"/>
              </w:rPr>
            </w:pPr>
            <w:r>
              <w:rPr>
                <w:rFonts w:ascii="Arial" w:cs="Arial" w:eastAsia="Arial" w:hAnsi="Arial"/>
                <w:sz w:val="18"/>
                <w:szCs w:val="18"/>
                <w:color w:val="auto"/>
                <w:w w:val="84"/>
              </w:rPr>
              <w:t>2008</w:t>
            </w:r>
          </w:p>
        </w:tc>
        <w:tc>
          <w:tcPr>
            <w:tcW w:w="4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43,767</w:t>
            </w:r>
          </w:p>
        </w:tc>
      </w:tr>
      <w:tr>
        <w:trPr>
          <w:trHeight w:val="216"/>
        </w:trPr>
        <w:tc>
          <w:tcPr>
            <w:tcW w:w="4680" w:type="dxa"/>
            <w:vAlign w:val="bottom"/>
          </w:tcPr>
          <w:p>
            <w:pPr>
              <w:jc w:val="right"/>
              <w:ind w:right="4230"/>
              <w:spacing w:after="0"/>
              <w:rPr>
                <w:sz w:val="20"/>
                <w:szCs w:val="20"/>
                <w:color w:val="auto"/>
              </w:rPr>
            </w:pPr>
            <w:r>
              <w:rPr>
                <w:rFonts w:ascii="Arial" w:cs="Arial" w:eastAsia="Arial" w:hAnsi="Arial"/>
                <w:sz w:val="18"/>
                <w:szCs w:val="18"/>
                <w:color w:val="auto"/>
                <w:w w:val="84"/>
              </w:rPr>
              <w:t>2009</w:t>
            </w:r>
          </w:p>
        </w:tc>
        <w:tc>
          <w:tcPr>
            <w:tcW w:w="47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25,531</w:t>
            </w:r>
          </w:p>
        </w:tc>
      </w:tr>
      <w:tr>
        <w:trPr>
          <w:trHeight w:val="216"/>
        </w:trPr>
        <w:tc>
          <w:tcPr>
            <w:tcW w:w="4680" w:type="dxa"/>
            <w:vAlign w:val="bottom"/>
            <w:shd w:val="clear" w:color="auto" w:fill="CCEEFF"/>
          </w:tcPr>
          <w:p>
            <w:pPr>
              <w:jc w:val="right"/>
              <w:ind w:right="4230"/>
              <w:spacing w:after="0"/>
              <w:rPr>
                <w:sz w:val="20"/>
                <w:szCs w:val="20"/>
                <w:color w:val="auto"/>
              </w:rPr>
            </w:pPr>
            <w:r>
              <w:rPr>
                <w:rFonts w:ascii="Arial" w:cs="Arial" w:eastAsia="Arial" w:hAnsi="Arial"/>
                <w:sz w:val="18"/>
                <w:szCs w:val="18"/>
                <w:color w:val="auto"/>
                <w:w w:val="84"/>
              </w:rPr>
              <w:t>2010</w:t>
            </w:r>
          </w:p>
        </w:tc>
        <w:tc>
          <w:tcPr>
            <w:tcW w:w="47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25,531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average margin payable on the above mentioned facilities is 0.65 per cent.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available overdraft facility with Allied Irish Banks plc is €2 million ($2.9 million). The applicable interest rate when utilised is the bank’s prime rate and is repayable on demand if the Company defaults under its obligations as specified in the loan agreement. As of December 31, 2007, the facility was undrawn and available.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this plan are recorded, as an expense in the Consolidated Statement of Operations. Contributions for the year ended May 31, 2005, the seven month period ending December 31, 2005 and the years ended December 31, 2006 and December 31, 2007, were U.S.$3,443,000, U.S.$2,112,000, U.S.$4,837,000 and U.S.$7,306,000, respectively.</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 ended May 31, 2005, the seven month period ending December 31, 2005 and the years ended December 31, 2006 and December 31, 2007, were U.S.$2,540,000, U.S.$1,588,000, U.S.$ 3,428,000 and U.S.$4,488,000 respectively.</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One of the Company’s subsidiaries which was acquired during the 2003 fiscal year, Medeval Group Limited, operates a defined benefit pension plan in the United Kingdom for its employees. The plan is managed externally and the related pension costs and liabilities are assessed in accordance with the advice of a professionally qualified actuary. Plan assets at December 31, 2005, December 31, 2006 and December 31, 2007, consist of units held in independently administered funds. The pension costs of this plan are presented in the following tables in accordance with the requirements of SFAS No.158, </w:t>
      </w:r>
      <w:r>
        <w:rPr>
          <w:rFonts w:ascii="Arial" w:cs="Arial" w:eastAsia="Arial" w:hAnsi="Arial"/>
          <w:sz w:val="17"/>
          <w:szCs w:val="17"/>
          <w:i w:val="1"/>
          <w:iCs w:val="1"/>
          <w:color w:val="auto"/>
        </w:rPr>
        <w:t>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Defined Pension and Other Postretirement Plan</w:t>
      </w:r>
      <w:r>
        <w:rPr>
          <w:rFonts w:ascii="Arial" w:cs="Arial" w:eastAsia="Arial" w:hAnsi="Arial"/>
          <w:sz w:val="17"/>
          <w:szCs w:val="17"/>
          <w:color w:val="auto"/>
        </w:rPr>
        <w:t>s. The plan is no longer open to new entrants.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30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period/year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11,323</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13,244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17,816</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Service cost</w:t>
            </w:r>
          </w:p>
        </w:tc>
        <w:tc>
          <w:tcPr>
            <w:tcW w:w="30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685</w:t>
            </w: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730</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30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Actuarial loss/(gain)</w:t>
            </w:r>
          </w:p>
        </w:tc>
        <w:tc>
          <w:tcPr>
            <w:tcW w:w="30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1,875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(4,722)</w:t>
            </w:r>
          </w:p>
        </w:tc>
      </w:t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30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2,000</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Benefit obligation at end of period/year</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13,244</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17,816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15,216</w:t>
            </w:r>
          </w:p>
        </w:tc>
      </w:tr>
      <w:tr>
        <w:trPr>
          <w:trHeight w:val="459"/>
        </w:trPr>
        <w:tc>
          <w:tcPr>
            <w:tcW w:w="20" w:type="dxa"/>
            <w:vAlign w:val="bottom"/>
          </w:tcPr>
          <w:p>
            <w:pPr>
              <w:spacing w:after="0"/>
              <w:rPr>
                <w:sz w:val="24"/>
                <w:szCs w:val="24"/>
                <w:color w:val="auto"/>
              </w:rPr>
            </w:pPr>
          </w:p>
        </w:tc>
        <w:tc>
          <w:tcPr>
            <w:tcW w:w="444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jc w:val="right"/>
              <w:ind w:right="1650"/>
              <w:spacing w:after="0"/>
              <w:rPr>
                <w:sz w:val="20"/>
                <w:szCs w:val="20"/>
                <w:color w:val="auto"/>
              </w:rPr>
            </w:pPr>
            <w:r>
              <w:rPr>
                <w:rFonts w:ascii="Arial" w:cs="Arial" w:eastAsia="Arial" w:hAnsi="Arial"/>
                <w:sz w:val="18"/>
                <w:szCs w:val="18"/>
                <w:color w:val="auto"/>
              </w:rPr>
              <w:t>74</w:t>
            </w:r>
          </w:p>
        </w:tc>
        <w:tc>
          <w:tcPr>
            <w:tcW w:w="1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8"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19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period/year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7,354</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8,092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13,092</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9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342</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1,218</w:t>
            </w: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9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808</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2,287</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9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9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19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1,353</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period/year</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8,092</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13,092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Funded status</w:t>
            </w:r>
          </w:p>
        </w:tc>
        <w:tc>
          <w:tcPr>
            <w:tcW w:w="28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(15,216)</w:t>
            </w:r>
          </w:p>
        </w:tc>
      </w:tr>
      <w:tr>
        <w:trPr>
          <w:trHeight w:val="223"/>
        </w:trPr>
        <w:tc>
          <w:tcPr>
            <w:tcW w:w="20" w:type="dxa"/>
            <w:vAlign w:val="bottom"/>
          </w:tcPr>
          <w:p>
            <w:pPr>
              <w:spacing w:after="0"/>
              <w:rPr>
                <w:sz w:val="19"/>
                <w:szCs w:val="19"/>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2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8,092</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13,092</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Unrecognized net loss</w:t>
            </w:r>
          </w:p>
        </w:tc>
        <w:tc>
          <w:tcPr>
            <w:tcW w:w="28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1,771</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(liability)/asset</w:t>
            </w:r>
          </w:p>
        </w:tc>
        <w:tc>
          <w:tcPr>
            <w:tcW w:w="2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(liability)/asset</w:t>
            </w:r>
          </w:p>
        </w:tc>
        <w:tc>
          <w:tcPr>
            <w:tcW w:w="2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Amounts included in other comprehensive income consist of:</w:t>
            </w:r>
          </w:p>
        </w:tc>
        <w:tc>
          <w:tcPr>
            <w:tcW w:w="1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5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actuarial loss recognized in net periodic benefit cost</w:t>
            </w:r>
          </w:p>
        </w:tc>
        <w:tc>
          <w:tcPr>
            <w:tcW w:w="1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other comprehensive income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w w:val="92"/>
              </w:rPr>
              <w:t>Amounts recognized in accumulated other comprehensive income that have not yet been</w:t>
            </w:r>
          </w:p>
        </w:tc>
        <w:tc>
          <w:tcPr>
            <w:tcW w:w="4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recognized as components of net periodic benefit/cost</w:t>
            </w:r>
          </w:p>
        </w:tc>
        <w:tc>
          <w:tcPr>
            <w:tcW w:w="4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loss/(gain)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Total amount in accumulated other comprehensive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2,220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684"/>
        </w:trPr>
        <w:tc>
          <w:tcPr>
            <w:tcW w:w="7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4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368</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cost</w:t>
            </w:r>
          </w:p>
        </w:tc>
        <w:tc>
          <w:tcPr>
            <w:tcW w:w="4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350</w:t>
            </w:r>
          </w:p>
        </w:tc>
        <w:tc>
          <w:tcPr>
            <w:tcW w:w="5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730</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loss</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433</w:t>
            </w:r>
          </w:p>
        </w:tc>
        <w:tc>
          <w:tcPr>
            <w:tcW w:w="5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837</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100" w:type="dxa"/>
            <w:vAlign w:val="bottom"/>
            <w:gridSpan w:val="2"/>
          </w:tcPr>
          <w:p>
            <w:pPr>
              <w:jc w:val="right"/>
              <w:ind w:right="121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The estimated net gain and prior service cost for the defined benefit pension plans that will be amortized from accumulated other comprehensive income into net periodic benefit cost over the next fiscal year are U.S.$0.01m and U.S.$nil,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Weighted average assumptions to determine benefit obligation</w:t>
            </w:r>
          </w:p>
        </w:tc>
        <w:tc>
          <w:tcPr>
            <w:tcW w:w="26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80" w:type="dxa"/>
            <w:vAlign w:val="bottom"/>
          </w:tcPr>
          <w:p>
            <w:pPr>
              <w:spacing w:after="0"/>
              <w:rPr>
                <w:sz w:val="20"/>
                <w:szCs w:val="20"/>
                <w:color w:val="auto"/>
              </w:rPr>
            </w:pPr>
          </w:p>
        </w:tc>
        <w:tc>
          <w:tcPr>
            <w:tcW w:w="2600" w:type="dxa"/>
            <w:vAlign w:val="bottom"/>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rate of return on plan assets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bl>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assets of the scheme are invested in a unitized with profits policy. The expected long-term rate of return on assets of 6.8% was calculated as the value of the unitized with profits fund after application of a market value reduction factor. The underlying asset split of the fund is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4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2"/>
        </w:trPr>
        <w:tc>
          <w:tcPr>
            <w:tcW w:w="4360" w:type="dxa"/>
            <w:vAlign w:val="bottom"/>
          </w:tcPr>
          <w:p>
            <w:pPr>
              <w:spacing w:after="0"/>
              <w:rPr>
                <w:sz w:val="21"/>
                <w:szCs w:val="21"/>
                <w:color w:val="auto"/>
              </w:rPr>
            </w:pPr>
          </w:p>
        </w:tc>
        <w:tc>
          <w:tcPr>
            <w:tcW w:w="4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360" w:type="dxa"/>
            <w:vAlign w:val="bottom"/>
          </w:tcPr>
          <w:p>
            <w:pPr>
              <w:spacing w:after="0"/>
              <w:rPr>
                <w:sz w:val="20"/>
                <w:szCs w:val="20"/>
                <w:color w:val="auto"/>
              </w:rPr>
            </w:pPr>
          </w:p>
        </w:tc>
        <w:tc>
          <w:tcPr>
            <w:tcW w:w="4420" w:type="dxa"/>
            <w:vAlign w:val="bottom"/>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Bonds</w:t>
            </w:r>
          </w:p>
        </w:tc>
        <w:tc>
          <w:tcPr>
            <w:tcW w:w="44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4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Cash/other</w:t>
            </w:r>
          </w:p>
        </w:tc>
        <w:tc>
          <w:tcPr>
            <w:tcW w:w="44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4360" w:type="dxa"/>
            <w:vAlign w:val="bottom"/>
            <w:tcBorders>
              <w:bottom w:val="single" w:sz="8" w:color="auto"/>
            </w:tcBorders>
            <w:shd w:val="clear" w:color="auto" w:fill="CCEEFF"/>
          </w:tcPr>
          <w:p>
            <w:pPr>
              <w:spacing w:after="0"/>
              <w:rPr>
                <w:sz w:val="19"/>
                <w:szCs w:val="19"/>
                <w:color w:val="auto"/>
              </w:rPr>
            </w:pPr>
          </w:p>
        </w:tc>
        <w:tc>
          <w:tcPr>
            <w:tcW w:w="4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360" w:type="dxa"/>
            <w:vAlign w:val="bottom"/>
          </w:tcPr>
          <w:p>
            <w:pPr>
              <w:spacing w:after="0"/>
              <w:rPr>
                <w:sz w:val="18"/>
                <w:szCs w:val="18"/>
                <w:color w:val="auto"/>
              </w:rPr>
            </w:pPr>
          </w:p>
        </w:tc>
        <w:tc>
          <w:tcPr>
            <w:tcW w:w="4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7"/>
        </w:trPr>
        <w:tc>
          <w:tcPr>
            <w:tcW w:w="4360" w:type="dxa"/>
            <w:vAlign w:val="bottom"/>
            <w:shd w:val="clear" w:color="auto" w:fill="000000"/>
          </w:tcPr>
          <w:p>
            <w:pPr>
              <w:spacing w:after="0"/>
              <w:rPr>
                <w:sz w:val="2"/>
                <w:szCs w:val="2"/>
                <w:color w:val="auto"/>
              </w:rPr>
            </w:pPr>
          </w:p>
        </w:tc>
        <w:tc>
          <w:tcPr>
            <w:tcW w:w="4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accumulated benefit obligation for the defined pension plans was $15.2 million at December 31, 2007 (December 31, 2006: $17.8 million; December 31, 2005: $13.2 million). With effect from July 1, 2003, the scheme was closed to new entrants. The Company expects to contribute $0.4 million to its pension fund in the year ending December 31, 2008.</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tcPr>
          <w:p>
            <w:pPr>
              <w:spacing w:after="0"/>
              <w:rPr>
                <w:sz w:val="20"/>
                <w:szCs w:val="20"/>
                <w:color w:val="auto"/>
              </w:rPr>
            </w:pPr>
            <w:r>
              <w:rPr>
                <w:rFonts w:ascii="Arial" w:cs="Arial" w:eastAsia="Arial" w:hAnsi="Arial"/>
                <w:sz w:val="18"/>
                <w:szCs w:val="18"/>
                <w:b w:val="1"/>
                <w:bCs w:val="1"/>
                <w:color w:val="auto"/>
                <w:w w:val="92"/>
              </w:rPr>
              <w:t>Accumulated other comprehensive income expected to be recognized as periodic benefit cost over the next financial year</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9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34"/>
        </w:trPr>
        <w:tc>
          <w:tcPr>
            <w:tcW w:w="9700" w:type="dxa"/>
            <w:vAlign w:val="bottom"/>
          </w:tcPr>
          <w:p>
            <w:pPr>
              <w:spacing w:after="0"/>
              <w:rPr>
                <w:sz w:val="20"/>
                <w:szCs w:val="20"/>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(in thousands)</w:t>
            </w:r>
          </w:p>
        </w:tc>
      </w:tr>
      <w:tr>
        <w:trPr>
          <w:trHeight w:val="223"/>
        </w:trPr>
        <w:tc>
          <w:tcPr>
            <w:tcW w:w="9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gain</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3"/>
          </w:tcPr>
          <w:p>
            <w:pPr>
              <w:spacing w:after="0"/>
              <w:rPr>
                <w:sz w:val="20"/>
                <w:szCs w:val="20"/>
                <w:color w:val="auto"/>
              </w:rPr>
            </w:pPr>
            <w:r>
              <w:rPr>
                <w:rFonts w:ascii="Arial" w:cs="Arial" w:eastAsia="Arial" w:hAnsi="Arial"/>
                <w:sz w:val="18"/>
                <w:szCs w:val="18"/>
                <w:color w:val="auto"/>
                <w:w w:val="92"/>
              </w:rPr>
              <w:t>The following annual benefit payments, which reflect expected future service, as appropriate, are expected to be paid.</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Estimated future benefit payments</w:t>
            </w:r>
          </w:p>
        </w:tc>
        <w:tc>
          <w:tcPr>
            <w:tcW w:w="3740" w:type="dxa"/>
            <w:vAlign w:val="bottom"/>
            <w:gridSpan w:val="2"/>
          </w:tcPr>
          <w:p>
            <w:pPr>
              <w:jc w:val="right"/>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2009</w:t>
            </w:r>
          </w:p>
        </w:tc>
        <w:tc>
          <w:tcPr>
            <w:tcW w:w="3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2011</w:t>
            </w:r>
          </w:p>
        </w:tc>
        <w:tc>
          <w:tcPr>
            <w:tcW w:w="3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Years 2013 - 2017</w:t>
            </w:r>
          </w:p>
        </w:tc>
        <w:tc>
          <w:tcPr>
            <w:tcW w:w="3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the Scheme assets. The above cash flows have been estimated on the assumption that pension will be paid monthly out of the Scheme assets. If annuities are purchased, then the expected benefit payments will be significantly different from those shown above.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w w:val="93"/>
              </w:rPr>
              <w:t>Transitional disclosure of impact of FAS 158 in the year ended December 31,</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Before</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Adjustments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2006, the first year of implementation:</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implementation</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of</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implementation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FAS 158</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of FAS 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pension benefits</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3,124</w:t>
            </w:r>
          </w:p>
        </w:tc>
        <w:tc>
          <w:tcPr>
            <w:tcW w:w="5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173,603</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14,500</w:t>
            </w:r>
          </w:p>
        </w:tc>
        <w:tc>
          <w:tcPr>
            <w:tcW w:w="5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152,142</w:t>
            </w:r>
          </w:p>
        </w:tc>
        <w:tc>
          <w:tcPr>
            <w:tcW w:w="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Medeval Group Limited pension and life assurance scheme.</w:t>
      </w:r>
    </w:p>
    <w:p>
      <w:pPr>
        <w:spacing w:after="0" w:line="256"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 assets of the Scheme are invested in the Norwich Union With-Profit Fund and the Legal &amp; General Global Equity Fixed Weights (50:50) Index Fund. The aim of the Index Fund is to capture the returns of the UK and overseas equity markets with a more even investment in UK and overseas equities than would be provided by reference to market capitalization or consensus weights. The aim of the With-Profits Fund is to provide good investment returns through steady growth over the duration of the policy. Although market fluctuations of investment return are smoothed through the declaration of annual bonuses, the investment objective is to provide payments which reflect the actual investment returns achieved by the Scheme over the long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Allocation</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asset distribution of the Legal &amp; General Fund is 50% UK Equities and 50% global equities. The asset distribution of the Norwich Union With-Profits Fund at December 31, 2006, (the most up to date available)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50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UK Equities</w:t>
            </w: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Overseas Equities</w:t>
            </w:r>
          </w:p>
        </w:tc>
        <w:tc>
          <w:tcPr>
            <w:tcW w:w="50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UK Fixed Interest</w:t>
            </w:r>
          </w:p>
        </w:tc>
        <w:tc>
          <w:tcPr>
            <w:tcW w:w="50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Overseas Bonds</w:t>
            </w:r>
          </w:p>
        </w:tc>
        <w:tc>
          <w:tcPr>
            <w:tcW w:w="50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4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5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4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Bonuses paid under the Unitised With-Profits policy which is invested in the Norwich Union With-Profit Fund consist of regular bonuses and final bonuses which are explained below in further detail.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Norwich Union Regular Bonus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Premiums paid under the Norwich Union policy are used to buy units which increase in price daily in line with the current Regular Bonus rate. The Regular Bonus rate is normally declared at the end of each calendar year and remains in force until further notice.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Regular Bonuses have been declared at the following levels:</w:t>
            </w:r>
          </w:p>
        </w:tc>
        <w:tc>
          <w:tcPr>
            <w:tcW w:w="5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18"/>
                <w:szCs w:val="18"/>
                <w:b w:val="1"/>
                <w:bCs w:val="1"/>
                <w:color w:val="auto"/>
              </w:rPr>
              <w:t>Regular Bonus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5280" w:type="dxa"/>
            <w:vAlign w:val="bottom"/>
          </w:tcPr>
          <w:p>
            <w:pPr>
              <w:jc w:val="right"/>
              <w:spacing w:after="0"/>
              <w:rPr>
                <w:sz w:val="20"/>
                <w:szCs w:val="20"/>
                <w:color w:val="auto"/>
              </w:rPr>
            </w:pPr>
            <w:r>
              <w:rPr>
                <w:rFonts w:ascii="Arial" w:cs="Arial" w:eastAsia="Arial" w:hAnsi="Arial"/>
                <w:sz w:val="18"/>
                <w:szCs w:val="18"/>
                <w:b w:val="1"/>
                <w:bCs w:val="1"/>
                <w:color w:val="auto"/>
              </w:rPr>
              <w:t>% per annum</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August 1, 2002</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December 31, 2002</w:t>
            </w:r>
          </w:p>
        </w:tc>
        <w:tc>
          <w:tcPr>
            <w:tcW w:w="5280" w:type="dxa"/>
            <w:vAlign w:val="bottom"/>
          </w:tcPr>
          <w:p>
            <w:pPr>
              <w:jc w:val="right"/>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December 31, 2004</w:t>
            </w:r>
          </w:p>
        </w:tc>
        <w:tc>
          <w:tcPr>
            <w:tcW w:w="5280" w:type="dxa"/>
            <w:vAlign w:val="bottom"/>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December 31, 2006</w:t>
            </w:r>
          </w:p>
        </w:tc>
        <w:tc>
          <w:tcPr>
            <w:tcW w:w="5280" w:type="dxa"/>
            <w:vAlign w:val="bottom"/>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280" w:type="dxa"/>
            <w:vAlign w:val="bottom"/>
          </w:tcPr>
          <w:p>
            <w:pPr>
              <w:jc w:val="right"/>
              <w:ind w:right="4390"/>
              <w:spacing w:after="0"/>
              <w:rPr>
                <w:sz w:val="20"/>
                <w:szCs w:val="20"/>
                <w:color w:val="auto"/>
              </w:rPr>
            </w:pPr>
            <w:r>
              <w:rPr>
                <w:rFonts w:ascii="Arial" w:cs="Arial" w:eastAsia="Arial" w:hAnsi="Arial"/>
                <w:sz w:val="18"/>
                <w:szCs w:val="18"/>
                <w:color w:val="auto"/>
              </w:rPr>
              <w:t>77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52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Norwich Union Final Bonus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purpose of the Final Bonus is to enable the investment return provided by the policy to reflect more closely what has actually been earned over its lifetime. Final Bonus is added when units are cashed and is taken into account in calculating the market value of the policy. The last units purchased are the first units cashed. The amount of Final Bonus depends on the year units were purchased. A scale of bonus rates is normally declared at the end of each calendar year and remains in force until further notice. The scale can be altered during the year.</w:t>
      </w:r>
    </w:p>
    <w:p>
      <w:pPr>
        <w:spacing w:after="0" w:line="21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When units are cashed a Market Value Reduction (“MVR”) scale may be applied instead of a Final Bonus Scale. This reduction may be applied at any time except when units are cashed to provide a member’s normal retirement benefits or because of a member’s death before retirement.</w:t>
      </w:r>
    </w:p>
    <w:p>
      <w:pPr>
        <w:spacing w:after="0" w:line="17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 MVR is applied when the value of the units plus the Final Bonus is significantly greater than the value of the underlying investments. It is applied so that non-contracted encashments do not result in more than the fair share of the fund being taken in times of poor performance in the stock market and other asset types in which Norwich Union’s With-Profits Fund is invested.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Year units purchased</w:t>
            </w:r>
          </w:p>
        </w:tc>
        <w:tc>
          <w:tcPr>
            <w:tcW w:w="3520" w:type="dxa"/>
            <w:vAlign w:val="bottom"/>
          </w:tcPr>
          <w:p>
            <w:pPr>
              <w:jc w:val="right"/>
              <w:ind w:right="190"/>
              <w:spacing w:after="0"/>
              <w:rPr>
                <w:sz w:val="20"/>
                <w:szCs w:val="20"/>
                <w:color w:val="auto"/>
              </w:rPr>
            </w:pPr>
            <w:r>
              <w:rPr>
                <w:rFonts w:ascii="Arial" w:cs="Arial" w:eastAsia="Arial" w:hAnsi="Arial"/>
                <w:sz w:val="18"/>
                <w:szCs w:val="18"/>
                <w:b w:val="1"/>
                <w:bCs w:val="1"/>
                <w:color w:val="auto"/>
              </w:rPr>
              <w:t>Final Bonus</w:t>
            </w: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Final Bonus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(including MVR)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3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2003</w:t>
            </w:r>
          </w:p>
        </w:tc>
        <w:tc>
          <w:tcPr>
            <w:tcW w:w="35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2005</w:t>
            </w:r>
          </w:p>
        </w:tc>
        <w:tc>
          <w:tcPr>
            <w:tcW w:w="35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2007</w:t>
            </w:r>
          </w:p>
        </w:tc>
        <w:tc>
          <w:tcPr>
            <w:tcW w:w="35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Rate of Return</w:t>
      </w:r>
    </w:p>
    <w:p>
      <w:pPr>
        <w:spacing w:after="0" w:line="2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At December 31, 2007, UK gilts were yielding around 4.5% per annum. This is often referred to as the risk free rate of return as UK gilts have a negligible risk of default and the income payments and capital on redemption are guaranteed by the UK Government. Overseas bonds have been assumed to produce returns in line with UK gilts.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 long term equity “risk-premium” of 3.1% per annum has been assumed. This being the expected long-term out-performance of equities over UK</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gilts. Property has been assumed to provide a return in line with equities over the long term, but with a 0.5% reduction. This represents the iboxx AA 15 year plus return. An expected out-performance of 1.5% per annum over the long term for corporate bonds over UK gilts has been assumed.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color w:val="auto"/>
                <w:w w:val="94"/>
              </w:rPr>
              <w:t>The expected long term rates of return on different asset classes over the long term are as follows:</w:t>
            </w:r>
          </w:p>
        </w:tc>
        <w:tc>
          <w:tcPr>
            <w:tcW w:w="1720" w:type="dxa"/>
            <w:vAlign w:val="bottom"/>
          </w:tcPr>
          <w:p>
            <w:pPr>
              <w:spacing w:after="0"/>
              <w:rPr>
                <w:sz w:val="20"/>
                <w:szCs w:val="20"/>
                <w:color w:val="auto"/>
              </w:rPr>
            </w:pPr>
          </w:p>
        </w:tc>
      </w:tr>
      <w:tr>
        <w:trPr>
          <w:trHeight w:val="441"/>
        </w:trPr>
        <w:tc>
          <w:tcPr>
            <w:tcW w:w="742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Expected long-</w:t>
            </w:r>
          </w:p>
        </w:tc>
      </w:tr>
      <w:tr>
        <w:trPr>
          <w:trHeight w:val="216"/>
        </w:trPr>
        <w:tc>
          <w:tcPr>
            <w:tcW w:w="742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term</w:t>
            </w:r>
          </w:p>
        </w:tc>
      </w:tr>
      <w:tr>
        <w:trPr>
          <w:trHeight w:val="216"/>
        </w:trPr>
        <w:tc>
          <w:tcPr>
            <w:tcW w:w="742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return per</w:t>
            </w:r>
          </w:p>
        </w:tc>
      </w:tr>
      <w:tr>
        <w:trPr>
          <w:trHeight w:val="234"/>
        </w:trPr>
        <w:tc>
          <w:tcPr>
            <w:tcW w:w="742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annum</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UK equities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Overseas equities</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UK Gilts</w:t>
            </w:r>
          </w:p>
        </w:tc>
        <w:tc>
          <w:tcPr>
            <w:tcW w:w="1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Overseas bonds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Corporate bonds</w:t>
            </w:r>
          </w:p>
        </w:tc>
        <w:tc>
          <w:tcPr>
            <w:tcW w:w="1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pacing w:after="0" w:line="27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Applying the above expected long term rates of return to the asset distribution of the With-Profits Fund at December 31, 2007, gives rise to an expected overall rate of return of scheme assets of around 7.1% per annum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Options and Stock Compensation Charges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its share options in accordance with the provisions of SFAS No. 123R, </w:t>
      </w:r>
      <w:r>
        <w:rPr>
          <w:rFonts w:ascii="Arial" w:cs="Arial" w:eastAsia="Arial" w:hAnsi="Arial"/>
          <w:sz w:val="18"/>
          <w:szCs w:val="18"/>
          <w:i w:val="1"/>
          <w:iCs w:val="1"/>
          <w:color w:val="auto"/>
        </w:rPr>
        <w:t>Share Based Payment</w:t>
      </w:r>
      <w:r>
        <w:rPr>
          <w:rFonts w:ascii="Arial" w:cs="Arial" w:eastAsia="Arial" w:hAnsi="Arial"/>
          <w:sz w:val="18"/>
          <w:szCs w:val="18"/>
          <w:color w:val="auto"/>
        </w:rPr>
        <w:t>. SFAS 123R requires that all share based payments to employees, including stock options granted, be recognized in the financial statements based on their grant date fair values. The Company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year ended December 31,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aggregate of 3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200,000 ordinary shares.</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2007, is eight years. No options can be granted after January 17, 2013.</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December 2004, the Financial Accounting Standards Board (“FASB”) issued Statement of Accounting Standards (“SFAS”) 123 (revised 2004), </w:t>
      </w:r>
      <w:r>
        <w:rPr>
          <w:rFonts w:ascii="Arial" w:cs="Arial" w:eastAsia="Arial" w:hAnsi="Arial"/>
          <w:sz w:val="16"/>
          <w:szCs w:val="16"/>
          <w:i w:val="1"/>
          <w:iCs w:val="1"/>
          <w:color w:val="auto"/>
        </w:rPr>
        <w:t>Share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Based Payment </w:t>
      </w:r>
      <w:r>
        <w:rPr>
          <w:rFonts w:ascii="Arial" w:cs="Arial" w:eastAsia="Arial" w:hAnsi="Arial"/>
          <w:sz w:val="16"/>
          <w:szCs w:val="16"/>
          <w:color w:val="auto"/>
        </w:rPr>
        <w:t>(“SFAS 123R”) which replaced SFAS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and supersedes Accounting Principles Board (“APB”)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auto"/>
        </w:rPr>
        <w:t>The following table summarizes the transactions for the Company’s share option plans for the year ended May 31, 2005, the seven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and the years ended December 31, 2006, and December 31, 2007: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Options</w:t>
            </w: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Granted</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Prior to</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Granted</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Grant</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Jan 15,</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Under Plans *</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 *</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Date Fair</w:t>
            </w:r>
          </w:p>
        </w:tc>
      </w:t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1998 *</w:t>
            </w: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Value *</w:t>
            </w: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May 31, 2004</w:t>
            </w:r>
          </w:p>
        </w:tc>
        <w:tc>
          <w:tcPr>
            <w:tcW w:w="17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94,140</w:t>
            </w:r>
          </w:p>
        </w:tc>
        <w:tc>
          <w:tcPr>
            <w:tcW w:w="15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1,893,004</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1,987,144</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855,460</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855,460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17.20</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(121,240)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(144,880)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(144,880)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May 31, 2005</w:t>
            </w: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94,140</w:t>
            </w:r>
          </w:p>
        </w:tc>
        <w:tc>
          <w:tcPr>
            <w:tcW w:w="1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2,482,344</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2,576,484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Exercised</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(80,000)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(157,992)</w:t>
            </w:r>
          </w:p>
        </w:tc>
        <w:tc>
          <w:tcPr>
            <w:tcW w:w="1200" w:type="dxa"/>
            <w:vAlign w:val="bottom"/>
          </w:tcPr>
          <w:p>
            <w:pPr>
              <w:jc w:val="right"/>
              <w:spacing w:after="0"/>
              <w:rPr>
                <w:sz w:val="20"/>
                <w:szCs w:val="20"/>
                <w:color w:val="auto"/>
              </w:rPr>
            </w:pPr>
            <w:r>
              <w:rPr>
                <w:rFonts w:ascii="Arial" w:cs="Arial" w:eastAsia="Arial" w:hAnsi="Arial"/>
                <w:sz w:val="18"/>
                <w:szCs w:val="18"/>
                <w:color w:val="auto"/>
              </w:rPr>
              <w:t>(237,992)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Cancelled</w:t>
            </w: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(74,200)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December 31, 2005</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14,140</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2,250,152</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2,264,292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15.75</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818,502</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818,502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Exercised</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(14,140)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(467,528)</w:t>
            </w:r>
          </w:p>
        </w:tc>
        <w:tc>
          <w:tcPr>
            <w:tcW w:w="1200" w:type="dxa"/>
            <w:vAlign w:val="bottom"/>
          </w:tcPr>
          <w:p>
            <w:pPr>
              <w:jc w:val="right"/>
              <w:spacing w:after="0"/>
              <w:rPr>
                <w:sz w:val="20"/>
                <w:szCs w:val="20"/>
                <w:color w:val="auto"/>
              </w:rPr>
            </w:pPr>
            <w:r>
              <w:rPr>
                <w:rFonts w:ascii="Arial" w:cs="Arial" w:eastAsia="Arial" w:hAnsi="Arial"/>
                <w:sz w:val="18"/>
                <w:szCs w:val="18"/>
                <w:color w:val="auto"/>
              </w:rPr>
              <w:t>(481,668)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Cancelled</w:t>
            </w: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(279,274)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(279,274)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December 31, 2006</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2,321,852</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2,321,852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7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625,715</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625,715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Exercised</w:t>
            </w:r>
          </w:p>
        </w:tc>
        <w:tc>
          <w:tcPr>
            <w:tcW w:w="178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(317,392)</w:t>
            </w:r>
          </w:p>
        </w:tc>
        <w:tc>
          <w:tcPr>
            <w:tcW w:w="1200" w:type="dxa"/>
            <w:vAlign w:val="bottom"/>
          </w:tcPr>
          <w:p>
            <w:pPr>
              <w:jc w:val="right"/>
              <w:spacing w:after="0"/>
              <w:rPr>
                <w:sz w:val="20"/>
                <w:szCs w:val="20"/>
                <w:color w:val="auto"/>
              </w:rPr>
            </w:pPr>
            <w:r>
              <w:rPr>
                <w:rFonts w:ascii="Arial" w:cs="Arial" w:eastAsia="Arial" w:hAnsi="Arial"/>
                <w:sz w:val="18"/>
                <w:szCs w:val="18"/>
                <w:color w:val="auto"/>
              </w:rPr>
              <w:t>(317,392)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16.69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Cancelled</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(142,112)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(142,112)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December 31, 2007</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2,488,063</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2,488,063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December 31, 2007</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679,114</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679,114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Unvested at December 31, 2007</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1,808,949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1,808,949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26.47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Comparative figures have been amended to reflect the Bonus Issue, (Stock Split) which took place with an effective date of October 13, 2006.</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Non vested shares outstanding as at December 31, 2007,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Weighted</w:t>
            </w: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Average</w:t>
            </w: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Exercise Price</w:t>
            </w: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December 31, 2006</w:t>
            </w:r>
          </w:p>
        </w:tc>
        <w:tc>
          <w:tcPr>
            <w:tcW w:w="4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1,788,308</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625,715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Vested</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(530,488)</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(74,586)</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December 31, 2007</w:t>
            </w:r>
          </w:p>
        </w:tc>
        <w:tc>
          <w:tcPr>
            <w:tcW w:w="4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1,808,949</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500" w:type="dxa"/>
            <w:vAlign w:val="bottom"/>
            <w:tcBorders>
              <w:top w:val="single" w:sz="8" w:color="CCEEFF"/>
            </w:tcBorders>
          </w:tcPr>
          <w:p>
            <w:pPr>
              <w:spacing w:after="0"/>
              <w:rPr>
                <w:sz w:val="24"/>
                <w:szCs w:val="24"/>
                <w:color w:val="auto"/>
              </w:rPr>
            </w:pPr>
          </w:p>
        </w:tc>
        <w:tc>
          <w:tcPr>
            <w:tcW w:w="2920" w:type="dxa"/>
            <w:vAlign w:val="bottom"/>
            <w:tcBorders>
              <w:top w:val="single" w:sz="8" w:color="CCEEFF"/>
            </w:tcBorders>
          </w:tcPr>
          <w:p>
            <w:pPr>
              <w:jc w:val="right"/>
              <w:ind w:right="1550"/>
              <w:spacing w:after="0"/>
              <w:rPr>
                <w:sz w:val="20"/>
                <w:szCs w:val="20"/>
                <w:color w:val="auto"/>
              </w:rPr>
            </w:pPr>
            <w:r>
              <w:rPr>
                <w:rFonts w:ascii="Arial" w:cs="Arial" w:eastAsia="Arial" w:hAnsi="Arial"/>
                <w:sz w:val="18"/>
                <w:szCs w:val="18"/>
                <w:color w:val="auto"/>
              </w:rPr>
              <w:t>80</w:t>
            </w: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84" w:name="page85"/>
    <w:bookmarkEnd w:id="84"/>
    <w:p>
      <w:pPr>
        <w:jc w:val="both"/>
        <w:spacing w:after="0" w:line="264" w:lineRule="auto"/>
        <w:rPr>
          <w:sz w:val="20"/>
          <w:szCs w:val="20"/>
          <w:color w:val="auto"/>
        </w:rPr>
      </w:pPr>
      <w:r>
        <w:rPr>
          <w:rFonts w:ascii="Arial" w:cs="Arial" w:eastAsia="Arial" w:hAnsi="Arial"/>
          <w:sz w:val="18"/>
          <w:szCs w:val="18"/>
          <w:color w:val="auto"/>
        </w:rPr>
        <w:t>The weighted average fair value of options granted during the year was U.S.$17.77. The weighted average remaining contractual life of options outstanding and exercisable at December 31, 2007, was 5.47 years and 4.45 years respectively. 499,445 options are expected to vest during the year ended December 31, 2008.</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530,488 options vested during the year and the weighted average fair value of these options was U.S.$8.81. There were 142,112 options cancelled during the year and the weighted average fair value of these options was U.S.$10.64.</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options exercised during the year was U.S.$14,338,033. The Company calculated the intrinsic value at the market value of options as at December 31, 2007, as per SFAS 123R. The aggregate intrinsic value of options outstanding and exercisable as at December 31, 2007, was U.S.$92,876,041 and U.S.$28,860,155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total tax benefit recognized in additional paid in capital related to the compensation charge during the year was U.S.$1.5 million (2006: U.S.$1.3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 The total compensation cost capitalized during the year was U.S.$nil (2006: U.S.$nil).</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compensation cost not yet recognized at December 31, 2007, was U.S.$11.8 million and the weighted average period over which this is expected to be recognized is 2.2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exercisable share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2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Options Outstanding</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540" w:type="dxa"/>
            <w:vAlign w:val="bottom"/>
            <w:gridSpan w:val="4"/>
          </w:tcPr>
          <w:p>
            <w:pPr>
              <w:ind w:left="80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Weighted</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ind w:right="450"/>
              <w:spacing w:after="0"/>
              <w:rPr>
                <w:sz w:val="20"/>
                <w:szCs w:val="20"/>
                <w:color w:val="auto"/>
              </w:rPr>
            </w:pPr>
            <w:r>
              <w:rPr>
                <w:rFonts w:ascii="Arial" w:cs="Arial" w:eastAsia="Arial" w:hAnsi="Arial"/>
                <w:sz w:val="18"/>
                <w:szCs w:val="18"/>
                <w:b w:val="1"/>
                <w:bCs w:val="1"/>
                <w:color w:val="auto"/>
              </w:rPr>
              <w:t>Range</w:t>
            </w:r>
          </w:p>
        </w:tc>
        <w:tc>
          <w:tcPr>
            <w:tcW w:w="1660" w:type="dxa"/>
            <w:vAlign w:val="bottom"/>
          </w:tcPr>
          <w:p>
            <w:pPr>
              <w:spacing w:after="0"/>
              <w:rPr>
                <w:sz w:val="18"/>
                <w:szCs w:val="18"/>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460" w:type="dxa"/>
            <w:vAlign w:val="bottom"/>
          </w:tcPr>
          <w:p>
            <w:pPr>
              <w:spacing w:after="0"/>
              <w:rPr>
                <w:sz w:val="18"/>
                <w:szCs w:val="18"/>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Weighted</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ind w:right="450"/>
              <w:spacing w:after="0"/>
              <w:rPr>
                <w:sz w:val="20"/>
                <w:szCs w:val="20"/>
                <w:color w:val="auto"/>
              </w:rPr>
            </w:pPr>
            <w:r>
              <w:rPr>
                <w:rFonts w:ascii="Arial" w:cs="Arial" w:eastAsia="Arial" w:hAnsi="Arial"/>
                <w:sz w:val="18"/>
                <w:szCs w:val="18"/>
                <w:b w:val="1"/>
                <w:bCs w:val="1"/>
                <w:color w:val="auto"/>
              </w:rPr>
              <w:t>Exercise</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Remaining</w:t>
            </w:r>
          </w:p>
        </w:tc>
        <w:tc>
          <w:tcPr>
            <w:tcW w:w="460" w:type="dxa"/>
            <w:vAlign w:val="bottom"/>
          </w:tcPr>
          <w:p>
            <w:pPr>
              <w:spacing w:after="0"/>
              <w:rPr>
                <w:sz w:val="18"/>
                <w:szCs w:val="18"/>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Average</w:t>
            </w: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5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450"/>
              <w:spacing w:after="0"/>
              <w:rPr>
                <w:sz w:val="20"/>
                <w:szCs w:val="20"/>
                <w:color w:val="auto"/>
              </w:rPr>
            </w:pPr>
            <w:r>
              <w:rPr>
                <w:rFonts w:ascii="Arial" w:cs="Arial" w:eastAsia="Arial" w:hAnsi="Arial"/>
                <w:sz w:val="18"/>
                <w:szCs w:val="18"/>
                <w:b w:val="1"/>
                <w:bCs w:val="1"/>
                <w:color w:val="auto"/>
              </w:rPr>
              <w:t>Price</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Contractual Life</w:t>
            </w:r>
          </w:p>
        </w:tc>
        <w:tc>
          <w:tcPr>
            <w:tcW w:w="460" w:type="dxa"/>
            <w:vAlign w:val="bottom"/>
          </w:tcPr>
          <w:p>
            <w:pPr>
              <w:spacing w:after="0"/>
              <w:rPr>
                <w:sz w:val="20"/>
                <w:szCs w:val="20"/>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Exercise Price</w:t>
            </w: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5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10.63</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10,060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10.63</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10,060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13.25</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16,000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13.25</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16,000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14.00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192,416</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14.00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121,858</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14.50</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76,500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2.08</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14.50</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76,500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17.20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605,500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17.20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115,708</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17.75</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344,536</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4.17</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17.75</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147,145</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20.84</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6.08</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20.84</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22.00</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552,751</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6.17</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22.00</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129,543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34.60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34.60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35.99</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58,000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6.08</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35.99</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42.50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587,775</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42.50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49,900</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43.51</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1,225</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7.33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50"/>
              <w:spacing w:after="0"/>
              <w:rPr>
                <w:sz w:val="20"/>
                <w:szCs w:val="20"/>
                <w:color w:val="auto"/>
              </w:rPr>
            </w:pPr>
            <w:r>
              <w:rPr>
                <w:rFonts w:ascii="Arial" w:cs="Arial" w:eastAsia="Arial" w:hAnsi="Arial"/>
                <w:sz w:val="18"/>
                <w:szCs w:val="18"/>
                <w:color w:val="auto"/>
              </w:rPr>
              <w:t>43.51</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45.20</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7.67</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45.20</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53.77</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300</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7.83</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53.77</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10.63 - $53.77</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2,488,063</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5.47</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24.53</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679,114</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options granted at exercise prices from $14.50 to $53.77 vest over a five year period from the date of grant. Options granted at exercise prices from $10.63 to $14.00 have fully vested at December 31, 2007.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Fair value of Stock Options Assumptions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grant for periods corresponding with the expected life of the option.</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weighted average fair value of stock options granted during the year ended May 31, 2005, calculated using the Black-Scholes option pricing model, was $17.09 using the following assumptions; expected dividend yield - 0%, risk free interest rate – 4.02%, expected volatility - 50% and expected life – 4.8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during the seven months ended December 31, 2005.</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fair value of stock options granted during the year ended December 31, 2006, calculated using the Black-Scholes option pricing model, was $10.39 using the following assumptions; expected dividend yield - 0%, risk free interest rate – 4.68%, expected volatility - 45% and expected life – 4.8 years.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fair value of stock options granted during the year ended December 31, 2007, calculated using the Black-Scholes option pricing model, was $17.77 using the following assumptions; expected dividend yield - 0%, risk free interest rate – 4.7%, expected volatility - 40% and expected life – 5.11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cost recognized in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for the year ended December 31, 2007, is stated after charging $5.7 million in respect of non-cash stock compensation</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expense. Basic and diluted earnings per share for the year ended December 31, 2007, had SFAS 123R not been introduced would have been $2.15 and $2.06 respectively. Non-cash stock compensation expense for the year ended December 31, 2007, has been allocated to direct costs and selling, general and administrative expenses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Seven</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Year Ended</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Months</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Ended</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8"/>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compensation costs</w:t>
            </w:r>
          </w:p>
        </w:tc>
        <w:tc>
          <w:tcPr>
            <w:tcW w:w="2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December 6, 2005, Dr. Ronan Lambe and Dr. John Climax gifted 128,000 and 160,000 ADSs, respectively, to Mr. Peter Gray, the Company’s Chief Executive Officer. The Company has accounted for these transfers of equity instruments from shareholders to Mr. Gray as share based payment transactions, and recorded a compensation expense of $6,024,000 in its Statement of Operations, measured by reference to the fair value of the ADSs on the grant date. As this transaction is a transfer of already issued stock between officers and directors of the Company, the expense recorded had no cash flow impact on the Company and created no dilution of ordinary shares outstanding. The fair value of the ADSs on the date of gift was determined by reference to market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11. Government Grants</w:t>
            </w:r>
          </w:p>
        </w:tc>
        <w:tc>
          <w:tcPr>
            <w:tcW w:w="2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5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r>
      <w:tr>
        <w:trPr>
          <w:trHeight w:val="234"/>
        </w:trPr>
        <w:tc>
          <w:tcPr>
            <w:tcW w:w="5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Received</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2,225</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(1,153)</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(1,266)</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(1,384)</w:t>
            </w:r>
          </w:p>
        </w:tc>
      </w:tr>
      <w:tr>
        <w:trPr>
          <w:trHeight w:val="223"/>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2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197</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329</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1,269</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1,288</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r>
      <w:tr>
        <w:trPr>
          <w:trHeight w:val="22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23"/>
        </w:trPr>
        <w:tc>
          <w:tcPr>
            <w:tcW w:w="518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1,160</w:t>
            </w:r>
          </w:p>
        </w:tc>
        <w:tc>
          <w:tcPr>
            <w:tcW w:w="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1,170</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top w:val="single" w:sz="8" w:color="CCEEFF"/>
            </w:tcBorders>
          </w:tcPr>
          <w:p>
            <w:pPr>
              <w:spacing w:after="0"/>
              <w:rPr>
                <w:sz w:val="19"/>
                <w:szCs w:val="19"/>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Government grants amortized to the profit and loss account amounted to U.S.$199,000, U.S.$105,000, U.S.$113,000 and U.S.$117,000 for the year ended May 31, 2005, the seven month period ended December 31, 2005 and for the years ended December 31, 2006, and December 31, 2007, respectively. As of December 31, 2007, the Company had U.S.$1,351,000 in restricted retained earnings, pursuant to the terms of the grant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Capital</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ADSs and ordinary shares not otherwise represented by ADRs. Holders of ordinary shares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to May 31, 2005, 121,240 options were exercised by employees at an average exercise price of U.S.$11.56 per share for total proceeds of U.S.$1.4 million.</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seven month period to December 31, 2005, 237,992 options were exercised by employees at an average exercise price of U.S.$8.04 per share for total proceeds of U.S.$1.9 million.</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year ended December 31, 2006, 481,668 options were exercised by employees at an average exercise price of U.S.$13.87 per share for total proceeds of U.S.$6.7 million.</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year ended December 31, 2007, 317,392 options were exercised by employees at an average exercise price of U.S.$16.69 per share for total proceeds of U.S.$5.3 million.</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U.S. based and Irish based subsidiaries file tax returns in the United States and Ireland, respectively. The other foreign subsidiaries are taxed separately under the laws of their respective countries.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provision for income tax expense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Seven months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Year ended</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ended</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May 31,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13,795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31,212*</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39,063*</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(9,001)</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2,647</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12,l69*</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16,818*</w:t>
            </w: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14,792</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11,647</w:t>
            </w:r>
          </w:p>
        </w:tc>
        <w:tc>
          <w:tcPr>
            <w:tcW w:w="6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8,075</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provision for income taxes</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19,586</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12,824</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51,456</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Income as reported for the year ended December 31, 2007, for Ireland and United States is stated inclusive of stock compensation expense of $2.5 million (2006: $1.95 million) and $3.2 million (2006: $2.12 million) respectively (see Note 10: Share Options and Stock Compensation Charges).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rPr>
              <w:t>The components of total income tax expense are as follows:</w:t>
            </w: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Seven months</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Year ended</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ended</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May 31,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4"/>
        </w:trPr>
        <w:tc>
          <w:tcPr>
            <w:tcW w:w="49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98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1,821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4,291</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8,855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2,885</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3,044</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4,389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tax</w:t>
            </w: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6,578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4,641</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Deferred expenses/(benefit):</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(4,445)</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(benefit) /tax</w:t>
            </w: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5,852</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5,396</w:t>
            </w:r>
          </w:p>
        </w:tc>
        <w:tc>
          <w:tcPr>
            <w:tcW w:w="6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12,924</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spacing w:after="0"/>
              <w:rPr>
                <w:sz w:val="20"/>
                <w:szCs w:val="20"/>
                <w:color w:val="auto"/>
              </w:rPr>
            </w:pPr>
            <w:r>
              <w:rPr>
                <w:rFonts w:ascii="Arial" w:cs="Arial" w:eastAsia="Arial" w:hAnsi="Arial"/>
                <w:sz w:val="18"/>
                <w:szCs w:val="18"/>
                <w:color w:val="auto"/>
              </w:rPr>
              <w:t>Impact on shareholders equity of the tax consequence of:</w:t>
            </w: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Currency impact of long term funding</w:t>
            </w:r>
          </w:p>
        </w:tc>
        <w:tc>
          <w:tcPr>
            <w:tcW w:w="1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5,683</w:t>
            </w:r>
          </w:p>
        </w:tc>
        <w:tc>
          <w:tcPr>
            <w:tcW w:w="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4,638</w:t>
            </w:r>
          </w:p>
        </w:tc>
        <w:tc>
          <w:tcPr>
            <w:tcW w:w="62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11,815</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84</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88" w:name="page89"/>
    <w:bookmarkEnd w:id="88"/>
    <w:p>
      <w:pPr>
        <w:ind w:right="20"/>
        <w:spacing w:after="0" w:line="277" w:lineRule="auto"/>
        <w:rPr>
          <w:sz w:val="20"/>
          <w:szCs w:val="20"/>
          <w:color w:val="auto"/>
        </w:rPr>
      </w:pPr>
      <w:r>
        <w:rPr>
          <w:rFonts w:ascii="Arial" w:cs="Arial" w:eastAsia="Arial" w:hAnsi="Arial"/>
          <w:sz w:val="18"/>
          <w:szCs w:val="18"/>
          <w:color w:val="auto"/>
        </w:rPr>
        <w:t>Ireland’s statutory income tax rate is 12.5%. Certain activities carried out by the Irish company, principally data processing services, are taxed at a reduced rate of 10%. The Company’s consolidated effective tax rate differed from the statutory rate as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Seven Months</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Year Ended</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Ended</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May 31,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r>
      <w:tr>
        <w:trPr>
          <w:trHeight w:val="234"/>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Taxes at Irish statutory rate of 12.5% (2006:12.5%; 2005: 12.5%)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1,603</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6,430</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and other income taxed at (reduced)/higher rates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953</w:t>
            </w:r>
          </w:p>
        </w:tc>
        <w:tc>
          <w:tcPr>
            <w:tcW w:w="6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10,575</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6,496</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0"/>
              </w:rPr>
              <w:t>United States state tax net of United States Federal benefit and other foreign taxes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767</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Movement in valuation allowance</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2,473</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(6,113)</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Prior year (over) / under provision in respect of foreign taxes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Effects of non deductible expenses</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2,491</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995</w:t>
            </w:r>
          </w:p>
        </w:tc>
        <w:tc>
          <w:tcPr>
            <w:tcW w:w="6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2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6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0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5,852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5,396</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12,924</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Seven Months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Ended</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6"/>
              </w:rPr>
              <w:t>Year Ended</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1,659</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Goodwill and related assets</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2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4,570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tax assets:</w:t>
            </w: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7,330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5,971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2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768</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4,680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4,520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22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expense</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13,347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11,929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Valuation allowance for deferred tax assets</w:t>
            </w:r>
          </w:p>
        </w:tc>
        <w:tc>
          <w:tcPr>
            <w:tcW w:w="2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(9,952)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(3,839)</w:t>
            </w: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(4,957)</w:t>
            </w:r>
          </w:p>
        </w:tc>
      </w:tr>
      <w:tr>
        <w:trPr>
          <w:trHeight w:val="257"/>
        </w:trPr>
        <w:tc>
          <w:tcPr>
            <w:tcW w:w="20" w:type="dxa"/>
            <w:vAlign w:val="bottom"/>
          </w:tcPr>
          <w:p>
            <w:pPr>
              <w:spacing w:after="0"/>
              <w:rPr>
                <w:sz w:val="22"/>
                <w:szCs w:val="22"/>
                <w:color w:val="auto"/>
              </w:rPr>
            </w:pPr>
          </w:p>
        </w:tc>
        <w:tc>
          <w:tcPr>
            <w:tcW w:w="5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 recognized</w:t>
            </w: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3,395</w:t>
            </w: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8,090</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(liability) /asset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U.S$5.7 million of the deferred tax asset of U.S$10.6 million above is non-current. U.S.$6.0 million of the deferred tax liability of U.S.$6.3 million is non-current.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At December 31, 2007, non-US subsidiaries had operating loss carry forwards for income tax purposes that may be carried forward indefinitely, available to offset against future taxable income, if any, of approximately U.S$10.5 million.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2007, ICON Laboratory Inc., a U.S. subsidiary had net operating loss carry forwards for U.S. Federal and State income tax purposes, available to offset against future taxable income if any of approximately U.S.$7.935 million for U.S. Federal and U.S.$10.049 million for State income tax, which expire between 2009 and 2025.</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U.S.$7.935 million U.S. Federal and U.S.$10.049 million State net operating losses, approximately U.S.$6.5 million and U.S.$8.6 million respectively is currently available for offset against future taxable income, if any, of future accounting periods. The subsidiary’s ability to use the remaining net operating loss (“NOL”) carry forward of U.S.$1.5 million for Federal and State taxes is limited to U.S.$113,000 per year due to the subsidiary experiencing a change of ownership in 2000, as defined by Section 382 of the Internal Revenue Code of 1986, as amended. The expected expiry dates of these losses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Federal</w:t>
            </w:r>
          </w:p>
        </w:tc>
        <w:tc>
          <w:tcPr>
            <w:tcW w:w="8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NOL’s</w:t>
            </w:r>
          </w:p>
        </w:tc>
        <w:tc>
          <w:tcPr>
            <w:tcW w:w="8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NOL’s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jc w:val="right"/>
              <w:ind w:right="3470"/>
              <w:spacing w:after="0"/>
              <w:rPr>
                <w:sz w:val="20"/>
                <w:szCs w:val="20"/>
                <w:color w:val="auto"/>
              </w:rPr>
            </w:pPr>
            <w:r>
              <w:rPr>
                <w:rFonts w:ascii="Arial" w:cs="Arial" w:eastAsia="Arial" w:hAnsi="Arial"/>
                <w:sz w:val="18"/>
                <w:szCs w:val="18"/>
                <w:color w:val="auto"/>
                <w:w w:val="85"/>
              </w:rPr>
              <w:t>2009- 2011</w:t>
            </w:r>
          </w:p>
        </w:tc>
        <w:tc>
          <w:tcPr>
            <w:tcW w:w="4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452</w:t>
            </w:r>
          </w:p>
        </w:tc>
        <w:tc>
          <w:tcPr>
            <w:tcW w:w="8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jc w:val="right"/>
              <w:ind w:right="3450"/>
              <w:spacing w:after="0"/>
              <w:rPr>
                <w:sz w:val="20"/>
                <w:szCs w:val="20"/>
                <w:color w:val="auto"/>
              </w:rPr>
            </w:pPr>
            <w:r>
              <w:rPr>
                <w:rFonts w:ascii="Arial" w:cs="Arial" w:eastAsia="Arial" w:hAnsi="Arial"/>
                <w:sz w:val="18"/>
                <w:szCs w:val="18"/>
                <w:color w:val="auto"/>
                <w:w w:val="87"/>
              </w:rPr>
              <w:t>2012- 2016</w:t>
            </w:r>
          </w:p>
        </w:tc>
        <w:tc>
          <w:tcPr>
            <w:tcW w:w="40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226</w:t>
            </w:r>
          </w:p>
        </w:tc>
        <w:tc>
          <w:tcPr>
            <w:tcW w:w="8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EEFF"/>
          </w:tcPr>
          <w:p>
            <w:pPr>
              <w:jc w:val="right"/>
              <w:ind w:right="3450"/>
              <w:spacing w:after="0"/>
              <w:rPr>
                <w:sz w:val="20"/>
                <w:szCs w:val="20"/>
                <w:color w:val="auto"/>
              </w:rPr>
            </w:pPr>
            <w:r>
              <w:rPr>
                <w:rFonts w:ascii="Arial" w:cs="Arial" w:eastAsia="Arial" w:hAnsi="Arial"/>
                <w:sz w:val="18"/>
                <w:szCs w:val="18"/>
                <w:color w:val="auto"/>
                <w:w w:val="87"/>
              </w:rPr>
              <w:t>2017- 2025</w:t>
            </w:r>
          </w:p>
        </w:tc>
        <w:tc>
          <w:tcPr>
            <w:tcW w:w="4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7,257</w:t>
            </w:r>
          </w:p>
        </w:tc>
        <w:tc>
          <w:tcPr>
            <w:tcW w:w="8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Borders>
              <w:bottom w:val="single" w:sz="8" w:color="auto"/>
            </w:tcBorders>
            <w:shd w:val="clear" w:color="auto" w:fill="CCEEFF"/>
          </w:tcPr>
          <w:p>
            <w:pPr>
              <w:spacing w:after="0"/>
              <w:rPr>
                <w:sz w:val="22"/>
                <w:szCs w:val="22"/>
                <w:color w:val="auto"/>
              </w:rPr>
            </w:pPr>
          </w:p>
        </w:tc>
        <w:tc>
          <w:tcPr>
            <w:tcW w:w="4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7,935</w:t>
            </w:r>
          </w:p>
        </w:tc>
        <w:tc>
          <w:tcPr>
            <w:tcW w:w="8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allowance for deferred tax assets as of December 31, 2006, and December 31, 2005, was US$3.8 million and US$9.9 million, respectively. The valuation allowance at December 31, 2007, was approximately US$5.0 million. The net change in the total valuation allowance was an increase of US$1.2 million in 2007 and a decrease of US$6.1 million during 2006.</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valuation allowance at December 31, 2007, and December 31, 2006, was primarily related to tax losses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Subsequently recognized tax benefits relating to the valuation allowance for deferred tax assets as of December 31, 2007, will be allocated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that would be reported in the consolidated statement of income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and other non-current intangible assets</w:t>
            </w:r>
          </w:p>
        </w:tc>
        <w:tc>
          <w:tcPr>
            <w:tcW w:w="1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valuation allowance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not recognized a deferred tax liability for the undistributed earnings of foreign subsidiaries that arose in 2007 and prior years as the Company considers these earnings to be indefinitely reinvested.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adopted the provisions of FIN 48 on January 1, 2007. This did not result in any change to the opening liability for unrecognized tax benefits. A reconciliation of the beginning and ending amount of total unrecognized tax benefits is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960" w:type="dxa"/>
            <w:vAlign w:val="bottom"/>
            <w:gridSpan w:val="3"/>
          </w:tcPr>
          <w:p>
            <w:pPr>
              <w:ind w:left="2740"/>
              <w:spacing w:after="0"/>
              <w:rPr>
                <w:sz w:val="20"/>
                <w:szCs w:val="20"/>
                <w:color w:val="auto"/>
              </w:rPr>
            </w:pPr>
            <w:r>
              <w:rPr>
                <w:rFonts w:ascii="Arial" w:cs="Arial" w:eastAsia="Arial" w:hAnsi="Arial"/>
                <w:sz w:val="18"/>
                <w:szCs w:val="18"/>
                <w:b w:val="1"/>
                <w:bCs w:val="1"/>
                <w:color w:val="auto"/>
                <w:w w:val="96"/>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amount of unrecognized tax benefits at January 1, 2007</w:t>
            </w:r>
          </w:p>
        </w:tc>
        <w:tc>
          <w:tcPr>
            <w:tcW w:w="30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prior year tax positions</w:t>
            </w:r>
          </w:p>
        </w:tc>
        <w:tc>
          <w:tcPr>
            <w:tcW w:w="3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30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3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Settlements</w:t>
            </w:r>
          </w:p>
        </w:tc>
        <w:tc>
          <w:tcPr>
            <w:tcW w:w="30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30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amount of unrecognized tax benefits at December 31, 2007</w:t>
            </w:r>
          </w:p>
        </w:tc>
        <w:tc>
          <w:tcPr>
            <w:tcW w:w="3080" w:type="dxa"/>
            <w:vAlign w:val="bottom"/>
            <w:tcBorders>
              <w:bottom w:val="single" w:sz="8" w:color="auto"/>
            </w:tcBorders>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anticipate that the amount of unrecognized tax benefits at December 31, 2007, will significantly change in the coming year.</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balance of total unrecognized tax benefits at December 31, 2007, are potential benefits of US$10.5 million, which if recognized, would affect the effective rate on income tax from continuing operations. Also included in the balance of unrecognized tax benefits at December 31, 2007, are potential benefits of US$0.4 million which, if recognized, would be recorded as adjustments to goodwill.</w:t>
      </w:r>
    </w:p>
    <w:p>
      <w:pPr>
        <w:spacing w:after="0" w:line="20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Interest and penalties recognized as an expense amounted to US$1.3 million in the year ended December 31, 2007. Total accrued interest and penalties as of December 31, 2007 and January 1, 2007, were US$2.1 million and US$1.5 million respectively and are included in the closing income tax liabilities at those dates.</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major tax jurisdictions are the United States and Ireland. We may potentially be subjected to tax audits in our major jurisdictions. In the United States tax periods open to audit include the years ended May 31, 2004 and May 31, 2005, the seven month transition period ended December 31, 2005, and the years ended December 31, 2006 and December 31, 2007. In Ireland tax periods open to audit include the years ended May 31, 2003, May 31, 2004 and May 31, 2005, the seven month transition period ended December 31, 2005, and the years ended December 31, 2006 and December 31, 2007. During such audits, local tax authorities may challenge the position taken by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charges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principal items classified as other charges include asset impairments, computer software write-off and lease termination and exit costs. These charges were expensed to the statement of operations during the year ended May 31, 2005.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(in thousands)</w:t>
            </w: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 impairment charge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4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6020" w:type="dxa"/>
            <w:vAlign w:val="bottom"/>
          </w:tcPr>
          <w:p>
            <w:pPr>
              <w:ind w:left="80"/>
              <w:spacing w:after="0"/>
              <w:rPr>
                <w:sz w:val="20"/>
                <w:szCs w:val="20"/>
                <w:color w:val="auto"/>
              </w:rPr>
            </w:pPr>
            <w:r>
              <w:rPr>
                <w:rFonts w:ascii="Arial" w:cs="Arial" w:eastAsia="Arial" w:hAnsi="Arial"/>
                <w:sz w:val="18"/>
                <w:szCs w:val="18"/>
                <w:color w:val="auto"/>
              </w:rPr>
              <w:t>Computer software write-off</w:t>
            </w:r>
          </w:p>
        </w:tc>
        <w:tc>
          <w:tcPr>
            <w:tcW w:w="3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18"/>
                <w:szCs w:val="18"/>
                <w:color w:val="auto"/>
              </w:rPr>
            </w:pPr>
          </w:p>
        </w:tc>
      </w:tr>
      <w:tr>
        <w:trPr>
          <w:trHeight w:val="223"/>
        </w:trPr>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w:t>
            </w:r>
          </w:p>
        </w:tc>
        <w:tc>
          <w:tcPr>
            <w:tcW w:w="60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Lease termination and exit costs</w:t>
            </w:r>
          </w:p>
        </w:tc>
        <w:tc>
          <w:tcPr>
            <w:tcW w:w="37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140" w:type="dxa"/>
            <w:vAlign w:val="bottom"/>
          </w:tcPr>
          <w:p>
            <w:pPr>
              <w:spacing w:after="0"/>
              <w:rPr>
                <w:sz w:val="19"/>
                <w:szCs w:val="19"/>
                <w:color w:val="auto"/>
              </w:rPr>
            </w:pPr>
          </w:p>
        </w:tc>
      </w:tr>
    </w:tbl>
    <w:p>
      <w:pPr>
        <w:spacing w:after="0" w:line="229"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Goodwill impairment charge</w:t>
      </w:r>
    </w:p>
    <w:p>
      <w:pPr>
        <w:spacing w:after="0" w:line="2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SFAS No.142, goodwill and intangible assets with indefinite lives are no longer amortized, but instead are tested for impairment at least annually. Given the pattern of operating losses in recent years, the slowdown in growth and future outlook in our central laboratory reporting unit at that time, management determined that the carrying value of the reporting unit exceeded its fair value at February 28, 2005. After allocating the fair value of the reporting unit to all of the assets and liabilities of that unit, management determined that the carrying value of the central laboratory goodwill was impaired. The fair value of the central laboratory segment was determined using discounted cash flows and net realizable values. The central laboratory segment was formed by the combination of our existing central laboratory operation in Dublin, Ireland and by the acquisition in June 2000 of UCT (U.S.) Inc. (“UCT”), a central laboratory company based in New York, USA.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1" w:name="page92"/>
    <w:bookmarkEnd w:id="91"/>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Computer software write-off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charge represents the write off of the carrying value of computer software costs, which did not provide a reasonable economic return.</w:t>
      </w:r>
    </w:p>
    <w:p>
      <w:pPr>
        <w:spacing w:after="0" w:line="252"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Lease termination and exit costs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charge represents the lease termination and exit costs associated with the close of a facility in Irvine, California and the termination of two redundant leases in New York following the relocation of the central laboratory. Total costs expected to be incurred in association with these lease termination and exit costs have been accrued. Of the total $1.2 million relates to the central laboratory segment and $2.1 million to the clinical research segment. During the period ended December 31, 2005, $2.4 million of this was used and the excess balance of $0.9 million was released to the income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Significant Concentrations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business with most major international pharmaceutical companies. As at December 31, 2007, the balance for doubtful debts was $0.32 million (December 31, 2006: $0.24 million, December 31, 2005: $0.67 million; May 31, 2005: $0.48 million). During the year ended December 31, 2007, an additional reserve for doubtful debts of $0.75 million was created and $0.67 million was used.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U.S.$26,158,000, U.S.$14,462,000 and U.S.$28,450,000 in rental expense for the fiscal years ended May 31, 2005, the seven month period ended December 31, 2005, and the year ended December 31, 2006, respectively and U.S.$35,760,000 for the year ended December 31, 2007. Future minimum rental commitments for operating leases with non-cancelable terms in excess of one year are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Minimum rental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payments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jc w:val="right"/>
              <w:ind w:right="2030"/>
              <w:spacing w:after="0"/>
              <w:rPr>
                <w:sz w:val="20"/>
                <w:szCs w:val="20"/>
                <w:color w:val="auto"/>
              </w:rPr>
            </w:pPr>
            <w:r>
              <w:rPr>
                <w:rFonts w:ascii="Arial" w:cs="Arial" w:eastAsia="Arial" w:hAnsi="Arial"/>
                <w:sz w:val="18"/>
                <w:szCs w:val="18"/>
                <w:color w:val="auto"/>
              </w:rPr>
              <w:t>2008</w:t>
            </w:r>
          </w:p>
        </w:tc>
        <w:tc>
          <w:tcPr>
            <w:tcW w:w="4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jc w:val="right"/>
              <w:ind w:right="2030"/>
              <w:spacing w:after="0"/>
              <w:rPr>
                <w:sz w:val="20"/>
                <w:szCs w:val="20"/>
                <w:color w:val="auto"/>
              </w:rPr>
            </w:pPr>
            <w:r>
              <w:rPr>
                <w:rFonts w:ascii="Arial" w:cs="Arial" w:eastAsia="Arial" w:hAnsi="Arial"/>
                <w:sz w:val="18"/>
                <w:szCs w:val="18"/>
                <w:color w:val="auto"/>
              </w:rPr>
              <w:t>2009</w:t>
            </w:r>
          </w:p>
        </w:tc>
        <w:tc>
          <w:tcPr>
            <w:tcW w:w="46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31,194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jc w:val="right"/>
              <w:ind w:right="2030"/>
              <w:spacing w:after="0"/>
              <w:rPr>
                <w:sz w:val="20"/>
                <w:szCs w:val="20"/>
                <w:color w:val="auto"/>
              </w:rPr>
            </w:pPr>
            <w:r>
              <w:rPr>
                <w:rFonts w:ascii="Arial" w:cs="Arial" w:eastAsia="Arial" w:hAnsi="Arial"/>
                <w:sz w:val="18"/>
                <w:szCs w:val="18"/>
                <w:color w:val="auto"/>
              </w:rPr>
              <w:t>2010</w:t>
            </w:r>
          </w:p>
        </w:tc>
        <w:tc>
          <w:tcPr>
            <w:tcW w:w="46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jc w:val="right"/>
              <w:ind w:right="2030"/>
              <w:spacing w:after="0"/>
              <w:rPr>
                <w:sz w:val="20"/>
                <w:szCs w:val="20"/>
                <w:color w:val="auto"/>
              </w:rPr>
            </w:pPr>
            <w:r>
              <w:rPr>
                <w:rFonts w:ascii="Arial" w:cs="Arial" w:eastAsia="Arial" w:hAnsi="Arial"/>
                <w:sz w:val="18"/>
                <w:szCs w:val="18"/>
                <w:color w:val="auto"/>
              </w:rPr>
              <w:t>2011</w:t>
            </w:r>
          </w:p>
        </w:tc>
        <w:tc>
          <w:tcPr>
            <w:tcW w:w="46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20,528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jc w:val="right"/>
              <w:ind w:right="2030"/>
              <w:spacing w:after="0"/>
              <w:rPr>
                <w:sz w:val="20"/>
                <w:szCs w:val="20"/>
                <w:color w:val="auto"/>
              </w:rPr>
            </w:pPr>
            <w:r>
              <w:rPr>
                <w:rFonts w:ascii="Arial" w:cs="Arial" w:eastAsia="Arial" w:hAnsi="Arial"/>
                <w:sz w:val="18"/>
                <w:szCs w:val="18"/>
                <w:color w:val="auto"/>
              </w:rPr>
              <w:t>2012</w:t>
            </w:r>
          </w:p>
        </w:tc>
        <w:tc>
          <w:tcPr>
            <w:tcW w:w="46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6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80" w:type="dxa"/>
            <w:vAlign w:val="bottom"/>
          </w:tcPr>
          <w:p>
            <w:pPr>
              <w:jc w:val="right"/>
              <w:ind w:right="2550"/>
              <w:spacing w:after="0"/>
              <w:rPr>
                <w:sz w:val="20"/>
                <w:szCs w:val="20"/>
                <w:color w:val="auto"/>
              </w:rPr>
            </w:pPr>
            <w:r>
              <w:rPr>
                <w:rFonts w:ascii="Arial" w:cs="Arial" w:eastAsia="Arial" w:hAnsi="Arial"/>
                <w:sz w:val="18"/>
                <w:szCs w:val="18"/>
                <w:color w:val="auto"/>
              </w:rPr>
              <w:t>88</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auto"/>
        </w:rPr>
        <w:t>The Company has a number of capital leases, primarily over furniture and equipment, which expire over the next five years. Future commitments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Lease payments</w:t>
            </w: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(in thousands)</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2009</w:t>
            </w:r>
          </w:p>
        </w:tc>
        <w:tc>
          <w:tcPr>
            <w:tcW w:w="29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9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2011</w:t>
            </w:r>
          </w:p>
        </w:tc>
        <w:tc>
          <w:tcPr>
            <w:tcW w:w="29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9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future finance charges</w:t>
            </w:r>
          </w:p>
        </w:tc>
        <w:tc>
          <w:tcPr>
            <w:tcW w:w="29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57"/>
        </w:trPr>
        <w:tc>
          <w:tcPr>
            <w:tcW w:w="20" w:type="dxa"/>
            <w:vAlign w:val="bottom"/>
          </w:tcPr>
          <w:p>
            <w:pPr>
              <w:spacing w:after="0"/>
              <w:rPr>
                <w:sz w:val="22"/>
                <w:szCs w:val="22"/>
                <w:color w:val="auto"/>
              </w:rPr>
            </w:pPr>
          </w:p>
        </w:tc>
        <w:tc>
          <w:tcPr>
            <w:tcW w:w="4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made a number of acquisitions in recent years with earn-out provisions built into the purchase contracts, however no payments are expected to be made during the year ended December 31,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 Information</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operates predominantly in the contract clinical research industry providing a broad range of clinical research and integrated product development services on a global basis for the pharmaceutical and biotechnology industries. The Company also has a central laboratory segment primarily based in New York, USA. This, together with laboratory services based in Dublin, form the central laboratory segment information disclosed below.</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areas of operation outside of Ireland principally include the United Kingdom, United States, Germany, Australia, Argentina, France, Italy, Japan, Israel, Singapore, Canada, Sweden, The Netherlands, Latvia, Russia, Lithuania, Poland, South Africa, India, Hong Kong, Taiwan, Mexico, Brazil, Hungary, Spain, Thailand, South Korea, China, Chile, New Zealand, Denmark, Finland, Peru, Czech Republic, Ukraine and Romania. Segment information for the fiscal year ended May 31, 2005, the seven month period ended December 31, 2005 and the years ended December 31, 2006 and December 31, 2007 is as follows:</w:t>
      </w:r>
    </w:p>
    <w:p>
      <w:pPr>
        <w:spacing w:after="0" w:line="215"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distribution of net revenue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37,242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19,838</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66,028</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Rest of Europe</w:t>
            </w: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84,140</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48,206</w:t>
            </w:r>
          </w:p>
        </w:tc>
        <w:tc>
          <w:tcPr>
            <w:tcW w:w="7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96,868</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144,586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186,919</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118,292</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266,175</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18,357</w:t>
            </w:r>
          </w:p>
        </w:tc>
        <w:tc>
          <w:tcPr>
            <w:tcW w:w="3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15,614</w:t>
            </w:r>
          </w:p>
        </w:tc>
        <w:tc>
          <w:tcPr>
            <w:tcW w:w="7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26,526</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35,819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326,658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201,950</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455,597</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630,722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93" w:name="page94"/>
    <w:bookmarkEnd w:id="93"/>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distribution of net revenue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25,499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18,190</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47,230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0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301,159</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183,760</w:t>
            </w: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408,367</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326,658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201,950</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455,597</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Seven months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3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ended</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May 31,</w:t>
            </w:r>
          </w:p>
        </w:tc>
        <w:tc>
          <w:tcPr>
            <w:tcW w:w="3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34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6,223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28,375</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Rest of Europe</w:t>
            </w:r>
          </w:p>
        </w:tc>
        <w:tc>
          <w:tcPr>
            <w:tcW w:w="218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14,033</w:t>
            </w:r>
          </w:p>
        </w:tc>
        <w:tc>
          <w:tcPr>
            <w:tcW w:w="3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10,437</w:t>
            </w:r>
          </w:p>
        </w:tc>
        <w:tc>
          <w:tcPr>
            <w:tcW w:w="7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2,681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5,152</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15,216</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2,481</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4,301</w:t>
            </w:r>
          </w:p>
        </w:tc>
        <w:tc>
          <w:tcPr>
            <w:tcW w:w="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1,544</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18,607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11,552</w:t>
            </w:r>
          </w:p>
        </w:tc>
        <w:tc>
          <w:tcPr>
            <w:tcW w:w="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47,816</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distribution of income from operations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Seven months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3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ended</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May 31,</w:t>
            </w:r>
          </w:p>
        </w:tc>
        <w:tc>
          <w:tcPr>
            <w:tcW w:w="3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34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(15,284)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2,297</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0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33,891</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14,587</w:t>
            </w:r>
          </w:p>
        </w:tc>
        <w:tc>
          <w:tcPr>
            <w:tcW w:w="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45,519</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18,607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11,552</w:t>
            </w:r>
          </w:p>
        </w:tc>
        <w:tc>
          <w:tcPr>
            <w:tcW w:w="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47,816</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distribution of property, plant and equipment, net,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33,999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 of Europe</w:t>
            </w:r>
          </w:p>
        </w:tc>
        <w:tc>
          <w:tcPr>
            <w:tcW w:w="33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6,669</w:t>
            </w:r>
          </w:p>
        </w:tc>
        <w:tc>
          <w:tcPr>
            <w:tcW w:w="2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9,213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16,720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21,421</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3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1,725</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3,575</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3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47,652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68,208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133,426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20" w:type="dxa"/>
            <w:vAlign w:val="bottom"/>
          </w:tcPr>
          <w:p>
            <w:pPr>
              <w:jc w:val="right"/>
              <w:ind w:right="790"/>
              <w:spacing w:after="0"/>
              <w:rPr>
                <w:sz w:val="20"/>
                <w:szCs w:val="20"/>
                <w:color w:val="auto"/>
              </w:rPr>
            </w:pPr>
            <w:r>
              <w:rPr>
                <w:rFonts w:ascii="Arial" w:cs="Arial" w:eastAsia="Arial" w:hAnsi="Arial"/>
                <w:sz w:val="18"/>
                <w:szCs w:val="18"/>
                <w:color w:val="auto"/>
              </w:rPr>
              <w:t>90</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1" w:right="239" w:bottom="1440" w:gutter="0" w:footer="0" w:header="0"/>
        </w:sectPr>
      </w:pPr>
    </w:p>
    <w:bookmarkStart w:id="94" w:name="page95"/>
    <w:bookmarkEnd w:id="94"/>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distribution of property, plant and equipment, net,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5,050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44,272</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63,158</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47,652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68,208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distribution of depreciation and amortization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3,115</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5,099</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Rest of Europe</w:t>
            </w: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2,157</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1,210</w:t>
            </w:r>
          </w:p>
        </w:tc>
        <w:tc>
          <w:tcPr>
            <w:tcW w:w="8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2,489</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5,552</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3,415</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6,521</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w:t>
            </w: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13,331</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8,094</w:t>
            </w:r>
          </w:p>
        </w:tc>
        <w:tc>
          <w:tcPr>
            <w:tcW w:w="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14,949</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distribution of depreciation and amortization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0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12,336</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7,407</w:t>
            </w: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13,609</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13,331</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8,094</w:t>
            </w:r>
          </w:p>
        </w:tc>
        <w:tc>
          <w:tcPr>
            <w:tcW w:w="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14,949</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distribution of total assets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91,826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115,802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 of Europe</w:t>
            </w:r>
          </w:p>
        </w:tc>
        <w:tc>
          <w:tcPr>
            <w:tcW w:w="33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81,268</w:t>
            </w:r>
          </w:p>
        </w:tc>
        <w:tc>
          <w:tcPr>
            <w:tcW w:w="2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100,212</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169,231</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245,381</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3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6,742</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14,946</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27,916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3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349,067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476,341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693,138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20" w:type="dxa"/>
            <w:vAlign w:val="bottom"/>
          </w:tcPr>
          <w:p>
            <w:pPr>
              <w:jc w:val="right"/>
              <w:ind w:right="790"/>
              <w:spacing w:after="0"/>
              <w:rPr>
                <w:sz w:val="20"/>
                <w:szCs w:val="20"/>
                <w:color w:val="auto"/>
              </w:rPr>
            </w:pPr>
            <w:r>
              <w:rPr>
                <w:rFonts w:ascii="Arial" w:cs="Arial" w:eastAsia="Arial" w:hAnsi="Arial"/>
                <w:sz w:val="18"/>
                <w:szCs w:val="18"/>
                <w:color w:val="auto"/>
              </w:rPr>
              <w:t>91</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95" w:name="page96"/>
    <w:bookmarkEnd w:id="95"/>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distribution of total assets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(in thousands)</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28,272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331,917</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448,069</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349,067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476,341</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distribution of capital expenditures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6,583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6,438</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13,854</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Rest of Europe</w:t>
            </w: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2,168</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8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4,073</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5,873</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4,197</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10,905</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1,053</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2,881</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15,677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11,660</w:t>
            </w:r>
          </w:p>
        </w:tc>
        <w:tc>
          <w:tcPr>
            <w:tcW w:w="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31,713</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distribution of capital expenditures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2,538</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0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14,712</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10,712</w:t>
            </w: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29,175</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15,677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11,660</w:t>
            </w:r>
          </w:p>
        </w:tc>
        <w:tc>
          <w:tcPr>
            <w:tcW w:w="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31,713</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following table sets forth the clients which represented 10% or more of the Company's net revenue in each of the periods set out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320" w:type="dxa"/>
            <w:vAlign w:val="bottom"/>
          </w:tcPr>
          <w:p>
            <w:pPr>
              <w:jc w:val="right"/>
              <w:ind w:right="890"/>
              <w:spacing w:after="0"/>
              <w:rPr>
                <w:sz w:val="20"/>
                <w:szCs w:val="20"/>
                <w:color w:val="auto"/>
              </w:rPr>
            </w:pPr>
            <w:r>
              <w:rPr>
                <w:rFonts w:ascii="Arial" w:cs="Arial" w:eastAsia="Arial" w:hAnsi="Arial"/>
                <w:sz w:val="18"/>
                <w:szCs w:val="18"/>
                <w:b w:val="1"/>
                <w:bCs w:val="1"/>
                <w:color w:val="auto"/>
              </w:rPr>
              <w:t>Seven months</w:t>
            </w: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2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c>
          <w:tcPr>
            <w:tcW w:w="2320" w:type="dxa"/>
            <w:vAlign w:val="bottom"/>
          </w:tcPr>
          <w:p>
            <w:pPr>
              <w:jc w:val="right"/>
              <w:ind w:right="890"/>
              <w:spacing w:after="0"/>
              <w:rPr>
                <w:sz w:val="20"/>
                <w:szCs w:val="20"/>
                <w:color w:val="auto"/>
              </w:rPr>
            </w:pPr>
            <w:r>
              <w:rPr>
                <w:rFonts w:ascii="Arial" w:cs="Arial" w:eastAsia="Arial" w:hAnsi="Arial"/>
                <w:sz w:val="18"/>
                <w:szCs w:val="18"/>
                <w:b w:val="1"/>
                <w:bCs w:val="1"/>
                <w:color w:val="auto"/>
              </w:rPr>
              <w:t>ended</w:t>
            </w:r>
          </w:p>
        </w:tc>
        <w:tc>
          <w:tcPr>
            <w:tcW w:w="820" w:type="dxa"/>
            <w:vAlign w:val="bottom"/>
          </w:tcPr>
          <w:p>
            <w:pPr>
              <w:spacing w:after="0"/>
              <w:rPr>
                <w:sz w:val="18"/>
                <w:szCs w:val="18"/>
                <w:color w:val="auto"/>
              </w:rPr>
            </w:pP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2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31,</w:t>
            </w:r>
          </w:p>
        </w:tc>
        <w:tc>
          <w:tcPr>
            <w:tcW w:w="2320" w:type="dxa"/>
            <w:vAlign w:val="bottom"/>
          </w:tcPr>
          <w:p>
            <w:pPr>
              <w:jc w:val="right"/>
              <w:ind w:right="890"/>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320" w:type="dxa"/>
            <w:vAlign w:val="bottom"/>
          </w:tcPr>
          <w:p>
            <w:pPr>
              <w:jc w:val="right"/>
              <w:ind w:right="270"/>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3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2005</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1"/>
              </w:rPr>
              <w:t>Client A</w:t>
            </w:r>
          </w:p>
        </w:tc>
        <w:tc>
          <w:tcPr>
            <w:tcW w:w="5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232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96"/>
        </w:trPr>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820" w:type="dxa"/>
            <w:vAlign w:val="bottom"/>
          </w:tcPr>
          <w:p>
            <w:pPr>
              <w:jc w:val="right"/>
              <w:ind w:right="3230"/>
              <w:spacing w:after="0"/>
              <w:rPr>
                <w:sz w:val="20"/>
                <w:szCs w:val="20"/>
                <w:color w:val="auto"/>
              </w:rPr>
            </w:pPr>
            <w:r>
              <w:rPr>
                <w:rFonts w:ascii="Arial" w:cs="Arial" w:eastAsia="Arial" w:hAnsi="Arial"/>
                <w:sz w:val="18"/>
                <w:szCs w:val="18"/>
                <w:color w:val="auto"/>
                <w:w w:val="94"/>
              </w:rPr>
              <w:t>Net revenue did not exceed 10%</w:t>
            </w:r>
          </w:p>
        </w:tc>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20" w:type="dxa"/>
            <w:vAlign w:val="bottom"/>
          </w:tcPr>
          <w:p>
            <w:pPr>
              <w:jc w:val="right"/>
              <w:ind w:right="710"/>
              <w:spacing w:after="0"/>
              <w:rPr>
                <w:sz w:val="20"/>
                <w:szCs w:val="20"/>
                <w:color w:val="auto"/>
              </w:rPr>
            </w:pPr>
            <w:r>
              <w:rPr>
                <w:rFonts w:ascii="Arial" w:cs="Arial" w:eastAsia="Arial" w:hAnsi="Arial"/>
                <w:sz w:val="18"/>
                <w:szCs w:val="18"/>
                <w:color w:val="auto"/>
              </w:rPr>
              <w:t>92</w:t>
            </w:r>
          </w:p>
        </w:tc>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8" w:right="239" w:bottom="1440" w:gutter="0" w:footer="0" w:header="0"/>
        </w:sectPr>
      </w:pPr>
    </w:p>
    <w:bookmarkStart w:id="96" w:name="page97"/>
    <w:bookmarkEnd w:id="96"/>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distribution of interest income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w w:val="88"/>
              </w:rPr>
              <w:t>Year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b w:val="1"/>
                <w:bCs w:val="1"/>
                <w:color w:val="auto"/>
                <w:w w:val="87"/>
              </w:rPr>
              <w:t>December 31,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8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Rest of Europe</w:t>
            </w: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881</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8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2,737</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1,294</w:t>
            </w:r>
          </w:p>
        </w:tc>
        <w:tc>
          <w:tcPr>
            <w:tcW w:w="8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3,765</w:t>
            </w: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distribution of interest income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w w:val="88"/>
              </w:rPr>
              <w:t>Year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b w:val="1"/>
                <w:bCs w:val="1"/>
                <w:color w:val="auto"/>
                <w:w w:val="87"/>
              </w:rPr>
              <w:t>December 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8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0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1,196</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1,285</w:t>
            </w:r>
          </w:p>
        </w:tc>
        <w:tc>
          <w:tcPr>
            <w:tcW w:w="8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3,668</w:t>
            </w:r>
          </w:p>
        </w:tc>
        <w:tc>
          <w:tcPr>
            <w:tcW w:w="1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1,294</w:t>
            </w:r>
          </w:p>
        </w:tc>
        <w:tc>
          <w:tcPr>
            <w:tcW w:w="8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3,765</w:t>
            </w: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distribution of the tax charge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3,961</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Rest of Europe</w:t>
            </w:r>
          </w:p>
        </w:tc>
        <w:tc>
          <w:tcPr>
            <w:tcW w:w="2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1,460</w:t>
            </w:r>
          </w:p>
        </w:tc>
        <w:tc>
          <w:tcPr>
            <w:tcW w:w="8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2,034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1,888</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1,671</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4,411</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1,267</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1,858</w:t>
            </w: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2,518</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5,852</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5,396</w:t>
            </w:r>
          </w:p>
        </w:tc>
        <w:tc>
          <w:tcPr>
            <w:tcW w:w="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12,924</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distribution of the tax charge by business segment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Seven months</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ended</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Clinical research</w:t>
            </w:r>
          </w:p>
        </w:tc>
        <w:tc>
          <w:tcPr>
            <w:tcW w:w="20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5,799</w:t>
            </w:r>
          </w:p>
        </w:tc>
        <w:tc>
          <w:tcPr>
            <w:tcW w:w="3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5,480</w:t>
            </w:r>
          </w:p>
        </w:tc>
        <w:tc>
          <w:tcPr>
            <w:tcW w:w="76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15,801</w:t>
            </w:r>
          </w:p>
        </w:tc>
        <w:tc>
          <w:tcPr>
            <w:tcW w:w="2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5,852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5,396</w:t>
            </w:r>
          </w:p>
        </w:tc>
        <w:tc>
          <w:tcPr>
            <w:tcW w:w="7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12,924</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w w:val="95"/>
              </w:rPr>
              <w:t>18. Supplemental Disclosure of Cash Flow Information</w:t>
            </w: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Seven months</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31,</w:t>
            </w:r>
          </w:p>
        </w:tc>
        <w:tc>
          <w:tcPr>
            <w:tcW w:w="3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5,290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4,794</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11,632</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New Accounting Pronouncements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2007, the FASB issued Statement of Financial Accounting Standards No. 159, </w:t>
      </w:r>
      <w:r>
        <w:rPr>
          <w:rFonts w:ascii="Arial" w:cs="Arial" w:eastAsia="Arial" w:hAnsi="Arial"/>
          <w:sz w:val="17"/>
          <w:szCs w:val="17"/>
          <w:i w:val="1"/>
          <w:iCs w:val="1"/>
          <w:color w:val="auto"/>
        </w:rPr>
        <w:t>The Fair Value Option for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 including an amendment of FASB Statement No. 115 </w:t>
      </w:r>
      <w:r>
        <w:rPr>
          <w:rFonts w:ascii="Arial" w:cs="Arial" w:eastAsia="Arial" w:hAnsi="Arial"/>
          <w:sz w:val="17"/>
          <w:szCs w:val="17"/>
          <w:color w:val="auto"/>
        </w:rPr>
        <w:t>(SFAS No. 159). SFAS No. 159 gives the Company the irrevocable option to carry most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and liabilities at fair value that are not currently required to be measured at fair value. If the fair value option is elected, changes in fair value would be recorded in earnings at each subsequent reporting date. SFAS No. 159 is effective for the Company’s 2008 fiscal year. The Company does not expect the adoption of SFAS No. 159 to have a material impact on the financial statements.</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2006, the FASB issued FASB Statement No. 157,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(SFAS No. 157). Statement 157 defines fair value, establishes a framework for the measurement of fair value, and enhances disclosures about fair value measurements. The Statement does not require any new fair value measures. The Statement is effective for fair value measures already required or permitted by other standards for fiscal years beginning after November 15, 2007. The Company is required to adopt SFAS No. 157 beginning on January 1, 2008. SFAS No. 157 is required to be applied prospectively, except for certain financial instruments. Any transition adjustment will be recognized as an adjustment to opening retained earnings in the year of adoption. In November 2007, the FASB proposed a one-year deferral of SFAS No. 157’s fair-value measurement requirements for nonfinancial assets and liabilities that are not required or permitted to be measured at fair value on a recurring basis. The Company does not expect the adoption of SFAS No. 157 to have a material impact on the financial statements.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2007, the FASB issued FASB Statement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141R) and FASB Statement No. 160, </w:t>
      </w:r>
      <w:r>
        <w:rPr>
          <w:rFonts w:ascii="Arial" w:cs="Arial" w:eastAsia="Arial" w:hAnsi="Arial"/>
          <w:sz w:val="18"/>
          <w:szCs w:val="18"/>
          <w:i w:val="1"/>
          <w:iCs w:val="1"/>
          <w:color w:val="auto"/>
        </w:rPr>
        <w:t>Noncontrolling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Interests in Consolidated Financial Statements– an amendment to ARB No. 51 </w:t>
      </w:r>
      <w:r>
        <w:rPr>
          <w:rFonts w:ascii="Arial" w:cs="Arial" w:eastAsia="Arial" w:hAnsi="Arial"/>
          <w:sz w:val="18"/>
          <w:szCs w:val="18"/>
          <w:color w:val="auto"/>
        </w:rPr>
        <w:t>(SFAS No. 160). SFAS No. 141R and SFAS No. 160 require most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liabilities, noncontrolling interests, and goodwill acquired in a business combination to be recorded at “full fair value” and require noncontrolling interests (previously referred to as minority interests) to be reported as a component of equity, which changes the accounting for transactions with noncontrolling interest holders. Both Statements are effective for periods beginning on or after December 15, 2008, and earlier adoption is prohibited. SFAS No. 141R will be applied to business combinations occurring after the effective date. SFAS No. 160 will be applied prospectively to all noncontrolling interests, including any that arose before the effective date. The Company does not expect the adoption of SFAS No. 141R and SFAS No. 160 to have a material impact on the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20. Related Parties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at December 31, 2007, Amarin Investment Holding Limited (a company controlled by Mr. Thomas Lynch), and Sunninghill Limited (a company controlled by Dr. John Climax) held 10.7 million and 9.4 million shares respectively in Amarin Corporation plc (“Amarin”). These respective holdings equate to approximately 7.7% and 6.8% respectively, of Amarin's issued share capital. Thomas Lynch also serves as Chairman and Chief Executive Officer of Amarin. Amarin Corporation plc ("Amarin") is a neuroscience company focused on the research, development and commercialization of drugs for the treatment of central nervous system disorders. During the fiscal year ending May 31, 2005, Amarin contracted ICON Clinical Research Limited (a wholly owned subsidiary of ICON), to conduct a clinical trial on its behalf. The total potential value of this study is $7 million. During the year ended December 31, 2007, the Company recognized $2.2 million of revenue relating to the Amarin contract. At December 31, 2007, $1.5 million was outstanding to be received from Amarin on this trial.</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at December 31, 2007, Dr. John Climax and Dr. Ronan Lambe held 4.47% and 4.19% respectively of the issued share capital of NuPathe Inc. (“NuPathe”). NuPathe is a specialty pharmaceutical company specializing in the acquisition and development of therapeutic products in the area of neuroscience. Dr. Climax also serves as a non-executive director and chairman of the compensation committee on the Board of NuPathe. During the year ending December 31, 2006, NuPathe engaged ICON Clinical Research Limited (a wholly owned subsidiary of ICON), in consulting and clinical trial related activities. During the year ended December 31, 2007, the Company recognized $0.1 million relating to the NuPathe contract. As at December 31, 2007, $0.1 million was due from NuPathe.</w:t>
      </w:r>
    </w:p>
    <w:p>
      <w:pPr>
        <w:spacing w:after="0" w:line="22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Prior to June 25, 2007, Dr. Bruce Given served as the President and Chief Executive Officer of Encysive Pharmaceuticals Inc. (“Encysive”). Encysive is a biopharmaceutical company specializing in the development and commercialization of synthetic, small molecule compounds. As of December 31, 2007, Dr. Bruce Given’s holdings in Encysive was less than 0.1% of the issued share capital. During the year ending December 31, 2003, Encysive engaged ICON Clinical Research Limited (a wholly owned subsidiary of ICON), in consulting and clinical trial related activities. The total potential contract value of this study is $0.8 million. During the year ending December 31, 2007, ICON recognized a total of $0.1 million of revenue in relation to these activities.</w:t>
      </w:r>
    </w:p>
    <w:p>
      <w:pPr>
        <w:spacing w:after="0" w:line="1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December 31, 2007, Dr. Ronan Lambe held 1.4 million shares in AGI Therapeutics Limited (“AGI”), a specialty pharmaceutical company focused on developing drug therapies for gastrointestinal diseases and disorders. This holding equates to approximately 2.13% of AGI's issued share capital. In January 2006, Dr. Ronan Lambe was appointed a non-executive director of AGI and took up the position of non-executive Chairman from February 2006. ICON is engaged in conducting a series of clinical trials on behalf of AGI. During September 2004, AGI contracted ICON Clinical Research Limited (a wholly owned subsidiary of ICON), to conduct a clinical trial on its behalf. The total potential value of this study is $2.8m. During the year ended December 31, 2006, the Company recognized $0.5m of revenue relating to the AGI contract. No revenue was recognized during the year ended December 31, 2007. At December 31, 2006, $0.4m was outstanding to be received from AGI on this trial. There were no amounts outstanding as at December 31, 2007.</w:t>
      </w:r>
    </w:p>
    <w:p>
      <w:pPr>
        <w:spacing w:after="0" w:line="1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December 6, 2005, Dr. Ronan Lambe and Dr. John Climax gifted 128,000 and 160,000 ADSs, respectively, to Mr. Peter Gray, the Company’s Chief Executive Officer. ICON has accounted for these transfers of equity instruments from shareholders to Mr. Gray as share based payment transactions, and recorded a compensation expense of $6,024,000 in its Statement of Operations, measured by reference to the fair value of the ADSs on the grant date. As this transaction is a transfer of already issued stock between officers and directors of the Company, the expense recorded had no cash flow impact on the Company and created no dilution of ordinary shares outstanding. The fair value of the ADSs on the date of gift was determined by reference to market price.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Acquisition of Healthcare Discoveries Inc.</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8, 2008, the Company acquired 100% of the outstanding shares of Healthcare Discoveries Inc., a Phase I unit located in Texas, USA for an initial cash consideration of $12 million. Further consideration of up to $10 million may become payable during the year ended December 31, 2008, if certain performance milestones are achieved.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certifies that it meets all of the US requirements for filing on Form 20-F and has duly caused and authorized this annual report to be signed on its behalf.</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655"/>
        </w:trPr>
        <w:tc>
          <w:tcPr>
            <w:tcW w:w="572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Ciaran Murray</w:t>
            </w: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rPr>
              <w:t>Date February 20, 2008</w:t>
            </w: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Ciaran Murray</w:t>
            </w: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0520" w:type="dxa"/>
            <w:vAlign w:val="bottom"/>
          </w:tcPr>
          <w:p>
            <w:pPr>
              <w:ind w:left="3940"/>
              <w:spacing w:after="0"/>
              <w:rPr>
                <w:sz w:val="20"/>
                <w:szCs w:val="20"/>
                <w:color w:val="auto"/>
              </w:rPr>
            </w:pPr>
            <w:r>
              <w:rPr>
                <w:rFonts w:ascii="Arial" w:cs="Arial" w:eastAsia="Arial" w:hAnsi="Arial"/>
                <w:sz w:val="18"/>
                <w:szCs w:val="18"/>
                <w:b w:val="1"/>
                <w:bCs w:val="1"/>
                <w:color w:val="auto"/>
              </w:rPr>
              <w:t>INDEX TO EXHIBITS</w:t>
            </w:r>
          </w:p>
        </w:tc>
      </w:tr>
      <w:tr>
        <w:trPr>
          <w:trHeight w:val="661"/>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1052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Number</w:t>
            </w:r>
          </w:p>
        </w:tc>
        <w:tc>
          <w:tcPr>
            <w:tcW w:w="10520" w:type="dxa"/>
            <w:vAlign w:val="bottom"/>
          </w:tcPr>
          <w:p>
            <w:pPr>
              <w:ind w:left="280"/>
              <w:spacing w:after="0"/>
              <w:rPr>
                <w:sz w:val="20"/>
                <w:szCs w:val="20"/>
                <w:color w:val="auto"/>
              </w:rPr>
            </w:pPr>
            <w:r>
              <w:rPr>
                <w:rFonts w:ascii="Arial" w:cs="Arial" w:eastAsia="Arial" w:hAnsi="Arial"/>
                <w:sz w:val="18"/>
                <w:szCs w:val="18"/>
                <w:color w:val="auto"/>
              </w:rPr>
              <w:t>Title</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Amended and Restated Deposit Agreement (incorporated by reference to Exhibit 1 to the Post-Effective Amendment No. 1 to the Form F-6</w:t>
            </w:r>
          </w:p>
        </w:tc>
      </w:tr>
      <w:tr>
        <w:trPr>
          <w:trHeight w:val="230"/>
        </w:trPr>
        <w:tc>
          <w:tcPr>
            <w:tcW w:w="88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(File No. 333-143546) filed on December 18,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Exhibit A to Amended and Restated Deposit Agreement (incorporated by reference to Exhibit 1 to the Post-Effective Amendment No. 1 to the</w:t>
            </w:r>
          </w:p>
        </w:tc>
      </w:tr>
      <w:tr>
        <w:trPr>
          <w:trHeight w:val="230"/>
        </w:trPr>
        <w:tc>
          <w:tcPr>
            <w:tcW w:w="88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F-6 (File No. 333-143546) filed on December 18, 2007).</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8.1</w:t>
            </w:r>
          </w:p>
        </w:tc>
        <w:tc>
          <w:tcPr>
            <w:tcW w:w="10520" w:type="dxa"/>
            <w:vAlign w:val="bottom"/>
          </w:tcPr>
          <w:p>
            <w:pPr>
              <w:ind w:left="28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10520" w:type="dxa"/>
            <w:vAlign w:val="bottom"/>
          </w:tcPr>
          <w:p>
            <w:pPr>
              <w:ind w:left="280"/>
              <w:spacing w:after="0"/>
              <w:rPr>
                <w:sz w:val="20"/>
                <w:szCs w:val="20"/>
                <w:color w:val="auto"/>
              </w:rPr>
            </w:pPr>
            <w:r>
              <w:rPr>
                <w:rFonts w:ascii="Arial" w:cs="Arial" w:eastAsia="Arial" w:hAnsi="Arial"/>
                <w:sz w:val="18"/>
                <w:szCs w:val="18"/>
                <w:color w:val="auto"/>
              </w:rPr>
              <w:t>Section 302 certifications.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12.2*</w:t>
            </w:r>
          </w:p>
        </w:tc>
        <w:tc>
          <w:tcPr>
            <w:tcW w:w="10520" w:type="dxa"/>
            <w:vAlign w:val="bottom"/>
          </w:tcPr>
          <w:p>
            <w:pPr>
              <w:ind w:left="280"/>
              <w:spacing w:after="0"/>
              <w:rPr>
                <w:sz w:val="20"/>
                <w:szCs w:val="20"/>
                <w:color w:val="auto"/>
              </w:rPr>
            </w:pPr>
            <w:r>
              <w:rPr>
                <w:rFonts w:ascii="Arial" w:cs="Arial" w:eastAsia="Arial" w:hAnsi="Arial"/>
                <w:sz w:val="18"/>
                <w:szCs w:val="18"/>
                <w:color w:val="auto"/>
              </w:rPr>
              <w:t>Section 906 certifications.</w:t>
            </w:r>
          </w:p>
        </w:tc>
      </w:tr>
    </w:tbl>
    <w:p>
      <w:pPr>
        <w:spacing w:after="0" w:line="229" w:lineRule="exact"/>
        <w:rPr>
          <w:sz w:val="20"/>
          <w:szCs w:val="20"/>
          <w:color w:val="auto"/>
        </w:rPr>
      </w:pPr>
    </w:p>
    <w:p>
      <w:pPr>
        <w:ind w:left="600" w:hanging="592"/>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00"/>
          </w:cols>
          <w:pgMar w:left="240" w:top="364" w:right="25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Peter Gray, certify that:</w:t>
      </w:r>
    </w:p>
    <w:p>
      <w:pPr>
        <w:spacing w:after="0" w:line="252"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900" w:hanging="4"/>
        <w:spacing w:after="0" w:line="342" w:lineRule="auto"/>
        <w:tabs>
          <w:tab w:leader="none" w:pos="845"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480" w:hanging="4"/>
        <w:spacing w:after="0" w:line="342" w:lineRule="auto"/>
        <w:tabs>
          <w:tab w:leader="none" w:pos="855"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0" w:lineRule="exact"/>
        <w:rPr>
          <w:rFonts w:ascii="Arial" w:cs="Arial" w:eastAsia="Arial" w:hAnsi="Arial"/>
          <w:sz w:val="16"/>
          <w:szCs w:val="16"/>
          <w:color w:val="auto"/>
        </w:rPr>
      </w:pPr>
    </w:p>
    <w:p>
      <w:pPr>
        <w:ind w:right="660" w:firstLine="8"/>
        <w:spacing w:after="0" w:line="308" w:lineRule="auto"/>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80" w:firstLine="8"/>
        <w:spacing w:after="0" w:line="277" w:lineRule="auto"/>
        <w:tabs>
          <w:tab w:leader="none" w:pos="1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520" w:firstLine="8"/>
        <w:spacing w:after="0" w:line="277" w:lineRule="auto"/>
        <w:tabs>
          <w:tab w:leader="none" w:pos="1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Peter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0" w:right="23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52"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52"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firstLine="8"/>
        <w:spacing w:after="0" w:line="264"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hanging="4"/>
        <w:spacing w:after="0" w:line="264" w:lineRule="auto"/>
        <w:tabs>
          <w:tab w:leader="none" w:pos="8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20" w:hanging="4"/>
        <w:spacing w:after="0" w:line="264" w:lineRule="auto"/>
        <w:tabs>
          <w:tab w:leader="none" w:pos="8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460" w:hanging="4"/>
        <w:spacing w:after="0" w:line="342" w:lineRule="auto"/>
        <w:tabs>
          <w:tab w:leader="none" w:pos="855"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0" w:lineRule="exact"/>
        <w:rPr>
          <w:rFonts w:ascii="Arial" w:cs="Arial" w:eastAsia="Arial" w:hAnsi="Arial"/>
          <w:sz w:val="16"/>
          <w:szCs w:val="16"/>
          <w:color w:val="auto"/>
        </w:rPr>
      </w:pPr>
    </w:p>
    <w:p>
      <w:pPr>
        <w:ind w:right="640" w:firstLine="8"/>
        <w:spacing w:after="0" w:line="308" w:lineRule="auto"/>
        <w:tabs>
          <w:tab w:leader="none" w:pos="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60" w:firstLine="8"/>
        <w:spacing w:after="0" w:line="277" w:lineRule="auto"/>
        <w:tabs>
          <w:tab w:leader="none" w:pos="1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607"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2007, as filed with the Securities and Exchange Commission on the date hereof (the “Report”), I, Peter Gray, Chief Executive Officer of the Company, certify, pursuant to 18 U.S.C. § 1350, as adopted pursuant to §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840" w:firstLine="8"/>
        <w:spacing w:after="0" w:line="559"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February 20,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2007, as filed with the Securities and Exchange Commission on the date hereof (the “Report”), I, Ciaran Murray, Chief Financial Officer of the Company, certify, pursuant to 18 U.S.C. § 1350, as adopted pursuant to §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840" w:firstLine="8"/>
        <w:spacing w:after="0" w:line="559"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February 20,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o"/>
      <w:numFmt w:val="bullet"/>
      <w:start w:val="1"/>
    </w:lvl>
  </w:abstractNum>
  <w:abstractNum w:abstractNumId="1">
    <w:nsid w:val="2463B9EA"/>
    <w:multiLevelType w:val="hybridMultilevel"/>
    <w:lvl w:ilvl="0">
      <w:lvlJc w:val="left"/>
      <w:lvlText w:val="x"/>
      <w:numFmt w:val="bullet"/>
      <w:start w:val="1"/>
    </w:lvl>
  </w:abstractNum>
  <w:abstractNum w:abstractNumId="2">
    <w:nsid w:val="5E884ADC"/>
    <w:multiLevelType w:val="hybridMultilevel"/>
    <w:lvl w:ilvl="0">
      <w:lvlJc w:val="left"/>
      <w:lvlText w:val="o"/>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o"/>
      <w:numFmt w:val="bullet"/>
      <w:start w:val="1"/>
    </w:lvl>
  </w:abstractNum>
  <w:abstractNum w:abstractNumId="8">
    <w:nsid w:val="70A64E2A"/>
    <w:multiLevelType w:val="hybridMultilevel"/>
    <w:lvl w:ilvl="0">
      <w:lvlJc w:val="left"/>
      <w:lvlText w:val="o"/>
      <w:numFmt w:val="bullet"/>
      <w:start w:val="1"/>
    </w:lvl>
  </w:abstractNum>
  <w:abstractNum w:abstractNumId="9">
    <w:nsid w:val="6A2342EC"/>
    <w:multiLevelType w:val="hybridMultilevel"/>
    <w:lvl w:ilvl="0">
      <w:lvlJc w:val="left"/>
      <w:lvlText w:val="o"/>
      <w:numFmt w:val="bullet"/>
      <w:start w:val="1"/>
    </w:lvl>
  </w:abstractNum>
  <w:abstractNum w:abstractNumId="10">
    <w:nsid w:val="2A487CB0"/>
    <w:multiLevelType w:val="hybridMultilevel"/>
    <w:lvl w:ilvl="0">
      <w:lvlJc w:val="left"/>
      <w:lvlText w:val="o"/>
      <w:numFmt w:val="bullet"/>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lowerLetter"/>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lowerLetter"/>
      <w:start w:val="1"/>
    </w:lvl>
  </w:abstractNum>
  <w:abstractNum w:abstractNumId="27">
    <w:nsid w:val="79A1DEAA"/>
    <w:multiLevelType w:val="hybridMultilevel"/>
    <w:lvl w:ilvl="0">
      <w:lvlJc w:val="left"/>
      <w:lvlText w:val="(%1)"/>
      <w:numFmt w:val="lowerLetter"/>
      <w:start w:val="2"/>
    </w:lvl>
  </w:abstractNum>
  <w:abstractNum w:abstractNumId="28">
    <w:nsid w:val="75C6C33A"/>
    <w:multiLevelType w:val="hybridMultilevel"/>
    <w:lvl w:ilvl="0">
      <w:lvlJc w:val="left"/>
      <w:lvlText w:val="(%1)"/>
      <w:numFmt w:val="lowerLetter"/>
      <w:start w:val="3"/>
    </w:lvl>
  </w:abstractNum>
  <w:abstractNum w:abstractNumId="29">
    <w:nsid w:val="12E685FB"/>
    <w:multiLevelType w:val="hybridMultilevel"/>
    <w:lvl w:ilvl="0">
      <w:lvlJc w:val="left"/>
      <w:lvlText w:val="(%1)"/>
      <w:numFmt w:val="lowerLetter"/>
      <w:start w:val="4"/>
    </w:lvl>
  </w:abstractNum>
  <w:abstractNum w:abstractNumId="30">
    <w:nsid w:val="70C6A529"/>
    <w:multiLevelType w:val="hybridMultilevel"/>
    <w:lvl w:ilvl="0">
      <w:lvlJc w:val="left"/>
      <w:lvlText w:val="(%1)"/>
      <w:numFmt w:val="lowerLetter"/>
      <w:start w:val="5"/>
    </w:lvl>
  </w:abstractNum>
  <w:abstractNum w:abstractNumId="31">
    <w:nsid w:val="520EEDD1"/>
    <w:multiLevelType w:val="hybridMultilevel"/>
    <w:lvl w:ilvl="0">
      <w:lvlJc w:val="left"/>
      <w:lvlText w:val="(%1)"/>
      <w:numFmt w:val="lowerLetter"/>
      <w:start w:val="6"/>
    </w:lvl>
  </w:abstractNum>
  <w:abstractNum w:abstractNumId="32">
    <w:nsid w:val="374A3FE6"/>
    <w:multiLevelType w:val="hybridMultilevel"/>
    <w:lvl w:ilvl="0">
      <w:lvlJc w:val="left"/>
      <w:lvlText w:val="(%1)"/>
      <w:numFmt w:val="lowerLetter"/>
      <w:start w:val="7"/>
    </w:lvl>
  </w:abstractNum>
  <w:abstractNum w:abstractNumId="33">
    <w:nsid w:val="4F4EF005"/>
    <w:multiLevelType w:val="hybridMultilevel"/>
    <w:lvl w:ilvl="0">
      <w:lvlJc w:val="left"/>
      <w:lvlText w:val="(%1)"/>
      <w:numFmt w:val="lowerLetter"/>
      <w:start w:val="8"/>
    </w:lvl>
  </w:abstractNum>
  <w:abstractNum w:abstractNumId="34">
    <w:nsid w:val="23F9C13C"/>
    <w:multiLevelType w:val="hybridMultilevel"/>
    <w:lvl w:ilvl="0">
      <w:lvlJc w:val="left"/>
      <w:lvlText w:val="(%1)"/>
      <w:numFmt w:val="lowerRoman"/>
      <w:start w:val="1"/>
    </w:lvl>
  </w:abstractNum>
  <w:abstractNum w:abstractNumId="35">
    <w:nsid w:val="649BB77C"/>
    <w:multiLevelType w:val="hybridMultilevel"/>
    <w:lvl w:ilvl="0">
      <w:lvlJc w:val="left"/>
      <w:lvlText w:val="(%1)"/>
      <w:numFmt w:val="lowerLetter"/>
      <w:start w:val="10"/>
    </w:lvl>
  </w:abstractNum>
  <w:abstractNum w:abstractNumId="36">
    <w:nsid w:val="275AC794"/>
    <w:multiLevelType w:val="hybridMultilevel"/>
    <w:lvl w:ilvl="0">
      <w:lvlJc w:val="left"/>
      <w:lvlText w:val="(%1)"/>
      <w:numFmt w:val="lowerLetter"/>
      <w:start w:val="11"/>
    </w:lvl>
  </w:abstractNum>
  <w:abstractNum w:abstractNumId="37">
    <w:nsid w:val="39386575"/>
    <w:multiLevelType w:val="hybridMultilevel"/>
    <w:lvl w:ilvl="0">
      <w:lvlJc w:val="left"/>
      <w:lvlText w:val="(%1)"/>
      <w:numFmt w:val="lowerLetter"/>
      <w:start w:val="12"/>
    </w:lvl>
  </w:abstractNum>
  <w:abstractNum w:abstractNumId="38">
    <w:nsid w:val="1CF10FD8"/>
    <w:multiLevelType w:val="hybridMultilevel"/>
    <w:lvl w:ilvl="0">
      <w:lvlJc w:val="left"/>
      <w:lvlText w:val="(%1)"/>
      <w:numFmt w:val="lowerLetter"/>
      <w:start w:val="13"/>
    </w:lvl>
  </w:abstractNum>
  <w:abstractNum w:abstractNumId="39">
    <w:nsid w:val="180115BE"/>
    <w:multiLevelType w:val="hybridMultilevel"/>
    <w:lvl w:ilvl="0">
      <w:lvlJc w:val="left"/>
      <w:lvlText w:val="(%1)"/>
      <w:numFmt w:val="lowerLetter"/>
      <w:start w:val="14"/>
    </w:lvl>
  </w:abstractNum>
  <w:abstractNum w:abstractNumId="40">
    <w:nsid w:val="235BA861"/>
    <w:multiLevelType w:val="hybridMultilevel"/>
    <w:lvl w:ilvl="0">
      <w:lvlJc w:val="left"/>
      <w:lvlText w:val="(%1)"/>
      <w:numFmt w:val="lowerLetter"/>
      <w:start w:val="15"/>
    </w:lvl>
  </w:abstractNum>
  <w:abstractNum w:abstractNumId="41">
    <w:nsid w:val="47398C89"/>
    <w:multiLevelType w:val="hybridMultilevel"/>
    <w:lvl w:ilvl="0">
      <w:lvlJc w:val="left"/>
      <w:lvlText w:val="(%1)"/>
      <w:numFmt w:val="lowerLetter"/>
      <w:start w:val="16"/>
    </w:lvl>
  </w:abstractNum>
  <w:abstractNum w:abstractNumId="42">
    <w:nsid w:val="354FE9F9"/>
    <w:multiLevelType w:val="hybridMultilevel"/>
    <w:lvl w:ilvl="0">
      <w:lvlJc w:val="left"/>
      <w:lvlText w:val="(%1)"/>
      <w:numFmt w:val="lowerLetter"/>
      <w:start w:val="17"/>
    </w:lvl>
  </w:abstractNum>
  <w:abstractNum w:abstractNumId="43">
    <w:nsid w:val="15B5AF5C"/>
    <w:multiLevelType w:val="hybridMultilevel"/>
    <w:lvl w:ilvl="0">
      <w:lvlJc w:val="left"/>
      <w:lvlText w:val="(%1)"/>
      <w:numFmt w:val="lowerLetter"/>
      <w:start w:val="18"/>
    </w:lvl>
  </w:abstractNum>
  <w:abstractNum w:abstractNumId="44">
    <w:nsid w:val="741226BB"/>
    <w:multiLevelType w:val="hybridMultilevel"/>
    <w:lvl w:ilvl="0">
      <w:lvlJc w:val="left"/>
      <w:lvlText w:val="(%1)"/>
      <w:numFmt w:val="lowerLetter"/>
      <w:start w:val="19"/>
    </w:lvl>
  </w:abstractNum>
  <w:abstractNum w:abstractNumId="45">
    <w:nsid w:val="D34B6A8"/>
    <w:multiLevelType w:val="hybridMultilevel"/>
    <w:lvl w:ilvl="0">
      <w:lvlJc w:val="left"/>
      <w:lvlText w:val="(%1)"/>
      <w:numFmt w:val="lowerLetter"/>
      <w:start w:val="20"/>
    </w:lvl>
  </w:abstractNum>
  <w:abstractNum w:abstractNumId="46">
    <w:nsid w:val="10233C99"/>
    <w:multiLevelType w:val="hybridMultilevel"/>
    <w:lvl w:ilvl="0">
      <w:lvlJc w:val="left"/>
      <w:lvlText w:val="(%1)"/>
      <w:numFmt w:val="lowerLetter"/>
      <w:start w:val="21"/>
    </w:lvl>
  </w:abstractNum>
  <w:abstractNum w:abstractNumId="47">
    <w:nsid w:val="3F6AB60F"/>
    <w:multiLevelType w:val="hybridMultilevel"/>
    <w:lvl w:ilvl="0">
      <w:lvlJc w:val="left"/>
      <w:lvlText w:val="(%1)"/>
      <w:numFmt w:val="lowerRoman"/>
      <w:start w:val="5"/>
    </w:lvl>
  </w:abstractNum>
  <w:abstractNum w:abstractNumId="48">
    <w:nsid w:val="61574095"/>
    <w:multiLevelType w:val="hybridMultilevel"/>
    <w:lvl w:ilvl="0">
      <w:lvlJc w:val="left"/>
      <w:lvlText w:val="(%1)"/>
      <w:numFmt w:val="upperLetter"/>
      <w:start w:val="1"/>
    </w:lvl>
  </w:abstractNum>
  <w:abstractNum w:abstractNumId="49">
    <w:nsid w:val="7E0C57B1"/>
    <w:multiLevelType w:val="hybridMultilevel"/>
    <w:lvl w:ilvl="0">
      <w:lvlJc w:val="left"/>
      <w:lvlText w:val="(%1)"/>
      <w:numFmt w:val="upperLetter"/>
      <w:start w:val="2"/>
    </w:lvl>
  </w:abstractNum>
  <w:abstractNum w:abstractNumId="50">
    <w:nsid w:val="77AE35EB"/>
    <w:multiLevelType w:val="hybridMultilevel"/>
    <w:lvl w:ilvl="0">
      <w:lvlJc w:val="left"/>
      <w:lvlText w:val="(%1)"/>
      <w:numFmt w:val="upperLetter"/>
      <w:start w:val="3"/>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2"/>
    </w:lvl>
  </w:abstractNum>
  <w:abstractNum w:abstractNumId="53">
    <w:nsid w:val="5FF87E05"/>
    <w:multiLevelType w:val="hybridMultilevel"/>
    <w:lvl w:ilvl="0">
      <w:lvlJc w:val="left"/>
      <w:lvlText w:val="%1)"/>
      <w:numFmt w:val="lowerLetter"/>
      <w:start w:val="3"/>
    </w:lvl>
  </w:abstractNum>
  <w:abstractNum w:abstractNumId="54">
    <w:nsid w:val="2F305DEF"/>
    <w:multiLevelType w:val="hybridMultilevel"/>
    <w:lvl w:ilvl="0">
      <w:lvlJc w:val="left"/>
      <w:lvlText w:val="%1)"/>
      <w:numFmt w:val="lowerLetter"/>
      <w:start w:val="4"/>
    </w:lvl>
  </w:abstractNum>
  <w:abstractNum w:abstractNumId="55">
    <w:nsid w:val="25A70BF7"/>
    <w:multiLevelType w:val="hybridMultilevel"/>
    <w:lvl w:ilvl="0">
      <w:lvlJc w:val="left"/>
      <w:lvlText w:val="%1)"/>
      <w:numFmt w:val="lowerLetter"/>
      <w:start w:val="5"/>
    </w:lvl>
  </w:abstractNum>
  <w:abstractNum w:abstractNumId="56">
    <w:nsid w:val="1DBABF00"/>
    <w:multiLevelType w:val="hybridMultilevel"/>
    <w:lvl w:ilvl="0">
      <w:lvlJc w:val="left"/>
      <w:lvlText w:val="%1)"/>
      <w:numFmt w:val="lowerLetter"/>
      <w:start w:val="6"/>
    </w:lvl>
  </w:abstractNum>
  <w:abstractNum w:abstractNumId="57">
    <w:nsid w:val="4AD084E9"/>
    <w:multiLevelType w:val="hybridMultilevel"/>
    <w:lvl w:ilvl="0">
      <w:lvlJc w:val="left"/>
      <w:lvlText w:val="%1)"/>
      <w:numFmt w:val="lowerLetter"/>
      <w:start w:val="7"/>
    </w:lvl>
  </w:abstractNum>
  <w:abstractNum w:abstractNumId="58">
    <w:nsid w:val="1F48EAA1"/>
    <w:multiLevelType w:val="hybridMultilevel"/>
    <w:lvl w:ilvl="0">
      <w:lvlJc w:val="left"/>
      <w:lvlText w:val="%1)"/>
      <w:numFmt w:val="lowerLetter"/>
      <w:start w:val="8"/>
    </w:lvl>
  </w:abstractNum>
  <w:abstractNum w:abstractNumId="59">
    <w:nsid w:val="1381823A"/>
    <w:multiLevelType w:val="hybridMultilevel"/>
    <w:lvl w:ilvl="0">
      <w:lvlJc w:val="left"/>
      <w:lvlText w:val="%1)"/>
      <w:numFmt w:val="lowerRoman"/>
      <w:start w:val="1"/>
    </w:lvl>
  </w:abstractNum>
  <w:abstractNum w:abstractNumId="60">
    <w:nsid w:val="5DB70AE5"/>
    <w:multiLevelType w:val="hybridMultilevel"/>
    <w:lvl w:ilvl="0">
      <w:lvlJc w:val="left"/>
      <w:lvlText w:val="%1)"/>
      <w:numFmt w:val="lowerLetter"/>
      <w:start w:val="10"/>
    </w:lvl>
  </w:abstractNum>
  <w:abstractNum w:abstractNumId="61">
    <w:nsid w:val="100F8FCA"/>
    <w:multiLevelType w:val="hybridMultilevel"/>
    <w:lvl w:ilvl="0">
      <w:lvlJc w:val="left"/>
      <w:lvlText w:val="%1)"/>
      <w:numFmt w:val="lowerLetter"/>
      <w:start w:val="11"/>
    </w:lvl>
  </w:abstractNum>
  <w:abstractNum w:abstractNumId="62">
    <w:nsid w:val="6590700B"/>
    <w:multiLevelType w:val="hybridMultilevel"/>
    <w:lvl w:ilvl="0">
      <w:lvlJc w:val="left"/>
      <w:lvlText w:val="%1)"/>
      <w:numFmt w:val="lowerLetter"/>
      <w:start w:val="12"/>
    </w:lvl>
  </w:abstractNum>
  <w:abstractNum w:abstractNumId="63">
    <w:nsid w:val="15014ACB"/>
    <w:multiLevelType w:val="hybridMultilevel"/>
    <w:lvl w:ilvl="0">
      <w:lvlJc w:val="left"/>
      <w:lvlText w:val="%1)"/>
      <w:numFmt w:val="lowerLetter"/>
      <w:start w:val="13"/>
    </w:lvl>
  </w:abstractNum>
  <w:abstractNum w:abstractNumId="64">
    <w:nsid w:val="5F5E7FD0"/>
    <w:multiLevelType w:val="hybridMultilevel"/>
    <w:lvl w:ilvl="0">
      <w:lvlJc w:val="left"/>
      <w:lvlText w:val="%1)"/>
      <w:numFmt w:val="lowerLetter"/>
      <w:start w:val="14"/>
    </w:lvl>
  </w:abstractNum>
  <w:abstractNum w:abstractNumId="65">
    <w:nsid w:val="98A3148"/>
    <w:multiLevelType w:val="hybridMultilevel"/>
    <w:lvl w:ilvl="0">
      <w:lvlJc w:val="left"/>
      <w:lvlText w:val="%1)"/>
      <w:numFmt w:val="lowerLetter"/>
      <w:start w:val="15"/>
    </w:lvl>
  </w:abstractNum>
  <w:abstractNum w:abstractNumId="66">
    <w:nsid w:val="799D0247"/>
    <w:multiLevelType w:val="hybridMultilevel"/>
    <w:lvl w:ilvl="0">
      <w:lvlJc w:val="left"/>
      <w:lvlText w:val="%1)"/>
      <w:numFmt w:val="lowerLetter"/>
      <w:start w:val="16"/>
    </w:lvl>
  </w:abstractNum>
  <w:abstractNum w:abstractNumId="67">
    <w:nsid w:val="6B94764"/>
    <w:multiLevelType w:val="hybridMultilevel"/>
    <w:lvl w:ilvl="0">
      <w:lvlJc w:val="left"/>
      <w:lvlText w:val="%1)"/>
      <w:numFmt w:val="lowerLetter"/>
      <w:start w:val="17"/>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1."/>
      <w:numFmt w:val="decimal"/>
      <w:start w:val="1"/>
    </w:lvl>
    <w:lvl w:ilvl="1">
      <w:lvlJc w:val="left"/>
      <w:lvlText w:val="%2)"/>
      <w:numFmt w:val="lowerLetter"/>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2019-12-14T20:52:18Z</dcterms:created>
  <dcterms:modified xsi:type="dcterms:W3CDTF">2019-12-14T20:52:18Z</dcterms:modified>
</cp:coreProperties>
</file>