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99"/>
        <w:spacing w:after="0"/>
        <w:rPr>
          <w:sz w:val="20"/>
          <w:szCs w:val="20"/>
          <w:color w:val="auto"/>
        </w:rPr>
      </w:pPr>
      <w:r>
        <w:rPr>
          <w:rFonts w:ascii="Arial" w:cs="Arial" w:eastAsia="Arial" w:hAnsi="Arial"/>
          <w:sz w:val="29"/>
          <w:szCs w:val="29"/>
          <w:b w:val="1"/>
          <w:bCs w:val="1"/>
          <w:color w:val="auto"/>
        </w:rPr>
        <w:t>FORM 6-K</w:t>
      </w:r>
    </w:p>
    <w:p>
      <w:pPr>
        <w:spacing w:after="0" w:line="288" w:lineRule="exact"/>
        <w:rPr>
          <w:sz w:val="24"/>
          <w:szCs w:val="24"/>
          <w:color w:val="auto"/>
        </w:rPr>
      </w:pPr>
    </w:p>
    <w:p>
      <w:pPr>
        <w:jc w:val="center"/>
        <w:ind w:right="-619"/>
        <w:spacing w:after="0"/>
        <w:rPr>
          <w:sz w:val="20"/>
          <w:szCs w:val="20"/>
          <w:color w:val="auto"/>
        </w:rPr>
      </w:pPr>
      <w:r>
        <w:rPr>
          <w:rFonts w:ascii="Arial" w:cs="Arial" w:eastAsia="Arial" w:hAnsi="Arial"/>
          <w:sz w:val="29"/>
          <w:szCs w:val="29"/>
          <w:b w:val="1"/>
          <w:bCs w:val="1"/>
          <w:color w:val="auto"/>
        </w:rPr>
        <w:t>SECURITIES AND EXCHANGE COMMISSION</w:t>
      </w:r>
    </w:p>
    <w:p>
      <w:pPr>
        <w:spacing w:after="0" w:line="29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Washington, D.C. 20549</w:t>
      </w:r>
    </w:p>
    <w:p>
      <w:pPr>
        <w:spacing w:after="0" w:line="281"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Report of Foreign Private Issuer</w:t>
      </w:r>
    </w:p>
    <w:p>
      <w:pPr>
        <w:spacing w:after="0" w:line="27"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Pursuant to Rule 13a-16 under</w:t>
      </w:r>
    </w:p>
    <w:p>
      <w:pPr>
        <w:spacing w:after="0" w:line="17"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t</w:t>
      </w:r>
      <w:r>
        <w:rPr>
          <w:rFonts w:ascii="Arial" w:cs="Arial" w:eastAsia="Arial" w:hAnsi="Arial"/>
          <w:sz w:val="22"/>
          <w:szCs w:val="22"/>
          <w:b w:val="1"/>
          <w:bCs w:val="1"/>
          <w:color w:val="auto"/>
        </w:rPr>
        <w:t>he Securities Exchange Act of 1934</w:t>
      </w:r>
    </w:p>
    <w:p>
      <w:pPr>
        <w:spacing w:after="0" w:line="200" w:lineRule="exact"/>
        <w:rPr>
          <w:sz w:val="24"/>
          <w:szCs w:val="24"/>
          <w:color w:val="auto"/>
        </w:rPr>
      </w:pPr>
    </w:p>
    <w:p>
      <w:pPr>
        <w:spacing w:after="0" w:line="353" w:lineRule="exact"/>
        <w:rPr>
          <w:sz w:val="24"/>
          <w:szCs w:val="24"/>
          <w:color w:val="auto"/>
        </w:rPr>
      </w:pPr>
    </w:p>
    <w:p>
      <w:pPr>
        <w:ind w:left="4240"/>
        <w:spacing w:after="0"/>
        <w:rPr>
          <w:sz w:val="20"/>
          <w:szCs w:val="20"/>
          <w:color w:val="auto"/>
        </w:rPr>
      </w:pPr>
      <w:r>
        <w:rPr>
          <w:rFonts w:ascii="Arial" w:cs="Arial" w:eastAsia="Arial" w:hAnsi="Arial"/>
          <w:sz w:val="22"/>
          <w:szCs w:val="22"/>
          <w:color w:val="auto"/>
        </w:rPr>
        <w:t>For the month ended May, 2020</w:t>
      </w:r>
    </w:p>
    <w:p>
      <w:pPr>
        <w:spacing w:after="0" w:line="200" w:lineRule="exact"/>
        <w:rPr>
          <w:sz w:val="24"/>
          <w:szCs w:val="24"/>
          <w:color w:val="auto"/>
        </w:rPr>
      </w:pPr>
    </w:p>
    <w:p>
      <w:pPr>
        <w:spacing w:after="0" w:line="346" w:lineRule="exact"/>
        <w:rPr>
          <w:sz w:val="24"/>
          <w:szCs w:val="24"/>
          <w:color w:val="auto"/>
        </w:rPr>
      </w:pPr>
    </w:p>
    <w:p>
      <w:pPr>
        <w:jc w:val="center"/>
        <w:ind w:right="-619"/>
        <w:spacing w:after="0"/>
        <w:rPr>
          <w:sz w:val="20"/>
          <w:szCs w:val="20"/>
          <w:color w:val="auto"/>
        </w:rPr>
      </w:pPr>
      <w:r>
        <w:rPr>
          <w:rFonts w:ascii="Arial" w:cs="Arial" w:eastAsia="Arial" w:hAnsi="Arial"/>
          <w:sz w:val="29"/>
          <w:szCs w:val="29"/>
          <w:b w:val="1"/>
          <w:bCs w:val="1"/>
          <w:color w:val="auto"/>
        </w:rPr>
        <w:t>ICON plc</w:t>
      </w:r>
    </w:p>
    <w:p>
      <w:pPr>
        <w:spacing w:after="0" w:line="41" w:lineRule="exact"/>
        <w:rPr>
          <w:sz w:val="24"/>
          <w:szCs w:val="24"/>
          <w:color w:val="auto"/>
        </w:rPr>
      </w:pPr>
    </w:p>
    <w:p>
      <w:pPr>
        <w:ind w:left="4780"/>
        <w:spacing w:after="0"/>
        <w:rPr>
          <w:sz w:val="20"/>
          <w:szCs w:val="20"/>
          <w:color w:val="auto"/>
        </w:rPr>
      </w:pPr>
      <w:r>
        <w:rPr>
          <w:rFonts w:ascii="Arial" w:cs="Arial" w:eastAsia="Arial" w:hAnsi="Arial"/>
          <w:sz w:val="22"/>
          <w:szCs w:val="22"/>
          <w:color w:val="auto"/>
        </w:rPr>
        <w:t>(Registrant's name)</w:t>
      </w:r>
    </w:p>
    <w:p>
      <w:pPr>
        <w:spacing w:after="0" w:line="200" w:lineRule="exact"/>
        <w:rPr>
          <w:sz w:val="24"/>
          <w:szCs w:val="24"/>
          <w:color w:val="auto"/>
        </w:rPr>
      </w:pPr>
    </w:p>
    <w:p>
      <w:pPr>
        <w:spacing w:after="0" w:line="338"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333-08704</w:t>
      </w:r>
    </w:p>
    <w:p>
      <w:pPr>
        <w:spacing w:after="0" w:line="27" w:lineRule="exact"/>
        <w:rPr>
          <w:sz w:val="24"/>
          <w:szCs w:val="24"/>
          <w:color w:val="auto"/>
        </w:rPr>
      </w:pPr>
    </w:p>
    <w:p>
      <w:pPr>
        <w:jc w:val="center"/>
        <w:ind w:right="-67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353"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21"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(Address of principal executive offices)</w:t>
      </w:r>
    </w:p>
    <w:p>
      <w:pPr>
        <w:spacing w:after="0" w:line="200" w:lineRule="exact"/>
        <w:rPr>
          <w:sz w:val="24"/>
          <w:szCs w:val="24"/>
          <w:color w:val="auto"/>
        </w:rPr>
      </w:pPr>
    </w:p>
    <w:p>
      <w:pPr>
        <w:spacing w:after="0" w:line="353"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Brendan Brennan, CFO</w:t>
      </w:r>
    </w:p>
    <w:p>
      <w:pPr>
        <w:spacing w:after="0" w:line="21"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17"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Brendan.Brennan@iconplc.com</w:t>
      </w:r>
    </w:p>
    <w:p>
      <w:pPr>
        <w:spacing w:after="0" w:line="17"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+353-1-291-2000</w:t>
      </w:r>
    </w:p>
    <w:p>
      <w:pPr>
        <w:spacing w:after="0" w:line="17" w:lineRule="exact"/>
        <w:rPr>
          <w:sz w:val="24"/>
          <w:szCs w:val="24"/>
          <w:color w:val="auto"/>
        </w:rPr>
      </w:pPr>
    </w:p>
    <w:p>
      <w:pPr>
        <w:jc w:val="center"/>
        <w:ind w:right="-679"/>
        <w:spacing w:after="0"/>
        <w:rPr>
          <w:sz w:val="20"/>
          <w:szCs w:val="20"/>
          <w:color w:val="auto"/>
        </w:rPr>
      </w:pPr>
      <w:r>
        <w:rPr>
          <w:rFonts w:ascii="Arial" w:cs="Arial" w:eastAsia="Arial" w:hAnsi="Arial"/>
          <w:sz w:val="22"/>
          <w:szCs w:val="22"/>
          <w:color w:val="auto"/>
        </w:rPr>
        <w:t>(Name, telephone number, email and/or facsimile number and address of Company contact person)</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3"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Form 20-F_X___</w:t>
      </w:r>
      <w:r>
        <w:rPr>
          <w:sz w:val="20"/>
          <w:szCs w:val="20"/>
          <w:color w:val="auto"/>
        </w:rPr>
        <w:tab/>
      </w:r>
      <w:r>
        <w:rPr>
          <w:rFonts w:ascii="Arial" w:cs="Arial" w:eastAsia="Arial" w:hAnsi="Arial"/>
          <w:sz w:val="16"/>
          <w:szCs w:val="16"/>
          <w:color w:val="auto"/>
        </w:rPr>
        <w:t>Form 40-F_______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101(b)(1):</w:t>
      </w:r>
    </w:p>
    <w:p>
      <w:pPr>
        <w:spacing w:after="0" w:line="23"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101(b)(7):</w:t>
      </w:r>
    </w:p>
    <w:p>
      <w:pPr>
        <w:spacing w:after="0" w:line="23"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11"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Rule12g3-2(b) under the Securities Exchange Act of 1934.</w:t>
      </w:r>
    </w:p>
    <w:p>
      <w:pPr>
        <w:spacing w:after="0" w:line="1"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12g3-2(b):82 </w:t>
      </w: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20"/>
          </w:cols>
          <w:pgMar w:left="320" w:top="229" w:right="959" w:bottom="1440" w:gutter="0" w:footer="0" w:header="0"/>
        </w:sectPr>
      </w:pPr>
    </w:p>
    <w:bookmarkStart w:id="1" w:name="page2"/>
    <w:bookmarkEnd w:id="1"/>
    <w:p>
      <w:pPr>
        <w:jc w:val="right"/>
        <w:ind w:right="3779"/>
        <w:spacing w:after="0"/>
        <w:rPr>
          <w:sz w:val="20"/>
          <w:szCs w:val="20"/>
          <w:color w:val="auto"/>
        </w:rPr>
      </w:pPr>
      <w:r>
        <w:rPr>
          <w:rFonts w:ascii="Arial" w:cs="Arial" w:eastAsia="Arial" w:hAnsi="Arial"/>
          <w:sz w:val="22"/>
          <w:szCs w:val="22"/>
          <w:b w:val="1"/>
          <w:bCs w:val="1"/>
          <w:u w:val="single" w:color="auto"/>
          <w:color w:val="auto"/>
        </w:rPr>
        <w:t>EXHIBIT LIST</w:t>
      </w:r>
    </w:p>
    <w:p>
      <w:pPr>
        <w:spacing w:after="0" w:line="287"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25" w:lineRule="exact"/>
        <w:rPr>
          <w:sz w:val="20"/>
          <w:szCs w:val="20"/>
          <w:color w:val="auto"/>
        </w:rPr>
      </w:pPr>
    </w:p>
    <w:p>
      <w:pPr>
        <w:spacing w:after="0"/>
        <w:tabs>
          <w:tab w:leader="none" w:pos="1560" w:val="left"/>
        </w:tabs>
        <w:rPr>
          <w:rFonts w:ascii="Arial" w:cs="Arial" w:eastAsia="Arial" w:hAnsi="Arial"/>
          <w:sz w:val="16"/>
          <w:szCs w:val="16"/>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6"/>
            <w:szCs w:val="16"/>
            <w:u w:val="single" w:color="auto"/>
            <w:color w:val="0000EE"/>
          </w:rPr>
          <w:t>ICON plc to Present at Jefferies Virtual Healthcare Conference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640715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96"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93" w:lineRule="exact"/>
        <w:rPr>
          <w:sz w:val="20"/>
          <w:szCs w:val="20"/>
          <w:color w:val="auto"/>
        </w:rPr>
      </w:pPr>
    </w:p>
    <w:p>
      <w:pPr>
        <w:spacing w:after="0" w:line="276"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88" w:lineRule="exact"/>
        <w:rPr>
          <w:sz w:val="20"/>
          <w:szCs w:val="20"/>
          <w:color w:val="auto"/>
        </w:rPr>
      </w:pPr>
    </w:p>
    <w:p>
      <w:pPr>
        <w:ind w:left="748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/s/ Brendan Brennan</w:t>
      </w:r>
    </w:p>
    <w:p>
      <w:pPr>
        <w:spacing w:after="0" w:line="23" w:lineRule="exact"/>
        <w:rPr>
          <w:sz w:val="20"/>
          <w:szCs w:val="20"/>
          <w:color w:val="auto"/>
        </w:rPr>
      </w:pPr>
    </w:p>
    <w:p>
      <w:pPr>
        <w:ind w:left="7480" w:right="2080" w:hanging="7478"/>
        <w:spacing w:after="0" w:line="290" w:lineRule="auto"/>
        <w:tabs>
          <w:tab w:leader="none" w:pos="7460" w:val="left"/>
        </w:tabs>
        <w:rPr>
          <w:sz w:val="20"/>
          <w:szCs w:val="20"/>
          <w:color w:val="auto"/>
        </w:rPr>
      </w:pPr>
      <w:r>
        <w:rPr>
          <w:rFonts w:ascii="Arial" w:cs="Arial" w:eastAsia="Arial" w:hAnsi="Arial"/>
          <w:sz w:val="18"/>
          <w:szCs w:val="18"/>
          <w:color w:val="auto"/>
        </w:rPr>
        <w:t>Date: May 27, 2020</w:t>
      </w:r>
      <w:r>
        <w:rPr>
          <w:sz w:val="20"/>
          <w:szCs w:val="20"/>
          <w:color w:val="auto"/>
        </w:rPr>
        <w:tab/>
      </w:r>
      <w:r>
        <w:rPr>
          <w:rFonts w:ascii="Arial" w:cs="Arial" w:eastAsia="Arial" w:hAnsi="Arial"/>
          <w:sz w:val="17"/>
          <w:szCs w:val="17"/>
          <w:color w:val="auto"/>
        </w:rPr>
        <w:t>Brendan Brennan Chief Financial Officer</w:t>
      </w:r>
    </w:p>
    <w:p>
      <w:pPr>
        <w:sectPr>
          <w:pgSz w:w="11900" w:h="16838" w:orient="portrait"/>
          <w:cols w:equalWidth="0" w:num="1">
            <w:col w:w="11240"/>
          </w:cols>
          <w:pgMar w:left="320" w:top="396"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ICON plc to Present at Jefferies Virtual Healthcare Conference</w:t>
      </w:r>
    </w:p>
    <w:p>
      <w:pPr>
        <w:spacing w:after="0" w:line="227"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color w:val="auto"/>
        </w:rPr>
        <w:t>DUBLIN--(BUSINESS WIRE)--May 27, 2020--ICON plc, (NASDAQ: ICLR) a global provider of drug and device development and commercialisation services to the pharmaceutical, biotechnology and medical device industries, today announced that Dr. Steve Cutler, CEO of ICON plc, will present at the Jefferies Virtual Healthcare Conference on Tuesday, June 2, 2020. The presentation will be webcast live from 01.00pm EDT.</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A link to the live webcast will be available via the Investor section of our website under “Events”.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ICON plc</w:t>
      </w:r>
    </w:p>
    <w:p>
      <w:pPr>
        <w:spacing w:after="0" w:line="212" w:lineRule="exact"/>
        <w:rPr>
          <w:sz w:val="20"/>
          <w:szCs w:val="20"/>
          <w:color w:val="auto"/>
        </w:rPr>
      </w:pPr>
    </w:p>
    <w:p>
      <w:pPr>
        <w:ind w:right="160"/>
        <w:spacing w:after="0" w:line="282" w:lineRule="auto"/>
        <w:rPr>
          <w:sz w:val="20"/>
          <w:szCs w:val="20"/>
          <w:color w:val="auto"/>
        </w:rPr>
      </w:pPr>
      <w:r>
        <w:rPr>
          <w:rFonts w:ascii="Arial" w:cs="Arial" w:eastAsia="Arial" w:hAnsi="Arial"/>
          <w:sz w:val="19"/>
          <w:szCs w:val="19"/>
          <w:color w:val="auto"/>
        </w:rPr>
        <w:t>ICON plc is a global provider of outsourced drug and device development and commercialisation services to pharmaceutical, biotechnology, medical device and government and public health organisations. The Company specialises in the strategic development, management and analysis of programs that support clinical development - from compound selection to Phase I-IV clinical studies. With headquarters in Dublin, Ireland, ICON employed approximately 15,100 employees in 98 locations in 40 countries as at March 31, 2020. Further information is available at www.iconplc.com.</w:t>
      </w:r>
    </w:p>
    <w:p>
      <w:pPr>
        <w:spacing w:after="0" w:line="147" w:lineRule="exact"/>
        <w:rPr>
          <w:sz w:val="20"/>
          <w:szCs w:val="20"/>
          <w:color w:val="auto"/>
        </w:rPr>
      </w:pPr>
    </w:p>
    <w:p>
      <w:pPr>
        <w:ind w:right="60"/>
        <w:spacing w:after="0" w:line="271" w:lineRule="auto"/>
        <w:rPr>
          <w:sz w:val="20"/>
          <w:szCs w:val="20"/>
          <w:color w:val="auto"/>
        </w:rPr>
      </w:pPr>
      <w:r>
        <w:rPr>
          <w:rFonts w:ascii="Arial" w:cs="Arial" w:eastAsia="Arial" w:hAnsi="Arial"/>
          <w:sz w:val="19"/>
          <w:szCs w:val="19"/>
          <w:color w:val="auto"/>
        </w:rPr>
        <w:t>This press release contains forward-looking statements.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the impact of COVID-19 on our business, as well as other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S-8 and F-3, which are available on the SEC's website at http://www.sec.gov.</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Source: ICON plc</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ICON/ICLR-G</w:t>
      </w:r>
    </w:p>
    <w:p>
      <w:pPr>
        <w:spacing w:after="0" w:line="21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Contacts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Investor Relations</w:t>
      </w:r>
    </w:p>
    <w:p>
      <w:pPr>
        <w:spacing w:after="0" w:line="238" w:lineRule="auto"/>
        <w:rPr>
          <w:sz w:val="20"/>
          <w:szCs w:val="20"/>
          <w:color w:val="auto"/>
        </w:rPr>
      </w:pPr>
      <w:r>
        <w:rPr>
          <w:rFonts w:ascii="Arial" w:cs="Arial" w:eastAsia="Arial" w:hAnsi="Arial"/>
          <w:sz w:val="22"/>
          <w:szCs w:val="22"/>
          <w:color w:val="auto"/>
        </w:rPr>
        <w:t>+1888 381 7923</w:t>
      </w:r>
    </w:p>
    <w:p>
      <w:pPr>
        <w:spacing w:after="0" w:line="230" w:lineRule="auto"/>
        <w:rPr>
          <w:sz w:val="20"/>
          <w:szCs w:val="20"/>
          <w:color w:val="auto"/>
        </w:rPr>
      </w:pPr>
      <w:r>
        <w:rPr>
          <w:rFonts w:ascii="Arial" w:cs="Arial" w:eastAsia="Arial" w:hAnsi="Arial"/>
          <w:sz w:val="22"/>
          <w:szCs w:val="22"/>
          <w:color w:val="auto"/>
        </w:rPr>
        <w:t>or</w:t>
      </w:r>
    </w:p>
    <w:p>
      <w:pPr>
        <w:spacing w:after="0" w:line="231" w:lineRule="auto"/>
        <w:rPr>
          <w:sz w:val="20"/>
          <w:szCs w:val="20"/>
          <w:color w:val="auto"/>
        </w:rPr>
      </w:pPr>
      <w:r>
        <w:rPr>
          <w:rFonts w:ascii="Arial" w:cs="Arial" w:eastAsia="Arial" w:hAnsi="Arial"/>
          <w:sz w:val="22"/>
          <w:szCs w:val="22"/>
          <w:color w:val="auto"/>
        </w:rPr>
        <w:t>Jonathan Curtain</w:t>
      </w:r>
    </w:p>
    <w:p>
      <w:pPr>
        <w:spacing w:after="0" w:line="230" w:lineRule="auto"/>
        <w:rPr>
          <w:sz w:val="20"/>
          <w:szCs w:val="20"/>
          <w:color w:val="auto"/>
        </w:rPr>
      </w:pPr>
      <w:r>
        <w:rPr>
          <w:rFonts w:ascii="Arial" w:cs="Arial" w:eastAsia="Arial" w:hAnsi="Arial"/>
          <w:sz w:val="22"/>
          <w:szCs w:val="22"/>
          <w:color w:val="auto"/>
        </w:rPr>
        <w:t>Vice President Corporate Finance and Investor Relations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+353 1 291 2000</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2020-05-27T05:16:32Z</dcterms:created>
  <dcterms:modified xsi:type="dcterms:W3CDTF">2020-05-27T05:16:32Z</dcterms:modified>
</cp:coreProperties>
</file>