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9"/>
        <w:spacing w:after="0"/>
        <w:rPr>
          <w:sz w:val="20"/>
          <w:szCs w:val="20"/>
          <w:color w:val="auto"/>
        </w:rPr>
      </w:pPr>
      <w:r>
        <w:rPr>
          <w:rFonts w:ascii="Courier New" w:cs="Courier New" w:eastAsia="Courier New" w:hAnsi="Courier New"/>
          <w:sz w:val="16"/>
          <w:szCs w:val="16"/>
          <w:color w:val="auto"/>
        </w:rPr>
        <w:t>FORM 6-K</w:t>
      </w:r>
    </w:p>
    <w:p>
      <w:pPr>
        <w:spacing w:after="0" w:line="195"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95"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Washington, D.C. 20549</w:t>
      </w:r>
    </w:p>
    <w:p>
      <w:pPr>
        <w:spacing w:after="0" w:line="195"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Report of Foreign Private Issuer</w:t>
      </w:r>
    </w:p>
    <w:p>
      <w:pPr>
        <w:spacing w:after="0" w:line="7"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6"/>
          <w:szCs w:val="16"/>
          <w:color w:val="auto"/>
        </w:rPr>
        <w:t>Pursuant to Rule 13a - 16 under</w:t>
      </w:r>
    </w:p>
    <w:p>
      <w:pPr>
        <w:spacing w:after="0" w:line="7"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6"/>
          <w:szCs w:val="16"/>
          <w:color w:val="auto"/>
        </w:rPr>
        <w:t>the Securities Exchange Act of 1934</w:t>
      </w:r>
    </w:p>
    <w:p>
      <w:pPr>
        <w:spacing w:after="0" w:line="195"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6"/>
          <w:szCs w:val="16"/>
          <w:color w:val="auto"/>
        </w:rPr>
        <w:t>For the period ended August 4, 2005</w:t>
      </w:r>
    </w:p>
    <w:p>
      <w:pPr>
        <w:spacing w:after="0" w:line="195" w:lineRule="exact"/>
        <w:rPr>
          <w:sz w:val="24"/>
          <w:szCs w:val="24"/>
          <w:color w:val="auto"/>
        </w:rPr>
      </w:pPr>
    </w:p>
    <w:p>
      <w:pPr>
        <w:ind w:left="3520"/>
        <w:spacing w:after="0"/>
        <w:rPr>
          <w:sz w:val="20"/>
          <w:szCs w:val="20"/>
          <w:color w:val="auto"/>
        </w:rPr>
      </w:pPr>
      <w:r>
        <w:rPr>
          <w:rFonts w:ascii="Courier New" w:cs="Courier New" w:eastAsia="Courier New" w:hAnsi="Courier New"/>
          <w:sz w:val="16"/>
          <w:szCs w:val="16"/>
          <w:color w:val="auto"/>
        </w:rPr>
        <w:t>ICON plc</w:t>
      </w:r>
    </w:p>
    <w:p>
      <w:pPr>
        <w:spacing w:after="0" w:line="7" w:lineRule="exact"/>
        <w:rPr>
          <w:sz w:val="24"/>
          <w:szCs w:val="24"/>
          <w:color w:val="auto"/>
        </w:rPr>
      </w:pPr>
    </w:p>
    <w:p>
      <w:pPr>
        <w:ind w:left="3040"/>
        <w:spacing w:after="0"/>
        <w:rPr>
          <w:sz w:val="20"/>
          <w:szCs w:val="20"/>
          <w:color w:val="auto"/>
        </w:rPr>
      </w:pPr>
      <w:r>
        <w:rPr>
          <w:rFonts w:ascii="Courier New" w:cs="Courier New" w:eastAsia="Courier New" w:hAnsi="Courier New"/>
          <w:sz w:val="16"/>
          <w:szCs w:val="16"/>
          <w:color w:val="auto"/>
        </w:rPr>
        <w:t>(Registrant's name)</w:t>
      </w:r>
    </w:p>
    <w:p>
      <w:pPr>
        <w:spacing w:after="0" w:line="195" w:lineRule="exact"/>
        <w:rPr>
          <w:sz w:val="24"/>
          <w:szCs w:val="24"/>
          <w:color w:val="auto"/>
        </w:rPr>
      </w:pPr>
    </w:p>
    <w:p>
      <w:pPr>
        <w:ind w:left="3620"/>
        <w:spacing w:after="0"/>
        <w:rPr>
          <w:sz w:val="20"/>
          <w:szCs w:val="20"/>
          <w:color w:val="auto"/>
        </w:rPr>
      </w:pPr>
      <w:r>
        <w:rPr>
          <w:rFonts w:ascii="Courier New" w:cs="Courier New" w:eastAsia="Courier New" w:hAnsi="Courier New"/>
          <w:sz w:val="16"/>
          <w:szCs w:val="16"/>
          <w:color w:val="auto"/>
        </w:rPr>
        <w:t>0-29714</w:t>
      </w:r>
    </w:p>
    <w:p>
      <w:pPr>
        <w:spacing w:after="0" w:line="7" w:lineRule="exact"/>
        <w:rPr>
          <w:sz w:val="24"/>
          <w:szCs w:val="24"/>
          <w:color w:val="auto"/>
        </w:rPr>
      </w:pPr>
    </w:p>
    <w:p>
      <w:pPr>
        <w:ind w:left="2740"/>
        <w:spacing w:after="0"/>
        <w:rPr>
          <w:sz w:val="20"/>
          <w:szCs w:val="20"/>
          <w:color w:val="auto"/>
        </w:rPr>
      </w:pPr>
      <w:r>
        <w:rPr>
          <w:rFonts w:ascii="Courier New" w:cs="Courier New" w:eastAsia="Courier New" w:hAnsi="Courier New"/>
          <w:sz w:val="16"/>
          <w:szCs w:val="16"/>
          <w:color w:val="auto"/>
        </w:rPr>
        <w:t>(Commission file number)</w:t>
      </w:r>
    </w:p>
    <w:p>
      <w:pPr>
        <w:spacing w:after="0" w:line="195"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6"/>
          <w:szCs w:val="16"/>
          <w:color w:val="auto"/>
        </w:rPr>
        <w:t>South County Business Park, Leopardstown, Dublin 18, Ireland.</w:t>
      </w:r>
    </w:p>
    <w:p>
      <w:pPr>
        <w:spacing w:after="0" w:line="7"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195" w:lineRule="exact"/>
        <w:rPr>
          <w:sz w:val="24"/>
          <w:szCs w:val="24"/>
          <w:color w:val="auto"/>
        </w:rPr>
      </w:pPr>
    </w:p>
    <w:p>
      <w:pPr>
        <w:ind w:right="2499"/>
        <w:spacing w:after="0" w:line="252" w:lineRule="auto"/>
        <w:rPr>
          <w:sz w:val="20"/>
          <w:szCs w:val="20"/>
          <w:color w:val="auto"/>
        </w:rPr>
      </w:pPr>
      <w:r>
        <w:rPr>
          <w:rFonts w:ascii="Courier New" w:cs="Courier New" w:eastAsia="Courier New" w:hAnsi="Courier New"/>
          <w:sz w:val="16"/>
          <w:szCs w:val="16"/>
          <w:color w:val="auto"/>
        </w:rPr>
        <w:t>Indicate by check mark whether the registrant files or will file annual reports under cover Form 20-F or Form 40-F.</w:t>
      </w:r>
    </w:p>
    <w:p>
      <w:pPr>
        <w:spacing w:after="0" w:line="183" w:lineRule="exact"/>
        <w:rPr>
          <w:sz w:val="24"/>
          <w:szCs w:val="24"/>
          <w:color w:val="auto"/>
        </w:rPr>
      </w:pPr>
    </w:p>
    <w:p>
      <w:pPr>
        <w:ind w:left="1660"/>
        <w:spacing w:after="0"/>
        <w:tabs>
          <w:tab w:leader="none" w:pos="2520" w:val="left"/>
          <w:tab w:leader="none" w:pos="4680" w:val="left"/>
        </w:tabs>
        <w:rPr>
          <w:sz w:val="20"/>
          <w:szCs w:val="20"/>
          <w:color w:val="auto"/>
        </w:rPr>
      </w:pPr>
      <w:r>
        <w:rPr>
          <w:rFonts w:ascii="Courier New" w:cs="Courier New" w:eastAsia="Courier New" w:hAnsi="Courier New"/>
          <w:sz w:val="16"/>
          <w:szCs w:val="16"/>
          <w:color w:val="auto"/>
        </w:rPr>
        <w:t>Yes</w:t>
      </w:r>
      <w:r>
        <w:rPr>
          <w:sz w:val="20"/>
          <w:szCs w:val="20"/>
          <w:color w:val="auto"/>
        </w:rPr>
        <w:tab/>
      </w:r>
      <w:r>
        <w:rPr>
          <w:rFonts w:ascii="Courier New" w:cs="Courier New" w:eastAsia="Courier New" w:hAnsi="Courier New"/>
          <w:sz w:val="16"/>
          <w:szCs w:val="16"/>
          <w:color w:val="auto"/>
        </w:rPr>
        <w:t>X</w:t>
      </w:r>
      <w:r>
        <w:rPr>
          <w:sz w:val="20"/>
          <w:szCs w:val="20"/>
          <w:color w:val="auto"/>
        </w:rPr>
        <w:tab/>
      </w:r>
      <w:r>
        <w:rPr>
          <w:rFonts w:ascii="Courier New" w:cs="Courier New" w:eastAsia="Courier New" w:hAnsi="Courier New"/>
          <w:sz w:val="16"/>
          <w:szCs w:val="16"/>
          <w:color w:val="auto"/>
        </w:rPr>
        <w:t>No ____</w:t>
      </w:r>
    </w:p>
    <w:p>
      <w:pPr>
        <w:spacing w:after="0" w:line="195" w:lineRule="exact"/>
        <w:rPr>
          <w:sz w:val="24"/>
          <w:szCs w:val="24"/>
          <w:color w:val="auto"/>
        </w:rPr>
      </w:pPr>
    </w:p>
    <w:p>
      <w:pPr>
        <w:ind w:right="2879"/>
        <w:spacing w:after="0" w:line="252" w:lineRule="auto"/>
        <w:rPr>
          <w:sz w:val="20"/>
          <w:szCs w:val="20"/>
          <w:color w:val="auto"/>
        </w:rPr>
      </w:pPr>
      <w:r>
        <w:rPr>
          <w:rFonts w:ascii="Courier New" w:cs="Courier New" w:eastAsia="Courier New" w:hAnsi="Courier New"/>
          <w:sz w:val="16"/>
          <w:szCs w:val="16"/>
          <w:color w:val="auto"/>
        </w:rPr>
        <w:t>Indicate by check mark whether the registrant is submitting the Form 6-K in paper as permitted by Regulation S-T Rule 101(b)(1):</w:t>
      </w:r>
    </w:p>
    <w:p>
      <w:pPr>
        <w:spacing w:after="0" w:line="183" w:lineRule="exact"/>
        <w:rPr>
          <w:sz w:val="24"/>
          <w:szCs w:val="24"/>
          <w:color w:val="auto"/>
        </w:rPr>
      </w:pPr>
    </w:p>
    <w:p>
      <w:pPr>
        <w:ind w:left="1660"/>
        <w:spacing w:after="0"/>
        <w:tabs>
          <w:tab w:leader="none" w:pos="2140" w:val="left"/>
          <w:tab w:leader="none" w:pos="4680" w:val="left"/>
          <w:tab w:leader="none" w:pos="5060" w:val="left"/>
        </w:tabs>
        <w:rPr>
          <w:sz w:val="20"/>
          <w:szCs w:val="20"/>
          <w:color w:val="auto"/>
        </w:rPr>
      </w:pPr>
      <w:r>
        <w:rPr>
          <w:rFonts w:ascii="Courier New" w:cs="Courier New" w:eastAsia="Courier New" w:hAnsi="Courier New"/>
          <w:sz w:val="16"/>
          <w:szCs w:val="16"/>
          <w:color w:val="auto"/>
        </w:rPr>
        <w:t>Yes</w:t>
        <w:tab/>
        <w:t>____</w:t>
      </w:r>
      <w:r>
        <w:rPr>
          <w:sz w:val="20"/>
          <w:szCs w:val="20"/>
          <w:color w:val="auto"/>
        </w:rPr>
        <w:tab/>
      </w:r>
      <w:r>
        <w:rPr>
          <w:rFonts w:ascii="Courier New" w:cs="Courier New" w:eastAsia="Courier New" w:hAnsi="Courier New"/>
          <w:sz w:val="16"/>
          <w:szCs w:val="16"/>
          <w:color w:val="auto"/>
        </w:rPr>
        <w:t>No</w:t>
        <w:tab/>
        <w:t>X</w:t>
      </w:r>
    </w:p>
    <w:p>
      <w:pPr>
        <w:spacing w:after="0" w:line="195" w:lineRule="exact"/>
        <w:rPr>
          <w:sz w:val="24"/>
          <w:szCs w:val="24"/>
          <w:color w:val="auto"/>
        </w:rPr>
      </w:pPr>
    </w:p>
    <w:p>
      <w:pPr>
        <w:ind w:right="2879"/>
        <w:spacing w:after="0" w:line="252" w:lineRule="auto"/>
        <w:rPr>
          <w:sz w:val="20"/>
          <w:szCs w:val="20"/>
          <w:color w:val="auto"/>
        </w:rPr>
      </w:pPr>
      <w:r>
        <w:rPr>
          <w:rFonts w:ascii="Courier New" w:cs="Courier New" w:eastAsia="Courier New" w:hAnsi="Courier New"/>
          <w:sz w:val="16"/>
          <w:szCs w:val="16"/>
          <w:color w:val="auto"/>
        </w:rPr>
        <w:t>Indicate by check mark whether the registrant is submitting the Form 6-K in paper as permitted by Regulation S-T Rule 101(b)(7):</w:t>
      </w:r>
    </w:p>
    <w:p>
      <w:pPr>
        <w:spacing w:after="0" w:line="183" w:lineRule="exact"/>
        <w:rPr>
          <w:sz w:val="24"/>
          <w:szCs w:val="24"/>
          <w:color w:val="auto"/>
        </w:rPr>
      </w:pPr>
    </w:p>
    <w:p>
      <w:pPr>
        <w:ind w:left="1660"/>
        <w:spacing w:after="0"/>
        <w:tabs>
          <w:tab w:leader="none" w:pos="2140" w:val="left"/>
          <w:tab w:leader="none" w:pos="4680" w:val="left"/>
          <w:tab w:leader="none" w:pos="5060" w:val="left"/>
        </w:tabs>
        <w:rPr>
          <w:sz w:val="20"/>
          <w:szCs w:val="20"/>
          <w:color w:val="auto"/>
        </w:rPr>
      </w:pPr>
      <w:r>
        <w:rPr>
          <w:rFonts w:ascii="Courier New" w:cs="Courier New" w:eastAsia="Courier New" w:hAnsi="Courier New"/>
          <w:sz w:val="16"/>
          <w:szCs w:val="16"/>
          <w:color w:val="auto"/>
        </w:rPr>
        <w:t>Yes</w:t>
        <w:tab/>
        <w:t>____</w:t>
      </w:r>
      <w:r>
        <w:rPr>
          <w:sz w:val="20"/>
          <w:szCs w:val="20"/>
          <w:color w:val="auto"/>
        </w:rPr>
        <w:tab/>
      </w:r>
      <w:r>
        <w:rPr>
          <w:rFonts w:ascii="Courier New" w:cs="Courier New" w:eastAsia="Courier New" w:hAnsi="Courier New"/>
          <w:sz w:val="16"/>
          <w:szCs w:val="16"/>
          <w:color w:val="auto"/>
        </w:rPr>
        <w:t>No</w:t>
        <w:tab/>
        <w:t>X</w:t>
      </w:r>
    </w:p>
    <w:p>
      <w:pPr>
        <w:spacing w:after="0" w:line="383" w:lineRule="exact"/>
        <w:rPr>
          <w:sz w:val="24"/>
          <w:szCs w:val="24"/>
          <w:color w:val="auto"/>
        </w:rPr>
      </w:pPr>
    </w:p>
    <w:p>
      <w:pPr>
        <w:ind w:right="2399"/>
        <w:spacing w:after="0" w:line="250"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85" w:lineRule="exact"/>
        <w:rPr>
          <w:sz w:val="24"/>
          <w:szCs w:val="24"/>
          <w:color w:val="auto"/>
        </w:rPr>
      </w:pPr>
    </w:p>
    <w:p>
      <w:pPr>
        <w:ind w:left="1660"/>
        <w:spacing w:after="0"/>
        <w:tabs>
          <w:tab w:leader="none" w:pos="2140" w:val="left"/>
          <w:tab w:leader="none" w:pos="4680" w:val="left"/>
          <w:tab w:leader="none" w:pos="5060" w:val="left"/>
        </w:tabs>
        <w:rPr>
          <w:sz w:val="20"/>
          <w:szCs w:val="20"/>
          <w:color w:val="auto"/>
        </w:rPr>
      </w:pPr>
      <w:r>
        <w:rPr>
          <w:rFonts w:ascii="Courier New" w:cs="Courier New" w:eastAsia="Courier New" w:hAnsi="Courier New"/>
          <w:sz w:val="16"/>
          <w:szCs w:val="16"/>
          <w:color w:val="auto"/>
        </w:rPr>
        <w:t>Yes</w:t>
        <w:tab/>
        <w:t>____</w:t>
      </w:r>
      <w:r>
        <w:rPr>
          <w:sz w:val="20"/>
          <w:szCs w:val="20"/>
          <w:color w:val="auto"/>
        </w:rPr>
        <w:tab/>
      </w:r>
      <w:r>
        <w:rPr>
          <w:rFonts w:ascii="Courier New" w:cs="Courier New" w:eastAsia="Courier New" w:hAnsi="Courier New"/>
          <w:sz w:val="16"/>
          <w:szCs w:val="16"/>
          <w:color w:val="auto"/>
        </w:rPr>
        <w:t>No</w:t>
        <w:tab/>
        <w:t>X</w:t>
      </w:r>
    </w:p>
    <w:p>
      <w:pPr>
        <w:spacing w:after="0" w:line="383" w:lineRule="exact"/>
        <w:rPr>
          <w:sz w:val="24"/>
          <w:szCs w:val="24"/>
          <w:color w:val="auto"/>
        </w:rPr>
      </w:pPr>
    </w:p>
    <w:p>
      <w:pPr>
        <w:ind w:right="2399"/>
        <w:spacing w:after="0" w:line="252" w:lineRule="auto"/>
        <w:rPr>
          <w:sz w:val="20"/>
          <w:szCs w:val="20"/>
          <w:color w:val="auto"/>
        </w:rPr>
      </w:pPr>
      <w:r>
        <w:rPr>
          <w:rFonts w:ascii="Courier New" w:cs="Courier New" w:eastAsia="Courier New" w:hAnsi="Courier New"/>
          <w:sz w:val="16"/>
          <w:szCs w:val="16"/>
          <w:color w:val="auto"/>
        </w:rPr>
        <w:t>If "Yes" is marked, indicate below the file number assigned to the registrant in connection with Rule 12g3-2(b):82 N/A</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Other Events.</w:t>
      </w:r>
    </w:p>
    <w:p>
      <w:pPr>
        <w:spacing w:after="0" w:line="383" w:lineRule="exact"/>
        <w:rPr>
          <w:sz w:val="24"/>
          <w:szCs w:val="24"/>
          <w:color w:val="auto"/>
        </w:rPr>
      </w:pPr>
    </w:p>
    <w:p>
      <w:pPr>
        <w:ind w:right="2499" w:firstLine="489"/>
        <w:spacing w:after="0" w:line="252" w:lineRule="auto"/>
        <w:rPr>
          <w:sz w:val="20"/>
          <w:szCs w:val="20"/>
          <w:color w:val="auto"/>
        </w:rPr>
      </w:pPr>
      <w:r>
        <w:rPr>
          <w:rFonts w:ascii="Courier New" w:cs="Courier New" w:eastAsia="Courier New" w:hAnsi="Courier New"/>
          <w:sz w:val="16"/>
          <w:szCs w:val="16"/>
          <w:color w:val="auto"/>
        </w:rPr>
        <w:t>The registrant hereby incorporates by reference the press release attached hereto as Exhibit 99.1 into this report.</w:t>
      </w:r>
    </w:p>
    <w:p>
      <w:pPr>
        <w:sectPr>
          <w:pgSz w:w="11900" w:h="16838" w:orient="portrait"/>
          <w:cols w:equalWidth="0" w:num="1">
            <w:col w:w="10219"/>
          </w:cols>
          <w:pgMar w:left="240" w:top="806"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Financial Statements and Exhibits.</w:t>
      </w:r>
    </w:p>
    <w:p>
      <w:pPr>
        <w:spacing w:after="0" w:line="383"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 The following Exhibits are filed as part of this report:</w:t>
      </w:r>
    </w:p>
    <w:p>
      <w:pPr>
        <w:sectPr>
          <w:pgSz w:w="11900" w:h="16838" w:orient="portrait"/>
          <w:cols w:equalWidth="0" w:num="1">
            <w:col w:w="10219"/>
          </w:cols>
          <w:pgMar w:left="240" w:top="868" w:right="1440" w:bottom="1440" w:gutter="0" w:footer="0" w:header="0"/>
        </w:sectPr>
      </w:pPr>
    </w:p>
    <w:p>
      <w:pPr>
        <w:spacing w:after="0" w:line="383"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EXHIBIT NO.</w:t>
      </w:r>
    </w:p>
    <w:p>
      <w:pPr>
        <w:spacing w:after="0" w:line="7"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sectPr>
          <w:pgSz w:w="11900" w:h="16838" w:orient="portrait"/>
          <w:cols w:equalWidth="0" w:num="2">
            <w:col w:w="2320" w:space="720"/>
            <w:col w:w="7179"/>
          </w:cols>
          <w:pgMar w:left="240" w:top="868" w:right="1440" w:bottom="1440" w:gutter="0" w:footer="0" w:header="0"/>
          <w:type w:val="continuous"/>
        </w:sectPr>
      </w:pPr>
    </w:p>
    <w:p>
      <w:pPr>
        <w:ind w:left="1180"/>
        <w:spacing w:after="0"/>
        <w:rPr>
          <w:sz w:val="20"/>
          <w:szCs w:val="20"/>
          <w:color w:val="auto"/>
        </w:rPr>
      </w:pPr>
      <w:r>
        <w:rPr>
          <w:rFonts w:ascii="Courier New" w:cs="Courier New" w:eastAsia="Courier New" w:hAnsi="Courier New"/>
          <w:sz w:val="15"/>
          <w:szCs w:val="15"/>
          <w:color w:val="auto"/>
        </w:rPr>
        <w:t>99.1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Press Release</w:t>
      </w:r>
    </w:p>
    <w:p>
      <w:pPr>
        <w:sectPr>
          <w:pgSz w:w="11900" w:h="16838" w:orient="portrait"/>
          <w:cols w:equalWidth="0" w:num="2">
            <w:col w:w="2320" w:space="720"/>
            <w:col w:w="7179"/>
          </w:cols>
          <w:pgMar w:left="240" w:top="868" w:right="1440" w:bottom="1440" w:gutter="0" w:footer="0" w:header="0"/>
          <w:type w:val="continuous"/>
        </w:sectPr>
      </w:pPr>
    </w:p>
    <w:bookmarkStart w:id="2" w:name="page3"/>
    <w:bookmarkEnd w:id="2"/>
    <w:p>
      <w:pPr>
        <w:ind w:left="3420"/>
        <w:spacing w:after="0"/>
        <w:rPr>
          <w:sz w:val="20"/>
          <w:szCs w:val="20"/>
          <w:color w:val="auto"/>
        </w:rPr>
      </w:pPr>
      <w:r>
        <w:rPr>
          <w:rFonts w:ascii="Courier New" w:cs="Courier New" w:eastAsia="Courier New" w:hAnsi="Courier New"/>
          <w:sz w:val="16"/>
          <w:szCs w:val="16"/>
          <w:color w:val="auto"/>
        </w:rPr>
        <w:t>SIGNATURES</w:t>
      </w:r>
    </w:p>
    <w:p>
      <w:pPr>
        <w:spacing w:after="0" w:line="195" w:lineRule="exact"/>
        <w:rPr>
          <w:sz w:val="20"/>
          <w:szCs w:val="20"/>
          <w:color w:val="auto"/>
        </w:rPr>
      </w:pPr>
    </w:p>
    <w:p>
      <w:pPr>
        <w:jc w:val="both"/>
        <w:ind w:right="3179"/>
        <w:spacing w:after="0" w:line="250"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ICON plc</w:t>
      </w:r>
    </w:p>
    <w:p>
      <w:pPr>
        <w:sectPr>
          <w:pgSz w:w="11900" w:h="16838" w:orient="portrait"/>
          <w:cols w:equalWidth="0" w:num="1">
            <w:col w:w="10219"/>
          </w:cols>
          <w:pgMar w:left="240" w:top="86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6"/>
          <w:szCs w:val="16"/>
          <w:color w:val="auto"/>
        </w:rPr>
        <w:t>August</w:t>
        <w:tab/>
        <w:t>4, 2005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Sean Leech</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Sean Leech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Financial Officer</w:t>
      </w:r>
    </w:p>
    <w:p>
      <w:pPr>
        <w:sectPr>
          <w:pgSz w:w="11900" w:h="16838" w:orient="portrait"/>
          <w:cols w:equalWidth="0" w:num="2">
            <w:col w:w="3180" w:space="720"/>
            <w:col w:w="6319"/>
          </w:cols>
          <w:pgMar w:left="240" w:top="868" w:right="1440" w:bottom="1440" w:gutter="0" w:footer="0" w:header="0"/>
          <w:type w:val="continuous"/>
        </w:sectPr>
      </w:pPr>
    </w:p>
    <w:bookmarkStart w:id="3" w:name="page4"/>
    <w:bookmarkEnd w:id="3"/>
    <w:p>
      <w:pPr>
        <w:spacing w:after="0" w:line="12" w:lineRule="exact"/>
        <w:rPr>
          <w:sz w:val="20"/>
          <w:szCs w:val="20"/>
          <w:color w:val="auto"/>
        </w:rPr>
      </w:pPr>
    </w:p>
    <w:p>
      <w:pPr>
        <w:jc w:val="right"/>
        <w:ind w:right="2399"/>
        <w:spacing w:after="0"/>
        <w:rPr>
          <w:sz w:val="20"/>
          <w:szCs w:val="20"/>
          <w:color w:val="auto"/>
        </w:rPr>
      </w:pPr>
      <w:r>
        <w:rPr>
          <w:rFonts w:ascii="Courier New" w:cs="Courier New" w:eastAsia="Courier New" w:hAnsi="Courier New"/>
          <w:sz w:val="16"/>
          <w:szCs w:val="16"/>
          <w:color w:val="auto"/>
        </w:rPr>
        <w:t>Exhibit 99.1.</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ICON reports 10% increase in net revenues and EPS of 42 cents. (NASDAQ:ICLR)</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Highlights - Fourth Quarter and Full Year Fiscal 2005</w:t>
      </w:r>
    </w:p>
    <w:p>
      <w:pPr>
        <w:spacing w:after="0" w:line="195" w:lineRule="exact"/>
        <w:rPr>
          <w:sz w:val="20"/>
          <w:szCs w:val="20"/>
          <w:color w:val="auto"/>
        </w:rPr>
      </w:pPr>
    </w:p>
    <w:p>
      <w:pPr>
        <w:ind w:left="480" w:right="2399" w:hanging="480"/>
        <w:spacing w:after="0" w:line="252" w:lineRule="auto"/>
        <w:tabs>
          <w:tab w:leader="none" w:pos="48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Fourth quarter net revenues increased 10% over the fourth quarter of fiscal 2004 to $86.0 million and also increased 10% on a full year basis.</w:t>
      </w:r>
    </w:p>
    <w:p>
      <w:pPr>
        <w:spacing w:after="0" w:line="183" w:lineRule="exact"/>
        <w:rPr>
          <w:rFonts w:ascii="Courier New" w:cs="Courier New" w:eastAsia="Courier New" w:hAnsi="Courier New"/>
          <w:sz w:val="16"/>
          <w:szCs w:val="16"/>
          <w:color w:val="auto"/>
        </w:rPr>
      </w:pPr>
    </w:p>
    <w:p>
      <w:pPr>
        <w:ind w:left="480" w:right="2399" w:hanging="480"/>
        <w:spacing w:after="0" w:line="250" w:lineRule="auto"/>
        <w:tabs>
          <w:tab w:leader="none" w:pos="48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Income from operations decreased 24% over the fourth quarter of fiscal 2004 to $7.4 million and decreased 13% on a full year basis, excluding the impact of one-time charges taken in the third quarter.</w:t>
      </w:r>
    </w:p>
    <w:p>
      <w:pPr>
        <w:spacing w:after="0" w:line="185" w:lineRule="exact"/>
        <w:rPr>
          <w:rFonts w:ascii="Courier New" w:cs="Courier New" w:eastAsia="Courier New" w:hAnsi="Courier New"/>
          <w:sz w:val="16"/>
          <w:szCs w:val="16"/>
          <w:color w:val="auto"/>
        </w:rPr>
      </w:pPr>
    </w:p>
    <w:p>
      <w:pPr>
        <w:ind w:left="480" w:right="2699" w:hanging="480"/>
        <w:spacing w:after="0" w:line="249" w:lineRule="auto"/>
        <w:tabs>
          <w:tab w:leader="none" w:pos="48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Diluted earnings per share decreased by 18% for the fourth quarter to 42 cents compared to 51 cents in the same quarter last year. Full year pro forma diluted earnings per share was $1.70 compared to $1.88 for the comparable period last year.</w:t>
      </w:r>
    </w:p>
    <w:p>
      <w:pPr>
        <w:spacing w:after="0" w:line="187" w:lineRule="exact"/>
        <w:rPr>
          <w:rFonts w:ascii="Courier New" w:cs="Courier New" w:eastAsia="Courier New" w:hAnsi="Courier New"/>
          <w:sz w:val="16"/>
          <w:szCs w:val="16"/>
          <w:color w:val="auto"/>
        </w:rPr>
      </w:pPr>
    </w:p>
    <w:p>
      <w:pPr>
        <w:ind w:left="480" w:hanging="480"/>
        <w:spacing w:after="0"/>
        <w:tabs>
          <w:tab w:leader="none" w:pos="48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$101 million of net new business awarded to ICON during the quarter.</w:t>
      </w:r>
    </w:p>
    <w:p>
      <w:pPr>
        <w:spacing w:after="0" w:line="195"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Dublin, Ireland, August 2, 2005 - ICON plc (NASDAQ: ICLR), a global contract clinical research organisation, which has approximately 2,700 employees providing services to the pharmaceutical, biotech and medical device industries from 37 locations in 23 countries worldwide, today reported the financial results for its fourth quarter and full year ended May 31, 2005.</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Net revenues for the quarter were $86.0 million, representing an 10% increase over net revenues of $77.9 million for the same quarter last year. Excluding the impact of acquisitions, revenue growth for the quarter was 8% over the same quarter last year.</w:t>
      </w:r>
    </w:p>
    <w:p>
      <w:pPr>
        <w:spacing w:after="0" w:line="188"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Income from operations was $7.4 million, which represents a decrease of 24% from the $9.6 million reported for the fourth quarter last year. Operating margin for the quarter was 8.6% compared to 12.4% for the equivalent period last year. Net income for the quarter was $5.9 million or 42 cents per share, on a diluted basis, compared with $7.2 million or 51 cents per share for the fourth quarter last year.</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In the twelve months to May 31, 2005, net revenues were $326.7 million, representing a 10% increase over net revenues of $296.9 million reported for the twelve months of last year. Excluding the impact of acquisitions, revenue growth was 7% for the twelve months ending May 31, 2005.</w:t>
      </w:r>
    </w:p>
    <w:p>
      <w:pPr>
        <w:spacing w:after="0" w:line="188"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Pro forma income from operations for fiscal 2005, excluding the impact of the one-time charges announced last quarter, was $29.9 million, representing a decrease of 13% from the $34.4 million reported for the same period last year. Pro forma operating margin for the twelve months to May 31, 2005 was 9.1%, compared to 11.6% for the comparative period. Pro forma net income was $24.1 million or $1.70 per share, on a diluted basis, compared with $25.7 million or $1.88 per share reported for the same period last year.</w:t>
      </w:r>
    </w:p>
    <w:p>
      <w:pPr>
        <w:spacing w:after="0" w:line="187" w:lineRule="exact"/>
        <w:rPr>
          <w:sz w:val="20"/>
          <w:szCs w:val="20"/>
          <w:color w:val="auto"/>
        </w:rPr>
      </w:pPr>
    </w:p>
    <w:p>
      <w:pPr>
        <w:ind w:right="2399"/>
        <w:spacing w:after="0" w:line="250" w:lineRule="auto"/>
        <w:rPr>
          <w:sz w:val="20"/>
          <w:szCs w:val="20"/>
          <w:color w:val="auto"/>
        </w:rPr>
      </w:pPr>
      <w:r>
        <w:rPr>
          <w:rFonts w:ascii="Courier New" w:cs="Courier New" w:eastAsia="Courier New" w:hAnsi="Courier New"/>
          <w:sz w:val="16"/>
          <w:szCs w:val="16"/>
          <w:color w:val="auto"/>
        </w:rPr>
        <w:t>Days sales outstanding, comprising accounts receivable and unbilled revenue less payments on account, were 63 days at May 31, 2005 compared to 67 days at February 28, 2005 and 60 days at May 31, 2004.</w:t>
      </w:r>
    </w:p>
    <w:p>
      <w:pPr>
        <w:spacing w:after="0" w:line="185"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For the quarter ended May 31, 2005, cash generated from operations was $13.2 million, and capital expenditure was $5.3 million. For the twelve months to May 31, 2005, cash generated from operations was $23.8 million, capital expenditure was $15.6 million and net payments of $9.8 million were made in relation to acquisitions. As a result of these factors the company's net cash, short-term debt and short-term investments were $78.4 million at May 31, 2005, compared to $70.9 million at February 28, 2005 and $78.8 million at May 31,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company also announced that it intends to change its year end date from May 31 to December 31. Accordingly, the current accounting period for the company will end on December 31, 2005. The change has been implemented in order to align the company's year end more conveniently with the calendar year for reporting purposes. "The results for the quarter were in line with our expectations and represented a good improvement over the previous quarter", commented Chairman, Dr John Climax. "We had solid net new business awards of $101 million in the quarter and we completed fiscal 2005 with a total backlog of over $525 million".</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Commenting on the outlook, Dr Climax said "We expect growth in all divisions as the year progresses and we expect our lab business to return to profitability during the first half of calendar 2006. With approximately $262 million of backlog which will be earned in the next twelve months, we expect overall net revenues for the coming four quarters to be in the $370 - $380 million range. We will provide more detailed guidance on our conference call to be held today".</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company will hold its fourth quarter conference call today, August 2nd, 2005</w:t>
      </w:r>
    </w:p>
    <w:p>
      <w:pPr>
        <w:sectPr>
          <w:pgSz w:w="11900" w:h="16850" w:orient="portrait"/>
          <w:cols w:equalWidth="0" w:num="1">
            <w:col w:w="10219"/>
          </w:cols>
          <w:pgMar w:left="240" w:top="330" w:right="1440" w:bottom="0" w:gutter="0" w:footer="0" w:header="0"/>
        </w:sectPr>
      </w:pPr>
    </w:p>
    <w:bookmarkStart w:id="4" w:name="page5"/>
    <w:bookmarkEnd w:id="4"/>
    <w:p>
      <w:pPr>
        <w:ind w:right="2499"/>
        <w:spacing w:after="0" w:line="249" w:lineRule="auto"/>
        <w:rPr>
          <w:sz w:val="20"/>
          <w:szCs w:val="20"/>
          <w:color w:val="auto"/>
        </w:rPr>
      </w:pPr>
      <w:r>
        <w:rPr>
          <w:rFonts w:ascii="Courier New" w:cs="Courier New" w:eastAsia="Courier New" w:hAnsi="Courier New"/>
          <w:sz w:val="16"/>
          <w:szCs w:val="16"/>
          <w:color w:val="auto"/>
        </w:rPr>
        <w:t>at 08:00 EST [13:00 BST / 14:00 CET]. This call and linked slide presentation can be accessed live from our website at http://www.iconclinical.com. A recording will also be available on the website for 90 days following the call. In addition, a calendar of company events, including upcoming conference presentations, is available on our website, under "shareholders services". This calendar will be updated regularly.</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statements made in this press release may contain forward-looking statements that involve a number of risks and uncertainties. In addition to the matters described in this press release, the ability to maintain large client contracts or enter into new contracts, maintain client relationships and the ability to manage the opening of new offices, the integration of new business mergers and acquisitions, as well as other risks and uncertainties detailed from time to time in SEC reports filed by ICON, including its Form 20-F, F-1, S-8 and F-3, may affect the actual results achieved by ICON. ICON disclaims any intent or obligation to update these forward-looking statements.</w:t>
      </w:r>
    </w:p>
    <w:p>
      <w:pPr>
        <w:spacing w:after="0" w:line="187" w:lineRule="exact"/>
        <w:rPr>
          <w:sz w:val="20"/>
          <w:szCs w:val="20"/>
          <w:color w:val="auto"/>
        </w:rPr>
      </w:pPr>
    </w:p>
    <w:p>
      <w:pPr>
        <w:ind w:right="2499"/>
        <w:spacing w:after="0" w:line="252" w:lineRule="auto"/>
        <w:rPr>
          <w:sz w:val="20"/>
          <w:szCs w:val="20"/>
          <w:color w:val="auto"/>
        </w:rPr>
      </w:pPr>
      <w:r>
        <w:rPr>
          <w:rFonts w:ascii="Courier New" w:cs="Courier New" w:eastAsia="Courier New" w:hAnsi="Courier New"/>
          <w:sz w:val="16"/>
          <w:szCs w:val="16"/>
          <w:color w:val="auto"/>
        </w:rPr>
        <w:t>The financial information presented herein has been prepared in accordance with U.S. GAAP.</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Source: ICON plc</w:t>
      </w:r>
    </w:p>
    <w:p>
      <w:pPr>
        <w:spacing w:after="0" w:line="195" w:lineRule="exact"/>
        <w:rPr>
          <w:sz w:val="20"/>
          <w:szCs w:val="20"/>
          <w:color w:val="auto"/>
        </w:rPr>
      </w:pPr>
    </w:p>
    <w:p>
      <w:pPr>
        <w:ind w:right="2499"/>
        <w:spacing w:after="0" w:line="252" w:lineRule="auto"/>
        <w:rPr>
          <w:sz w:val="20"/>
          <w:szCs w:val="20"/>
          <w:color w:val="auto"/>
        </w:rPr>
      </w:pPr>
      <w:r>
        <w:rPr>
          <w:rFonts w:ascii="Courier New" w:cs="Courier New" w:eastAsia="Courier New" w:hAnsi="Courier New"/>
          <w:sz w:val="16"/>
          <w:szCs w:val="16"/>
          <w:color w:val="auto"/>
        </w:rPr>
        <w:t>Contact : Investor Relations 1-888-381-7923 or Sean Leech CFO + 353 -1-291-2000 Both at ICON.</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http://www.iconclinical.com</w:t>
      </w:r>
    </w:p>
    <w:p>
      <w:pPr>
        <w:sectPr>
          <w:pgSz w:w="11900" w:h="16838" w:orient="portrait"/>
          <w:cols w:equalWidth="0" w:num="1">
            <w:col w:w="10219"/>
          </w:cols>
          <w:pgMar w:left="240" w:top="142" w:right="1440" w:bottom="1440" w:gutter="0" w:footer="0" w:header="0"/>
        </w:sectPr>
      </w:pPr>
    </w:p>
    <w:bookmarkStart w:id="5" w:name="page6"/>
    <w:bookmarkEnd w:id="5"/>
    <w:p>
      <w:pPr>
        <w:jc w:val="center"/>
        <w:ind w:right="3700"/>
        <w:spacing w:after="0"/>
        <w:rPr>
          <w:sz w:val="20"/>
          <w:szCs w:val="20"/>
          <w:color w:val="auto"/>
        </w:rPr>
      </w:pPr>
      <w:r>
        <w:rPr>
          <w:rFonts w:ascii="Courier New" w:cs="Courier New" w:eastAsia="Courier New" w:hAnsi="Courier New"/>
          <w:sz w:val="16"/>
          <w:szCs w:val="16"/>
          <w:color w:val="auto"/>
        </w:rPr>
        <w:t>ICON plc</w:t>
      </w:r>
    </w:p>
    <w:p>
      <w:pPr>
        <w:spacing w:after="0" w:line="195" w:lineRule="exact"/>
        <w:rPr>
          <w:sz w:val="20"/>
          <w:szCs w:val="20"/>
          <w:color w:val="auto"/>
        </w:rPr>
      </w:pPr>
    </w:p>
    <w:p>
      <w:pPr>
        <w:jc w:val="center"/>
        <w:ind w:right="3700"/>
        <w:spacing w:after="0"/>
        <w:rPr>
          <w:sz w:val="20"/>
          <w:szCs w:val="20"/>
          <w:color w:val="auto"/>
        </w:rPr>
      </w:pPr>
      <w:r>
        <w:rPr>
          <w:rFonts w:ascii="Courier New" w:cs="Courier New" w:eastAsia="Courier New" w:hAnsi="Courier New"/>
          <w:sz w:val="16"/>
          <w:szCs w:val="16"/>
          <w:color w:val="auto"/>
        </w:rPr>
        <w:t>Consolidated Income Statements</w:t>
      </w:r>
    </w:p>
    <w:p>
      <w:pPr>
        <w:spacing w:after="0" w:line="7" w:lineRule="exact"/>
        <w:rPr>
          <w:sz w:val="20"/>
          <w:szCs w:val="20"/>
          <w:color w:val="auto"/>
        </w:rPr>
      </w:pPr>
    </w:p>
    <w:p>
      <w:pPr>
        <w:jc w:val="center"/>
        <w:ind w:right="3600"/>
        <w:spacing w:after="0"/>
        <w:rPr>
          <w:sz w:val="20"/>
          <w:szCs w:val="20"/>
          <w:color w:val="auto"/>
        </w:rPr>
      </w:pPr>
      <w:r>
        <w:rPr>
          <w:rFonts w:ascii="Courier New" w:cs="Courier New" w:eastAsia="Courier New" w:hAnsi="Courier New"/>
          <w:sz w:val="16"/>
          <w:szCs w:val="16"/>
          <w:color w:val="auto"/>
        </w:rPr>
        <w:t>(Audited)</w:t>
      </w:r>
    </w:p>
    <w:p>
      <w:pPr>
        <w:spacing w:after="0" w:line="195" w:lineRule="exact"/>
        <w:rPr>
          <w:sz w:val="20"/>
          <w:szCs w:val="20"/>
          <w:color w:val="auto"/>
        </w:rPr>
      </w:pPr>
    </w:p>
    <w:p>
      <w:pPr>
        <w:ind w:left="1180" w:right="4680" w:hanging="97"/>
        <w:spacing w:after="0" w:line="252" w:lineRule="auto"/>
        <w:rPr>
          <w:sz w:val="20"/>
          <w:szCs w:val="20"/>
          <w:color w:val="auto"/>
        </w:rPr>
      </w:pPr>
      <w:r>
        <w:rPr>
          <w:rFonts w:ascii="Courier New" w:cs="Courier New" w:eastAsia="Courier New" w:hAnsi="Courier New"/>
          <w:sz w:val="16"/>
          <w:szCs w:val="16"/>
          <w:color w:val="auto"/>
        </w:rPr>
        <w:t>Three and Twelve Months ended May 31, 2005 and May 31, 2004 (Dollars,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00" w:type="dxa"/>
            <w:vAlign w:val="bottom"/>
          </w:tcPr>
          <w:p>
            <w:pPr>
              <w:spacing w:after="0"/>
              <w:rPr>
                <w:sz w:val="15"/>
                <w:szCs w:val="15"/>
                <w:color w:val="auto"/>
              </w:rPr>
            </w:pPr>
          </w:p>
        </w:tc>
        <w:tc>
          <w:tcPr>
            <w:tcW w:w="4200" w:type="dxa"/>
            <w:vAlign w:val="bottom"/>
            <w:gridSpan w:val="2"/>
          </w:tcPr>
          <w:p>
            <w:pPr>
              <w:jc w:val="right"/>
              <w:ind w:right="1099"/>
              <w:spacing w:after="0"/>
              <w:rPr>
                <w:sz w:val="20"/>
                <w:szCs w:val="20"/>
                <w:color w:val="auto"/>
              </w:rPr>
            </w:pPr>
            <w:r>
              <w:rPr>
                <w:rFonts w:ascii="Courier New" w:cs="Courier New" w:eastAsia="Courier New" w:hAnsi="Courier New"/>
                <w:sz w:val="16"/>
                <w:szCs w:val="16"/>
                <w:color w:val="auto"/>
              </w:rPr>
              <w:t>Three Months Ended</w:t>
            </w:r>
          </w:p>
        </w:tc>
        <w:tc>
          <w:tcPr>
            <w:tcW w:w="2820" w:type="dxa"/>
            <w:vAlign w:val="bottom"/>
            <w:gridSpan w:val="2"/>
          </w:tcPr>
          <w:p>
            <w:pPr>
              <w:jc w:val="right"/>
              <w:ind w:right="599"/>
              <w:spacing w:after="0"/>
              <w:rPr>
                <w:sz w:val="20"/>
                <w:szCs w:val="20"/>
                <w:color w:val="auto"/>
              </w:rPr>
            </w:pPr>
            <w:r>
              <w:rPr>
                <w:rFonts w:ascii="Courier New" w:cs="Courier New" w:eastAsia="Courier New" w:hAnsi="Courier New"/>
                <w:sz w:val="16"/>
                <w:szCs w:val="16"/>
                <w:color w:val="auto"/>
              </w:rPr>
              <w:t>Twelve Months Ended</w:t>
            </w:r>
          </w:p>
        </w:tc>
      </w:tr>
      <w:tr>
        <w:trPr>
          <w:trHeight w:val="188"/>
        </w:trPr>
        <w:tc>
          <w:tcPr>
            <w:tcW w:w="4500" w:type="dxa"/>
            <w:vAlign w:val="bottom"/>
          </w:tcPr>
          <w:p>
            <w:pPr>
              <w:spacing w:after="0"/>
              <w:rPr>
                <w:sz w:val="16"/>
                <w:szCs w:val="16"/>
                <w:color w:val="auto"/>
              </w:rPr>
            </w:pPr>
          </w:p>
        </w:tc>
        <w:tc>
          <w:tcPr>
            <w:tcW w:w="25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May 31,</w:t>
            </w:r>
          </w:p>
        </w:tc>
        <w:tc>
          <w:tcPr>
            <w:tcW w:w="16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May 31,</w:t>
            </w:r>
          </w:p>
        </w:tc>
        <w:tc>
          <w:tcPr>
            <w:tcW w:w="15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May 31,</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May 31,</w:t>
            </w:r>
          </w:p>
        </w:tc>
      </w:tr>
      <w:tr>
        <w:trPr>
          <w:trHeight w:val="188"/>
        </w:trPr>
        <w:tc>
          <w:tcPr>
            <w:tcW w:w="4500" w:type="dxa"/>
            <w:vAlign w:val="bottom"/>
          </w:tcPr>
          <w:p>
            <w:pPr>
              <w:spacing w:after="0"/>
              <w:rPr>
                <w:sz w:val="16"/>
                <w:szCs w:val="16"/>
                <w:color w:val="auto"/>
              </w:rPr>
            </w:pPr>
          </w:p>
        </w:tc>
        <w:tc>
          <w:tcPr>
            <w:tcW w:w="25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2005</w:t>
            </w:r>
          </w:p>
        </w:tc>
        <w:tc>
          <w:tcPr>
            <w:tcW w:w="16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2004</w:t>
            </w:r>
          </w:p>
        </w:tc>
        <w:tc>
          <w:tcPr>
            <w:tcW w:w="15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2005</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2004</w:t>
            </w:r>
          </w:p>
        </w:tc>
      </w:tr>
      <w:tr>
        <w:trPr>
          <w:trHeight w:val="564"/>
        </w:trPr>
        <w:tc>
          <w:tcPr>
            <w:tcW w:w="4500" w:type="dxa"/>
            <w:vAlign w:val="bottom"/>
          </w:tcPr>
          <w:p>
            <w:pPr>
              <w:spacing w:after="0"/>
              <w:rPr>
                <w:sz w:val="20"/>
                <w:szCs w:val="20"/>
                <w:color w:val="auto"/>
              </w:rPr>
            </w:pPr>
            <w:r>
              <w:rPr>
                <w:rFonts w:ascii="Courier New" w:cs="Courier New" w:eastAsia="Courier New" w:hAnsi="Courier New"/>
                <w:sz w:val="16"/>
                <w:szCs w:val="16"/>
                <w:color w:val="auto"/>
              </w:rPr>
              <w:t>Gross Revenue</w:t>
            </w:r>
          </w:p>
        </w:tc>
        <w:tc>
          <w:tcPr>
            <w:tcW w:w="25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121,979</w:t>
            </w:r>
          </w:p>
        </w:tc>
        <w:tc>
          <w:tcPr>
            <w:tcW w:w="16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111,694</w:t>
            </w:r>
          </w:p>
        </w:tc>
        <w:tc>
          <w:tcPr>
            <w:tcW w:w="15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469,583</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443,875</w:t>
            </w:r>
          </w:p>
        </w:tc>
      </w:tr>
      <w:tr>
        <w:trPr>
          <w:trHeight w:val="376"/>
        </w:trPr>
        <w:tc>
          <w:tcPr>
            <w:tcW w:w="4500" w:type="dxa"/>
            <w:vAlign w:val="bottom"/>
          </w:tcPr>
          <w:p>
            <w:pPr>
              <w:spacing w:after="0"/>
              <w:rPr>
                <w:sz w:val="20"/>
                <w:szCs w:val="20"/>
                <w:color w:val="auto"/>
              </w:rPr>
            </w:pPr>
            <w:r>
              <w:rPr>
                <w:rFonts w:ascii="Courier New" w:cs="Courier New" w:eastAsia="Courier New" w:hAnsi="Courier New"/>
                <w:sz w:val="16"/>
                <w:szCs w:val="16"/>
                <w:color w:val="auto"/>
              </w:rPr>
              <w:t>Subcontractor costs</w:t>
            </w:r>
          </w:p>
        </w:tc>
        <w:tc>
          <w:tcPr>
            <w:tcW w:w="25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36,010</w:t>
            </w:r>
          </w:p>
        </w:tc>
        <w:tc>
          <w:tcPr>
            <w:tcW w:w="16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33,775</w:t>
            </w:r>
          </w:p>
        </w:tc>
        <w:tc>
          <w:tcPr>
            <w:tcW w:w="15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142,925</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146,952</w:t>
            </w:r>
          </w:p>
        </w:tc>
      </w:tr>
      <w:tr>
        <w:trPr>
          <w:trHeight w:val="188"/>
        </w:trPr>
        <w:tc>
          <w:tcPr>
            <w:tcW w:w="4500" w:type="dxa"/>
            <w:vAlign w:val="bottom"/>
          </w:tcPr>
          <w:p>
            <w:pPr>
              <w:spacing w:after="0"/>
              <w:rPr>
                <w:sz w:val="16"/>
                <w:szCs w:val="16"/>
                <w:color w:val="auto"/>
              </w:rPr>
            </w:pPr>
          </w:p>
        </w:tc>
        <w:tc>
          <w:tcPr>
            <w:tcW w:w="2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44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4500" w:type="dxa"/>
            <w:vAlign w:val="bottom"/>
          </w:tcPr>
          <w:p>
            <w:pPr>
              <w:spacing w:after="0"/>
              <w:rPr>
                <w:sz w:val="20"/>
                <w:szCs w:val="20"/>
                <w:color w:val="auto"/>
              </w:rPr>
            </w:pPr>
            <w:r>
              <w:rPr>
                <w:rFonts w:ascii="Courier New" w:cs="Courier New" w:eastAsia="Courier New" w:hAnsi="Courier New"/>
                <w:sz w:val="16"/>
                <w:szCs w:val="16"/>
                <w:color w:val="auto"/>
              </w:rPr>
              <w:t>Net Revenue</w:t>
            </w:r>
          </w:p>
        </w:tc>
        <w:tc>
          <w:tcPr>
            <w:tcW w:w="25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85,969</w:t>
            </w:r>
          </w:p>
        </w:tc>
        <w:tc>
          <w:tcPr>
            <w:tcW w:w="16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77,919</w:t>
            </w:r>
          </w:p>
        </w:tc>
        <w:tc>
          <w:tcPr>
            <w:tcW w:w="15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326,658</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296,923</w:t>
            </w:r>
          </w:p>
        </w:tc>
      </w:tr>
      <w:tr>
        <w:trPr>
          <w:trHeight w:val="376"/>
        </w:trPr>
        <w:tc>
          <w:tcPr>
            <w:tcW w:w="450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25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88"/>
        </w:trPr>
        <w:tc>
          <w:tcPr>
            <w:tcW w:w="4500" w:type="dxa"/>
            <w:vAlign w:val="bottom"/>
          </w:tcPr>
          <w:p>
            <w:pPr>
              <w:spacing w:after="0"/>
              <w:rPr>
                <w:sz w:val="20"/>
                <w:szCs w:val="20"/>
                <w:color w:val="auto"/>
              </w:rPr>
            </w:pPr>
            <w:r>
              <w:rPr>
                <w:rFonts w:ascii="Courier New" w:cs="Courier New" w:eastAsia="Courier New" w:hAnsi="Courier New"/>
                <w:sz w:val="16"/>
                <w:szCs w:val="16"/>
                <w:color w:val="auto"/>
              </w:rPr>
              <w:t>Direct costs</w:t>
            </w:r>
          </w:p>
        </w:tc>
        <w:tc>
          <w:tcPr>
            <w:tcW w:w="25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47,529</w:t>
            </w:r>
          </w:p>
        </w:tc>
        <w:tc>
          <w:tcPr>
            <w:tcW w:w="16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42,291</w:t>
            </w:r>
          </w:p>
        </w:tc>
        <w:tc>
          <w:tcPr>
            <w:tcW w:w="15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179,661</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162,562</w:t>
            </w:r>
          </w:p>
        </w:tc>
      </w:tr>
      <w:tr>
        <w:trPr>
          <w:trHeight w:val="188"/>
        </w:trPr>
        <w:tc>
          <w:tcPr>
            <w:tcW w:w="4500" w:type="dxa"/>
            <w:vAlign w:val="bottom"/>
          </w:tcPr>
          <w:p>
            <w:pPr>
              <w:spacing w:after="0"/>
              <w:rPr>
                <w:sz w:val="20"/>
                <w:szCs w:val="20"/>
                <w:color w:val="auto"/>
              </w:rPr>
            </w:pPr>
            <w:r>
              <w:rPr>
                <w:rFonts w:ascii="Courier New" w:cs="Courier New" w:eastAsia="Courier New" w:hAnsi="Courier New"/>
                <w:sz w:val="16"/>
                <w:szCs w:val="16"/>
                <w:color w:val="auto"/>
              </w:rPr>
              <w:t>Selling, general and administrative</w:t>
            </w:r>
          </w:p>
        </w:tc>
        <w:tc>
          <w:tcPr>
            <w:tcW w:w="25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27,540</w:t>
            </w:r>
          </w:p>
        </w:tc>
        <w:tc>
          <w:tcPr>
            <w:tcW w:w="16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23,033</w:t>
            </w:r>
          </w:p>
        </w:tc>
        <w:tc>
          <w:tcPr>
            <w:tcW w:w="15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103,784</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88,807</w:t>
            </w:r>
          </w:p>
        </w:tc>
      </w:tr>
      <w:tr>
        <w:trPr>
          <w:trHeight w:val="188"/>
        </w:trPr>
        <w:tc>
          <w:tcPr>
            <w:tcW w:w="450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25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3,549</w:t>
            </w:r>
          </w:p>
        </w:tc>
        <w:tc>
          <w:tcPr>
            <w:tcW w:w="16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2,956</w:t>
            </w:r>
          </w:p>
        </w:tc>
        <w:tc>
          <w:tcPr>
            <w:tcW w:w="15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13,331</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11,171</w:t>
            </w:r>
          </w:p>
        </w:tc>
      </w:tr>
      <w:tr>
        <w:trPr>
          <w:trHeight w:val="188"/>
        </w:trPr>
        <w:tc>
          <w:tcPr>
            <w:tcW w:w="4500" w:type="dxa"/>
            <w:vAlign w:val="bottom"/>
          </w:tcPr>
          <w:p>
            <w:pPr>
              <w:spacing w:after="0"/>
              <w:rPr>
                <w:sz w:val="20"/>
                <w:szCs w:val="20"/>
                <w:color w:val="auto"/>
              </w:rPr>
            </w:pPr>
            <w:r>
              <w:rPr>
                <w:rFonts w:ascii="Courier New" w:cs="Courier New" w:eastAsia="Courier New" w:hAnsi="Courier New"/>
                <w:sz w:val="16"/>
                <w:szCs w:val="16"/>
                <w:color w:val="auto"/>
              </w:rPr>
              <w:t>One-time charges</w:t>
            </w:r>
          </w:p>
        </w:tc>
        <w:tc>
          <w:tcPr>
            <w:tcW w:w="25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11,275</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4500" w:type="dxa"/>
            <w:vAlign w:val="bottom"/>
          </w:tcPr>
          <w:p>
            <w:pPr>
              <w:spacing w:after="0"/>
              <w:rPr>
                <w:sz w:val="16"/>
                <w:szCs w:val="16"/>
                <w:color w:val="auto"/>
              </w:rPr>
            </w:pPr>
          </w:p>
        </w:tc>
        <w:tc>
          <w:tcPr>
            <w:tcW w:w="2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44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4500" w:type="dxa"/>
            <w:vAlign w:val="bottom"/>
          </w:tcPr>
          <w:p>
            <w:pPr>
              <w:spacing w:after="0"/>
              <w:rPr>
                <w:sz w:val="20"/>
                <w:szCs w:val="20"/>
                <w:color w:val="auto"/>
              </w:rPr>
            </w:pPr>
            <w:r>
              <w:rPr>
                <w:rFonts w:ascii="Courier New" w:cs="Courier New" w:eastAsia="Courier New" w:hAnsi="Courier New"/>
                <w:sz w:val="16"/>
                <w:szCs w:val="16"/>
                <w:color w:val="auto"/>
              </w:rPr>
              <w:t>Total costs and expenses</w:t>
            </w:r>
          </w:p>
        </w:tc>
        <w:tc>
          <w:tcPr>
            <w:tcW w:w="25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78,618</w:t>
            </w:r>
          </w:p>
        </w:tc>
        <w:tc>
          <w:tcPr>
            <w:tcW w:w="16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68,280</w:t>
            </w:r>
          </w:p>
        </w:tc>
        <w:tc>
          <w:tcPr>
            <w:tcW w:w="15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308,051</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262,540</w:t>
            </w:r>
          </w:p>
        </w:tc>
      </w:tr>
      <w:tr>
        <w:trPr>
          <w:trHeight w:val="376"/>
        </w:trPr>
        <w:tc>
          <w:tcPr>
            <w:tcW w:w="4500" w:type="dxa"/>
            <w:vAlign w:val="bottom"/>
          </w:tcPr>
          <w:p>
            <w:pPr>
              <w:spacing w:after="0"/>
              <w:rPr>
                <w:sz w:val="20"/>
                <w:szCs w:val="20"/>
                <w:color w:val="auto"/>
              </w:rPr>
            </w:pPr>
            <w:r>
              <w:rPr>
                <w:rFonts w:ascii="Courier New" w:cs="Courier New" w:eastAsia="Courier New" w:hAnsi="Courier New"/>
                <w:sz w:val="16"/>
                <w:szCs w:val="16"/>
                <w:color w:val="auto"/>
              </w:rPr>
              <w:t>Income from operations</w:t>
            </w:r>
          </w:p>
        </w:tc>
        <w:tc>
          <w:tcPr>
            <w:tcW w:w="25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7,351</w:t>
            </w:r>
          </w:p>
        </w:tc>
        <w:tc>
          <w:tcPr>
            <w:tcW w:w="16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9,639</w:t>
            </w:r>
          </w:p>
        </w:tc>
        <w:tc>
          <w:tcPr>
            <w:tcW w:w="15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18,607</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34,383</w:t>
            </w:r>
          </w:p>
        </w:tc>
      </w:tr>
      <w:tr>
        <w:trPr>
          <w:trHeight w:val="376"/>
        </w:trPr>
        <w:tc>
          <w:tcPr>
            <w:tcW w:w="4500" w:type="dxa"/>
            <w:vAlign w:val="bottom"/>
          </w:tcPr>
          <w:p>
            <w:pPr>
              <w:spacing w:after="0"/>
              <w:rPr>
                <w:sz w:val="20"/>
                <w:szCs w:val="20"/>
                <w:color w:val="auto"/>
              </w:rPr>
            </w:pPr>
            <w:r>
              <w:rPr>
                <w:rFonts w:ascii="Courier New" w:cs="Courier New" w:eastAsia="Courier New" w:hAnsi="Courier New"/>
                <w:sz w:val="16"/>
                <w:szCs w:val="16"/>
                <w:color w:val="auto"/>
              </w:rPr>
              <w:t>Interest income (net)</w:t>
            </w:r>
          </w:p>
        </w:tc>
        <w:tc>
          <w:tcPr>
            <w:tcW w:w="25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381</w:t>
            </w:r>
          </w:p>
        </w:tc>
        <w:tc>
          <w:tcPr>
            <w:tcW w:w="16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91</w:t>
            </w:r>
          </w:p>
        </w:tc>
        <w:tc>
          <w:tcPr>
            <w:tcW w:w="15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979</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288</w:t>
            </w:r>
          </w:p>
        </w:tc>
      </w:tr>
      <w:tr>
        <w:trPr>
          <w:trHeight w:val="188"/>
        </w:trPr>
        <w:tc>
          <w:tcPr>
            <w:tcW w:w="4500" w:type="dxa"/>
            <w:vAlign w:val="bottom"/>
          </w:tcPr>
          <w:p>
            <w:pPr>
              <w:spacing w:after="0"/>
              <w:rPr>
                <w:sz w:val="16"/>
                <w:szCs w:val="16"/>
                <w:color w:val="auto"/>
              </w:rPr>
            </w:pPr>
          </w:p>
        </w:tc>
        <w:tc>
          <w:tcPr>
            <w:tcW w:w="2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44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4500" w:type="dxa"/>
            <w:vAlign w:val="bottom"/>
          </w:tcPr>
          <w:p>
            <w:pPr>
              <w:spacing w:after="0"/>
              <w:rPr>
                <w:sz w:val="20"/>
                <w:szCs w:val="20"/>
                <w:color w:val="auto"/>
              </w:rPr>
            </w:pPr>
            <w:r>
              <w:rPr>
                <w:rFonts w:ascii="Courier New" w:cs="Courier New" w:eastAsia="Courier New" w:hAnsi="Courier New"/>
                <w:sz w:val="16"/>
                <w:szCs w:val="16"/>
                <w:color w:val="auto"/>
              </w:rPr>
              <w:t>Income before provision of income taxes</w:t>
            </w:r>
          </w:p>
        </w:tc>
        <w:tc>
          <w:tcPr>
            <w:tcW w:w="25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7,732</w:t>
            </w:r>
          </w:p>
        </w:tc>
        <w:tc>
          <w:tcPr>
            <w:tcW w:w="16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9,730</w:t>
            </w:r>
          </w:p>
        </w:tc>
        <w:tc>
          <w:tcPr>
            <w:tcW w:w="15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19,586</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34,671</w:t>
            </w:r>
          </w:p>
        </w:tc>
      </w:tr>
      <w:tr>
        <w:trPr>
          <w:trHeight w:val="376"/>
        </w:trPr>
        <w:tc>
          <w:tcPr>
            <w:tcW w:w="4500" w:type="dxa"/>
            <w:vAlign w:val="bottom"/>
          </w:tcPr>
          <w:p>
            <w:pPr>
              <w:spacing w:after="0"/>
              <w:rPr>
                <w:sz w:val="20"/>
                <w:szCs w:val="20"/>
                <w:color w:val="auto"/>
              </w:rPr>
            </w:pPr>
            <w:r>
              <w:rPr>
                <w:rFonts w:ascii="Courier New" w:cs="Courier New" w:eastAsia="Courier New" w:hAnsi="Courier New"/>
                <w:sz w:val="16"/>
                <w:szCs w:val="16"/>
                <w:color w:val="auto"/>
              </w:rPr>
              <w:t>Provision for income taxes</w:t>
            </w:r>
          </w:p>
        </w:tc>
        <w:tc>
          <w:tcPr>
            <w:tcW w:w="25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1,699</w:t>
            </w:r>
          </w:p>
        </w:tc>
        <w:tc>
          <w:tcPr>
            <w:tcW w:w="16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2,508</w:t>
            </w:r>
          </w:p>
        </w:tc>
        <w:tc>
          <w:tcPr>
            <w:tcW w:w="15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5,852</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8,929</w:t>
            </w:r>
          </w:p>
        </w:tc>
      </w:tr>
      <w:tr>
        <w:trPr>
          <w:trHeight w:val="188"/>
        </w:trPr>
        <w:tc>
          <w:tcPr>
            <w:tcW w:w="4500" w:type="dxa"/>
            <w:vAlign w:val="bottom"/>
          </w:tcPr>
          <w:p>
            <w:pPr>
              <w:spacing w:after="0"/>
              <w:rPr>
                <w:sz w:val="20"/>
                <w:szCs w:val="20"/>
                <w:color w:val="auto"/>
              </w:rPr>
            </w:pPr>
            <w:r>
              <w:rPr>
                <w:rFonts w:ascii="Courier New" w:cs="Courier New" w:eastAsia="Courier New" w:hAnsi="Courier New"/>
                <w:sz w:val="16"/>
                <w:szCs w:val="16"/>
                <w:color w:val="auto"/>
              </w:rPr>
              <w:t>Minority Interest</w:t>
            </w:r>
          </w:p>
        </w:tc>
        <w:tc>
          <w:tcPr>
            <w:tcW w:w="25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84</w:t>
            </w:r>
          </w:p>
        </w:tc>
        <w:tc>
          <w:tcPr>
            <w:tcW w:w="16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189</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4500" w:type="dxa"/>
            <w:vAlign w:val="bottom"/>
          </w:tcPr>
          <w:p>
            <w:pPr>
              <w:spacing w:after="0"/>
              <w:rPr>
                <w:sz w:val="16"/>
                <w:szCs w:val="16"/>
                <w:color w:val="auto"/>
              </w:rPr>
            </w:pPr>
          </w:p>
        </w:tc>
        <w:tc>
          <w:tcPr>
            <w:tcW w:w="2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44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450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25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5,949</w:t>
            </w:r>
          </w:p>
        </w:tc>
        <w:tc>
          <w:tcPr>
            <w:tcW w:w="16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7,222</w:t>
            </w:r>
          </w:p>
        </w:tc>
        <w:tc>
          <w:tcPr>
            <w:tcW w:w="15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13,545</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25,742</w:t>
            </w:r>
          </w:p>
        </w:tc>
      </w:tr>
      <w:tr>
        <w:trPr>
          <w:trHeight w:val="188"/>
        </w:trPr>
        <w:tc>
          <w:tcPr>
            <w:tcW w:w="4500" w:type="dxa"/>
            <w:vAlign w:val="bottom"/>
          </w:tcPr>
          <w:p>
            <w:pPr>
              <w:spacing w:after="0"/>
              <w:rPr>
                <w:sz w:val="16"/>
                <w:szCs w:val="16"/>
                <w:color w:val="auto"/>
              </w:rPr>
            </w:pPr>
          </w:p>
        </w:tc>
        <w:tc>
          <w:tcPr>
            <w:tcW w:w="2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44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4500" w:type="dxa"/>
            <w:vAlign w:val="bottom"/>
          </w:tcPr>
          <w:p>
            <w:pPr>
              <w:spacing w:after="0"/>
              <w:rPr>
                <w:sz w:val="20"/>
                <w:szCs w:val="20"/>
                <w:color w:val="auto"/>
              </w:rPr>
            </w:pPr>
            <w:r>
              <w:rPr>
                <w:rFonts w:ascii="Courier New" w:cs="Courier New" w:eastAsia="Courier New" w:hAnsi="Courier New"/>
                <w:sz w:val="16"/>
                <w:szCs w:val="16"/>
                <w:color w:val="auto"/>
              </w:rPr>
              <w:t>Net income per ordinary share</w:t>
            </w:r>
          </w:p>
        </w:tc>
        <w:tc>
          <w:tcPr>
            <w:tcW w:w="25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88"/>
        </w:trPr>
        <w:tc>
          <w:tcPr>
            <w:tcW w:w="4500" w:type="dxa"/>
            <w:vAlign w:val="bottom"/>
          </w:tcPr>
          <w:p>
            <w:pPr>
              <w:spacing w:after="0"/>
              <w:rPr>
                <w:sz w:val="20"/>
                <w:szCs w:val="20"/>
                <w:color w:val="auto"/>
              </w:rPr>
            </w:pPr>
            <w:r>
              <w:rPr>
                <w:rFonts w:ascii="Courier New" w:cs="Courier New" w:eastAsia="Courier New" w:hAnsi="Courier New"/>
                <w:sz w:val="16"/>
                <w:szCs w:val="16"/>
                <w:color w:val="auto"/>
              </w:rPr>
              <w:t>Basic</w:t>
            </w:r>
          </w:p>
        </w:tc>
        <w:tc>
          <w:tcPr>
            <w:tcW w:w="25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$0.43</w:t>
            </w:r>
          </w:p>
        </w:tc>
        <w:tc>
          <w:tcPr>
            <w:tcW w:w="16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$0.53</w:t>
            </w:r>
          </w:p>
        </w:tc>
        <w:tc>
          <w:tcPr>
            <w:tcW w:w="15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$0.98</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$1.94</w:t>
            </w:r>
          </w:p>
        </w:tc>
      </w:tr>
      <w:tr>
        <w:trPr>
          <w:trHeight w:val="188"/>
        </w:trPr>
        <w:tc>
          <w:tcPr>
            <w:tcW w:w="4500" w:type="dxa"/>
            <w:vAlign w:val="bottom"/>
          </w:tcPr>
          <w:p>
            <w:pPr>
              <w:spacing w:after="0"/>
              <w:rPr>
                <w:sz w:val="16"/>
                <w:szCs w:val="16"/>
                <w:color w:val="auto"/>
              </w:rPr>
            </w:pPr>
          </w:p>
        </w:tc>
        <w:tc>
          <w:tcPr>
            <w:tcW w:w="2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44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4500" w:type="dxa"/>
            <w:vAlign w:val="bottom"/>
          </w:tcPr>
          <w:p>
            <w:pPr>
              <w:spacing w:after="0"/>
              <w:rPr>
                <w:sz w:val="20"/>
                <w:szCs w:val="20"/>
                <w:color w:val="auto"/>
              </w:rPr>
            </w:pPr>
            <w:r>
              <w:rPr>
                <w:rFonts w:ascii="Courier New" w:cs="Courier New" w:eastAsia="Courier New" w:hAnsi="Courier New"/>
                <w:sz w:val="16"/>
                <w:szCs w:val="16"/>
                <w:color w:val="auto"/>
              </w:rPr>
              <w:t>Diluted</w:t>
            </w:r>
          </w:p>
        </w:tc>
        <w:tc>
          <w:tcPr>
            <w:tcW w:w="25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$0.42</w:t>
            </w:r>
          </w:p>
        </w:tc>
        <w:tc>
          <w:tcPr>
            <w:tcW w:w="16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$0.51</w:t>
            </w:r>
          </w:p>
        </w:tc>
        <w:tc>
          <w:tcPr>
            <w:tcW w:w="15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$0.96</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$1.88</w:t>
            </w:r>
          </w:p>
        </w:tc>
      </w:tr>
      <w:tr>
        <w:trPr>
          <w:trHeight w:val="188"/>
        </w:trPr>
        <w:tc>
          <w:tcPr>
            <w:tcW w:w="4500" w:type="dxa"/>
            <w:vAlign w:val="bottom"/>
          </w:tcPr>
          <w:p>
            <w:pPr>
              <w:spacing w:after="0"/>
              <w:rPr>
                <w:sz w:val="16"/>
                <w:szCs w:val="16"/>
                <w:color w:val="auto"/>
              </w:rPr>
            </w:pPr>
          </w:p>
        </w:tc>
        <w:tc>
          <w:tcPr>
            <w:tcW w:w="2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44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4500" w:type="dxa"/>
            <w:vAlign w:val="bottom"/>
          </w:tcPr>
          <w:p>
            <w:pPr>
              <w:spacing w:after="0"/>
              <w:rPr>
                <w:sz w:val="20"/>
                <w:szCs w:val="20"/>
                <w:color w:val="auto"/>
              </w:rPr>
            </w:pPr>
            <w:r>
              <w:rPr>
                <w:rFonts w:ascii="Courier New" w:cs="Courier New" w:eastAsia="Courier New" w:hAnsi="Courier New"/>
                <w:sz w:val="16"/>
                <w:szCs w:val="16"/>
                <w:color w:val="auto"/>
              </w:rPr>
              <w:t>Weighted average number of ordinary shares</w:t>
            </w:r>
          </w:p>
        </w:tc>
        <w:tc>
          <w:tcPr>
            <w:tcW w:w="25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88"/>
        </w:trPr>
        <w:tc>
          <w:tcPr>
            <w:tcW w:w="4500" w:type="dxa"/>
            <w:vAlign w:val="bottom"/>
          </w:tcPr>
          <w:p>
            <w:pPr>
              <w:spacing w:after="0"/>
              <w:rPr>
                <w:sz w:val="20"/>
                <w:szCs w:val="20"/>
                <w:color w:val="auto"/>
              </w:rPr>
            </w:pPr>
            <w:r>
              <w:rPr>
                <w:rFonts w:ascii="Courier New" w:cs="Courier New" w:eastAsia="Courier New" w:hAnsi="Courier New"/>
                <w:sz w:val="16"/>
                <w:szCs w:val="16"/>
                <w:color w:val="auto"/>
              </w:rPr>
              <w:t>Basic</w:t>
            </w:r>
          </w:p>
        </w:tc>
        <w:tc>
          <w:tcPr>
            <w:tcW w:w="25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13,887,989</w:t>
            </w:r>
          </w:p>
        </w:tc>
        <w:tc>
          <w:tcPr>
            <w:tcW w:w="16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13,714,899</w:t>
            </w:r>
          </w:p>
        </w:tc>
        <w:tc>
          <w:tcPr>
            <w:tcW w:w="15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13,860,203</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13,267,531</w:t>
            </w:r>
          </w:p>
        </w:tc>
      </w:tr>
      <w:tr>
        <w:trPr>
          <w:trHeight w:val="376"/>
        </w:trPr>
        <w:tc>
          <w:tcPr>
            <w:tcW w:w="4500" w:type="dxa"/>
            <w:vAlign w:val="bottom"/>
          </w:tcPr>
          <w:p>
            <w:pPr>
              <w:spacing w:after="0"/>
              <w:rPr>
                <w:sz w:val="20"/>
                <w:szCs w:val="20"/>
                <w:color w:val="auto"/>
              </w:rPr>
            </w:pPr>
            <w:r>
              <w:rPr>
                <w:rFonts w:ascii="Courier New" w:cs="Courier New" w:eastAsia="Courier New" w:hAnsi="Courier New"/>
                <w:sz w:val="16"/>
                <w:szCs w:val="16"/>
                <w:color w:val="auto"/>
              </w:rPr>
              <w:t>Diluted</w:t>
            </w:r>
          </w:p>
        </w:tc>
        <w:tc>
          <w:tcPr>
            <w:tcW w:w="25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14,100,098</w:t>
            </w:r>
          </w:p>
        </w:tc>
        <w:tc>
          <w:tcPr>
            <w:tcW w:w="16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14,080,617</w:t>
            </w:r>
          </w:p>
        </w:tc>
        <w:tc>
          <w:tcPr>
            <w:tcW w:w="15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14,153,445</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13,703,163</w:t>
            </w:r>
          </w:p>
        </w:tc>
      </w:tr>
    </w:tbl>
    <w:p>
      <w:pPr>
        <w:sectPr>
          <w:pgSz w:w="11900" w:h="16838" w:orient="portrait"/>
          <w:cols w:equalWidth="0" w:num="1">
            <w:col w:w="11520"/>
          </w:cols>
          <w:pgMar w:left="240" w:top="1244" w:right="139" w:bottom="1440" w:gutter="0" w:footer="0" w:header="0"/>
        </w:sectPr>
      </w:pPr>
    </w:p>
    <w:bookmarkStart w:id="6" w:name="page7"/>
    <w:bookmarkEnd w:id="6"/>
    <w:p>
      <w:pPr>
        <w:jc w:val="center"/>
        <w:ind w:right="3700"/>
        <w:spacing w:after="0"/>
        <w:rPr>
          <w:sz w:val="20"/>
          <w:szCs w:val="20"/>
          <w:color w:val="auto"/>
        </w:rPr>
      </w:pPr>
      <w:r>
        <w:rPr>
          <w:rFonts w:ascii="Courier New" w:cs="Courier New" w:eastAsia="Courier New" w:hAnsi="Courier New"/>
          <w:sz w:val="16"/>
          <w:szCs w:val="16"/>
          <w:color w:val="auto"/>
        </w:rPr>
        <w:t>ICON plc</w:t>
      </w:r>
    </w:p>
    <w:p>
      <w:pPr>
        <w:spacing w:after="0" w:line="195" w:lineRule="exact"/>
        <w:rPr>
          <w:sz w:val="20"/>
          <w:szCs w:val="20"/>
          <w:color w:val="auto"/>
        </w:rPr>
      </w:pPr>
    </w:p>
    <w:p>
      <w:pPr>
        <w:jc w:val="center"/>
        <w:ind w:right="3600"/>
        <w:spacing w:after="0"/>
        <w:rPr>
          <w:sz w:val="20"/>
          <w:szCs w:val="20"/>
          <w:color w:val="auto"/>
        </w:rPr>
      </w:pPr>
      <w:r>
        <w:rPr>
          <w:rFonts w:ascii="Courier New" w:cs="Courier New" w:eastAsia="Courier New" w:hAnsi="Courier New"/>
          <w:sz w:val="16"/>
          <w:szCs w:val="16"/>
          <w:color w:val="auto"/>
        </w:rPr>
        <w:t>Proforma Consolidated Income Statements *</w:t>
      </w:r>
    </w:p>
    <w:p>
      <w:pPr>
        <w:spacing w:after="0" w:line="7" w:lineRule="exact"/>
        <w:rPr>
          <w:sz w:val="20"/>
          <w:szCs w:val="20"/>
          <w:color w:val="auto"/>
        </w:rPr>
      </w:pPr>
    </w:p>
    <w:p>
      <w:pPr>
        <w:jc w:val="center"/>
        <w:ind w:right="3600"/>
        <w:spacing w:after="0"/>
        <w:rPr>
          <w:sz w:val="20"/>
          <w:szCs w:val="20"/>
          <w:color w:val="auto"/>
        </w:rPr>
      </w:pPr>
      <w:r>
        <w:rPr>
          <w:rFonts w:ascii="Courier New" w:cs="Courier New" w:eastAsia="Courier New" w:hAnsi="Courier New"/>
          <w:sz w:val="16"/>
          <w:szCs w:val="16"/>
          <w:color w:val="auto"/>
        </w:rPr>
        <w:t>(Unaudited)</w:t>
      </w:r>
    </w:p>
    <w:p>
      <w:pPr>
        <w:spacing w:after="0" w:line="195" w:lineRule="exact"/>
        <w:rPr>
          <w:sz w:val="20"/>
          <w:szCs w:val="20"/>
          <w:color w:val="auto"/>
        </w:rPr>
      </w:pPr>
    </w:p>
    <w:p>
      <w:pPr>
        <w:ind w:left="1180" w:right="4680" w:hanging="97"/>
        <w:spacing w:after="0" w:line="252" w:lineRule="auto"/>
        <w:rPr>
          <w:sz w:val="20"/>
          <w:szCs w:val="20"/>
          <w:color w:val="auto"/>
        </w:rPr>
      </w:pPr>
      <w:r>
        <w:rPr>
          <w:rFonts w:ascii="Courier New" w:cs="Courier New" w:eastAsia="Courier New" w:hAnsi="Courier New"/>
          <w:sz w:val="16"/>
          <w:szCs w:val="16"/>
          <w:color w:val="auto"/>
        </w:rPr>
        <w:t>Three and Twelve Months ended May 31, 2005 and May 31, 2004 (Dollars,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40" w:type="dxa"/>
            <w:vAlign w:val="bottom"/>
          </w:tcPr>
          <w:p>
            <w:pPr>
              <w:spacing w:after="0"/>
              <w:rPr>
                <w:sz w:val="15"/>
                <w:szCs w:val="15"/>
                <w:color w:val="auto"/>
              </w:rPr>
            </w:pPr>
          </w:p>
        </w:tc>
        <w:tc>
          <w:tcPr>
            <w:tcW w:w="3720" w:type="dxa"/>
            <w:vAlign w:val="bottom"/>
            <w:gridSpan w:val="2"/>
          </w:tcPr>
          <w:p>
            <w:pPr>
              <w:jc w:val="right"/>
              <w:ind w:right="939"/>
              <w:spacing w:after="0"/>
              <w:rPr>
                <w:sz w:val="20"/>
                <w:szCs w:val="20"/>
                <w:color w:val="auto"/>
              </w:rPr>
            </w:pPr>
            <w:r>
              <w:rPr>
                <w:rFonts w:ascii="Courier New" w:cs="Courier New" w:eastAsia="Courier New" w:hAnsi="Courier New"/>
                <w:sz w:val="16"/>
                <w:szCs w:val="16"/>
                <w:color w:val="auto"/>
              </w:rPr>
              <w:t>Three Months Ended</w:t>
            </w:r>
          </w:p>
        </w:tc>
        <w:tc>
          <w:tcPr>
            <w:tcW w:w="3460" w:type="dxa"/>
            <w:vAlign w:val="bottom"/>
            <w:gridSpan w:val="2"/>
          </w:tcPr>
          <w:p>
            <w:pPr>
              <w:jc w:val="right"/>
              <w:ind w:right="679"/>
              <w:spacing w:after="0"/>
              <w:rPr>
                <w:sz w:val="20"/>
                <w:szCs w:val="20"/>
                <w:color w:val="auto"/>
              </w:rPr>
            </w:pPr>
            <w:r>
              <w:rPr>
                <w:rFonts w:ascii="Courier New" w:cs="Courier New" w:eastAsia="Courier New" w:hAnsi="Courier New"/>
                <w:sz w:val="16"/>
                <w:szCs w:val="16"/>
                <w:color w:val="auto"/>
              </w:rPr>
              <w:t>Twelve Months Ended</w:t>
            </w:r>
          </w:p>
        </w:tc>
      </w:tr>
      <w:tr>
        <w:trPr>
          <w:trHeight w:val="188"/>
        </w:trPr>
        <w:tc>
          <w:tcPr>
            <w:tcW w:w="4340" w:type="dxa"/>
            <w:vAlign w:val="bottom"/>
          </w:tcPr>
          <w:p>
            <w:pPr>
              <w:spacing w:after="0"/>
              <w:rPr>
                <w:sz w:val="16"/>
                <w:szCs w:val="16"/>
                <w:color w:val="auto"/>
              </w:rPr>
            </w:pPr>
          </w:p>
        </w:tc>
        <w:tc>
          <w:tcPr>
            <w:tcW w:w="1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May 31,</w:t>
            </w:r>
          </w:p>
        </w:tc>
        <w:tc>
          <w:tcPr>
            <w:tcW w:w="18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May 31,</w:t>
            </w:r>
          </w:p>
        </w:tc>
        <w:tc>
          <w:tcPr>
            <w:tcW w:w="18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May 31,</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May 31,</w:t>
            </w:r>
          </w:p>
        </w:tc>
      </w:tr>
      <w:tr>
        <w:trPr>
          <w:trHeight w:val="188"/>
        </w:trPr>
        <w:tc>
          <w:tcPr>
            <w:tcW w:w="4340" w:type="dxa"/>
            <w:vAlign w:val="bottom"/>
          </w:tcPr>
          <w:p>
            <w:pPr>
              <w:spacing w:after="0"/>
              <w:rPr>
                <w:sz w:val="16"/>
                <w:szCs w:val="16"/>
                <w:color w:val="auto"/>
              </w:rPr>
            </w:pPr>
          </w:p>
        </w:tc>
        <w:tc>
          <w:tcPr>
            <w:tcW w:w="1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2005</w:t>
            </w:r>
          </w:p>
        </w:tc>
        <w:tc>
          <w:tcPr>
            <w:tcW w:w="18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2004</w:t>
            </w:r>
          </w:p>
        </w:tc>
        <w:tc>
          <w:tcPr>
            <w:tcW w:w="18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2005</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2004</w:t>
            </w:r>
          </w:p>
        </w:tc>
      </w:tr>
      <w:tr>
        <w:trPr>
          <w:trHeight w:val="564"/>
        </w:trPr>
        <w:tc>
          <w:tcPr>
            <w:tcW w:w="4340" w:type="dxa"/>
            <w:vAlign w:val="bottom"/>
          </w:tcPr>
          <w:p>
            <w:pPr>
              <w:spacing w:after="0"/>
              <w:rPr>
                <w:sz w:val="20"/>
                <w:szCs w:val="20"/>
                <w:color w:val="auto"/>
              </w:rPr>
            </w:pPr>
            <w:r>
              <w:rPr>
                <w:rFonts w:ascii="Courier New" w:cs="Courier New" w:eastAsia="Courier New" w:hAnsi="Courier New"/>
                <w:sz w:val="16"/>
                <w:szCs w:val="16"/>
                <w:color w:val="auto"/>
              </w:rPr>
              <w:t>Gross Revenue</w:t>
            </w:r>
          </w:p>
        </w:tc>
        <w:tc>
          <w:tcPr>
            <w:tcW w:w="1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121,979</w:t>
            </w:r>
          </w:p>
        </w:tc>
        <w:tc>
          <w:tcPr>
            <w:tcW w:w="18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111,694</w:t>
            </w:r>
          </w:p>
        </w:tc>
        <w:tc>
          <w:tcPr>
            <w:tcW w:w="18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469,583</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443,875</w:t>
            </w:r>
          </w:p>
        </w:tc>
      </w:tr>
      <w:tr>
        <w:trPr>
          <w:trHeight w:val="376"/>
        </w:trPr>
        <w:tc>
          <w:tcPr>
            <w:tcW w:w="4340" w:type="dxa"/>
            <w:vAlign w:val="bottom"/>
          </w:tcPr>
          <w:p>
            <w:pPr>
              <w:spacing w:after="0"/>
              <w:rPr>
                <w:sz w:val="20"/>
                <w:szCs w:val="20"/>
                <w:color w:val="auto"/>
              </w:rPr>
            </w:pPr>
            <w:r>
              <w:rPr>
                <w:rFonts w:ascii="Courier New" w:cs="Courier New" w:eastAsia="Courier New" w:hAnsi="Courier New"/>
                <w:sz w:val="16"/>
                <w:szCs w:val="16"/>
                <w:color w:val="auto"/>
              </w:rPr>
              <w:t>Subcontractor costs</w:t>
            </w:r>
          </w:p>
        </w:tc>
        <w:tc>
          <w:tcPr>
            <w:tcW w:w="1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36,010</w:t>
            </w:r>
          </w:p>
        </w:tc>
        <w:tc>
          <w:tcPr>
            <w:tcW w:w="18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33,775</w:t>
            </w:r>
          </w:p>
        </w:tc>
        <w:tc>
          <w:tcPr>
            <w:tcW w:w="18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142,925</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146,952</w:t>
            </w:r>
          </w:p>
        </w:tc>
      </w:tr>
      <w:tr>
        <w:trPr>
          <w:trHeight w:val="188"/>
        </w:trPr>
        <w:tc>
          <w:tcPr>
            <w:tcW w:w="434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4340" w:type="dxa"/>
            <w:vAlign w:val="bottom"/>
          </w:tcPr>
          <w:p>
            <w:pPr>
              <w:spacing w:after="0"/>
              <w:rPr>
                <w:sz w:val="20"/>
                <w:szCs w:val="20"/>
                <w:color w:val="auto"/>
              </w:rPr>
            </w:pPr>
            <w:r>
              <w:rPr>
                <w:rFonts w:ascii="Courier New" w:cs="Courier New" w:eastAsia="Courier New" w:hAnsi="Courier New"/>
                <w:sz w:val="16"/>
                <w:szCs w:val="16"/>
                <w:color w:val="auto"/>
              </w:rPr>
              <w:t>Net Revenue</w:t>
            </w:r>
          </w:p>
        </w:tc>
        <w:tc>
          <w:tcPr>
            <w:tcW w:w="1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85,969</w:t>
            </w:r>
          </w:p>
        </w:tc>
        <w:tc>
          <w:tcPr>
            <w:tcW w:w="18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77,919</w:t>
            </w:r>
          </w:p>
        </w:tc>
        <w:tc>
          <w:tcPr>
            <w:tcW w:w="18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326,658</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296,923</w:t>
            </w:r>
          </w:p>
        </w:tc>
      </w:tr>
      <w:tr>
        <w:trPr>
          <w:trHeight w:val="376"/>
        </w:trPr>
        <w:tc>
          <w:tcPr>
            <w:tcW w:w="434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18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88"/>
        </w:trPr>
        <w:tc>
          <w:tcPr>
            <w:tcW w:w="4340" w:type="dxa"/>
            <w:vAlign w:val="bottom"/>
          </w:tcPr>
          <w:p>
            <w:pPr>
              <w:spacing w:after="0"/>
              <w:rPr>
                <w:sz w:val="20"/>
                <w:szCs w:val="20"/>
                <w:color w:val="auto"/>
              </w:rPr>
            </w:pPr>
            <w:r>
              <w:rPr>
                <w:rFonts w:ascii="Courier New" w:cs="Courier New" w:eastAsia="Courier New" w:hAnsi="Courier New"/>
                <w:sz w:val="16"/>
                <w:szCs w:val="16"/>
                <w:color w:val="auto"/>
              </w:rPr>
              <w:t>Direct costs</w:t>
            </w:r>
          </w:p>
        </w:tc>
        <w:tc>
          <w:tcPr>
            <w:tcW w:w="1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47,529</w:t>
            </w:r>
          </w:p>
        </w:tc>
        <w:tc>
          <w:tcPr>
            <w:tcW w:w="18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42,291</w:t>
            </w:r>
          </w:p>
        </w:tc>
        <w:tc>
          <w:tcPr>
            <w:tcW w:w="18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179,661</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162,562</w:t>
            </w:r>
          </w:p>
        </w:tc>
      </w:tr>
      <w:tr>
        <w:trPr>
          <w:trHeight w:val="188"/>
        </w:trPr>
        <w:tc>
          <w:tcPr>
            <w:tcW w:w="4340" w:type="dxa"/>
            <w:vAlign w:val="bottom"/>
          </w:tcPr>
          <w:p>
            <w:pPr>
              <w:spacing w:after="0"/>
              <w:rPr>
                <w:sz w:val="20"/>
                <w:szCs w:val="20"/>
                <w:color w:val="auto"/>
              </w:rPr>
            </w:pPr>
            <w:r>
              <w:rPr>
                <w:rFonts w:ascii="Courier New" w:cs="Courier New" w:eastAsia="Courier New" w:hAnsi="Courier New"/>
                <w:sz w:val="16"/>
                <w:szCs w:val="16"/>
                <w:color w:val="auto"/>
              </w:rPr>
              <w:t>Selling, general and administrative</w:t>
            </w:r>
          </w:p>
        </w:tc>
        <w:tc>
          <w:tcPr>
            <w:tcW w:w="1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27,540</w:t>
            </w:r>
          </w:p>
        </w:tc>
        <w:tc>
          <w:tcPr>
            <w:tcW w:w="18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23,033</w:t>
            </w:r>
          </w:p>
        </w:tc>
        <w:tc>
          <w:tcPr>
            <w:tcW w:w="18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103,784</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88,807</w:t>
            </w:r>
          </w:p>
        </w:tc>
      </w:tr>
      <w:tr>
        <w:trPr>
          <w:trHeight w:val="188"/>
        </w:trPr>
        <w:tc>
          <w:tcPr>
            <w:tcW w:w="434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1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3,549</w:t>
            </w:r>
          </w:p>
        </w:tc>
        <w:tc>
          <w:tcPr>
            <w:tcW w:w="18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2,956</w:t>
            </w:r>
          </w:p>
        </w:tc>
        <w:tc>
          <w:tcPr>
            <w:tcW w:w="18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13,331</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11,171</w:t>
            </w:r>
          </w:p>
        </w:tc>
      </w:tr>
      <w:tr>
        <w:trPr>
          <w:trHeight w:val="376"/>
        </w:trPr>
        <w:tc>
          <w:tcPr>
            <w:tcW w:w="434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4340" w:type="dxa"/>
            <w:vAlign w:val="bottom"/>
          </w:tcPr>
          <w:p>
            <w:pPr>
              <w:spacing w:after="0"/>
              <w:rPr>
                <w:sz w:val="20"/>
                <w:szCs w:val="20"/>
                <w:color w:val="auto"/>
              </w:rPr>
            </w:pPr>
            <w:r>
              <w:rPr>
                <w:rFonts w:ascii="Courier New" w:cs="Courier New" w:eastAsia="Courier New" w:hAnsi="Courier New"/>
                <w:sz w:val="16"/>
                <w:szCs w:val="16"/>
                <w:color w:val="auto"/>
              </w:rPr>
              <w:t>Total costs and expenses</w:t>
            </w:r>
          </w:p>
        </w:tc>
        <w:tc>
          <w:tcPr>
            <w:tcW w:w="1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78,618</w:t>
            </w:r>
          </w:p>
        </w:tc>
        <w:tc>
          <w:tcPr>
            <w:tcW w:w="18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68,280</w:t>
            </w:r>
          </w:p>
        </w:tc>
        <w:tc>
          <w:tcPr>
            <w:tcW w:w="18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296,776</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262,540</w:t>
            </w:r>
          </w:p>
        </w:tc>
      </w:tr>
      <w:tr>
        <w:trPr>
          <w:trHeight w:val="376"/>
        </w:trPr>
        <w:tc>
          <w:tcPr>
            <w:tcW w:w="4340" w:type="dxa"/>
            <w:vAlign w:val="bottom"/>
          </w:tcPr>
          <w:p>
            <w:pPr>
              <w:spacing w:after="0"/>
              <w:rPr>
                <w:sz w:val="20"/>
                <w:szCs w:val="20"/>
                <w:color w:val="auto"/>
              </w:rPr>
            </w:pPr>
            <w:r>
              <w:rPr>
                <w:rFonts w:ascii="Courier New" w:cs="Courier New" w:eastAsia="Courier New" w:hAnsi="Courier New"/>
                <w:sz w:val="16"/>
                <w:szCs w:val="16"/>
                <w:color w:val="auto"/>
              </w:rPr>
              <w:t>Income from operations</w:t>
            </w:r>
          </w:p>
        </w:tc>
        <w:tc>
          <w:tcPr>
            <w:tcW w:w="1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7,351</w:t>
            </w:r>
          </w:p>
        </w:tc>
        <w:tc>
          <w:tcPr>
            <w:tcW w:w="18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9,639</w:t>
            </w:r>
          </w:p>
        </w:tc>
        <w:tc>
          <w:tcPr>
            <w:tcW w:w="18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29,882</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34,383</w:t>
            </w:r>
          </w:p>
        </w:tc>
      </w:tr>
      <w:tr>
        <w:trPr>
          <w:trHeight w:val="376"/>
        </w:trPr>
        <w:tc>
          <w:tcPr>
            <w:tcW w:w="4340" w:type="dxa"/>
            <w:vAlign w:val="bottom"/>
          </w:tcPr>
          <w:p>
            <w:pPr>
              <w:spacing w:after="0"/>
              <w:rPr>
                <w:sz w:val="20"/>
                <w:szCs w:val="20"/>
                <w:color w:val="auto"/>
              </w:rPr>
            </w:pPr>
            <w:r>
              <w:rPr>
                <w:rFonts w:ascii="Courier New" w:cs="Courier New" w:eastAsia="Courier New" w:hAnsi="Courier New"/>
                <w:sz w:val="16"/>
                <w:szCs w:val="16"/>
                <w:color w:val="auto"/>
              </w:rPr>
              <w:t>Interest income (net)</w:t>
            </w:r>
          </w:p>
        </w:tc>
        <w:tc>
          <w:tcPr>
            <w:tcW w:w="1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381</w:t>
            </w:r>
          </w:p>
        </w:tc>
        <w:tc>
          <w:tcPr>
            <w:tcW w:w="18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91</w:t>
            </w:r>
          </w:p>
        </w:tc>
        <w:tc>
          <w:tcPr>
            <w:tcW w:w="18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979</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288</w:t>
            </w:r>
          </w:p>
        </w:tc>
      </w:tr>
      <w:tr>
        <w:trPr>
          <w:trHeight w:val="376"/>
        </w:trPr>
        <w:tc>
          <w:tcPr>
            <w:tcW w:w="434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4340" w:type="dxa"/>
            <w:vAlign w:val="bottom"/>
          </w:tcPr>
          <w:p>
            <w:pPr>
              <w:spacing w:after="0"/>
              <w:rPr>
                <w:sz w:val="20"/>
                <w:szCs w:val="20"/>
                <w:color w:val="auto"/>
              </w:rPr>
            </w:pPr>
            <w:r>
              <w:rPr>
                <w:rFonts w:ascii="Courier New" w:cs="Courier New" w:eastAsia="Courier New" w:hAnsi="Courier New"/>
                <w:sz w:val="16"/>
                <w:szCs w:val="16"/>
                <w:color w:val="auto"/>
              </w:rPr>
              <w:t>Income before provision of income taxes</w:t>
            </w:r>
          </w:p>
        </w:tc>
        <w:tc>
          <w:tcPr>
            <w:tcW w:w="1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7,732</w:t>
            </w:r>
          </w:p>
        </w:tc>
        <w:tc>
          <w:tcPr>
            <w:tcW w:w="18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9,730</w:t>
            </w:r>
          </w:p>
        </w:tc>
        <w:tc>
          <w:tcPr>
            <w:tcW w:w="18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30,861</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34,671</w:t>
            </w:r>
          </w:p>
        </w:tc>
      </w:tr>
      <w:tr>
        <w:trPr>
          <w:trHeight w:val="376"/>
        </w:trPr>
        <w:tc>
          <w:tcPr>
            <w:tcW w:w="4340" w:type="dxa"/>
            <w:vAlign w:val="bottom"/>
          </w:tcPr>
          <w:p>
            <w:pPr>
              <w:spacing w:after="0"/>
              <w:rPr>
                <w:sz w:val="20"/>
                <w:szCs w:val="20"/>
                <w:color w:val="auto"/>
              </w:rPr>
            </w:pPr>
            <w:r>
              <w:rPr>
                <w:rFonts w:ascii="Courier New" w:cs="Courier New" w:eastAsia="Courier New" w:hAnsi="Courier New"/>
                <w:sz w:val="16"/>
                <w:szCs w:val="16"/>
                <w:color w:val="auto"/>
              </w:rPr>
              <w:t>Provision for income taxes</w:t>
            </w:r>
          </w:p>
        </w:tc>
        <w:tc>
          <w:tcPr>
            <w:tcW w:w="1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1,699</w:t>
            </w:r>
          </w:p>
        </w:tc>
        <w:tc>
          <w:tcPr>
            <w:tcW w:w="18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2,508</w:t>
            </w:r>
          </w:p>
        </w:tc>
        <w:tc>
          <w:tcPr>
            <w:tcW w:w="18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6,577</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8,929</w:t>
            </w:r>
          </w:p>
        </w:tc>
      </w:tr>
      <w:tr>
        <w:trPr>
          <w:trHeight w:val="188"/>
        </w:trPr>
        <w:tc>
          <w:tcPr>
            <w:tcW w:w="4340" w:type="dxa"/>
            <w:vAlign w:val="bottom"/>
          </w:tcPr>
          <w:p>
            <w:pPr>
              <w:spacing w:after="0"/>
              <w:rPr>
                <w:sz w:val="20"/>
                <w:szCs w:val="20"/>
                <w:color w:val="auto"/>
              </w:rPr>
            </w:pPr>
            <w:r>
              <w:rPr>
                <w:rFonts w:ascii="Courier New" w:cs="Courier New" w:eastAsia="Courier New" w:hAnsi="Courier New"/>
                <w:sz w:val="16"/>
                <w:szCs w:val="16"/>
                <w:color w:val="auto"/>
              </w:rPr>
              <w:t>Minority Interest</w:t>
            </w:r>
          </w:p>
        </w:tc>
        <w:tc>
          <w:tcPr>
            <w:tcW w:w="1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84</w:t>
            </w:r>
          </w:p>
        </w:tc>
        <w:tc>
          <w:tcPr>
            <w:tcW w:w="18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189</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434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4340" w:type="dxa"/>
            <w:vAlign w:val="bottom"/>
          </w:tcPr>
          <w:p>
            <w:pPr>
              <w:spacing w:after="0"/>
              <w:rPr>
                <w:sz w:val="20"/>
                <w:szCs w:val="20"/>
                <w:color w:val="auto"/>
              </w:rPr>
            </w:pPr>
            <w:r>
              <w:rPr>
                <w:rFonts w:ascii="Courier New" w:cs="Courier New" w:eastAsia="Courier New" w:hAnsi="Courier New"/>
                <w:sz w:val="16"/>
                <w:szCs w:val="16"/>
                <w:color w:val="auto"/>
              </w:rPr>
              <w:t>Net income *</w:t>
            </w:r>
          </w:p>
        </w:tc>
        <w:tc>
          <w:tcPr>
            <w:tcW w:w="1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5,949</w:t>
            </w:r>
          </w:p>
        </w:tc>
        <w:tc>
          <w:tcPr>
            <w:tcW w:w="18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7,222</w:t>
            </w:r>
          </w:p>
        </w:tc>
        <w:tc>
          <w:tcPr>
            <w:tcW w:w="18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24,095</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25,742</w:t>
            </w:r>
          </w:p>
        </w:tc>
      </w:tr>
      <w:tr>
        <w:trPr>
          <w:trHeight w:val="188"/>
        </w:trPr>
        <w:tc>
          <w:tcPr>
            <w:tcW w:w="4340" w:type="dxa"/>
            <w:vAlign w:val="bottom"/>
          </w:tcPr>
          <w:p>
            <w:pPr>
              <w:spacing w:after="0"/>
              <w:rPr>
                <w:sz w:val="16"/>
                <w:szCs w:val="16"/>
                <w:color w:val="auto"/>
              </w:rPr>
            </w:pPr>
          </w:p>
        </w:tc>
        <w:tc>
          <w:tcPr>
            <w:tcW w:w="37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 =================</w:t>
            </w:r>
          </w:p>
        </w:tc>
        <w:tc>
          <w:tcPr>
            <w:tcW w:w="1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4340" w:type="dxa"/>
            <w:vAlign w:val="bottom"/>
          </w:tcPr>
          <w:p>
            <w:pPr>
              <w:spacing w:after="0"/>
              <w:rPr>
                <w:sz w:val="20"/>
                <w:szCs w:val="20"/>
                <w:color w:val="auto"/>
              </w:rPr>
            </w:pPr>
            <w:r>
              <w:rPr>
                <w:rFonts w:ascii="Courier New" w:cs="Courier New" w:eastAsia="Courier New" w:hAnsi="Courier New"/>
                <w:sz w:val="16"/>
                <w:szCs w:val="16"/>
                <w:color w:val="auto"/>
              </w:rPr>
              <w:t>Net income per ordinary share</w:t>
            </w:r>
          </w:p>
        </w:tc>
        <w:tc>
          <w:tcPr>
            <w:tcW w:w="18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88"/>
        </w:trPr>
        <w:tc>
          <w:tcPr>
            <w:tcW w:w="4340" w:type="dxa"/>
            <w:vAlign w:val="bottom"/>
          </w:tcPr>
          <w:p>
            <w:pPr>
              <w:spacing w:after="0"/>
              <w:rPr>
                <w:sz w:val="20"/>
                <w:szCs w:val="20"/>
                <w:color w:val="auto"/>
              </w:rPr>
            </w:pPr>
            <w:r>
              <w:rPr>
                <w:rFonts w:ascii="Courier New" w:cs="Courier New" w:eastAsia="Courier New" w:hAnsi="Courier New"/>
                <w:sz w:val="16"/>
                <w:szCs w:val="16"/>
                <w:color w:val="auto"/>
              </w:rPr>
              <w:t>Basic *</w:t>
            </w:r>
          </w:p>
        </w:tc>
        <w:tc>
          <w:tcPr>
            <w:tcW w:w="1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$0.43</w:t>
            </w:r>
          </w:p>
        </w:tc>
        <w:tc>
          <w:tcPr>
            <w:tcW w:w="18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$0.53</w:t>
            </w:r>
          </w:p>
        </w:tc>
        <w:tc>
          <w:tcPr>
            <w:tcW w:w="18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$1.74</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$1.94</w:t>
            </w:r>
          </w:p>
        </w:tc>
      </w:tr>
      <w:tr>
        <w:trPr>
          <w:trHeight w:val="188"/>
        </w:trPr>
        <w:tc>
          <w:tcPr>
            <w:tcW w:w="434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4340" w:type="dxa"/>
            <w:vAlign w:val="bottom"/>
          </w:tcPr>
          <w:p>
            <w:pPr>
              <w:spacing w:after="0"/>
              <w:rPr>
                <w:sz w:val="20"/>
                <w:szCs w:val="20"/>
                <w:color w:val="auto"/>
              </w:rPr>
            </w:pPr>
            <w:r>
              <w:rPr>
                <w:rFonts w:ascii="Courier New" w:cs="Courier New" w:eastAsia="Courier New" w:hAnsi="Courier New"/>
                <w:sz w:val="16"/>
                <w:szCs w:val="16"/>
                <w:color w:val="auto"/>
              </w:rPr>
              <w:t>Diluted *</w:t>
            </w:r>
          </w:p>
        </w:tc>
        <w:tc>
          <w:tcPr>
            <w:tcW w:w="1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$0.42</w:t>
            </w:r>
          </w:p>
        </w:tc>
        <w:tc>
          <w:tcPr>
            <w:tcW w:w="18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$0.51</w:t>
            </w:r>
          </w:p>
        </w:tc>
        <w:tc>
          <w:tcPr>
            <w:tcW w:w="18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$1.70</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$1.88</w:t>
            </w:r>
          </w:p>
        </w:tc>
      </w:tr>
      <w:tr>
        <w:trPr>
          <w:trHeight w:val="188"/>
        </w:trPr>
        <w:tc>
          <w:tcPr>
            <w:tcW w:w="434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4340" w:type="dxa"/>
            <w:vAlign w:val="bottom"/>
          </w:tcPr>
          <w:p>
            <w:pPr>
              <w:spacing w:after="0"/>
              <w:rPr>
                <w:sz w:val="20"/>
                <w:szCs w:val="20"/>
                <w:color w:val="auto"/>
              </w:rPr>
            </w:pPr>
            <w:r>
              <w:rPr>
                <w:rFonts w:ascii="Courier New" w:cs="Courier New" w:eastAsia="Courier New" w:hAnsi="Courier New"/>
                <w:sz w:val="16"/>
                <w:szCs w:val="16"/>
                <w:color w:val="auto"/>
              </w:rPr>
              <w:t>Weighted average number of ordinary shares</w:t>
            </w:r>
          </w:p>
        </w:tc>
        <w:tc>
          <w:tcPr>
            <w:tcW w:w="18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88"/>
        </w:trPr>
        <w:tc>
          <w:tcPr>
            <w:tcW w:w="4340" w:type="dxa"/>
            <w:vAlign w:val="bottom"/>
          </w:tcPr>
          <w:p>
            <w:pPr>
              <w:spacing w:after="0"/>
              <w:rPr>
                <w:sz w:val="20"/>
                <w:szCs w:val="20"/>
                <w:color w:val="auto"/>
              </w:rPr>
            </w:pPr>
            <w:r>
              <w:rPr>
                <w:rFonts w:ascii="Courier New" w:cs="Courier New" w:eastAsia="Courier New" w:hAnsi="Courier New"/>
                <w:sz w:val="16"/>
                <w:szCs w:val="16"/>
                <w:color w:val="auto"/>
              </w:rPr>
              <w:t>Basic</w:t>
            </w:r>
          </w:p>
        </w:tc>
        <w:tc>
          <w:tcPr>
            <w:tcW w:w="1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13,887,989</w:t>
            </w:r>
          </w:p>
        </w:tc>
        <w:tc>
          <w:tcPr>
            <w:tcW w:w="18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13,714,899</w:t>
            </w:r>
          </w:p>
        </w:tc>
        <w:tc>
          <w:tcPr>
            <w:tcW w:w="18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13,860,203</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13,267,531</w:t>
            </w:r>
          </w:p>
        </w:tc>
      </w:tr>
      <w:tr>
        <w:trPr>
          <w:trHeight w:val="376"/>
        </w:trPr>
        <w:tc>
          <w:tcPr>
            <w:tcW w:w="4340" w:type="dxa"/>
            <w:vAlign w:val="bottom"/>
          </w:tcPr>
          <w:p>
            <w:pPr>
              <w:spacing w:after="0"/>
              <w:rPr>
                <w:sz w:val="20"/>
                <w:szCs w:val="20"/>
                <w:color w:val="auto"/>
              </w:rPr>
            </w:pPr>
            <w:r>
              <w:rPr>
                <w:rFonts w:ascii="Courier New" w:cs="Courier New" w:eastAsia="Courier New" w:hAnsi="Courier New"/>
                <w:sz w:val="16"/>
                <w:szCs w:val="16"/>
                <w:color w:val="auto"/>
              </w:rPr>
              <w:t>Diluted</w:t>
            </w:r>
          </w:p>
        </w:tc>
        <w:tc>
          <w:tcPr>
            <w:tcW w:w="18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14,100,098</w:t>
            </w:r>
          </w:p>
        </w:tc>
        <w:tc>
          <w:tcPr>
            <w:tcW w:w="18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14,080,617</w:t>
            </w:r>
          </w:p>
        </w:tc>
        <w:tc>
          <w:tcPr>
            <w:tcW w:w="18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14,153,445</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13,703,163</w:t>
            </w:r>
          </w:p>
        </w:tc>
      </w:tr>
    </w:tbl>
    <w:p>
      <w:pPr>
        <w:sectPr>
          <w:pgSz w:w="11900" w:h="16838" w:orient="portrait"/>
          <w:cols w:equalWidth="0" w:num="1">
            <w:col w:w="11520"/>
          </w:cols>
          <w:pgMar w:left="240" w:top="1056" w:right="139" w:bottom="1440" w:gutter="0" w:footer="0" w:header="0"/>
        </w:sectPr>
      </w:pPr>
    </w:p>
    <w:bookmarkStart w:id="7" w:name="page8"/>
    <w:bookmarkEnd w:id="7"/>
    <w:p>
      <w:pPr>
        <w:ind w:right="2399"/>
        <w:spacing w:after="0" w:line="249" w:lineRule="auto"/>
        <w:tabs>
          <w:tab w:leader="none" w:pos="195"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Excludes a one-time charge of $10.6 million relating to the recognition of an impairment of the goodwill associated with the Central Laboratory business, certain assets, lease termination costs and exit costs, net of the tax deduction thereon.</w:t>
      </w:r>
    </w:p>
    <w:p>
      <w:pPr>
        <w:sectPr>
          <w:pgSz w:w="11900" w:h="16838" w:orient="portrait"/>
          <w:cols w:equalWidth="0" w:num="1">
            <w:col w:w="10219"/>
          </w:cols>
          <w:pgMar w:left="240" w:top="680" w:right="1440" w:bottom="1440" w:gutter="0" w:footer="0" w:header="0"/>
        </w:sectPr>
      </w:pPr>
    </w:p>
    <w:bookmarkStart w:id="8" w:name="page9"/>
    <w:bookmarkEnd w:id="8"/>
    <w:p>
      <w:pPr>
        <w:jc w:val="center"/>
        <w:ind w:right="2399"/>
        <w:spacing w:after="0"/>
        <w:rPr>
          <w:sz w:val="20"/>
          <w:szCs w:val="20"/>
          <w:color w:val="auto"/>
        </w:rPr>
      </w:pPr>
      <w:r>
        <w:rPr>
          <w:rFonts w:ascii="Courier New" w:cs="Courier New" w:eastAsia="Courier New" w:hAnsi="Courier New"/>
          <w:sz w:val="16"/>
          <w:szCs w:val="16"/>
          <w:color w:val="auto"/>
        </w:rPr>
        <w:t>ICON plc</w:t>
      </w:r>
    </w:p>
    <w:p>
      <w:pPr>
        <w:spacing w:after="0" w:line="195"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Summary Balance Sheet Data</w:t>
      </w:r>
    </w:p>
    <w:p>
      <w:pPr>
        <w:spacing w:after="0" w:line="7"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May 31, 2005 and May 31, 2004</w:t>
      </w:r>
    </w:p>
    <w:p>
      <w:pPr>
        <w:spacing w:after="0" w:line="7"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(Dollars,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80" w:type="dxa"/>
            <w:vAlign w:val="bottom"/>
          </w:tcPr>
          <w:p>
            <w:pPr>
              <w:spacing w:after="0"/>
              <w:rPr>
                <w:sz w:val="15"/>
                <w:szCs w:val="15"/>
                <w:color w:val="auto"/>
              </w:rPr>
            </w:pPr>
          </w:p>
        </w:tc>
        <w:tc>
          <w:tcPr>
            <w:tcW w:w="254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May 31,</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May 31,</w:t>
            </w:r>
          </w:p>
        </w:tc>
      </w:tr>
      <w:tr>
        <w:trPr>
          <w:trHeight w:val="188"/>
        </w:trPr>
        <w:tc>
          <w:tcPr>
            <w:tcW w:w="3380" w:type="dxa"/>
            <w:vAlign w:val="bottom"/>
          </w:tcPr>
          <w:p>
            <w:pPr>
              <w:spacing w:after="0"/>
              <w:rPr>
                <w:sz w:val="16"/>
                <w:szCs w:val="16"/>
                <w:color w:val="auto"/>
              </w:rPr>
            </w:pPr>
          </w:p>
        </w:tc>
        <w:tc>
          <w:tcPr>
            <w:tcW w:w="254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2005</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2004</w:t>
            </w:r>
          </w:p>
        </w:tc>
      </w:tr>
      <w:tr>
        <w:trPr>
          <w:trHeight w:val="188"/>
        </w:trPr>
        <w:tc>
          <w:tcPr>
            <w:tcW w:w="3380" w:type="dxa"/>
            <w:vAlign w:val="bottom"/>
          </w:tcPr>
          <w:p>
            <w:pPr>
              <w:spacing w:after="0"/>
              <w:rPr>
                <w:sz w:val="16"/>
                <w:szCs w:val="16"/>
                <w:color w:val="auto"/>
              </w:rPr>
            </w:pPr>
          </w:p>
        </w:tc>
        <w:tc>
          <w:tcPr>
            <w:tcW w:w="254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(audited)</w:t>
            </w:r>
          </w:p>
        </w:tc>
        <w:tc>
          <w:tcPr>
            <w:tcW w:w="1500" w:type="dxa"/>
            <w:vAlign w:val="bottom"/>
          </w:tcPr>
          <w:p>
            <w:pPr>
              <w:spacing w:after="0"/>
              <w:rPr>
                <w:sz w:val="16"/>
                <w:szCs w:val="16"/>
                <w:color w:val="auto"/>
              </w:rPr>
            </w:pPr>
          </w:p>
        </w:tc>
      </w:tr>
      <w:tr>
        <w:trPr>
          <w:trHeight w:val="188"/>
        </w:trPr>
        <w:tc>
          <w:tcPr>
            <w:tcW w:w="3380" w:type="dxa"/>
            <w:vAlign w:val="bottom"/>
          </w:tcPr>
          <w:p>
            <w:pPr>
              <w:spacing w:after="0"/>
              <w:rPr>
                <w:sz w:val="20"/>
                <w:szCs w:val="20"/>
                <w:color w:val="auto"/>
              </w:rPr>
            </w:pPr>
            <w:r>
              <w:rPr>
                <w:rFonts w:ascii="Courier New" w:cs="Courier New" w:eastAsia="Courier New" w:hAnsi="Courier New"/>
                <w:sz w:val="16"/>
                <w:szCs w:val="16"/>
                <w:color w:val="auto"/>
              </w:rPr>
              <w:t>(audited)</w:t>
            </w:r>
          </w:p>
        </w:tc>
        <w:tc>
          <w:tcPr>
            <w:tcW w:w="25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376"/>
        </w:trPr>
        <w:tc>
          <w:tcPr>
            <w:tcW w:w="3380" w:type="dxa"/>
            <w:vAlign w:val="bottom"/>
          </w:tcPr>
          <w:p>
            <w:pPr>
              <w:spacing w:after="0"/>
              <w:rPr>
                <w:sz w:val="20"/>
                <w:szCs w:val="20"/>
                <w:color w:val="auto"/>
              </w:rPr>
            </w:pPr>
            <w:r>
              <w:rPr>
                <w:rFonts w:ascii="Courier New" w:cs="Courier New" w:eastAsia="Courier New" w:hAnsi="Courier New"/>
                <w:sz w:val="16"/>
                <w:szCs w:val="16"/>
                <w:color w:val="auto"/>
              </w:rPr>
              <w:t>Cash and short-term investments</w:t>
            </w:r>
          </w:p>
        </w:tc>
        <w:tc>
          <w:tcPr>
            <w:tcW w:w="254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78,375</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78,763</w:t>
            </w:r>
          </w:p>
        </w:tc>
      </w:tr>
      <w:tr>
        <w:trPr>
          <w:trHeight w:val="188"/>
        </w:trPr>
        <w:tc>
          <w:tcPr>
            <w:tcW w:w="3380" w:type="dxa"/>
            <w:vAlign w:val="bottom"/>
          </w:tcPr>
          <w:p>
            <w:pPr>
              <w:spacing w:after="0"/>
              <w:rPr>
                <w:sz w:val="20"/>
                <w:szCs w:val="20"/>
                <w:color w:val="auto"/>
              </w:rPr>
            </w:pPr>
            <w:r>
              <w:rPr>
                <w:rFonts w:ascii="Courier New" w:cs="Courier New" w:eastAsia="Courier New" w:hAnsi="Courier New"/>
                <w:sz w:val="16"/>
                <w:szCs w:val="16"/>
                <w:color w:val="auto"/>
              </w:rPr>
              <w:t>Short-term debt</w:t>
            </w:r>
          </w:p>
        </w:tc>
        <w:tc>
          <w:tcPr>
            <w:tcW w:w="254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3380" w:type="dxa"/>
            <w:vAlign w:val="bottom"/>
          </w:tcPr>
          <w:p>
            <w:pPr>
              <w:spacing w:after="0"/>
              <w:rPr>
                <w:sz w:val="20"/>
                <w:szCs w:val="20"/>
                <w:color w:val="auto"/>
              </w:rPr>
            </w:pPr>
            <w:r>
              <w:rPr>
                <w:rFonts w:ascii="Courier New" w:cs="Courier New" w:eastAsia="Courier New" w:hAnsi="Courier New"/>
                <w:sz w:val="16"/>
                <w:szCs w:val="16"/>
                <w:color w:val="auto"/>
              </w:rPr>
              <w:t>Net cash</w:t>
            </w:r>
          </w:p>
        </w:tc>
        <w:tc>
          <w:tcPr>
            <w:tcW w:w="254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78,375</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78,763</w:t>
            </w:r>
          </w:p>
        </w:tc>
      </w:tr>
      <w:tr>
        <w:trPr>
          <w:trHeight w:val="376"/>
        </w:trPr>
        <w:tc>
          <w:tcPr>
            <w:tcW w:w="3380" w:type="dxa"/>
            <w:vAlign w:val="bottom"/>
          </w:tcPr>
          <w:p>
            <w:pPr>
              <w:spacing w:after="0"/>
              <w:rPr>
                <w:sz w:val="20"/>
                <w:szCs w:val="20"/>
                <w:color w:val="auto"/>
              </w:rPr>
            </w:pPr>
            <w:r>
              <w:rPr>
                <w:rFonts w:ascii="Courier New" w:cs="Courier New" w:eastAsia="Courier New" w:hAnsi="Courier New"/>
                <w:sz w:val="16"/>
                <w:szCs w:val="16"/>
                <w:color w:val="auto"/>
              </w:rPr>
              <w:t>Accounts receivable</w:t>
            </w:r>
          </w:p>
        </w:tc>
        <w:tc>
          <w:tcPr>
            <w:tcW w:w="254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83,909</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74,079</w:t>
            </w:r>
          </w:p>
        </w:tc>
      </w:tr>
      <w:tr>
        <w:trPr>
          <w:trHeight w:val="188"/>
        </w:trPr>
        <w:tc>
          <w:tcPr>
            <w:tcW w:w="3380" w:type="dxa"/>
            <w:vAlign w:val="bottom"/>
          </w:tcPr>
          <w:p>
            <w:pPr>
              <w:spacing w:after="0"/>
              <w:rPr>
                <w:sz w:val="20"/>
                <w:szCs w:val="20"/>
                <w:color w:val="auto"/>
              </w:rPr>
            </w:pPr>
            <w:r>
              <w:rPr>
                <w:rFonts w:ascii="Courier New" w:cs="Courier New" w:eastAsia="Courier New" w:hAnsi="Courier New"/>
                <w:sz w:val="16"/>
                <w:szCs w:val="16"/>
                <w:color w:val="auto"/>
              </w:rPr>
              <w:t>Unbilled revenue</w:t>
            </w:r>
          </w:p>
        </w:tc>
        <w:tc>
          <w:tcPr>
            <w:tcW w:w="254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86,098</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59,861</w:t>
            </w:r>
          </w:p>
        </w:tc>
      </w:tr>
      <w:tr>
        <w:trPr>
          <w:trHeight w:val="188"/>
        </w:trPr>
        <w:tc>
          <w:tcPr>
            <w:tcW w:w="3380" w:type="dxa"/>
            <w:vAlign w:val="bottom"/>
          </w:tcPr>
          <w:p>
            <w:pPr>
              <w:spacing w:after="0"/>
              <w:rPr>
                <w:sz w:val="20"/>
                <w:szCs w:val="20"/>
                <w:color w:val="auto"/>
              </w:rPr>
            </w:pPr>
            <w:r>
              <w:rPr>
                <w:rFonts w:ascii="Courier New" w:cs="Courier New" w:eastAsia="Courier New" w:hAnsi="Courier New"/>
                <w:sz w:val="16"/>
                <w:szCs w:val="16"/>
                <w:color w:val="auto"/>
              </w:rPr>
              <w:t>Payments on account</w:t>
            </w:r>
          </w:p>
        </w:tc>
        <w:tc>
          <w:tcPr>
            <w:tcW w:w="254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(85,342)</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(61,960)</w:t>
            </w:r>
          </w:p>
        </w:tc>
      </w:tr>
      <w:tr>
        <w:trPr>
          <w:trHeight w:val="188"/>
        </w:trPr>
        <w:tc>
          <w:tcPr>
            <w:tcW w:w="338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254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84,665</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71,980</w:t>
            </w:r>
          </w:p>
        </w:tc>
      </w:tr>
      <w:tr>
        <w:trPr>
          <w:trHeight w:val="376"/>
        </w:trPr>
        <w:tc>
          <w:tcPr>
            <w:tcW w:w="3380" w:type="dxa"/>
            <w:vAlign w:val="bottom"/>
          </w:tcPr>
          <w:p>
            <w:pPr>
              <w:spacing w:after="0"/>
              <w:rPr>
                <w:sz w:val="20"/>
                <w:szCs w:val="20"/>
                <w:color w:val="auto"/>
              </w:rPr>
            </w:pPr>
            <w:r>
              <w:rPr>
                <w:rFonts w:ascii="Courier New" w:cs="Courier New" w:eastAsia="Courier New" w:hAnsi="Courier New"/>
                <w:sz w:val="16"/>
                <w:szCs w:val="16"/>
                <w:color w:val="auto"/>
              </w:rPr>
              <w:t>Working Capital</w:t>
            </w:r>
          </w:p>
        </w:tc>
        <w:tc>
          <w:tcPr>
            <w:tcW w:w="254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125,288</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113,813</w:t>
            </w:r>
          </w:p>
        </w:tc>
      </w:tr>
      <w:tr>
        <w:trPr>
          <w:trHeight w:val="376"/>
        </w:trPr>
        <w:tc>
          <w:tcPr>
            <w:tcW w:w="3380" w:type="dxa"/>
            <w:vAlign w:val="bottom"/>
          </w:tcPr>
          <w:p>
            <w:pPr>
              <w:spacing w:after="0"/>
              <w:rPr>
                <w:sz w:val="20"/>
                <w:szCs w:val="20"/>
                <w:color w:val="auto"/>
              </w:rPr>
            </w:pPr>
            <w:r>
              <w:rPr>
                <w:rFonts w:ascii="Courier New" w:cs="Courier New" w:eastAsia="Courier New" w:hAnsi="Courier New"/>
                <w:sz w:val="16"/>
                <w:szCs w:val="16"/>
                <w:color w:val="auto"/>
              </w:rPr>
              <w:t>Total assets</w:t>
            </w:r>
          </w:p>
        </w:tc>
        <w:tc>
          <w:tcPr>
            <w:tcW w:w="254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380,312</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335,323</w:t>
            </w:r>
          </w:p>
        </w:tc>
      </w:tr>
      <w:tr>
        <w:trPr>
          <w:trHeight w:val="376"/>
        </w:trPr>
        <w:tc>
          <w:tcPr>
            <w:tcW w:w="338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254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233,066</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216,760</w:t>
            </w:r>
          </w:p>
        </w:tc>
      </w:tr>
      <w:tr>
        <w:trPr>
          <w:trHeight w:val="564"/>
        </w:trPr>
        <w:tc>
          <w:tcPr>
            <w:tcW w:w="3380" w:type="dxa"/>
            <w:vAlign w:val="bottom"/>
          </w:tcPr>
          <w:p>
            <w:pPr>
              <w:spacing w:after="0"/>
              <w:rPr>
                <w:sz w:val="20"/>
                <w:szCs w:val="20"/>
                <w:color w:val="auto"/>
              </w:rPr>
            </w:pPr>
            <w:r>
              <w:rPr>
                <w:rFonts w:ascii="Courier New" w:cs="Courier New" w:eastAsia="Courier New" w:hAnsi="Courier New"/>
                <w:sz w:val="16"/>
                <w:szCs w:val="16"/>
                <w:color w:val="auto"/>
              </w:rPr>
              <w:t>Source:</w:t>
            </w:r>
          </w:p>
        </w:tc>
        <w:tc>
          <w:tcPr>
            <w:tcW w:w="2540" w:type="dxa"/>
            <w:vAlign w:val="bottom"/>
          </w:tcPr>
          <w:p>
            <w:pPr>
              <w:ind w:left="340"/>
              <w:spacing w:after="0"/>
              <w:rPr>
                <w:sz w:val="20"/>
                <w:szCs w:val="20"/>
                <w:color w:val="auto"/>
              </w:rPr>
            </w:pPr>
            <w:r>
              <w:rPr>
                <w:rFonts w:ascii="Courier New" w:cs="Courier New" w:eastAsia="Courier New" w:hAnsi="Courier New"/>
                <w:sz w:val="16"/>
                <w:szCs w:val="16"/>
                <w:color w:val="auto"/>
              </w:rPr>
              <w:t>ICON plc</w:t>
            </w:r>
          </w:p>
        </w:tc>
        <w:tc>
          <w:tcPr>
            <w:tcW w:w="1500" w:type="dxa"/>
            <w:vAlign w:val="bottom"/>
          </w:tcPr>
          <w:p>
            <w:pPr>
              <w:spacing w:after="0"/>
              <w:rPr>
                <w:sz w:val="24"/>
                <w:szCs w:val="24"/>
                <w:color w:val="auto"/>
              </w:rPr>
            </w:pPr>
          </w:p>
        </w:tc>
      </w:tr>
      <w:tr>
        <w:trPr>
          <w:trHeight w:val="376"/>
        </w:trPr>
        <w:tc>
          <w:tcPr>
            <w:tcW w:w="3380" w:type="dxa"/>
            <w:vAlign w:val="bottom"/>
          </w:tcPr>
          <w:p>
            <w:pPr>
              <w:spacing w:after="0"/>
              <w:rPr>
                <w:sz w:val="20"/>
                <w:szCs w:val="20"/>
                <w:color w:val="auto"/>
              </w:rPr>
            </w:pPr>
            <w:r>
              <w:rPr>
                <w:rFonts w:ascii="Courier New" w:cs="Courier New" w:eastAsia="Courier New" w:hAnsi="Courier New"/>
                <w:sz w:val="16"/>
                <w:szCs w:val="16"/>
                <w:color w:val="auto"/>
              </w:rPr>
              <w:t>Contact:</w:t>
            </w:r>
          </w:p>
        </w:tc>
        <w:tc>
          <w:tcPr>
            <w:tcW w:w="404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Investor Relations 1-888-381-7923 or</w:t>
            </w:r>
          </w:p>
        </w:tc>
      </w:tr>
      <w:tr>
        <w:trPr>
          <w:trHeight w:val="188"/>
        </w:trPr>
        <w:tc>
          <w:tcPr>
            <w:tcW w:w="3380" w:type="dxa"/>
            <w:vAlign w:val="bottom"/>
          </w:tcPr>
          <w:p>
            <w:pPr>
              <w:spacing w:after="0"/>
              <w:rPr>
                <w:sz w:val="16"/>
                <w:szCs w:val="16"/>
                <w:color w:val="auto"/>
              </w:rPr>
            </w:pPr>
          </w:p>
        </w:tc>
        <w:tc>
          <w:tcPr>
            <w:tcW w:w="404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Sean Leech CFO + 353 1 291 2000</w:t>
            </w:r>
          </w:p>
        </w:tc>
      </w:tr>
      <w:tr>
        <w:trPr>
          <w:trHeight w:val="188"/>
        </w:trPr>
        <w:tc>
          <w:tcPr>
            <w:tcW w:w="3380" w:type="dxa"/>
            <w:vAlign w:val="bottom"/>
          </w:tcPr>
          <w:p>
            <w:pPr>
              <w:spacing w:after="0"/>
              <w:rPr>
                <w:sz w:val="16"/>
                <w:szCs w:val="16"/>
                <w:color w:val="auto"/>
              </w:rPr>
            </w:pPr>
          </w:p>
        </w:tc>
        <w:tc>
          <w:tcPr>
            <w:tcW w:w="2540" w:type="dxa"/>
            <w:vAlign w:val="bottom"/>
          </w:tcPr>
          <w:p>
            <w:pPr>
              <w:ind w:left="340"/>
              <w:spacing w:after="0"/>
              <w:rPr>
                <w:sz w:val="20"/>
                <w:szCs w:val="20"/>
                <w:color w:val="auto"/>
              </w:rPr>
            </w:pPr>
            <w:r>
              <w:rPr>
                <w:rFonts w:ascii="Courier New" w:cs="Courier New" w:eastAsia="Courier New" w:hAnsi="Courier New"/>
                <w:sz w:val="16"/>
                <w:szCs w:val="16"/>
                <w:color w:val="auto"/>
              </w:rPr>
              <w:t>both at ICON.</w:t>
            </w:r>
          </w:p>
        </w:tc>
        <w:tc>
          <w:tcPr>
            <w:tcW w:w="1500" w:type="dxa"/>
            <w:vAlign w:val="bottom"/>
          </w:tcPr>
          <w:p>
            <w:pPr>
              <w:spacing w:after="0"/>
              <w:rPr>
                <w:sz w:val="16"/>
                <w:szCs w:val="16"/>
                <w:color w:val="auto"/>
              </w:rPr>
            </w:pPr>
          </w:p>
        </w:tc>
      </w:tr>
    </w:tbl>
    <w:p>
      <w:pPr>
        <w:spacing w:after="0" w:line="192"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6"/>
          <w:szCs w:val="16"/>
          <w:color w:val="auto"/>
        </w:rPr>
        <w:t>http://www.iconclinical.com</w:t>
      </w:r>
    </w:p>
    <w:sectPr>
      <w:pgSz w:w="11900" w:h="16838" w:orient="portrait"/>
      <w:cols w:equalWidth="0" w:num="1">
        <w:col w:w="10219"/>
      </w:cols>
      <w:pgMar w:left="240" w:top="12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2019-12-12T01:52:11Z</dcterms:created>
  <dcterms:modified xsi:type="dcterms:W3CDTF">2019-12-12T01:52:11Z</dcterms:modified>
</cp:coreProperties>
</file>