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79"/>
        <w:spacing w:after="0"/>
        <w:rPr>
          <w:sz w:val="20"/>
          <w:szCs w:val="20"/>
          <w:color w:val="auto"/>
        </w:rPr>
      </w:pPr>
      <w:r>
        <w:rPr>
          <w:rFonts w:ascii="Arial" w:cs="Arial" w:eastAsia="Arial" w:hAnsi="Arial"/>
          <w:sz w:val="29"/>
          <w:szCs w:val="29"/>
          <w:b w:val="1"/>
          <w:bCs w:val="1"/>
          <w:color w:val="auto"/>
        </w:rPr>
        <w:t>FORM 6-K</w:t>
      </w:r>
    </w:p>
    <w:p>
      <w:pPr>
        <w:spacing w:after="0" w:line="247"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SECURITIES AND EXCHANGE COMMISSION</w:t>
      </w: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Pursuant to Rule 13a-16 under</w:t>
      </w:r>
    </w:p>
    <w:p>
      <w:pPr>
        <w:jc w:val="center"/>
        <w:ind w:right="-799"/>
        <w:spacing w:after="0"/>
        <w:rPr>
          <w:sz w:val="20"/>
          <w:szCs w:val="20"/>
          <w:color w:val="auto"/>
        </w:rPr>
      </w:pPr>
      <w:r>
        <w:rPr>
          <w:rFonts w:ascii="Arial" w:cs="Arial" w:eastAsia="Arial" w:hAnsi="Arial"/>
          <w:sz w:val="22"/>
          <w:szCs w:val="22"/>
          <w:color w:val="auto"/>
        </w:rPr>
        <w:t>t</w:t>
      </w:r>
      <w:r>
        <w:rPr>
          <w:rFonts w:ascii="Arial" w:cs="Arial" w:eastAsia="Arial" w:hAnsi="Arial"/>
          <w:sz w:val="22"/>
          <w:szCs w:val="22"/>
          <w:b w:val="1"/>
          <w:bCs w:val="1"/>
          <w:color w:val="auto"/>
        </w:rPr>
        <w:t>he Securities Exchange Act of 1934</w:t>
      </w:r>
    </w:p>
    <w:p>
      <w:pPr>
        <w:spacing w:after="0" w:line="200" w:lineRule="exact"/>
        <w:rPr>
          <w:sz w:val="24"/>
          <w:szCs w:val="24"/>
          <w:color w:val="auto"/>
        </w:rPr>
      </w:pPr>
    </w:p>
    <w:p>
      <w:pPr>
        <w:spacing w:after="0" w:line="258" w:lineRule="exact"/>
        <w:rPr>
          <w:sz w:val="24"/>
          <w:szCs w:val="24"/>
          <w:color w:val="auto"/>
        </w:rPr>
      </w:pPr>
    </w:p>
    <w:p>
      <w:pPr>
        <w:ind w:left="4340"/>
        <w:spacing w:after="0"/>
        <w:rPr>
          <w:sz w:val="20"/>
          <w:szCs w:val="20"/>
          <w:color w:val="auto"/>
        </w:rPr>
      </w:pPr>
      <w:r>
        <w:rPr>
          <w:rFonts w:ascii="Arial" w:cs="Arial" w:eastAsia="Arial" w:hAnsi="Arial"/>
          <w:sz w:val="22"/>
          <w:szCs w:val="22"/>
          <w:color w:val="auto"/>
        </w:rPr>
        <w:t>For the month ended July, 2019</w:t>
      </w:r>
    </w:p>
    <w:p>
      <w:pPr>
        <w:spacing w:after="0" w:line="200" w:lineRule="exact"/>
        <w:rPr>
          <w:sz w:val="24"/>
          <w:szCs w:val="24"/>
          <w:color w:val="auto"/>
        </w:rPr>
      </w:pPr>
    </w:p>
    <w:p>
      <w:pPr>
        <w:spacing w:after="0" w:line="266" w:lineRule="exact"/>
        <w:rPr>
          <w:sz w:val="24"/>
          <w:szCs w:val="24"/>
          <w:color w:val="auto"/>
        </w:rPr>
      </w:pPr>
    </w:p>
    <w:p>
      <w:pPr>
        <w:jc w:val="center"/>
        <w:ind w:right="-799"/>
        <w:spacing w:after="0"/>
        <w:rPr>
          <w:sz w:val="20"/>
          <w:szCs w:val="20"/>
          <w:color w:val="auto"/>
        </w:rPr>
      </w:pPr>
      <w:r>
        <w:rPr>
          <w:rFonts w:ascii="Arial" w:cs="Arial" w:eastAsia="Arial" w:hAnsi="Arial"/>
          <w:sz w:val="29"/>
          <w:szCs w:val="29"/>
          <w:b w:val="1"/>
          <w:bCs w:val="1"/>
          <w:color w:val="auto"/>
        </w:rPr>
        <w:t>ICON plc</w:t>
      </w:r>
    </w:p>
    <w:p>
      <w:pPr>
        <w:spacing w:after="0" w:line="33" w:lineRule="exact"/>
        <w:rPr>
          <w:sz w:val="24"/>
          <w:szCs w:val="24"/>
          <w:color w:val="auto"/>
        </w:rPr>
      </w:pPr>
    </w:p>
    <w:p>
      <w:pPr>
        <w:ind w:left="4880"/>
        <w:spacing w:after="0"/>
        <w:rPr>
          <w:sz w:val="20"/>
          <w:szCs w:val="20"/>
          <w:color w:val="auto"/>
        </w:rPr>
      </w:pPr>
      <w:r>
        <w:rPr>
          <w:rFonts w:ascii="Arial" w:cs="Arial" w:eastAsia="Arial" w:hAnsi="Arial"/>
          <w:sz w:val="22"/>
          <w:szCs w:val="22"/>
          <w:color w:val="auto"/>
        </w:rPr>
        <w:t>(Registrant's name)</w:t>
      </w:r>
    </w:p>
    <w:p>
      <w:pPr>
        <w:spacing w:after="0" w:line="200" w:lineRule="exact"/>
        <w:rPr>
          <w:sz w:val="24"/>
          <w:szCs w:val="24"/>
          <w:color w:val="auto"/>
        </w:rPr>
      </w:pPr>
    </w:p>
    <w:p>
      <w:pPr>
        <w:spacing w:after="0" w:line="252" w:lineRule="exact"/>
        <w:rPr>
          <w:sz w:val="24"/>
          <w:szCs w:val="24"/>
          <w:color w:val="auto"/>
        </w:rPr>
      </w:pPr>
    </w:p>
    <w:p>
      <w:pPr>
        <w:jc w:val="center"/>
        <w:ind w:right="-79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(Address of principal executive offices)</w:t>
      </w:r>
    </w:p>
    <w:p>
      <w:pPr>
        <w:spacing w:after="0" w:line="200" w:lineRule="exact"/>
        <w:rPr>
          <w:sz w:val="24"/>
          <w:szCs w:val="24"/>
          <w:color w:val="auto"/>
        </w:rPr>
      </w:pPr>
    </w:p>
    <w:p>
      <w:pPr>
        <w:spacing w:after="0" w:line="258" w:lineRule="exact"/>
        <w:rPr>
          <w:sz w:val="24"/>
          <w:szCs w:val="24"/>
          <w:color w:val="auto"/>
        </w:rPr>
      </w:pPr>
    </w:p>
    <w:p>
      <w:pPr>
        <w:jc w:val="center"/>
        <w:ind w:right="-799"/>
        <w:spacing w:after="0"/>
        <w:rPr>
          <w:sz w:val="20"/>
          <w:szCs w:val="20"/>
          <w:color w:val="auto"/>
        </w:rPr>
      </w:pPr>
      <w:r>
        <w:rPr>
          <w:rFonts w:ascii="Arial" w:cs="Arial" w:eastAsia="Arial" w:hAnsi="Arial"/>
          <w:sz w:val="22"/>
          <w:szCs w:val="22"/>
          <w:color w:val="auto"/>
        </w:rPr>
        <w:t>Brendan Brennan, CFO</w:t>
      </w:r>
    </w:p>
    <w:p>
      <w:pPr>
        <w:jc w:val="center"/>
        <w:ind w:right="-79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799"/>
        <w:spacing w:after="0" w:line="230" w:lineRule="auto"/>
        <w:rPr>
          <w:sz w:val="20"/>
          <w:szCs w:val="20"/>
          <w:color w:val="auto"/>
        </w:rPr>
      </w:pPr>
      <w:r>
        <w:rPr>
          <w:rFonts w:ascii="Arial" w:cs="Arial" w:eastAsia="Arial" w:hAnsi="Arial"/>
          <w:sz w:val="22"/>
          <w:szCs w:val="22"/>
          <w:color w:val="auto"/>
        </w:rPr>
        <w:t>Brendan.Brennan@iconplc.com</w:t>
      </w:r>
    </w:p>
    <w:p>
      <w:pPr>
        <w:jc w:val="center"/>
        <w:ind w:right="-799"/>
        <w:spacing w:after="0" w:line="231" w:lineRule="auto"/>
        <w:rPr>
          <w:sz w:val="20"/>
          <w:szCs w:val="20"/>
          <w:color w:val="auto"/>
        </w:rPr>
      </w:pPr>
      <w:r>
        <w:rPr>
          <w:rFonts w:ascii="Arial" w:cs="Arial" w:eastAsia="Arial" w:hAnsi="Arial"/>
          <w:sz w:val="22"/>
          <w:szCs w:val="22"/>
          <w:color w:val="auto"/>
        </w:rPr>
        <w:t>+353-1-291-2000</w:t>
      </w:r>
    </w:p>
    <w:p>
      <w:pPr>
        <w:spacing w:after="0" w:line="1" w:lineRule="exact"/>
        <w:rPr>
          <w:sz w:val="24"/>
          <w:szCs w:val="24"/>
          <w:color w:val="auto"/>
        </w:rPr>
      </w:pPr>
    </w:p>
    <w:p>
      <w:pPr>
        <w:jc w:val="center"/>
        <w:ind w:right="-85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Form 20-F or Form 40-F.</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Form 20-F__</w:t>
      </w:r>
      <w:r>
        <w:rPr>
          <w:rFonts w:ascii="Arial" w:cs="Arial" w:eastAsia="Arial" w:hAnsi="Arial"/>
          <w:sz w:val="18"/>
          <w:szCs w:val="18"/>
          <w:b w:val="1"/>
          <w:bCs w:val="1"/>
          <w:color w:val="auto"/>
        </w:rPr>
        <w:t>X</w:t>
      </w:r>
      <w:r>
        <w:rPr>
          <w:rFonts w:ascii="Arial" w:cs="Arial" w:eastAsia="Arial" w:hAnsi="Arial"/>
          <w:sz w:val="18"/>
          <w:szCs w:val="18"/>
          <w:color w:val="auto"/>
        </w:rPr>
        <w:t>___</w:t>
      </w:r>
      <w:r>
        <w:rPr>
          <w:sz w:val="20"/>
          <w:szCs w:val="20"/>
          <w:color w:val="auto"/>
        </w:rPr>
        <w:tab/>
      </w:r>
      <w:r>
        <w:rPr>
          <w:rFonts w:ascii="Arial" w:cs="Arial" w:eastAsia="Arial" w:hAnsi="Arial"/>
          <w:sz w:val="16"/>
          <w:szCs w:val="16"/>
          <w:color w:val="auto"/>
        </w:rPr>
        <w:t>Form 40-F___</w:t>
      </w:r>
      <w:r>
        <w:rPr>
          <w:rFonts w:ascii="Arial" w:cs="Arial" w:eastAsia="Arial" w:hAnsi="Arial"/>
          <w:sz w:val="16"/>
          <w:szCs w:val="16"/>
          <w:b w:val="1"/>
          <w:bCs w:val="1"/>
          <w:color w:val="auto"/>
        </w:rPr>
        <w:t>_</w:t>
      </w:r>
      <w:r>
        <w:rPr>
          <w:rFonts w:ascii="Arial" w:cs="Arial" w:eastAsia="Arial" w:hAnsi="Arial"/>
          <w:sz w:val="16"/>
          <w:szCs w:val="16"/>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101(b)(1):</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is submitting the Form 6-K in paper as permitted by Regulation S-T Rule 101(b)(7):</w:t>
      </w:r>
    </w:p>
    <w:p>
      <w:pPr>
        <w:spacing w:after="0" w:line="23"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11"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580"/>
        <w:spacing w:after="0"/>
        <w:tabs>
          <w:tab w:leader="none" w:pos="6500" w:val="left"/>
        </w:tabs>
        <w:rPr>
          <w:sz w:val="20"/>
          <w:szCs w:val="20"/>
          <w:color w:val="auto"/>
        </w:rPr>
      </w:pPr>
      <w:r>
        <w:rPr>
          <w:rFonts w:ascii="Arial" w:cs="Arial" w:eastAsia="Arial" w:hAnsi="Arial"/>
          <w:sz w:val="18"/>
          <w:szCs w:val="18"/>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If "Yes" is marked, indicate below the file number assigned to the registrant in connection with Rule 12g3-2(b):82 </w:t>
      </w:r>
      <w:r>
        <w:rPr>
          <w:rFonts w:ascii="Arial" w:cs="Arial" w:eastAsia="Arial" w:hAnsi="Arial"/>
          <w:sz w:val="18"/>
          <w:szCs w:val="18"/>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2466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0620"/>
          </w:cols>
          <w:pgMar w:left="240" w:top="215" w:right="10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53"/>
        </w:trPr>
        <w:tc>
          <w:tcPr>
            <w:tcW w:w="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980" w:type="dxa"/>
            <w:vAlign w:val="bottom"/>
          </w:tcPr>
          <w:p>
            <w:pPr>
              <w:spacing w:after="0"/>
              <w:rPr>
                <w:sz w:val="21"/>
                <w:szCs w:val="21"/>
                <w:color w:val="auto"/>
              </w:rPr>
            </w:pPr>
          </w:p>
        </w:tc>
        <w:tc>
          <w:tcPr>
            <w:tcW w:w="6440" w:type="dxa"/>
            <w:vAlign w:val="bottom"/>
            <w:gridSpan w:val="4"/>
          </w:tcPr>
          <w:p>
            <w:pPr>
              <w:spacing w:after="0"/>
              <w:rPr>
                <w:sz w:val="20"/>
                <w:szCs w:val="20"/>
                <w:color w:val="auto"/>
              </w:rPr>
            </w:pPr>
            <w:r>
              <w:rPr>
                <w:rFonts w:ascii="Arial" w:cs="Arial" w:eastAsia="Arial" w:hAnsi="Arial"/>
                <w:sz w:val="22"/>
                <w:szCs w:val="22"/>
                <w:b w:val="1"/>
                <w:bCs w:val="1"/>
                <w:color w:val="auto"/>
              </w:rPr>
              <w:t>EXHIBIT LIST</w:t>
            </w:r>
          </w:p>
        </w:tc>
      </w:tr>
      <w:tr>
        <w:trPr>
          <w:trHeight w:val="439"/>
        </w:trPr>
        <w:tc>
          <w:tcPr>
            <w:tcW w:w="5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96"/>
              </w:rPr>
              <w:t>Exhibit</w:t>
            </w:r>
          </w:p>
        </w:tc>
        <w:tc>
          <w:tcPr>
            <w:tcW w:w="620" w:type="dxa"/>
            <w:vAlign w:val="bottom"/>
          </w:tcPr>
          <w:p>
            <w:pPr>
              <w:spacing w:after="0"/>
              <w:rPr>
                <w:sz w:val="24"/>
                <w:szCs w:val="24"/>
                <w:color w:val="auto"/>
              </w:rPr>
            </w:pPr>
          </w:p>
        </w:tc>
        <w:tc>
          <w:tcPr>
            <w:tcW w:w="84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1"/>
              </w:rPr>
              <w:t>Description</w:t>
            </w:r>
          </w:p>
        </w:tc>
        <w:tc>
          <w:tcPr>
            <w:tcW w:w="2980" w:type="dxa"/>
            <w:vAlign w:val="bottom"/>
          </w:tcPr>
          <w:p>
            <w:pPr>
              <w:spacing w:after="0"/>
              <w:rPr>
                <w:sz w:val="24"/>
                <w:szCs w:val="24"/>
                <w:color w:val="auto"/>
              </w:rPr>
            </w:pPr>
          </w:p>
        </w:tc>
        <w:tc>
          <w:tcPr>
            <w:tcW w:w="1460" w:type="dxa"/>
            <w:vAlign w:val="bottom"/>
            <w:tcBorders>
              <w:top w:val="single" w:sz="8" w:color="auto"/>
            </w:tcBorders>
          </w:tcPr>
          <w:p>
            <w:pPr>
              <w:spacing w:after="0"/>
              <w:rPr>
                <w:sz w:val="24"/>
                <w:szCs w:val="24"/>
                <w:color w:val="auto"/>
              </w:rPr>
            </w:pPr>
          </w:p>
        </w:tc>
        <w:tc>
          <w:tcPr>
            <w:tcW w:w="4980" w:type="dxa"/>
            <w:vAlign w:val="bottom"/>
            <w:gridSpan w:val="3"/>
          </w:tcPr>
          <w:p>
            <w:pPr>
              <w:spacing w:after="0"/>
              <w:rPr>
                <w:sz w:val="24"/>
                <w:szCs w:val="24"/>
                <w:color w:val="auto"/>
              </w:rPr>
            </w:pPr>
          </w:p>
        </w:tc>
      </w:tr>
      <w:tr>
        <w:trPr>
          <w:trHeight w:val="412"/>
        </w:trPr>
        <w:tc>
          <w:tcPr>
            <w:tcW w:w="540" w:type="dxa"/>
            <w:vAlign w:val="bottom"/>
            <w:gridSpan w:val="2"/>
          </w:tcPr>
          <w:p>
            <w:pPr>
              <w:spacing w:after="0"/>
              <w:rPr>
                <w:rFonts w:ascii="Arial" w:cs="Arial" w:eastAsia="Arial" w:hAnsi="Arial"/>
                <w:sz w:val="18"/>
                <w:szCs w:val="18"/>
                <w:color w:val="0000EE"/>
              </w:rPr>
            </w:pPr>
            <w:hyperlink r:id="rId9">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620" w:type="dxa"/>
            <w:vAlign w:val="bottom"/>
          </w:tcPr>
          <w:p>
            <w:pPr>
              <w:spacing w:after="0"/>
              <w:rPr>
                <w:sz w:val="24"/>
                <w:szCs w:val="24"/>
                <w:color w:val="auto"/>
              </w:rPr>
            </w:pPr>
          </w:p>
        </w:tc>
        <w:tc>
          <w:tcPr>
            <w:tcW w:w="10260" w:type="dxa"/>
            <w:vAlign w:val="bottom"/>
            <w:gridSpan w:val="6"/>
          </w:tcPr>
          <w:p>
            <w:pPr>
              <w:spacing w:after="0"/>
              <w:rPr>
                <w:sz w:val="20"/>
                <w:szCs w:val="20"/>
                <w:color w:val="auto"/>
              </w:rPr>
            </w:pPr>
            <w:r>
              <w:rPr>
                <w:rFonts w:ascii="Arial" w:cs="Arial" w:eastAsia="Arial" w:hAnsi="Arial"/>
                <w:sz w:val="18"/>
                <w:szCs w:val="18"/>
                <w:color w:val="0000EE"/>
                <w:w w:val="93"/>
              </w:rPr>
              <w:t>ICON plc Press Release issued July 24, 2019 - ICON Announces the Appointment of Ms. Julie O’Neill to Board of Directors and Confirms</w:t>
            </w:r>
          </w:p>
        </w:tc>
      </w:tr>
      <w:tr>
        <w:trPr>
          <w:trHeight w:val="183"/>
        </w:trPr>
        <w:tc>
          <w:tcPr>
            <w:tcW w:w="320" w:type="dxa"/>
            <w:vAlign w:val="bottom"/>
            <w:tcBorders>
              <w:top w:val="single" w:sz="8" w:color="0000EE"/>
            </w:tcBorders>
          </w:tcPr>
          <w:p>
            <w:pPr>
              <w:spacing w:after="0"/>
              <w:rPr>
                <w:sz w:val="15"/>
                <w:szCs w:val="15"/>
                <w:color w:val="auto"/>
              </w:rPr>
            </w:pPr>
          </w:p>
        </w:tc>
        <w:tc>
          <w:tcPr>
            <w:tcW w:w="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60" w:type="dxa"/>
            <w:vAlign w:val="bottom"/>
            <w:tcBorders>
              <w:top w:val="single" w:sz="8" w:color="0000EE"/>
            </w:tcBorders>
            <w:gridSpan w:val="5"/>
          </w:tcPr>
          <w:p>
            <w:pPr>
              <w:spacing w:after="0" w:line="182" w:lineRule="exact"/>
              <w:rPr>
                <w:sz w:val="20"/>
                <w:szCs w:val="20"/>
                <w:color w:val="auto"/>
              </w:rPr>
            </w:pPr>
            <w:r>
              <w:rPr>
                <w:rFonts w:ascii="Arial" w:cs="Arial" w:eastAsia="Arial" w:hAnsi="Arial"/>
                <w:sz w:val="18"/>
                <w:szCs w:val="18"/>
                <w:color w:val="0000EE"/>
              </w:rPr>
              <w:t>the Retirement of Professor Dermot Kelleher and Mr. Declan McKeon as Non-Executive Directors</w:t>
            </w:r>
          </w:p>
        </w:tc>
        <w:tc>
          <w:tcPr>
            <w:tcW w:w="200" w:type="dxa"/>
            <w:vAlign w:val="bottom"/>
          </w:tcPr>
          <w:p>
            <w:pPr>
              <w:spacing w:after="0"/>
              <w:rPr>
                <w:sz w:val="15"/>
                <w:szCs w:val="15"/>
                <w:color w:val="auto"/>
              </w:rPr>
            </w:pPr>
          </w:p>
        </w:tc>
      </w:tr>
      <w:tr>
        <w:trPr>
          <w:trHeight w:val="433"/>
        </w:trPr>
        <w:tc>
          <w:tcPr>
            <w:tcW w:w="3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840" w:type="dxa"/>
            <w:vAlign w:val="bottom"/>
            <w:tcBorders>
              <w:top w:val="single" w:sz="8" w:color="0000EE"/>
              <w:bottom w:val="single" w:sz="8" w:color="auto"/>
            </w:tcBorders>
          </w:tcPr>
          <w:p>
            <w:pPr>
              <w:spacing w:after="0"/>
              <w:rPr>
                <w:sz w:val="24"/>
                <w:szCs w:val="24"/>
                <w:color w:val="auto"/>
              </w:rPr>
            </w:pPr>
          </w:p>
        </w:tc>
        <w:tc>
          <w:tcPr>
            <w:tcW w:w="2980" w:type="dxa"/>
            <w:vAlign w:val="bottom"/>
            <w:tcBorders>
              <w:top w:val="single" w:sz="8" w:color="0000EE"/>
              <w:bottom w:val="single" w:sz="8" w:color="auto"/>
            </w:tcBorders>
          </w:tcPr>
          <w:p>
            <w:pPr>
              <w:spacing w:after="0"/>
              <w:rPr>
                <w:sz w:val="24"/>
                <w:szCs w:val="24"/>
                <w:color w:val="auto"/>
              </w:rPr>
            </w:pPr>
          </w:p>
        </w:tc>
        <w:tc>
          <w:tcPr>
            <w:tcW w:w="1460" w:type="dxa"/>
            <w:vAlign w:val="bottom"/>
            <w:tcBorders>
              <w:top w:val="single" w:sz="8" w:color="0000EE"/>
              <w:bottom w:val="single" w:sz="8" w:color="auto"/>
            </w:tcBorders>
          </w:tcPr>
          <w:p>
            <w:pPr>
              <w:spacing w:after="0"/>
              <w:rPr>
                <w:sz w:val="24"/>
                <w:szCs w:val="24"/>
                <w:color w:val="auto"/>
              </w:rPr>
            </w:pPr>
          </w:p>
        </w:tc>
        <w:tc>
          <w:tcPr>
            <w:tcW w:w="1840" w:type="dxa"/>
            <w:vAlign w:val="bottom"/>
            <w:tcBorders>
              <w:top w:val="single" w:sz="8" w:color="0000EE"/>
              <w:bottom w:val="single" w:sz="8" w:color="auto"/>
            </w:tcBorders>
          </w:tcPr>
          <w:p>
            <w:pPr>
              <w:spacing w:after="0"/>
              <w:rPr>
                <w:sz w:val="24"/>
                <w:szCs w:val="24"/>
                <w:color w:val="auto"/>
              </w:rPr>
            </w:pPr>
          </w:p>
        </w:tc>
        <w:tc>
          <w:tcPr>
            <w:tcW w:w="29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89"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22"/>
          <w:szCs w:val="22"/>
          <w:b w:val="1"/>
          <w:bCs w:val="1"/>
          <w:color w:val="auto"/>
        </w:rPr>
        <w:t>SIGNATURES</w:t>
      </w:r>
    </w:p>
    <w:p>
      <w:pPr>
        <w:spacing w:after="0" w:line="240" w:lineRule="exact"/>
        <w:rPr>
          <w:sz w:val="20"/>
          <w:szCs w:val="20"/>
          <w:color w:val="auto"/>
        </w:rPr>
      </w:pPr>
    </w:p>
    <w:p>
      <w:pPr>
        <w:ind w:right="180"/>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080" w:type="dxa"/>
            <w:vAlign w:val="bottom"/>
          </w:tcPr>
          <w:p>
            <w:pPr>
              <w:spacing w:after="0"/>
              <w:rPr>
                <w:sz w:val="20"/>
                <w:szCs w:val="20"/>
                <w:color w:val="auto"/>
              </w:rPr>
            </w:pPr>
          </w:p>
        </w:tc>
        <w:tc>
          <w:tcPr>
            <w:tcW w:w="4340" w:type="dxa"/>
            <w:vAlign w:val="bottom"/>
          </w:tcPr>
          <w:p>
            <w:pPr>
              <w:spacing w:after="0"/>
              <w:rPr>
                <w:sz w:val="20"/>
                <w:szCs w:val="20"/>
                <w:color w:val="auto"/>
              </w:rPr>
            </w:pPr>
            <w:r>
              <w:rPr>
                <w:rFonts w:ascii="Arial" w:cs="Arial" w:eastAsia="Arial" w:hAnsi="Arial"/>
                <w:sz w:val="18"/>
                <w:szCs w:val="18"/>
                <w:b w:val="1"/>
                <w:bCs w:val="1"/>
                <w:color w:val="auto"/>
              </w:rPr>
              <w:t>ICON plc</w:t>
            </w:r>
          </w:p>
        </w:tc>
        <w:tc>
          <w:tcPr>
            <w:tcW w:w="0" w:type="dxa"/>
            <w:vAlign w:val="bottom"/>
          </w:tcPr>
          <w:p>
            <w:pPr>
              <w:spacing w:after="0"/>
              <w:rPr>
                <w:sz w:val="1"/>
                <w:szCs w:val="1"/>
                <w:color w:val="auto"/>
              </w:rPr>
            </w:pPr>
          </w:p>
        </w:tc>
      </w:tr>
      <w:tr>
        <w:trPr>
          <w:trHeight w:val="871"/>
        </w:trPr>
        <w:tc>
          <w:tcPr>
            <w:tcW w:w="7080" w:type="dxa"/>
            <w:vAlign w:val="bottom"/>
            <w:vMerge w:val="restart"/>
          </w:tcPr>
          <w:p>
            <w:pPr>
              <w:spacing w:after="0"/>
              <w:rPr>
                <w:sz w:val="20"/>
                <w:szCs w:val="20"/>
                <w:color w:val="auto"/>
              </w:rPr>
            </w:pPr>
            <w:r>
              <w:rPr>
                <w:rFonts w:ascii="Arial" w:cs="Arial" w:eastAsia="Arial" w:hAnsi="Arial"/>
                <w:sz w:val="18"/>
                <w:szCs w:val="18"/>
                <w:color w:val="auto"/>
              </w:rPr>
              <w:t>Date: July 24, 2019</w:t>
            </w:r>
          </w:p>
        </w:tc>
        <w:tc>
          <w:tcPr>
            <w:tcW w:w="4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Brendan Brennan</w:t>
            </w:r>
          </w:p>
        </w:tc>
        <w:tc>
          <w:tcPr>
            <w:tcW w:w="0" w:type="dxa"/>
            <w:vAlign w:val="bottom"/>
          </w:tcPr>
          <w:p>
            <w:pPr>
              <w:spacing w:after="0"/>
              <w:rPr>
                <w:sz w:val="1"/>
                <w:szCs w:val="1"/>
                <w:color w:val="auto"/>
              </w:rPr>
            </w:pPr>
          </w:p>
        </w:tc>
      </w:tr>
      <w:tr>
        <w:trPr>
          <w:trHeight w:val="202"/>
        </w:trPr>
        <w:tc>
          <w:tcPr>
            <w:tcW w:w="7080" w:type="dxa"/>
            <w:vAlign w:val="bottom"/>
            <w:vMerge w:val="continue"/>
          </w:tcPr>
          <w:p>
            <w:pPr>
              <w:spacing w:after="0"/>
              <w:rPr>
                <w:sz w:val="17"/>
                <w:szCs w:val="17"/>
                <w:color w:val="auto"/>
              </w:rPr>
            </w:pPr>
          </w:p>
        </w:tc>
        <w:tc>
          <w:tcPr>
            <w:tcW w:w="4340" w:type="dxa"/>
            <w:vAlign w:val="bottom"/>
          </w:tcPr>
          <w:p>
            <w:pPr>
              <w:spacing w:after="0" w:line="201" w:lineRule="exact"/>
              <w:rPr>
                <w:sz w:val="20"/>
                <w:szCs w:val="20"/>
                <w:color w:val="auto"/>
              </w:rPr>
            </w:pPr>
            <w:r>
              <w:rPr>
                <w:rFonts w:ascii="Arial" w:cs="Arial" w:eastAsia="Arial" w:hAnsi="Arial"/>
                <w:sz w:val="18"/>
                <w:szCs w:val="18"/>
                <w:color w:val="auto"/>
              </w:rPr>
              <w:t>Brendan Brennan</w:t>
            </w:r>
          </w:p>
        </w:tc>
        <w:tc>
          <w:tcPr>
            <w:tcW w:w="0" w:type="dxa"/>
            <w:vAlign w:val="bottom"/>
          </w:tcPr>
          <w:p>
            <w:pPr>
              <w:spacing w:after="0"/>
              <w:rPr>
                <w:sz w:val="1"/>
                <w:szCs w:val="1"/>
                <w:color w:val="auto"/>
              </w:rPr>
            </w:pPr>
          </w:p>
        </w:tc>
      </w:tr>
      <w:tr>
        <w:trPr>
          <w:trHeight w:val="230"/>
        </w:trPr>
        <w:tc>
          <w:tcPr>
            <w:tcW w:w="7080" w:type="dxa"/>
            <w:vAlign w:val="bottom"/>
          </w:tcPr>
          <w:p>
            <w:pPr>
              <w:spacing w:after="0"/>
              <w:rPr>
                <w:sz w:val="20"/>
                <w:szCs w:val="20"/>
                <w:color w:val="auto"/>
              </w:rPr>
            </w:pPr>
          </w:p>
        </w:tc>
        <w:tc>
          <w:tcPr>
            <w:tcW w:w="434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0" w:type="dxa"/>
            <w:vAlign w:val="bottom"/>
          </w:tcPr>
          <w:p>
            <w:pPr>
              <w:spacing w:after="0"/>
              <w:rPr>
                <w:sz w:val="1"/>
                <w:szCs w:val="1"/>
                <w:color w:val="auto"/>
              </w:rPr>
            </w:pPr>
          </w:p>
        </w:tc>
      </w:tr>
    </w:tbl>
    <w:p>
      <w:pPr>
        <w:sectPr>
          <w:pgSz w:w="11900" w:h="16838" w:orient="portrait"/>
          <w:cols w:equalWidth="0" w:num="1">
            <w:col w:w="11420"/>
          </w:cols>
          <w:pgMar w:left="240" w:top="111"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0" w:lineRule="exact"/>
        <w:rPr>
          <w:sz w:val="20"/>
          <w:szCs w:val="20"/>
          <w:color w:val="auto"/>
        </w:rPr>
      </w:pPr>
    </w:p>
    <w:p>
      <w:pPr>
        <w:spacing w:after="0" w:line="214" w:lineRule="exact"/>
        <w:rPr>
          <w:sz w:val="20"/>
          <w:szCs w:val="20"/>
          <w:color w:val="auto"/>
        </w:rPr>
      </w:pPr>
    </w:p>
    <w:p>
      <w:pPr>
        <w:ind w:left="640" w:right="580" w:hanging="55"/>
        <w:spacing w:after="0" w:line="327" w:lineRule="auto"/>
        <w:rPr>
          <w:sz w:val="20"/>
          <w:szCs w:val="20"/>
          <w:color w:val="auto"/>
        </w:rPr>
      </w:pPr>
      <w:r>
        <w:rPr>
          <w:rFonts w:ascii="Arial" w:cs="Arial" w:eastAsia="Arial" w:hAnsi="Arial"/>
          <w:sz w:val="23"/>
          <w:szCs w:val="23"/>
          <w:b w:val="1"/>
          <w:bCs w:val="1"/>
          <w:color w:val="auto"/>
        </w:rPr>
        <w:t>ICON Announces the Appointment of Ms. Julie O’Neill to Board of Directors and Confirms the Retirement of Professor Dermot Kelleher and Mr. Declan McKeon as Non-Executive Directors</w:t>
      </w:r>
    </w:p>
    <w:p>
      <w:pPr>
        <w:spacing w:after="0" w:line="91" w:lineRule="exact"/>
        <w:rPr>
          <w:sz w:val="20"/>
          <w:szCs w:val="20"/>
          <w:color w:val="auto"/>
        </w:rPr>
      </w:pPr>
    </w:p>
    <w:p>
      <w:pPr>
        <w:ind w:right="240"/>
        <w:spacing w:after="0"/>
        <w:rPr>
          <w:sz w:val="20"/>
          <w:szCs w:val="20"/>
          <w:color w:val="auto"/>
        </w:rPr>
      </w:pPr>
      <w:r>
        <w:rPr>
          <w:rFonts w:ascii="Arial" w:cs="Arial" w:eastAsia="Arial" w:hAnsi="Arial"/>
          <w:sz w:val="22"/>
          <w:szCs w:val="22"/>
          <w:color w:val="auto"/>
        </w:rPr>
        <w:t>DUBLIN--(BUSINESS WIRE)--July 24, 2019--ICON plc, (NASDAQ: ICLR) a global provider of drug and device development and commercialisation services to the pharmaceutical, biotechnology and medical device industries, today announced the appointment of Ms. Julie O’Neill as a non-executive director.</w:t>
      </w:r>
    </w:p>
    <w:p>
      <w:pPr>
        <w:spacing w:after="0" w:line="186" w:lineRule="exact"/>
        <w:rPr>
          <w:sz w:val="20"/>
          <w:szCs w:val="20"/>
          <w:color w:val="auto"/>
        </w:rPr>
      </w:pPr>
    </w:p>
    <w:p>
      <w:pPr>
        <w:ind w:right="240"/>
        <w:spacing w:after="0" w:line="282" w:lineRule="auto"/>
        <w:rPr>
          <w:sz w:val="20"/>
          <w:szCs w:val="20"/>
          <w:color w:val="auto"/>
        </w:rPr>
      </w:pPr>
      <w:r>
        <w:rPr>
          <w:rFonts w:ascii="Arial" w:cs="Arial" w:eastAsia="Arial" w:hAnsi="Arial"/>
          <w:sz w:val="19"/>
          <w:szCs w:val="19"/>
          <w:color w:val="auto"/>
        </w:rPr>
        <w:t>Ms. O’Neill is an accomplished pharmaceutical leader and advisor. Ms. O’Neill was formerly Executive Vice President, Global Operations of Alexion Pharmaceuticals, Inc., where she was responsible for global manufacturing operations and expanding and improving supply chain and quality operations in the US, Europe, and Asia. Before joining Alexion, Ms. O’Neill was Vice President of Operations and General Manager for Ireland at Gilead Sciences and earlier in her career, Ms. O'Neill held leadership positions in operations, manufacturing and quality functions at Burnil Pharmacies and Helsinn Birex Pharmaceuticals.</w:t>
      </w:r>
    </w:p>
    <w:p>
      <w:pPr>
        <w:spacing w:after="0" w:line="148" w:lineRule="exact"/>
        <w:rPr>
          <w:sz w:val="20"/>
          <w:szCs w:val="20"/>
          <w:color w:val="auto"/>
        </w:rPr>
      </w:pPr>
    </w:p>
    <w:p>
      <w:pPr>
        <w:ind w:right="120"/>
        <w:spacing w:after="0" w:line="238" w:lineRule="auto"/>
        <w:rPr>
          <w:sz w:val="20"/>
          <w:szCs w:val="20"/>
          <w:color w:val="auto"/>
        </w:rPr>
      </w:pPr>
      <w:r>
        <w:rPr>
          <w:rFonts w:ascii="Arial" w:cs="Arial" w:eastAsia="Arial" w:hAnsi="Arial"/>
          <w:sz w:val="22"/>
          <w:szCs w:val="22"/>
          <w:color w:val="auto"/>
        </w:rPr>
        <w:t>Ms. O’Neill serves as a Board Member of DBV Technologies and Hookipa Pharma Inc. and is also on the Board of Ireland’s National Institute for Bioprocessing Research and Training. Ms. O’Neill holds a Bachelor of Science in Pharmacy from Trinity College Dublin, a Masters of Business Administration from University College Dublin and is a Chartered Director of The Institute of Directors in Ireland.</w:t>
      </w:r>
    </w:p>
    <w:p>
      <w:pPr>
        <w:spacing w:after="0" w:line="185" w:lineRule="exact"/>
        <w:rPr>
          <w:sz w:val="20"/>
          <w:szCs w:val="20"/>
          <w:color w:val="auto"/>
        </w:rPr>
      </w:pPr>
    </w:p>
    <w:p>
      <w:pPr>
        <w:ind w:right="200"/>
        <w:spacing w:after="0" w:line="328" w:lineRule="auto"/>
        <w:rPr>
          <w:sz w:val="20"/>
          <w:szCs w:val="20"/>
          <w:color w:val="auto"/>
        </w:rPr>
      </w:pPr>
      <w:r>
        <w:rPr>
          <w:rFonts w:ascii="Arial" w:cs="Arial" w:eastAsia="Arial" w:hAnsi="Arial"/>
          <w:sz w:val="19"/>
          <w:szCs w:val="19"/>
          <w:i w:val="1"/>
          <w:iCs w:val="1"/>
          <w:color w:val="auto"/>
        </w:rPr>
        <w:t xml:space="preserve">“I am very pleased that Julie has joined the board," </w:t>
      </w:r>
      <w:r>
        <w:rPr>
          <w:rFonts w:ascii="Arial" w:cs="Arial" w:eastAsia="Arial" w:hAnsi="Arial"/>
          <w:sz w:val="19"/>
          <w:szCs w:val="19"/>
          <w:color w:val="auto"/>
        </w:rPr>
        <w:t>commented Mr. Ciaran Murray, Non-Executive Chairman of ICON plc.</w:t>
      </w:r>
      <w:r>
        <w:rPr>
          <w:rFonts w:ascii="Arial" w:cs="Arial" w:eastAsia="Arial" w:hAnsi="Arial"/>
          <w:sz w:val="19"/>
          <w:szCs w:val="19"/>
          <w:i w:val="1"/>
          <w:iCs w:val="1"/>
          <w:color w:val="auto"/>
        </w:rPr>
        <w:t xml:space="preserve"> "Her leadership positions in global pharmaceutical organisations will bring invaluable experience to the ICON Board.”</w:t>
      </w:r>
    </w:p>
    <w:p>
      <w:pPr>
        <w:spacing w:after="0" w:line="105" w:lineRule="exact"/>
        <w:rPr>
          <w:sz w:val="20"/>
          <w:szCs w:val="20"/>
          <w:color w:val="auto"/>
        </w:rPr>
      </w:pPr>
    </w:p>
    <w:p>
      <w:pPr>
        <w:spacing w:after="0"/>
        <w:rPr>
          <w:sz w:val="20"/>
          <w:szCs w:val="20"/>
          <w:color w:val="auto"/>
        </w:rPr>
      </w:pPr>
      <w:r>
        <w:rPr>
          <w:rFonts w:ascii="Arial" w:cs="Arial" w:eastAsia="Arial" w:hAnsi="Arial"/>
          <w:sz w:val="19"/>
          <w:szCs w:val="19"/>
          <w:color w:val="auto"/>
        </w:rPr>
        <w:t>ICON has also announced the retirement of Professor Dermot Kelleher and Mr. Declan McKeon as non-executive directors.</w:t>
      </w:r>
    </w:p>
    <w:p>
      <w:pPr>
        <w:spacing w:after="0" w:line="241" w:lineRule="exact"/>
        <w:rPr>
          <w:sz w:val="20"/>
          <w:szCs w:val="20"/>
          <w:color w:val="auto"/>
        </w:rPr>
      </w:pPr>
    </w:p>
    <w:p>
      <w:pPr>
        <w:ind w:right="100"/>
        <w:spacing w:after="0" w:line="251" w:lineRule="auto"/>
        <w:rPr>
          <w:sz w:val="20"/>
          <w:szCs w:val="20"/>
          <w:color w:val="auto"/>
        </w:rPr>
      </w:pPr>
      <w:r>
        <w:rPr>
          <w:rFonts w:ascii="Arial" w:cs="Arial" w:eastAsia="Arial" w:hAnsi="Arial"/>
          <w:sz w:val="22"/>
          <w:szCs w:val="22"/>
          <w:color w:val="auto"/>
        </w:rPr>
        <w:t>Professor Dermot Kelleher, a Fellow of the Academy of Medical Sciences, joined the ICON Board in May 2008 and has served on a number of Board committees during his 11 years of service.</w:t>
      </w:r>
    </w:p>
    <w:p>
      <w:pPr>
        <w:spacing w:after="0" w:line="173" w:lineRule="exact"/>
        <w:rPr>
          <w:sz w:val="20"/>
          <w:szCs w:val="20"/>
          <w:color w:val="auto"/>
        </w:rPr>
      </w:pPr>
    </w:p>
    <w:p>
      <w:pPr>
        <w:ind w:right="340"/>
        <w:spacing w:after="0" w:line="328" w:lineRule="auto"/>
        <w:rPr>
          <w:sz w:val="20"/>
          <w:szCs w:val="20"/>
          <w:color w:val="auto"/>
        </w:rPr>
      </w:pPr>
      <w:r>
        <w:rPr>
          <w:rFonts w:ascii="Arial" w:cs="Arial" w:eastAsia="Arial" w:hAnsi="Arial"/>
          <w:sz w:val="19"/>
          <w:szCs w:val="19"/>
          <w:color w:val="auto"/>
        </w:rPr>
        <w:t>Mr. McKeon, a former partner in PWC Ireland, joined the ICON Board in April 2010 and served as acting Chairman from April 2016 until March 2017. In addition, he served as the Lead Independent Director from March 2017 to December 2018.</w:t>
      </w:r>
    </w:p>
    <w:p>
      <w:pPr>
        <w:spacing w:after="0" w:line="105" w:lineRule="exact"/>
        <w:rPr>
          <w:sz w:val="20"/>
          <w:szCs w:val="20"/>
          <w:color w:val="auto"/>
        </w:rPr>
      </w:pPr>
    </w:p>
    <w:p>
      <w:pPr>
        <w:ind w:right="540"/>
        <w:spacing w:after="0"/>
        <w:rPr>
          <w:sz w:val="20"/>
          <w:szCs w:val="20"/>
          <w:color w:val="auto"/>
        </w:rPr>
      </w:pPr>
      <w:r>
        <w:rPr>
          <w:rFonts w:ascii="Arial" w:cs="Arial" w:eastAsia="Arial" w:hAnsi="Arial"/>
          <w:sz w:val="22"/>
          <w:szCs w:val="22"/>
          <w:i w:val="1"/>
          <w:iCs w:val="1"/>
          <w:color w:val="auto"/>
        </w:rPr>
        <w:t xml:space="preserve">“I would also like to thank Dermot and Declan for their long and distinguished service to ICON and for their wise counsel, valuable insight and important contributions to the Board and to the committees on which they have served.” </w:t>
      </w:r>
      <w:r>
        <w:rPr>
          <w:rFonts w:ascii="Arial" w:cs="Arial" w:eastAsia="Arial" w:hAnsi="Arial"/>
          <w:sz w:val="22"/>
          <w:szCs w:val="22"/>
          <w:color w:val="auto"/>
        </w:rPr>
        <w:t>commented Mr.</w:t>
      </w:r>
      <w:r>
        <w:rPr>
          <w:rFonts w:ascii="Arial" w:cs="Arial" w:eastAsia="Arial" w:hAnsi="Arial"/>
          <w:sz w:val="22"/>
          <w:szCs w:val="22"/>
          <w:i w:val="1"/>
          <w:iCs w:val="1"/>
          <w:color w:val="auto"/>
        </w:rPr>
        <w:t xml:space="preserve"> </w:t>
      </w:r>
      <w:r>
        <w:rPr>
          <w:rFonts w:ascii="Arial" w:cs="Arial" w:eastAsia="Arial" w:hAnsi="Arial"/>
          <w:sz w:val="22"/>
          <w:szCs w:val="22"/>
          <w:color w:val="auto"/>
        </w:rPr>
        <w:t>Ciaran Murray.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132080</wp:posOffset>
            </wp:positionV>
            <wp:extent cx="72466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line="271" w:lineRule="auto"/>
        <w:rPr>
          <w:sz w:val="20"/>
          <w:szCs w:val="20"/>
          <w:color w:val="auto"/>
        </w:rPr>
      </w:pPr>
      <w:r>
        <w:rPr>
          <w:rFonts w:ascii="Arial" w:cs="Arial" w:eastAsia="Arial" w:hAnsi="Arial"/>
          <w:sz w:val="19"/>
          <w:szCs w:val="19"/>
          <w:color w:val="auto"/>
        </w:rPr>
        <w:t>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http://www.sec.gov.</w:t>
      </w:r>
    </w:p>
    <w:p>
      <w:pPr>
        <w:spacing w:after="0" w:line="165" w:lineRule="exact"/>
        <w:rPr>
          <w:sz w:val="20"/>
          <w:szCs w:val="20"/>
          <w:color w:val="auto"/>
        </w:rPr>
      </w:pPr>
    </w:p>
    <w:p>
      <w:pPr>
        <w:ind w:right="160"/>
        <w:spacing w:after="0" w:line="236" w:lineRule="auto"/>
        <w:rPr>
          <w:sz w:val="20"/>
          <w:szCs w:val="20"/>
          <w:color w:val="auto"/>
        </w:rPr>
      </w:pPr>
      <w:r>
        <w:rPr>
          <w:rFonts w:ascii="Arial" w:cs="Arial" w:eastAsia="Arial" w:hAnsi="Arial"/>
          <w:sz w:val="22"/>
          <w:szCs w:val="22"/>
          <w:color w:val="auto"/>
        </w:rPr>
        <w:t>ICON plc is a global provider of drug and device development and commercialisation services to pharmaceutical, biotechnology, medical device and government and public health organisations. The company specialises in the strategic development, management and analysis of programs that support clinical development - from compound selection to Phase I-IV clinical studies. With headquarters in Dublin, Ireland, ICON currently, operates from 98 locations in 40 countries and has approximately 14,400 employees.</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Further information is available at www.iconplc.com.</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Source: ICON plc</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All at ICON.</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ICON/ICLR-F</w:t>
      </w:r>
    </w:p>
    <w:p>
      <w:pPr>
        <w:spacing w:after="0" w:line="205" w:lineRule="exact"/>
        <w:rPr>
          <w:sz w:val="20"/>
          <w:szCs w:val="20"/>
          <w:color w:val="auto"/>
        </w:rPr>
      </w:pPr>
    </w:p>
    <w:p>
      <w:pPr>
        <w:spacing w:after="0"/>
        <w:rPr>
          <w:sz w:val="20"/>
          <w:szCs w:val="20"/>
          <w:color w:val="auto"/>
        </w:rPr>
      </w:pPr>
      <w:r>
        <w:rPr>
          <w:rFonts w:ascii="Arial" w:cs="Arial" w:eastAsia="Arial" w:hAnsi="Arial"/>
          <w:sz w:val="25"/>
          <w:szCs w:val="25"/>
          <w:b w:val="1"/>
          <w:bCs w:val="1"/>
          <w:color w:val="auto"/>
        </w:rPr>
        <w:t>Contacts</w:t>
      </w: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Investor Relations</w:t>
      </w:r>
    </w:p>
    <w:p>
      <w:pPr>
        <w:spacing w:after="0" w:line="238" w:lineRule="auto"/>
        <w:rPr>
          <w:sz w:val="20"/>
          <w:szCs w:val="20"/>
          <w:color w:val="auto"/>
        </w:rPr>
      </w:pPr>
      <w:r>
        <w:rPr>
          <w:rFonts w:ascii="Arial" w:cs="Arial" w:eastAsia="Arial" w:hAnsi="Arial"/>
          <w:sz w:val="22"/>
          <w:szCs w:val="22"/>
          <w:color w:val="auto"/>
        </w:rPr>
        <w:t>1 888 381 7923</w:t>
      </w:r>
    </w:p>
    <w:p>
      <w:pPr>
        <w:spacing w:after="0" w:line="230"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Brendan Brennan</w:t>
      </w:r>
    </w:p>
    <w:p>
      <w:pPr>
        <w:spacing w:after="0" w:line="231" w:lineRule="auto"/>
        <w:rPr>
          <w:sz w:val="20"/>
          <w:szCs w:val="20"/>
          <w:color w:val="auto"/>
        </w:rPr>
      </w:pPr>
      <w:r>
        <w:rPr>
          <w:rFonts w:ascii="Arial" w:cs="Arial" w:eastAsia="Arial" w:hAnsi="Arial"/>
          <w:sz w:val="22"/>
          <w:szCs w:val="22"/>
          <w:color w:val="auto"/>
        </w:rPr>
        <w:t>Chief Financial Officer</w:t>
      </w:r>
    </w:p>
    <w:p>
      <w:pPr>
        <w:spacing w:after="0"/>
        <w:rPr>
          <w:sz w:val="20"/>
          <w:szCs w:val="20"/>
          <w:color w:val="auto"/>
        </w:rPr>
      </w:pPr>
      <w:r>
        <w:rPr>
          <w:rFonts w:ascii="Arial" w:cs="Arial" w:eastAsia="Arial" w:hAnsi="Arial"/>
          <w:sz w:val="22"/>
          <w:szCs w:val="22"/>
          <w:color w:val="auto"/>
        </w:rPr>
        <w:t>+ 353 1 291 2000</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Jonathan Curtain</w:t>
      </w:r>
    </w:p>
    <w:p>
      <w:pPr>
        <w:spacing w:after="0" w:line="238" w:lineRule="auto"/>
        <w:rPr>
          <w:sz w:val="20"/>
          <w:szCs w:val="20"/>
          <w:color w:val="auto"/>
        </w:rPr>
      </w:pPr>
      <w:r>
        <w:rPr>
          <w:rFonts w:ascii="Arial" w:cs="Arial" w:eastAsia="Arial" w:hAnsi="Arial"/>
          <w:sz w:val="22"/>
          <w:szCs w:val="22"/>
          <w:color w:val="auto"/>
        </w:rPr>
        <w:t>Vice President Corporate Finance and Investor Relations</w:t>
      </w:r>
    </w:p>
    <w:p>
      <w:pPr>
        <w:spacing w:after="0"/>
        <w:rPr>
          <w:sz w:val="20"/>
          <w:szCs w:val="20"/>
          <w:color w:val="auto"/>
        </w:rPr>
      </w:pPr>
      <w:r>
        <w:rPr>
          <w:rFonts w:ascii="Arial" w:cs="Arial" w:eastAsia="Arial" w:hAnsi="Arial"/>
          <w:sz w:val="22"/>
          <w:szCs w:val="22"/>
          <w:color w:val="auto"/>
        </w:rPr>
        <w:t>+ 353 1 291 2000</w:t>
      </w:r>
    </w:p>
    <w:sectPr>
      <w:pgSz w:w="11900" w:h="16838" w:orient="portrait"/>
      <w:cols w:equalWidth="0" w:num="1">
        <w:col w:w="11420"/>
      </w:cols>
      <w:pgMar w:left="240" w:top="33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hyperlink" Target="file:///data/convert/a52017345ex99_1.htm#smartlink"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2019-11-30T20:35:00Z</dcterms:created>
  <dcterms:modified xsi:type="dcterms:W3CDTF">2019-11-30T20:35:00Z</dcterms:modified>
</cp:coreProperties>
</file>