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60"/>
        <w:spacing w:after="0"/>
        <w:rPr>
          <w:sz w:val="20"/>
          <w:szCs w:val="20"/>
          <w:color w:val="auto"/>
        </w:rPr>
      </w:pPr>
      <w:r>
        <w:rPr>
          <w:rFonts w:ascii="Courier New" w:cs="Courier New" w:eastAsia="Courier New" w:hAnsi="Courier New"/>
          <w:sz w:val="15"/>
          <w:szCs w:val="15"/>
          <w:color w:val="auto"/>
        </w:rPr>
        <w:t>FORM 6-K</w:t>
      </w:r>
    </w:p>
    <w:p>
      <w:pPr>
        <w:spacing w:after="0" w:line="200" w:lineRule="exact"/>
        <w:rPr>
          <w:sz w:val="24"/>
          <w:szCs w:val="24"/>
          <w:color w:val="auto"/>
        </w:rPr>
      </w:pPr>
    </w:p>
    <w:p>
      <w:pPr>
        <w:spacing w:after="0" w:line="329" w:lineRule="exact"/>
        <w:rPr>
          <w:sz w:val="24"/>
          <w:szCs w:val="24"/>
          <w:color w:val="auto"/>
        </w:rPr>
      </w:pPr>
    </w:p>
    <w:p>
      <w:pPr>
        <w:ind w:left="20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00" w:lineRule="exact"/>
        <w:rPr>
          <w:sz w:val="24"/>
          <w:szCs w:val="24"/>
          <w:color w:val="auto"/>
        </w:rPr>
      </w:pPr>
    </w:p>
    <w:p>
      <w:pPr>
        <w:spacing w:after="0" w:line="329" w:lineRule="exact"/>
        <w:rPr>
          <w:sz w:val="24"/>
          <w:szCs w:val="24"/>
          <w:color w:val="auto"/>
        </w:rPr>
      </w:pPr>
    </w:p>
    <w:p>
      <w:pPr>
        <w:ind w:left="262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29"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33"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Pursuant to Rule 13a - 16 under</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26" w:lineRule="exact"/>
        <w:rPr>
          <w:sz w:val="24"/>
          <w:szCs w:val="24"/>
          <w:color w:val="auto"/>
        </w:rPr>
      </w:pPr>
    </w:p>
    <w:p>
      <w:pPr>
        <w:ind w:left="1440"/>
        <w:spacing w:after="0"/>
        <w:rPr>
          <w:sz w:val="20"/>
          <w:szCs w:val="20"/>
          <w:color w:val="auto"/>
        </w:rPr>
      </w:pPr>
      <w:r>
        <w:rPr>
          <w:rFonts w:ascii="Courier New" w:cs="Courier New" w:eastAsia="Courier New" w:hAnsi="Courier New"/>
          <w:sz w:val="15"/>
          <w:szCs w:val="15"/>
          <w:color w:val="auto"/>
        </w:rPr>
        <w:t>For the quarterly period ended February 28, 2005</w:t>
      </w:r>
    </w:p>
    <w:p>
      <w:pPr>
        <w:spacing w:after="0" w:line="354"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ICON plc</w:t>
      </w:r>
    </w:p>
    <w:p>
      <w:pPr>
        <w:spacing w:after="0" w:line="33"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(Registrant's name)</w:t>
      </w:r>
    </w:p>
    <w:p>
      <w:pPr>
        <w:spacing w:after="0" w:line="326" w:lineRule="exact"/>
        <w:rPr>
          <w:sz w:val="24"/>
          <w:szCs w:val="24"/>
          <w:color w:val="auto"/>
        </w:rPr>
      </w:pPr>
    </w:p>
    <w:p>
      <w:pPr>
        <w:ind w:left="3360"/>
        <w:spacing w:after="0"/>
        <w:rPr>
          <w:sz w:val="20"/>
          <w:szCs w:val="20"/>
          <w:color w:val="auto"/>
        </w:rPr>
      </w:pPr>
      <w:r>
        <w:rPr>
          <w:rFonts w:ascii="Courier New" w:cs="Courier New" w:eastAsia="Courier New" w:hAnsi="Courier New"/>
          <w:sz w:val="15"/>
          <w:szCs w:val="15"/>
          <w:color w:val="auto"/>
        </w:rPr>
        <w:t>0-29714</w:t>
      </w:r>
    </w:p>
    <w:p>
      <w:pPr>
        <w:spacing w:after="0" w:line="33"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(Commission file number)</w:t>
      </w:r>
    </w:p>
    <w:p>
      <w:pPr>
        <w:spacing w:after="0" w:line="326"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spacing w:after="0" w:line="33"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26" w:lineRule="exact"/>
        <w:rPr>
          <w:sz w:val="24"/>
          <w:szCs w:val="24"/>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3" w:lineRule="exact"/>
        <w:rPr>
          <w:sz w:val="24"/>
          <w:szCs w:val="24"/>
          <w:color w:val="auto"/>
        </w:rPr>
      </w:pPr>
    </w:p>
    <w:p>
      <w:pPr>
        <w:ind w:left="2260"/>
        <w:spacing w:after="0"/>
        <w:tabs>
          <w:tab w:leader="none" w:pos="3700" w:val="left"/>
        </w:tabs>
        <w:rPr>
          <w:sz w:val="20"/>
          <w:szCs w:val="20"/>
          <w:color w:val="auto"/>
        </w:rPr>
      </w:pPr>
      <w:r>
        <w:rPr>
          <w:rFonts w:ascii="Courier New" w:cs="Courier New" w:eastAsia="Courier New" w:hAnsi="Courier New"/>
          <w:sz w:val="15"/>
          <w:szCs w:val="15"/>
          <w:color w:val="auto"/>
        </w:rPr>
        <w:t>Yes___X___</w:t>
      </w:r>
      <w:r>
        <w:rPr>
          <w:sz w:val="20"/>
          <w:szCs w:val="20"/>
          <w:color w:val="auto"/>
        </w:rPr>
        <w:tab/>
      </w:r>
      <w:r>
        <w:rPr>
          <w:rFonts w:ascii="Courier New" w:cs="Courier New" w:eastAsia="Courier New" w:hAnsi="Courier New"/>
          <w:sz w:val="15"/>
          <w:szCs w:val="15"/>
          <w:color w:val="auto"/>
        </w:rPr>
        <w:t>No_______</w:t>
      </w:r>
    </w:p>
    <w:p>
      <w:pPr>
        <w:spacing w:after="0" w:line="180" w:lineRule="exact"/>
        <w:rPr>
          <w:sz w:val="24"/>
          <w:szCs w:val="24"/>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101(b)(1):</w:t>
      </w:r>
    </w:p>
    <w:p>
      <w:pPr>
        <w:spacing w:after="0" w:line="3" w:lineRule="exact"/>
        <w:rPr>
          <w:sz w:val="24"/>
          <w:szCs w:val="24"/>
          <w:color w:val="auto"/>
        </w:rPr>
      </w:pPr>
    </w:p>
    <w:p>
      <w:pPr>
        <w:ind w:left="2260"/>
        <w:spacing w:after="0"/>
        <w:tabs>
          <w:tab w:leader="none" w:pos="370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5"/>
          <w:szCs w:val="15"/>
          <w:color w:val="auto"/>
        </w:rPr>
        <w:t>No___X___</w:t>
      </w:r>
    </w:p>
    <w:p>
      <w:pPr>
        <w:spacing w:after="0" w:line="180" w:lineRule="exact"/>
        <w:rPr>
          <w:sz w:val="24"/>
          <w:szCs w:val="24"/>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101(b)(7):</w:t>
      </w:r>
    </w:p>
    <w:p>
      <w:pPr>
        <w:spacing w:after="0" w:line="3" w:lineRule="exact"/>
        <w:rPr>
          <w:sz w:val="24"/>
          <w:szCs w:val="24"/>
          <w:color w:val="auto"/>
        </w:rPr>
      </w:pPr>
    </w:p>
    <w:p>
      <w:pPr>
        <w:ind w:left="2260"/>
        <w:spacing w:after="0"/>
        <w:tabs>
          <w:tab w:leader="none" w:pos="370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5"/>
          <w:szCs w:val="15"/>
          <w:color w:val="auto"/>
        </w:rPr>
        <w:t>No___X___</w:t>
      </w:r>
    </w:p>
    <w:p>
      <w:pPr>
        <w:spacing w:after="0" w:line="180" w:lineRule="exact"/>
        <w:rPr>
          <w:sz w:val="24"/>
          <w:szCs w:val="24"/>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381" w:right="1440" w:bottom="0" w:gutter="0" w:footer="0" w:header="0"/>
        </w:sectPr>
      </w:pPr>
    </w:p>
    <w:p>
      <w:pPr>
        <w:spacing w:after="0" w:line="47"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Yes_______</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No___X___</w:t>
      </w:r>
    </w:p>
    <w:p>
      <w:pPr>
        <w:spacing w:after="0" w:line="180" w:lineRule="exact"/>
        <w:rPr>
          <w:sz w:val="24"/>
          <w:szCs w:val="24"/>
          <w:color w:val="auto"/>
        </w:rPr>
      </w:pPr>
    </w:p>
    <w:p>
      <w:pPr>
        <w:sectPr>
          <w:pgSz w:w="11900" w:h="16838" w:orient="portrait"/>
          <w:cols w:equalWidth="0" w:num="2">
            <w:col w:w="3180" w:space="540"/>
            <w:col w:w="6499"/>
          </w:cols>
          <w:pgMar w:left="240" w:top="381" w:right="1440" w:bottom="0" w:gutter="0" w:footer="0" w:header="0"/>
          <w:type w:val="continuous"/>
        </w:sectPr>
      </w:pPr>
    </w:p>
    <w:p>
      <w:pPr>
        <w:ind w:right="2959"/>
        <w:spacing w:after="0" w:line="368"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12g3-2(b):82 N/A</w:t>
      </w:r>
    </w:p>
    <w:p>
      <w:pPr>
        <w:sectPr>
          <w:pgSz w:w="11900" w:h="16838" w:orient="portrait"/>
          <w:cols w:equalWidth="0" w:num="1">
            <w:col w:w="10219"/>
          </w:cols>
          <w:pgMar w:left="240" w:top="381"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Quarterly Period Ended February 28, 2005</w:t>
      </w:r>
    </w:p>
    <w:p>
      <w:pPr>
        <w:spacing w:after="0" w:line="354" w:lineRule="exact"/>
        <w:rPr>
          <w:sz w:val="24"/>
          <w:szCs w:val="24"/>
          <w:color w:val="auto"/>
        </w:rPr>
      </w:pPr>
    </w:p>
    <w:p>
      <w:pPr>
        <w:spacing w:after="0"/>
        <w:tabs>
          <w:tab w:leader="none" w:pos="6700" w:val="left"/>
        </w:tabs>
        <w:rPr>
          <w:sz w:val="20"/>
          <w:szCs w:val="20"/>
          <w:color w:val="auto"/>
        </w:rPr>
      </w:pPr>
      <w:r>
        <w:rPr>
          <w:rFonts w:ascii="Courier New" w:cs="Courier New" w:eastAsia="Courier New" w:hAnsi="Courier New"/>
          <w:sz w:val="15"/>
          <w:szCs w:val="15"/>
          <w:color w:val="auto"/>
        </w:rPr>
        <w:t>CONTENTS</w:t>
      </w:r>
      <w:r>
        <w:rPr>
          <w:sz w:val="20"/>
          <w:szCs w:val="20"/>
          <w:color w:val="auto"/>
        </w:rPr>
        <w:tab/>
      </w:r>
      <w:r>
        <w:rPr>
          <w:rFonts w:ascii="Courier New" w:cs="Courier New" w:eastAsia="Courier New" w:hAnsi="Courier New"/>
          <w:sz w:val="15"/>
          <w:szCs w:val="15"/>
          <w:color w:val="auto"/>
        </w:rPr>
        <w:t>Page</w:t>
      </w:r>
    </w:p>
    <w:p>
      <w:pPr>
        <w:spacing w:after="0" w:line="354" w:lineRule="exact"/>
        <w:rPr>
          <w:sz w:val="24"/>
          <w:szCs w:val="24"/>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 as at</w:t>
      </w:r>
    </w:p>
    <w:p>
      <w:pPr>
        <w:spacing w:after="0" w:line="33" w:lineRule="exact"/>
        <w:rPr>
          <w:sz w:val="24"/>
          <w:szCs w:val="24"/>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February 28, 2005 and May 31, 2004</w:t>
      </w:r>
      <w:r>
        <w:rPr>
          <w:sz w:val="20"/>
          <w:szCs w:val="20"/>
          <w:color w:val="auto"/>
        </w:rPr>
        <w:tab/>
      </w:r>
      <w:r>
        <w:rPr>
          <w:rFonts w:ascii="Courier New" w:cs="Courier New" w:eastAsia="Courier New" w:hAnsi="Courier New"/>
          <w:sz w:val="15"/>
          <w:szCs w:val="15"/>
          <w:color w:val="auto"/>
        </w:rPr>
        <w:t>2</w:t>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three and nine months ended February 28, 2005 and</w:t>
      </w:r>
    </w:p>
    <w:p>
      <w:pPr>
        <w:spacing w:after="0" w:line="5" w:lineRule="exact"/>
        <w:rPr>
          <w:sz w:val="24"/>
          <w:szCs w:val="24"/>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February 29, 2004</w:t>
      </w:r>
      <w:r>
        <w:rPr>
          <w:sz w:val="20"/>
          <w:szCs w:val="20"/>
          <w:color w:val="auto"/>
        </w:rPr>
        <w:tab/>
      </w:r>
      <w:r>
        <w:rPr>
          <w:rFonts w:ascii="Courier New" w:cs="Courier New" w:eastAsia="Courier New" w:hAnsi="Courier New"/>
          <w:sz w:val="15"/>
          <w:szCs w:val="15"/>
          <w:color w:val="auto"/>
        </w:rPr>
        <w:t>3</w:t>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Cash Flows for the</w:t>
      </w:r>
    </w:p>
    <w:p>
      <w:pPr>
        <w:spacing w:after="0" w:line="33" w:lineRule="exact"/>
        <w:rPr>
          <w:sz w:val="24"/>
          <w:szCs w:val="24"/>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nine months ended February 28, 2005 and February 29, 2004</w:t>
      </w:r>
      <w:r>
        <w:rPr>
          <w:sz w:val="20"/>
          <w:szCs w:val="20"/>
          <w:color w:val="auto"/>
        </w:rPr>
        <w:tab/>
      </w:r>
      <w:r>
        <w:rPr>
          <w:rFonts w:ascii="Courier New" w:cs="Courier New" w:eastAsia="Courier New" w:hAnsi="Courier New"/>
          <w:sz w:val="15"/>
          <w:szCs w:val="15"/>
          <w:color w:val="auto"/>
        </w:rPr>
        <w:t>4</w:t>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Shareholders' Equity</w:t>
      </w:r>
    </w:p>
    <w:p>
      <w:pPr>
        <w:spacing w:after="0" w:line="33" w:lineRule="exact"/>
        <w:rPr>
          <w:sz w:val="24"/>
          <w:szCs w:val="24"/>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and Comprehensive Income</w:t>
      </w:r>
      <w:r>
        <w:rPr>
          <w:sz w:val="20"/>
          <w:szCs w:val="20"/>
          <w:color w:val="auto"/>
        </w:rPr>
        <w:tab/>
      </w:r>
      <w:r>
        <w:rPr>
          <w:rFonts w:ascii="Courier New" w:cs="Courier New" w:eastAsia="Courier New" w:hAnsi="Courier New"/>
          <w:sz w:val="15"/>
          <w:szCs w:val="15"/>
          <w:color w:val="auto"/>
        </w:rPr>
        <w:t>5</w:t>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Notes to the Condensed Consolidated Financial</w:t>
      </w:r>
    </w:p>
    <w:p>
      <w:pPr>
        <w:spacing w:after="0" w:line="33" w:lineRule="exact"/>
        <w:rPr>
          <w:sz w:val="24"/>
          <w:szCs w:val="24"/>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6</w:t>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33" w:lineRule="exact"/>
        <w:rPr>
          <w:sz w:val="24"/>
          <w:szCs w:val="24"/>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5"/>
          <w:szCs w:val="15"/>
          <w:color w:val="auto"/>
        </w:rPr>
        <w:t>12</w:t>
      </w:r>
    </w:p>
    <w:p>
      <w:pPr>
        <w:sectPr>
          <w:pgSz w:w="11900" w:h="16838" w:orient="portrait"/>
          <w:cols w:equalWidth="0" w:num="1">
            <w:col w:w="10219"/>
          </w:cols>
          <w:pgMar w:left="240" w:top="381" w:right="1440" w:bottom="0" w:gutter="0" w:footer="0" w:header="0"/>
          <w:type w:val="continuous"/>
        </w:sectPr>
      </w:pPr>
    </w:p>
    <w:bookmarkStart w:id="1" w:name="page2"/>
    <w:bookmarkEnd w:id="1"/>
    <w:p>
      <w:pPr>
        <w:spacing w:after="0"/>
        <w:tabs>
          <w:tab w:leader="dot" w:pos="6700" w:val="left"/>
        </w:tabs>
        <w:rPr>
          <w:sz w:val="20"/>
          <w:szCs w:val="20"/>
          <w:color w:val="auto"/>
        </w:rPr>
      </w:pPr>
      <w:r>
        <w:rPr>
          <w:rFonts w:ascii="Courier New" w:cs="Courier New" w:eastAsia="Courier New" w:hAnsi="Courier New"/>
          <w:sz w:val="15"/>
          <w:szCs w:val="15"/>
          <w:color w:val="auto"/>
        </w:rPr>
        <w:t>Signature Page</w:t>
      </w:r>
      <w:r>
        <w:rPr>
          <w:sz w:val="20"/>
          <w:szCs w:val="20"/>
          <w:color w:val="auto"/>
        </w:rPr>
        <w:tab/>
      </w:r>
      <w:r>
        <w:rPr>
          <w:rFonts w:ascii="Courier New" w:cs="Courier New" w:eastAsia="Courier New" w:hAnsi="Courier New"/>
          <w:sz w:val="15"/>
          <w:szCs w:val="15"/>
          <w:color w:val="auto"/>
        </w:rPr>
        <w:t>20</w:t>
      </w:r>
    </w:p>
    <w:p>
      <w:pPr>
        <w:sectPr>
          <w:pgSz w:w="11900" w:h="16838" w:orient="portrait"/>
          <w:cols w:equalWidth="0" w:num="1">
            <w:col w:w="10219"/>
          </w:cols>
          <w:pgMar w:left="240" w:top="288" w:right="1440"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679"/>
        <w:spacing w:after="0" w:line="368" w:lineRule="auto"/>
        <w:rPr>
          <w:sz w:val="20"/>
          <w:szCs w:val="20"/>
          <w:color w:val="auto"/>
        </w:rPr>
      </w:pPr>
      <w:r>
        <w:rPr>
          <w:rFonts w:ascii="Courier New" w:cs="Courier New" w:eastAsia="Courier New" w:hAnsi="Courier New"/>
          <w:sz w:val="15"/>
          <w:szCs w:val="15"/>
          <w:color w:val="auto"/>
        </w:rPr>
        <w:t>As used herein, "ICON", the "Company" and "we" refer to ICON plc and its consolidated subsidiaries, unless the context requires otherwise.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2,650 employees worldwide, with operations in 37 locations in 23 countries, including the United States and major markets in Europe and Rest of World and have managed clinical trials in over 55 countries. For the nine months ended February 28, 2005, we derived approximately 58.3%, 36.1%, and 5.6% of our net revenue in the United States, Europe and Rest of World, respectively.</w:t>
      </w:r>
    </w:p>
    <w:p>
      <w:pPr>
        <w:spacing w:after="0" w:line="81"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3" w:lineRule="exact"/>
        <w:rPr>
          <w:sz w:val="20"/>
          <w:szCs w:val="20"/>
          <w:color w:val="auto"/>
        </w:rPr>
      </w:pPr>
    </w:p>
    <w:p>
      <w:pPr>
        <w:jc w:val="both"/>
        <w:ind w:right="2959"/>
        <w:spacing w:after="0" w:line="307" w:lineRule="auto"/>
        <w:rPr>
          <w:sz w:val="20"/>
          <w:szCs w:val="20"/>
          <w:color w:val="auto"/>
        </w:rPr>
      </w:pPr>
      <w:r>
        <w:rPr>
          <w:rFonts w:ascii="Courier New" w:cs="Courier New" w:eastAsia="Courier New" w:hAnsi="Courier New"/>
          <w:sz w:val="15"/>
          <w:szCs w:val="15"/>
          <w:color w:val="auto"/>
        </w:rPr>
        <w:t>On July 1, 2004 we acquired 70% of the common stock of Beacon Biosciences, Inc., a leading specialist CRO, which provides a range of medical imaging services to the pharmaceutical, biotechnology and medical device industries.</w:t>
      </w:r>
    </w:p>
    <w:p>
      <w:pPr>
        <w:spacing w:after="0" w:line="47"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On December 1, 2004, we acquired the workforce of Biomines Research Solutions Private Limited, ("Biomines"), based in Chennai, India. Biomines are engaged in the business of clinical trial data management and statistical analysis services.</w:t>
      </w: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139" w:right="1440" w:bottom="1440" w:gutter="0" w:footer="0" w:header="0"/>
        </w:sectPr>
      </w:pPr>
    </w:p>
    <w:bookmarkStart w:id="3" w:name="page4"/>
    <w:bookmarkEnd w:id="3"/>
    <w:p>
      <w:pPr>
        <w:jc w:val="center"/>
        <w:ind w:right="3540"/>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800" w:type="dxa"/>
            <w:vAlign w:val="bottom"/>
          </w:tcPr>
          <w:p>
            <w:pPr>
              <w:jc w:val="right"/>
              <w:ind w:right="2284"/>
              <w:spacing w:after="0"/>
              <w:rPr>
                <w:sz w:val="20"/>
                <w:szCs w:val="20"/>
                <w:color w:val="auto"/>
              </w:rPr>
            </w:pPr>
            <w:r>
              <w:rPr>
                <w:rFonts w:ascii="Courier New" w:cs="Courier New" w:eastAsia="Courier New" w:hAnsi="Courier New"/>
                <w:sz w:val="15"/>
                <w:szCs w:val="15"/>
                <w:color w:val="auto"/>
              </w:rPr>
              <w:t>AS AT FEBRUARY 28, 2005 AND MAY 31, 2004</w:t>
            </w:r>
          </w:p>
        </w:tc>
        <w:tc>
          <w:tcPr>
            <w:tcW w:w="16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7800" w:type="dxa"/>
            <w:vAlign w:val="bottom"/>
          </w:tcPr>
          <w:p>
            <w:pPr>
              <w:spacing w:after="0"/>
              <w:rPr>
                <w:sz w:val="24"/>
                <w:szCs w:val="24"/>
                <w:color w:val="auto"/>
              </w:rPr>
            </w:pP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(Unaudited)</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(Audited)</w:t>
            </w: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February 28, 2005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May 31, 2004</w:t>
            </w:r>
          </w:p>
        </w:tc>
        <w:tc>
          <w:tcPr>
            <w:tcW w:w="0" w:type="dxa"/>
            <w:vAlign w:val="bottom"/>
          </w:tcPr>
          <w:p>
            <w:pPr>
              <w:spacing w:after="0"/>
              <w:rPr>
                <w:sz w:val="1"/>
                <w:szCs w:val="1"/>
                <w:color w:val="auto"/>
              </w:rPr>
            </w:pPr>
          </w:p>
        </w:tc>
      </w:tr>
      <w:tr>
        <w:trPr>
          <w:trHeight w:val="256"/>
        </w:trPr>
        <w:tc>
          <w:tcPr>
            <w:tcW w:w="780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300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93"/>
        </w:trPr>
        <w:tc>
          <w:tcPr>
            <w:tcW w:w="780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6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$41,897</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$55,678</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Short term investments - available for sale ....................................</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29,045</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23,085</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81,816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74,079</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Unbilled revenue................................................................</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82,720</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59,861</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Other receivables...............................................................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6,451</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4,306</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Deferred tax asset..............................................................</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2,409</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1,684</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Prepayments and other current assets............................................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9,086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9,468</w:t>
            </w:r>
          </w:p>
        </w:tc>
        <w:tc>
          <w:tcPr>
            <w:tcW w:w="0" w:type="dxa"/>
            <w:vAlign w:val="bottom"/>
          </w:tcPr>
          <w:p>
            <w:pPr>
              <w:spacing w:after="0"/>
              <w:rPr>
                <w:sz w:val="1"/>
                <w:szCs w:val="1"/>
                <w:color w:val="auto"/>
              </w:rPr>
            </w:pPr>
          </w:p>
        </w:tc>
      </w:tr>
      <w:tr>
        <w:trPr>
          <w:trHeight w:val="175"/>
        </w:trPr>
        <w:tc>
          <w:tcPr>
            <w:tcW w:w="7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30"/>
                <w:szCs w:val="30"/>
                <w:color w:val="auto"/>
                <w:w w:val="71"/>
                <w:vertAlign w:val="subscript"/>
              </w:rPr>
              <w:t>253,424</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8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228,161</w:t>
            </w:r>
          </w:p>
        </w:tc>
        <w:tc>
          <w:tcPr>
            <w:tcW w:w="0" w:type="dxa"/>
            <w:vAlign w:val="bottom"/>
          </w:tcPr>
          <w:p>
            <w:pPr>
              <w:spacing w:after="0"/>
              <w:rPr>
                <w:sz w:val="1"/>
                <w:szCs w:val="1"/>
                <w:color w:val="auto"/>
              </w:rPr>
            </w:pPr>
          </w:p>
        </w:tc>
      </w:tr>
      <w:tr>
        <w:trPr>
          <w:trHeight w:val="175"/>
        </w:trPr>
        <w:tc>
          <w:tcPr>
            <w:tcW w:w="78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44,838</w:t>
            </w:r>
          </w:p>
        </w:tc>
        <w:tc>
          <w:tcPr>
            <w:tcW w:w="1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42,936</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Property, plant and equipment, net..............................................</w:t>
            </w:r>
          </w:p>
        </w:tc>
        <w:tc>
          <w:tcPr>
            <w:tcW w:w="16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Goodwill........................................................................</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67,440</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64,226</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219</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2"/>
                <w:szCs w:val="22"/>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$365,921</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$335,323</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2"/>
                <w:szCs w:val="22"/>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78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6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7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6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$6,472</w:t>
            </w:r>
          </w:p>
        </w:tc>
        <w:tc>
          <w:tcPr>
            <w:tcW w:w="1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$12,801</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6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Payments on account.............................................................</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81,266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61,960</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Other liabilities...............................................................</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34,578</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35,091</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Income taxes payable............................................................</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7,362</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4,496</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2"/>
                <w:szCs w:val="22"/>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129,678</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114,348</w:t>
            </w:r>
          </w:p>
        </w:tc>
        <w:tc>
          <w:tcPr>
            <w:tcW w:w="0" w:type="dxa"/>
            <w:vAlign w:val="bottom"/>
          </w:tcPr>
          <w:p>
            <w:pPr>
              <w:spacing w:after="0"/>
              <w:rPr>
                <w:sz w:val="1"/>
                <w:szCs w:val="1"/>
                <w:color w:val="auto"/>
              </w:rPr>
            </w:pPr>
          </w:p>
        </w:tc>
      </w:tr>
      <w:tr>
        <w:trPr>
          <w:trHeight w:val="175"/>
        </w:trPr>
        <w:tc>
          <w:tcPr>
            <w:tcW w:w="78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6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1,385</w:t>
            </w:r>
          </w:p>
        </w:tc>
        <w:tc>
          <w:tcPr>
            <w:tcW w:w="1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1,411</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Long term government grants.....................................................</w:t>
            </w:r>
          </w:p>
        </w:tc>
        <w:tc>
          <w:tcPr>
            <w:tcW w:w="16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Long term finance leases........................................................</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370</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Non-current deferred tax liability..............................................</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2,637</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2,637</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800</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800" w:type="dxa"/>
            <w:vAlign w:val="bottom"/>
          </w:tcPr>
          <w:p>
            <w:pPr>
              <w:jc w:val="right"/>
              <w:ind w:right="5644"/>
              <w:spacing w:after="0"/>
              <w:rPr>
                <w:sz w:val="20"/>
                <w:szCs w:val="20"/>
                <w:color w:val="auto"/>
              </w:rPr>
            </w:pPr>
            <w:r>
              <w:rPr>
                <w:rFonts w:ascii="Courier New" w:cs="Courier New" w:eastAsia="Courier New" w:hAnsi="Courier New"/>
                <w:sz w:val="15"/>
                <w:szCs w:val="15"/>
                <w:color w:val="auto"/>
              </w:rPr>
              <w:t>Shareholders' Equity:</w:t>
            </w:r>
          </w:p>
        </w:tc>
        <w:tc>
          <w:tcPr>
            <w:tcW w:w="1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tcPr>
          <w:p>
            <w:pPr>
              <w:ind w:left="54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tcPr>
          <w:p>
            <w:pPr>
              <w:ind w:left="540"/>
              <w:spacing w:after="0"/>
              <w:rPr>
                <w:sz w:val="20"/>
                <w:szCs w:val="20"/>
                <w:color w:val="auto"/>
              </w:rPr>
            </w:pPr>
            <w:r>
              <w:rPr>
                <w:rFonts w:ascii="Courier New" w:cs="Courier New" w:eastAsia="Courier New" w:hAnsi="Courier New"/>
                <w:sz w:val="15"/>
                <w:szCs w:val="15"/>
                <w:color w:val="auto"/>
              </w:rPr>
              <w:t>authorized, 13,878,426 shares issued and outstanding at February 28, 2005</w:t>
            </w:r>
          </w:p>
        </w:tc>
        <w:tc>
          <w:tcPr>
            <w:tcW w:w="16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983</w:t>
            </w:r>
          </w:p>
        </w:tc>
        <w:tc>
          <w:tcPr>
            <w:tcW w:w="1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980</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and 13,838,476 shares issued and outstanding at May 31, 2004 ...................</w:t>
            </w:r>
          </w:p>
        </w:tc>
        <w:tc>
          <w:tcPr>
            <w:tcW w:w="16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113,773</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112,936</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Accumulated other comprehensive income..........................................</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15,839</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9,984</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Merger reserve..................................................................</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175"/>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100,409</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92,813</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2"/>
                <w:szCs w:val="22"/>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Total Shareholders' Equity............................................................</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231,051</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216,760</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2"/>
                <w:szCs w:val="22"/>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78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$365,921</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$335,323</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2"/>
                <w:szCs w:val="22"/>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800"/>
          </w:cols>
          <w:pgMar w:left="240" w:top="964" w:right="859" w:bottom="1440" w:gutter="0" w:footer="0" w:header="0"/>
        </w:sectPr>
      </w:pPr>
    </w:p>
    <w:bookmarkStart w:id="4" w:name="page5"/>
    <w:bookmarkEnd w:id="4"/>
    <w:p>
      <w:pPr>
        <w:jc w:val="center"/>
        <w:ind w:right="4000"/>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jc w:val="center"/>
        <w:ind w:right="3920"/>
        <w:spacing w:after="0" w:line="330" w:lineRule="auto"/>
        <w:rPr>
          <w:sz w:val="20"/>
          <w:szCs w:val="20"/>
          <w:color w:val="auto"/>
        </w:rPr>
      </w:pPr>
      <w:r>
        <w:rPr>
          <w:rFonts w:ascii="Courier New" w:cs="Courier New" w:eastAsia="Courier New" w:hAnsi="Courier New"/>
          <w:sz w:val="15"/>
          <w:szCs w:val="15"/>
          <w:color w:val="auto"/>
        </w:rPr>
        <w:t>CONDENSED CONSOLIDATED STATEMENTS OF OPERATIONS FOR THE THREE AND NINE MONTHS ENDED FEBRUARY 28, 2005 AND FEBRUARY 29, 2004 (UNAUDITED)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30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Three Months Ended</w:t>
            </w:r>
          </w:p>
        </w:tc>
        <w:tc>
          <w:tcPr>
            <w:tcW w:w="27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February 28</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February 29</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February 28</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February 29</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2005</w:t>
            </w:r>
          </w:p>
        </w:tc>
        <w:tc>
          <w:tcPr>
            <w:tcW w:w="15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2005</w:t>
            </w: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256"/>
        </w:trPr>
        <w:tc>
          <w:tcPr>
            <w:tcW w:w="5240" w:type="dxa"/>
            <w:vAlign w:val="bottom"/>
            <w:vMerge w:val="restart"/>
          </w:tcPr>
          <w:p>
            <w:pPr>
              <w:spacing w:after="0"/>
              <w:rPr>
                <w:sz w:val="20"/>
                <w:szCs w:val="20"/>
                <w:color w:val="auto"/>
              </w:rPr>
            </w:pPr>
            <w:r>
              <w:rPr>
                <w:rFonts w:ascii="Courier New" w:cs="Courier New" w:eastAsia="Courier New" w:hAnsi="Courier New"/>
                <w:sz w:val="15"/>
                <w:szCs w:val="15"/>
                <w:color w:val="auto"/>
              </w:rPr>
              <w:t>Revenue:</w:t>
            </w:r>
          </w:p>
        </w:tc>
        <w:tc>
          <w:tcPr>
            <w:tcW w:w="5760" w:type="dxa"/>
            <w:vAlign w:val="bottom"/>
            <w:gridSpan w:val="4"/>
          </w:tcPr>
          <w:p>
            <w:pPr>
              <w:jc w:val="right"/>
              <w:ind w:right="644"/>
              <w:spacing w:after="0"/>
              <w:rPr>
                <w:sz w:val="20"/>
                <w:szCs w:val="20"/>
                <w:color w:val="auto"/>
              </w:rPr>
            </w:pPr>
            <w:r>
              <w:rPr>
                <w:rFonts w:ascii="Courier New" w:cs="Courier New" w:eastAsia="Courier New" w:hAnsi="Courier New"/>
                <w:sz w:val="15"/>
                <w:szCs w:val="15"/>
                <w:color w:val="auto"/>
              </w:rPr>
              <w:t>(in thousands except share and per share data)</w:t>
            </w:r>
          </w:p>
        </w:tc>
        <w:tc>
          <w:tcPr>
            <w:tcW w:w="0" w:type="dxa"/>
            <w:vAlign w:val="bottom"/>
          </w:tcPr>
          <w:p>
            <w:pPr>
              <w:spacing w:after="0"/>
              <w:rPr>
                <w:sz w:val="1"/>
                <w:szCs w:val="1"/>
                <w:color w:val="auto"/>
              </w:rPr>
            </w:pPr>
          </w:p>
        </w:tc>
      </w:tr>
      <w:tr>
        <w:trPr>
          <w:trHeight w:val="175"/>
        </w:trPr>
        <w:tc>
          <w:tcPr>
            <w:tcW w:w="524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revenue........................................</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$113,341</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$112,831</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$347,604</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$332,181</w:t>
            </w:r>
          </w:p>
        </w:tc>
        <w:tc>
          <w:tcPr>
            <w:tcW w:w="0" w:type="dxa"/>
            <w:vAlign w:val="bottom"/>
          </w:tcPr>
          <w:p>
            <w:pPr>
              <w:spacing w:after="0"/>
              <w:rPr>
                <w:sz w:val="1"/>
                <w:szCs w:val="1"/>
                <w:color w:val="auto"/>
              </w:rPr>
            </w:pPr>
          </w:p>
        </w:tc>
      </w:tr>
      <w:tr>
        <w:trPr>
          <w:trHeight w:val="175"/>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Subcontractor costs..................................</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(30,486)</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(35,969)</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(106,915)</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(113,177)</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revenue..........................................</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82,855</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76,862</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240,689</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219,004</w:t>
            </w:r>
          </w:p>
        </w:tc>
        <w:tc>
          <w:tcPr>
            <w:tcW w:w="0" w:type="dxa"/>
            <w:vAlign w:val="bottom"/>
          </w:tcPr>
          <w:p>
            <w:pPr>
              <w:spacing w:after="0"/>
              <w:rPr>
                <w:sz w:val="1"/>
                <w:szCs w:val="1"/>
                <w:color w:val="auto"/>
              </w:rPr>
            </w:pPr>
          </w:p>
        </w:tc>
      </w:tr>
      <w:tr>
        <w:trPr>
          <w:trHeight w:val="268"/>
        </w:trPr>
        <w:tc>
          <w:tcPr>
            <w:tcW w:w="52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46,008</w:t>
            </w:r>
          </w:p>
        </w:tc>
        <w:tc>
          <w:tcPr>
            <w:tcW w:w="15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42,502</w:t>
            </w:r>
          </w:p>
        </w:tc>
        <w:tc>
          <w:tcPr>
            <w:tcW w:w="14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132,132</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120,271</w:t>
            </w:r>
          </w:p>
        </w:tc>
        <w:tc>
          <w:tcPr>
            <w:tcW w:w="0" w:type="dxa"/>
            <w:vAlign w:val="bottom"/>
          </w:tcPr>
          <w:p>
            <w:pPr>
              <w:spacing w:after="0"/>
              <w:rPr>
                <w:sz w:val="1"/>
                <w:szCs w:val="1"/>
                <w:color w:val="auto"/>
              </w:rPr>
            </w:pPr>
          </w:p>
        </w:tc>
      </w:tr>
      <w:tr>
        <w:trPr>
          <w:trHeight w:val="175"/>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Direct costs.........................................</w:t>
            </w:r>
          </w:p>
        </w:tc>
        <w:tc>
          <w:tcPr>
            <w:tcW w:w="15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27,385</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22,708</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76,244</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65,774</w:t>
            </w:r>
          </w:p>
        </w:tc>
        <w:tc>
          <w:tcPr>
            <w:tcW w:w="0" w:type="dxa"/>
            <w:vAlign w:val="bottom"/>
          </w:tcPr>
          <w:p>
            <w:pPr>
              <w:spacing w:after="0"/>
              <w:rPr>
                <w:sz w:val="1"/>
                <w:szCs w:val="1"/>
                <w:color w:val="auto"/>
              </w:rPr>
            </w:pPr>
          </w:p>
        </w:tc>
      </w:tr>
      <w:tr>
        <w:trPr>
          <w:trHeight w:val="175"/>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Depreciation and amortization .......................</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3,424</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2,894</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9,782</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8,215</w:t>
            </w:r>
          </w:p>
        </w:tc>
        <w:tc>
          <w:tcPr>
            <w:tcW w:w="0" w:type="dxa"/>
            <w:vAlign w:val="bottom"/>
          </w:tcPr>
          <w:p>
            <w:pPr>
              <w:spacing w:after="0"/>
              <w:rPr>
                <w:sz w:val="1"/>
                <w:szCs w:val="1"/>
                <w:color w:val="auto"/>
              </w:rPr>
            </w:pPr>
          </w:p>
        </w:tc>
      </w:tr>
      <w:tr>
        <w:trPr>
          <w:trHeight w:val="175"/>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charges .......................................</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11,275</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11,275</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costs and expenses.............................</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88,092</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68,104</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229,433</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194,260</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from operations..................................</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(5,237)</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8,758</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11,256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24,744</w:t>
            </w:r>
          </w:p>
        </w:tc>
        <w:tc>
          <w:tcPr>
            <w:tcW w:w="0" w:type="dxa"/>
            <w:vAlign w:val="bottom"/>
          </w:tcPr>
          <w:p>
            <w:pPr>
              <w:spacing w:after="0"/>
              <w:rPr>
                <w:sz w:val="1"/>
                <w:szCs w:val="1"/>
                <w:color w:val="auto"/>
              </w:rPr>
            </w:pPr>
          </w:p>
        </w:tc>
      </w:tr>
      <w:tr>
        <w:trPr>
          <w:trHeight w:val="175"/>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income.........................................</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309</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333</w:t>
            </w:r>
          </w:p>
        </w:tc>
        <w:tc>
          <w:tcPr>
            <w:tcW w:w="0" w:type="dxa"/>
            <w:vAlign w:val="bottom"/>
          </w:tcPr>
          <w:p>
            <w:pPr>
              <w:spacing w:after="0"/>
              <w:rPr>
                <w:sz w:val="1"/>
                <w:szCs w:val="1"/>
                <w:color w:val="auto"/>
              </w:rPr>
            </w:pPr>
          </w:p>
        </w:tc>
      </w:tr>
      <w:tr>
        <w:trPr>
          <w:trHeight w:val="175"/>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expense........................................</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(54)</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(178)</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before provision for income taxes................</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(4,982)</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8,833</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11,854</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24,941</w:t>
            </w:r>
          </w:p>
        </w:tc>
        <w:tc>
          <w:tcPr>
            <w:tcW w:w="0" w:type="dxa"/>
            <w:vAlign w:val="bottom"/>
          </w:tcPr>
          <w:p>
            <w:pPr>
              <w:spacing w:after="0"/>
              <w:rPr>
                <w:sz w:val="1"/>
                <w:szCs w:val="1"/>
                <w:color w:val="auto"/>
              </w:rPr>
            </w:pPr>
          </w:p>
        </w:tc>
      </w:tr>
      <w:tr>
        <w:trPr>
          <w:trHeight w:val="175"/>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Provision for income taxes..............................</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(521)</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(2,182)</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(4,153)</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(6,421)</w:t>
            </w:r>
          </w:p>
        </w:tc>
        <w:tc>
          <w:tcPr>
            <w:tcW w:w="0" w:type="dxa"/>
            <w:vAlign w:val="bottom"/>
          </w:tcPr>
          <w:p>
            <w:pPr>
              <w:spacing w:after="0"/>
              <w:rPr>
                <w:sz w:val="1"/>
                <w:szCs w:val="1"/>
                <w:color w:val="auto"/>
              </w:rPr>
            </w:pPr>
          </w:p>
        </w:tc>
      </w:tr>
      <w:tr>
        <w:trPr>
          <w:trHeight w:val="175"/>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Minority interest.......................................</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($5,528)</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$6,651</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$7,596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$18,520</w:t>
            </w:r>
          </w:p>
        </w:tc>
        <w:tc>
          <w:tcPr>
            <w:tcW w:w="0" w:type="dxa"/>
            <w:vAlign w:val="bottom"/>
          </w:tcPr>
          <w:p>
            <w:pPr>
              <w:spacing w:after="0"/>
              <w:rPr>
                <w:sz w:val="1"/>
                <w:szCs w:val="1"/>
                <w:color w:val="auto"/>
              </w:rPr>
            </w:pPr>
          </w:p>
        </w:tc>
      </w:tr>
      <w:tr>
        <w:trPr>
          <w:trHeight w:val="256"/>
        </w:trPr>
        <w:tc>
          <w:tcPr>
            <w:tcW w:w="52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per Ordinary Share:</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240" w:type="dxa"/>
            <w:vAlign w:val="bottom"/>
            <w:vMerge w:val="continue"/>
          </w:tcPr>
          <w:p>
            <w:pPr>
              <w:spacing w:after="0"/>
              <w:rPr>
                <w:sz w:val="8"/>
                <w:szCs w:val="8"/>
                <w:color w:val="auto"/>
              </w:rPr>
            </w:pPr>
          </w:p>
        </w:tc>
        <w:tc>
          <w:tcPr>
            <w:tcW w:w="15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($0.40)</w:t>
            </w:r>
          </w:p>
        </w:tc>
        <w:tc>
          <w:tcPr>
            <w:tcW w:w="15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$0.49</w:t>
            </w:r>
          </w:p>
        </w:tc>
        <w:tc>
          <w:tcPr>
            <w:tcW w:w="14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$0.55</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$1.45</w:t>
            </w:r>
          </w:p>
        </w:tc>
        <w:tc>
          <w:tcPr>
            <w:tcW w:w="0" w:type="dxa"/>
            <w:vAlign w:val="bottom"/>
          </w:tcPr>
          <w:p>
            <w:pPr>
              <w:spacing w:after="0"/>
              <w:rPr>
                <w:sz w:val="1"/>
                <w:szCs w:val="1"/>
                <w:color w:val="auto"/>
              </w:rPr>
            </w:pPr>
          </w:p>
        </w:tc>
      </w:tr>
      <w:tr>
        <w:trPr>
          <w:trHeight w:val="175"/>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Basic................................................</w:t>
            </w:r>
          </w:p>
        </w:tc>
        <w:tc>
          <w:tcPr>
            <w:tcW w:w="15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Diluted.............................................</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240" w:type="dxa"/>
            <w:vAlign w:val="bottom"/>
            <w:vMerge w:val="continue"/>
          </w:tcPr>
          <w:p>
            <w:pPr>
              <w:spacing w:after="0"/>
              <w:rPr>
                <w:sz w:val="15"/>
                <w:szCs w:val="15"/>
                <w:color w:val="auto"/>
              </w:rPr>
            </w:pP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($0.39)</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$0.47</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$0.54</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524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outstanding:</w:t>
            </w: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Basic..............................................</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13,866,236</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13,622,514</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13,847,197</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12,797,089</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Diluted............................................</w:t>
            </w:r>
          </w:p>
        </w:tc>
        <w:tc>
          <w:tcPr>
            <w:tcW w:w="1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14,077,910</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14,070,194</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14,101,975</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13,288,688</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260"/>
          </w:cols>
          <w:pgMar w:left="240" w:top="964" w:right="399" w:bottom="1440" w:gutter="0" w:footer="0" w:header="0"/>
        </w:sectPr>
      </w:pPr>
    </w:p>
    <w:bookmarkStart w:id="5" w:name="page6"/>
    <w:bookmarkEnd w:id="5"/>
    <w:p>
      <w:pPr>
        <w:jc w:val="center"/>
        <w:ind w:right="2959"/>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jc w:val="center"/>
        <w:ind w:right="2879"/>
        <w:spacing w:after="0" w:line="330" w:lineRule="auto"/>
        <w:rPr>
          <w:sz w:val="20"/>
          <w:szCs w:val="20"/>
          <w:color w:val="auto"/>
        </w:rPr>
      </w:pPr>
      <w:r>
        <w:rPr>
          <w:rFonts w:ascii="Courier New" w:cs="Courier New" w:eastAsia="Courier New" w:hAnsi="Courier New"/>
          <w:sz w:val="15"/>
          <w:szCs w:val="15"/>
          <w:color w:val="auto"/>
        </w:rPr>
        <w:t>CONDENSED CONSOLIDATED STATEMENTS OF CASH FLOWS FOR THE NINE MONTHS ENDED FEBRUARY 28, 2005 AND FEBRUARY 29, 2004 (UNAUDITED)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38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February 28</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February 29</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2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2005</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256"/>
        </w:trPr>
        <w:tc>
          <w:tcPr>
            <w:tcW w:w="58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8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175"/>
        </w:trPr>
        <w:tc>
          <w:tcPr>
            <w:tcW w:w="580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$7,596</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$18,520</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2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by operating activities:.................................</w:t>
            </w:r>
          </w:p>
        </w:tc>
        <w:tc>
          <w:tcPr>
            <w:tcW w:w="22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121</w:t>
            </w:r>
          </w:p>
        </w:tc>
        <w:tc>
          <w:tcPr>
            <w:tcW w:w="16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Loss on disposal of fixed assets.......................</w:t>
            </w:r>
          </w:p>
        </w:tc>
        <w:tc>
          <w:tcPr>
            <w:tcW w:w="22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Depreciation and amortization..........................</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9,782</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8,215</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Amortization of grants.................................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(150)</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Minority interest....................................</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105</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Other charges........................................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11,275</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22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(4,786)</w:t>
            </w:r>
          </w:p>
        </w:tc>
        <w:tc>
          <w:tcPr>
            <w:tcW w:w="16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4,710</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(Increase)/decrease in accounts receivable.............</w:t>
            </w:r>
          </w:p>
        </w:tc>
        <w:tc>
          <w:tcPr>
            <w:tcW w:w="22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Increase in unbilled revenue...........................</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(22,758)</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(11,803)</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Decrease in other receivables..........................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4,924</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2,184</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Increase in prepayments and other current assets.......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(837)</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(743)</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Increase in payments on account........................</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19,230</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12,236</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Decrease in other liabilities..........................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(8,781)</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(3,710)</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Increase in income taxes payable.......................</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1,517</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5,673</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Decrease in accounts payable..........................</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(6,631)</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(4,445)</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10,607</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30,811</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(10,284)</w:t>
            </w:r>
          </w:p>
        </w:tc>
        <w:tc>
          <w:tcPr>
            <w:tcW w:w="16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(9,697)</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Purchase of property, plant and equipment..............</w:t>
            </w:r>
          </w:p>
        </w:tc>
        <w:tc>
          <w:tcPr>
            <w:tcW w:w="22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Purchase of short term investments.....................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(5,960)</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Purchase of intangible asset...........................</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(250)</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0" w:type="dxa"/>
            <w:vAlign w:val="bottom"/>
          </w:tcPr>
          <w:p>
            <w:pPr>
              <w:jc w:val="right"/>
              <w:ind w:right="1904"/>
              <w:spacing w:after="0"/>
              <w:rPr>
                <w:sz w:val="20"/>
                <w:szCs w:val="20"/>
                <w:color w:val="auto"/>
              </w:rPr>
            </w:pPr>
            <w:r>
              <w:rPr>
                <w:rFonts w:ascii="Courier New" w:cs="Courier New" w:eastAsia="Courier New" w:hAnsi="Courier New"/>
                <w:sz w:val="15"/>
                <w:szCs w:val="15"/>
                <w:color w:val="auto"/>
              </w:rPr>
              <w:t>Purchase of subsidiary undertakings and</w:t>
            </w:r>
          </w:p>
        </w:tc>
        <w:tc>
          <w:tcPr>
            <w:tcW w:w="22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(10,052)</w:t>
            </w:r>
          </w:p>
        </w:tc>
        <w:tc>
          <w:tcPr>
            <w:tcW w:w="16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(11,180)</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acquisition costs......................................</w:t>
            </w:r>
          </w:p>
        </w:tc>
        <w:tc>
          <w:tcPr>
            <w:tcW w:w="22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Net cash acquired with subsidiary undertakings.........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1,658</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891</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Payments in respect of prior year acquisitions.........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(1,134)</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(1,588)</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Net cash used in investing activities.....................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(26,022)</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(21,574)</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6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(7,126)</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Repayment of bank overdraft...............................</w:t>
            </w:r>
          </w:p>
        </w:tc>
        <w:tc>
          <w:tcPr>
            <w:tcW w:w="22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Proceeds from issuance of share capital...................</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45,705</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Proceeds from exercise of share options...................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899</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3,696</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Share issuance costs......................................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(1,178)</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Costs in relation to prior year share issuance............</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(137)</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Repayment of other liabilities............................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(151)</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(162)</w:t>
            </w:r>
          </w:p>
        </w:tc>
        <w:tc>
          <w:tcPr>
            <w:tcW w:w="0" w:type="dxa"/>
            <w:vAlign w:val="bottom"/>
          </w:tcPr>
          <w:p>
            <w:pPr>
              <w:spacing w:after="0"/>
              <w:rPr>
                <w:sz w:val="1"/>
                <w:szCs w:val="1"/>
                <w:color w:val="auto"/>
              </w:rPr>
            </w:pPr>
          </w:p>
        </w:tc>
      </w:tr>
      <w:tr>
        <w:trPr>
          <w:trHeight w:val="175"/>
        </w:trPr>
        <w:tc>
          <w:tcPr>
            <w:tcW w:w="58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2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30"/>
                <w:szCs w:val="30"/>
                <w:color w:val="auto"/>
                <w:vertAlign w:val="subscript"/>
              </w:rPr>
              <w:t>552</w:t>
            </w:r>
          </w:p>
        </w:tc>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40,935</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Effect of exchange rate movements on cash.................</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1,082</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(1,369)</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Net (decrease)/increase in cash and cash equivalents......</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(13,781)</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48,803</w:t>
            </w:r>
          </w:p>
        </w:tc>
        <w:tc>
          <w:tcPr>
            <w:tcW w:w="0" w:type="dxa"/>
            <w:vAlign w:val="bottom"/>
          </w:tcPr>
          <w:p>
            <w:pPr>
              <w:spacing w:after="0"/>
              <w:rPr>
                <w:sz w:val="1"/>
                <w:szCs w:val="1"/>
                <w:color w:val="auto"/>
              </w:rPr>
            </w:pPr>
          </w:p>
        </w:tc>
      </w:tr>
      <w:tr>
        <w:trPr>
          <w:trHeight w:val="175"/>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55,678</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18,311</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$41,897</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$67,114</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4" w:right="1440" w:bottom="1440" w:gutter="0" w:footer="0" w:header="0"/>
        </w:sectPr>
      </w:pPr>
    </w:p>
    <w:bookmarkStart w:id="6" w:name="page7"/>
    <w:bookmarkEnd w:id="6"/>
    <w:p>
      <w:pPr>
        <w:spacing w:after="0" w:line="22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CONDENSED CONSOLIDATED STATEMENTS OF SHAREHOLDERS' EQUITY AND COMPREHENSIVE INCOME</w:t>
      </w:r>
    </w:p>
    <w:p>
      <w:pPr>
        <w:spacing w:after="0" w:line="33"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Additional</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Accumulated</w:t>
            </w: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Retained</w:t>
            </w:r>
          </w:p>
        </w:tc>
        <w:tc>
          <w:tcPr>
            <w:tcW w:w="9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Merger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2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Shares</w:t>
            </w: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Paid-in</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Comprehensive</w:t>
            </w:r>
          </w:p>
        </w:tc>
        <w:tc>
          <w:tcPr>
            <w:tcW w:w="1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Capital</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Income</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Earnings</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Reserve</w:t>
            </w: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3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(dollars in thousands, except share data)</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3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Balance at May 31, 2004............</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13,838,476</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$980</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$112,936</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$9,984</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$92,813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$216,760</w:t>
            </w:r>
          </w:p>
        </w:tc>
        <w:tc>
          <w:tcPr>
            <w:tcW w:w="0" w:type="dxa"/>
            <w:vAlign w:val="bottom"/>
          </w:tcPr>
          <w:p>
            <w:pPr>
              <w:spacing w:after="0"/>
              <w:rPr>
                <w:sz w:val="1"/>
                <w:szCs w:val="1"/>
                <w:color w:val="auto"/>
              </w:rPr>
            </w:pPr>
          </w:p>
        </w:tc>
      </w:tr>
      <w:tr>
        <w:trPr>
          <w:trHeight w:val="443"/>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7,596</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7,596</w:t>
            </w:r>
          </w:p>
        </w:tc>
        <w:tc>
          <w:tcPr>
            <w:tcW w:w="0" w:type="dxa"/>
            <w:vAlign w:val="bottom"/>
          </w:tcPr>
          <w:p>
            <w:pPr>
              <w:spacing w:after="0"/>
              <w:rPr>
                <w:sz w:val="1"/>
                <w:szCs w:val="1"/>
                <w:color w:val="auto"/>
              </w:rPr>
            </w:pPr>
          </w:p>
        </w:tc>
      </w:tr>
      <w:tr>
        <w:trPr>
          <w:trHeight w:val="175"/>
        </w:trPr>
        <w:tc>
          <w:tcPr>
            <w:tcW w:w="3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Currency translation adjustment..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5,855</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5,855</w:t>
            </w:r>
          </w:p>
        </w:tc>
        <w:tc>
          <w:tcPr>
            <w:tcW w:w="0" w:type="dxa"/>
            <w:vAlign w:val="bottom"/>
          </w:tcPr>
          <w:p>
            <w:pPr>
              <w:spacing w:after="0"/>
              <w:rPr>
                <w:sz w:val="1"/>
                <w:szCs w:val="1"/>
                <w:color w:val="auto"/>
              </w:rPr>
            </w:pPr>
          </w:p>
        </w:tc>
      </w:tr>
      <w:tr>
        <w:trPr>
          <w:trHeight w:val="175"/>
        </w:trPr>
        <w:tc>
          <w:tcPr>
            <w:tcW w:w="3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Total comprehensive income.......</w:t>
            </w: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39,950</w:t>
            </w: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w:t>
            </w:r>
          </w:p>
        </w:tc>
        <w:tc>
          <w:tcPr>
            <w:tcW w:w="13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896</w:t>
            </w:r>
          </w:p>
        </w:tc>
        <w:tc>
          <w:tcPr>
            <w:tcW w:w="15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13,451</w:t>
            </w:r>
          </w:p>
        </w:tc>
        <w:tc>
          <w:tcPr>
            <w:tcW w:w="0" w:type="dxa"/>
            <w:vAlign w:val="bottom"/>
          </w:tcPr>
          <w:p>
            <w:pPr>
              <w:spacing w:after="0"/>
              <w:rPr>
                <w:sz w:val="1"/>
                <w:szCs w:val="1"/>
                <w:color w:val="auto"/>
              </w:rPr>
            </w:pPr>
          </w:p>
        </w:tc>
      </w:tr>
      <w:tr>
        <w:trPr>
          <w:trHeight w:val="175"/>
        </w:trPr>
        <w:tc>
          <w:tcPr>
            <w:tcW w:w="3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Exercise of Share Options........</w:t>
            </w:r>
          </w:p>
        </w:tc>
        <w:tc>
          <w:tcPr>
            <w:tcW w:w="12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899</w:t>
            </w:r>
          </w:p>
        </w:tc>
        <w:tc>
          <w:tcPr>
            <w:tcW w:w="0" w:type="dxa"/>
            <w:vAlign w:val="bottom"/>
          </w:tcPr>
          <w:p>
            <w:pPr>
              <w:spacing w:after="0"/>
              <w:rPr>
                <w:sz w:val="1"/>
                <w:szCs w:val="1"/>
                <w:color w:val="auto"/>
              </w:rPr>
            </w:pPr>
          </w:p>
        </w:tc>
      </w:tr>
      <w:tr>
        <w:trPr>
          <w:trHeight w:val="175"/>
        </w:trPr>
        <w:tc>
          <w:tcPr>
            <w:tcW w:w="3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Share Issuance Costs.............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5"/>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February 28, 2005</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20"/>
                <w:szCs w:val="20"/>
                <w:color w:val="auto"/>
                <w:w w:val="71"/>
                <w:vertAlign w:val="subscript"/>
              </w:rPr>
              <w:t>13,878,426</w:t>
            </w:r>
            <w:r>
              <w:rPr>
                <w:rFonts w:ascii="Courier New" w:cs="Courier New" w:eastAsia="Courier New" w:hAnsi="Courier New"/>
                <w:sz w:val="12"/>
                <w:szCs w:val="12"/>
                <w:color w:val="auto"/>
                <w:w w:val="71"/>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36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$983</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$113,773</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$15,839</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$100,409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$231,051</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100"/>
          </w:cols>
          <w:pgMar w:left="320" w:top="1440" w:right="479" w:bottom="1440" w:gutter="0" w:footer="0" w:header="0"/>
        </w:sectPr>
      </w:pPr>
    </w:p>
    <w:bookmarkStart w:id="7" w:name="page8"/>
    <w:bookmarkEnd w:id="7"/>
    <w:p>
      <w:pPr>
        <w:spacing w:after="0" w:line="49"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spacing w:after="0" w:line="3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FEBRUARY 28, 2005</w:t>
      </w:r>
    </w:p>
    <w:p>
      <w:pPr>
        <w:spacing w:after="0" w:line="32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Basis of Presentation</w:t>
      </w:r>
    </w:p>
    <w:p>
      <w:pPr>
        <w:spacing w:after="0" w:line="180" w:lineRule="exact"/>
        <w:rPr>
          <w:sz w:val="20"/>
          <w:szCs w:val="20"/>
          <w:color w:val="auto"/>
        </w:rPr>
      </w:pPr>
    </w:p>
    <w:p>
      <w:pPr>
        <w:ind w:left="7" w:right="2959"/>
        <w:spacing w:after="0" w:line="257" w:lineRule="auto"/>
        <w:rPr>
          <w:sz w:val="20"/>
          <w:szCs w:val="20"/>
          <w:color w:val="auto"/>
        </w:rPr>
      </w:pPr>
      <w:r>
        <w:rPr>
          <w:rFonts w:ascii="Courier New" w:cs="Courier New" w:eastAsia="Courier New" w:hAnsi="Courier New"/>
          <w:sz w:val="15"/>
          <w:szCs w:val="15"/>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2004, except as described below.</w:t>
      </w:r>
    </w:p>
    <w:p>
      <w:pPr>
        <w:spacing w:after="0" w:line="89" w:lineRule="exact"/>
        <w:rPr>
          <w:sz w:val="20"/>
          <w:szCs w:val="20"/>
          <w:color w:val="auto"/>
        </w:rPr>
      </w:pPr>
    </w:p>
    <w:p>
      <w:pPr>
        <w:ind w:left="7" w:right="2959"/>
        <w:spacing w:after="0" w:line="262" w:lineRule="auto"/>
        <w:rPr>
          <w:sz w:val="20"/>
          <w:szCs w:val="20"/>
          <w:color w:val="auto"/>
        </w:rPr>
      </w:pPr>
      <w:r>
        <w:rPr>
          <w:rFonts w:ascii="Courier New" w:cs="Courier New" w:eastAsia="Courier New" w:hAnsi="Courier New"/>
          <w:sz w:val="15"/>
          <w:szCs w:val="15"/>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2004 annual report on Form 20-F. Operating results for the nine months ended February 28, 2005 are not necessarily indicative of the results that may be expected for the fiscal year ending May 31, 2005.</w:t>
      </w:r>
    </w:p>
    <w:p>
      <w:pPr>
        <w:spacing w:after="0" w:line="253" w:lineRule="exact"/>
        <w:rPr>
          <w:sz w:val="20"/>
          <w:szCs w:val="20"/>
          <w:color w:val="auto"/>
        </w:rPr>
      </w:pPr>
    </w:p>
    <w:p>
      <w:pPr>
        <w:ind w:left="7" w:right="8319" w:hanging="7"/>
        <w:spacing w:after="0" w:line="493" w:lineRule="auto"/>
        <w:tabs>
          <w:tab w:leader="none" w:pos="27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Acquisition of Beacon</w:t>
      </w:r>
    </w:p>
    <w:p>
      <w:pPr>
        <w:spacing w:after="0" w:line="1" w:lineRule="exact"/>
        <w:rPr>
          <w:sz w:val="20"/>
          <w:szCs w:val="20"/>
          <w:color w:val="auto"/>
        </w:rPr>
      </w:pPr>
    </w:p>
    <w:p>
      <w:pPr>
        <w:ind w:left="7" w:right="3219"/>
        <w:spacing w:after="0" w:line="307" w:lineRule="auto"/>
        <w:rPr>
          <w:sz w:val="20"/>
          <w:szCs w:val="20"/>
          <w:color w:val="auto"/>
        </w:rPr>
      </w:pPr>
      <w:r>
        <w:rPr>
          <w:rFonts w:ascii="Courier New" w:cs="Courier New" w:eastAsia="Courier New" w:hAnsi="Courier New"/>
          <w:sz w:val="15"/>
          <w:szCs w:val="15"/>
          <w:color w:val="auto"/>
        </w:rPr>
        <w:t>On July 1, 2004, the Company acquired 70% of the common stock of Beacon Biosciences, Inc. ("Beacon"), based in Pennsylvania, USA, for an initial cash consideration of U.S.$9.9 million, excluding costs of acquisition.</w:t>
      </w:r>
    </w:p>
    <w:p>
      <w:pPr>
        <w:spacing w:after="0" w:line="47" w:lineRule="exact"/>
        <w:rPr>
          <w:sz w:val="20"/>
          <w:szCs w:val="20"/>
          <w:color w:val="auto"/>
        </w:rPr>
      </w:pPr>
    </w:p>
    <w:p>
      <w:pPr>
        <w:ind w:left="7" w:right="3139"/>
        <w:spacing w:after="0" w:line="287" w:lineRule="auto"/>
        <w:rPr>
          <w:sz w:val="20"/>
          <w:szCs w:val="20"/>
          <w:color w:val="auto"/>
        </w:rPr>
      </w:pPr>
      <w:r>
        <w:rPr>
          <w:rFonts w:ascii="Courier New" w:cs="Courier New" w:eastAsia="Courier New" w:hAnsi="Courier New"/>
          <w:sz w:val="15"/>
          <w:szCs w:val="15"/>
          <w:color w:val="auto"/>
        </w:rPr>
        <w:t>The acquisition of Beacon has been accounted for as a purchase in accordance with SFAS No. 141, "Business Combinations". The following table summarises the fair values of the assets acquired and the liabilities assumed at the date of acquisition.</w:t>
      </w:r>
    </w:p>
    <w:p>
      <w:pPr>
        <w:spacing w:after="0" w:line="61" w:lineRule="exact"/>
        <w:rPr>
          <w:sz w:val="20"/>
          <w:szCs w:val="20"/>
          <w:color w:val="auto"/>
        </w:rPr>
      </w:pPr>
    </w:p>
    <w:tbl>
      <w:tblPr>
        <w:tblLayout w:type="fixed"/>
        <w:tblInd w:w="627"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July 1,</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175"/>
        </w:trPr>
        <w:tc>
          <w:tcPr>
            <w:tcW w:w="3460" w:type="dxa"/>
            <w:vAlign w:val="bottom"/>
            <w:vMerge w:val="restart"/>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175"/>
        </w:trPr>
        <w:tc>
          <w:tcPr>
            <w:tcW w:w="3460" w:type="dxa"/>
            <w:vAlign w:val="bottom"/>
            <w:vMerge w:val="continue"/>
          </w:tcPr>
          <w:p>
            <w:pPr>
              <w:spacing w:after="0"/>
              <w:rPr>
                <w:sz w:val="15"/>
                <w:szCs w:val="15"/>
                <w:color w:val="auto"/>
              </w:rPr>
            </w:pP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$792</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8,463</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1,658</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(926)</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 term liability</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460" w:type="dxa"/>
            <w:vAlign w:val="bottom"/>
            <w:vMerge w:val="restart"/>
          </w:tcPr>
          <w:p>
            <w:pPr>
              <w:spacing w:after="0"/>
              <w:rPr>
                <w:sz w:val="20"/>
                <w:szCs w:val="20"/>
                <w:color w:val="auto"/>
              </w:rPr>
            </w:pPr>
            <w:r>
              <w:rPr>
                <w:rFonts w:ascii="Courier New" w:cs="Courier New" w:eastAsia="Courier New" w:hAnsi="Courier New"/>
                <w:sz w:val="15"/>
                <w:szCs w:val="15"/>
                <w:color w:val="auto"/>
              </w:rPr>
              <w:t>Minority Interest</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10,570</w:t>
            </w:r>
          </w:p>
        </w:tc>
        <w:tc>
          <w:tcPr>
            <w:tcW w:w="0" w:type="dxa"/>
            <w:vAlign w:val="bottom"/>
          </w:tcPr>
          <w:p>
            <w:pPr>
              <w:spacing w:after="0"/>
              <w:rPr>
                <w:sz w:val="1"/>
                <w:szCs w:val="1"/>
                <w:color w:val="auto"/>
              </w:rPr>
            </w:pPr>
          </w:p>
        </w:tc>
      </w:tr>
      <w:tr>
        <w:trPr>
          <w:trHeight w:val="203"/>
        </w:trPr>
        <w:tc>
          <w:tcPr>
            <w:tcW w:w="3460" w:type="dxa"/>
            <w:vAlign w:val="bottom"/>
            <w:vMerge w:val="continue"/>
          </w:tcPr>
          <w:p>
            <w:pPr>
              <w:spacing w:after="0"/>
              <w:rPr>
                <w:sz w:val="17"/>
                <w:szCs w:val="17"/>
                <w:color w:val="auto"/>
              </w:rPr>
            </w:pP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(695)</w:t>
            </w:r>
          </w:p>
        </w:tc>
        <w:tc>
          <w:tcPr>
            <w:tcW w:w="0" w:type="dxa"/>
            <w:vAlign w:val="bottom"/>
          </w:tcPr>
          <w:p>
            <w:pPr>
              <w:spacing w:after="0"/>
              <w:rPr>
                <w:sz w:val="1"/>
                <w:szCs w:val="1"/>
                <w:color w:val="auto"/>
              </w:rPr>
            </w:pPr>
          </w:p>
        </w:tc>
      </w:tr>
    </w:tbl>
    <w:p>
      <w:pPr>
        <w:ind w:left="62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627" w:type="dxa"/>
        <w:tblCellMar>
          <w:top w:w="0" w:type="dxa"/>
          <w:left w:w="0" w:type="dxa"/>
          <w:bottom w:w="0" w:type="dxa"/>
          <w:right w:w="0" w:type="dxa"/>
        </w:tblCellMar>
      </w:tblPr>
      <w:tr>
        <w:trPr>
          <w:trHeight w:val="175"/>
        </w:trPr>
        <w:tc>
          <w:tcPr>
            <w:tcW w:w="320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$9,875</w:t>
            </w:r>
          </w:p>
        </w:tc>
      </w:tr>
    </w:tbl>
    <w:p>
      <w:pPr>
        <w:ind w:left="62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ind w:left="7" w:right="3859"/>
        <w:spacing w:after="0" w:line="368" w:lineRule="auto"/>
        <w:rPr>
          <w:sz w:val="20"/>
          <w:szCs w:val="20"/>
          <w:color w:val="auto"/>
        </w:rPr>
      </w:pPr>
      <w:r>
        <w:rPr>
          <w:rFonts w:ascii="Courier New" w:cs="Courier New" w:eastAsia="Courier New" w:hAnsi="Courier New"/>
          <w:sz w:val="15"/>
          <w:szCs w:val="15"/>
          <w:color w:val="auto"/>
        </w:rPr>
        <w:t>The results of Beacon have been included in the consolidated financial statements from July 1, 2004.</w:t>
      </w:r>
    </w:p>
    <w:p>
      <w:pPr>
        <w:spacing w:after="0" w:line="35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144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Prior Period Acquisitions</w:t>
      </w:r>
    </w:p>
    <w:p>
      <w:pPr>
        <w:spacing w:after="0" w:line="180"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On January 24, 2003, the Company acquired 100% of the outstanding shares of Medeval Group Limited ("Medeval"), a company based in Manchester, England, for an initial cash consideration of Stg(pound)9.5 million (U.S.$15.5 million), excluding costs of acquisition. Earn-out provisions were built into the acquisition contract requiring the potential payment of additional deferred consideration up to a maximum of Stg(pound)4.3 million (U.S.$6.9 million) depending on the performance of Medeval over the period to May 31, 2004. Such additional consideration is accounted for as goodwill.</w:t>
      </w:r>
    </w:p>
    <w:p>
      <w:pPr>
        <w:spacing w:after="0" w:line="78"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On September 30, 2004, cash consideration of Stg(pound)0.54 million (U.S.$0.97 million) was paid to a number of the former shareholders of Medeval plus guaranteed loan notes with a value of Stg(pound)1.08million (U.S.$1.93 million) were issued to the remaining selling shareholders. At May 31, 2004, Stg(pound)1.37 million (U.S.$2.5 million) of this amount had been provided, therefore an additional Stg(pound)0.253 million (U.S.$0.452 million) has been accounted for under goodwill in the current year. These guaranteed loan notes have a repayment date of 3 years from the date of issue but are exercisable nine months from the date of issue.</w:t>
      </w:r>
    </w:p>
    <w:p>
      <w:pPr>
        <w:spacing w:after="0" w:line="78"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On September 9, 2003, the Company acquired 100% of the outstanding shares of Globomax LLC ("Globomax"), based in Maryland, USA, for an initial cash consideration of U.S.$10.9 million, excluding costs of acquisition. Earn-out provisions were been built into the acquisition contract requiring the potential payment of additional deferred consideration up to a maximum of U.S.$4.0 million depending on the performance of Globomax over the period from date of acquisition to May 31, 2006. Such additional consideration will be accounted for as goodwill.</w:t>
      </w:r>
    </w:p>
    <w:p>
      <w:pPr>
        <w:spacing w:after="0" w:line="78"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The pro forma effect of the Globomax and Beacon acquisitions if completed on June 1, 2003 would have resulted in net revenue, net income and earnings per share for the three and nine months ended February 28, 2005 and 2004 as follows: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324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Three months ended</w:t>
            </w:r>
          </w:p>
        </w:tc>
        <w:tc>
          <w:tcPr>
            <w:tcW w:w="27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820" w:type="dxa"/>
            <w:vAlign w:val="bottom"/>
          </w:tcPr>
          <w:p>
            <w:pPr>
              <w:spacing w:after="0"/>
              <w:rPr>
                <w:sz w:val="15"/>
                <w:szCs w:val="15"/>
                <w:color w:val="auto"/>
              </w:rPr>
            </w:pPr>
          </w:p>
        </w:tc>
        <w:tc>
          <w:tcPr>
            <w:tcW w:w="1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February 28</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February 29</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February 28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February 29</w:t>
            </w:r>
          </w:p>
        </w:tc>
      </w:tr>
      <w:tr>
        <w:trPr>
          <w:trHeight w:val="175"/>
        </w:trPr>
        <w:tc>
          <w:tcPr>
            <w:tcW w:w="2820" w:type="dxa"/>
            <w:vAlign w:val="bottom"/>
          </w:tcPr>
          <w:p>
            <w:pPr>
              <w:spacing w:after="0"/>
              <w:rPr>
                <w:sz w:val="15"/>
                <w:szCs w:val="15"/>
                <w:color w:val="auto"/>
              </w:rPr>
            </w:pPr>
          </w:p>
        </w:tc>
        <w:tc>
          <w:tcPr>
            <w:tcW w:w="17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2005</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2004</w:t>
            </w:r>
          </w:p>
        </w:tc>
        <w:tc>
          <w:tcPr>
            <w:tcW w:w="14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2005</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2004</w:t>
            </w:r>
          </w:p>
        </w:tc>
      </w:tr>
      <w:tr>
        <w:trPr>
          <w:trHeight w:val="256"/>
        </w:trPr>
        <w:tc>
          <w:tcPr>
            <w:tcW w:w="2820" w:type="dxa"/>
            <w:vAlign w:val="bottom"/>
          </w:tcPr>
          <w:p>
            <w:pPr>
              <w:spacing w:after="0"/>
              <w:rPr>
                <w:sz w:val="22"/>
                <w:szCs w:val="22"/>
                <w:color w:val="auto"/>
              </w:rPr>
            </w:pPr>
          </w:p>
        </w:tc>
        <w:tc>
          <w:tcPr>
            <w:tcW w:w="324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(in thousands)</w:t>
            </w:r>
          </w:p>
        </w:tc>
        <w:tc>
          <w:tcPr>
            <w:tcW w:w="27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(in thousands)</w:t>
            </w:r>
          </w:p>
        </w:tc>
      </w:tr>
      <w:tr>
        <w:trPr>
          <w:trHeight w:val="443"/>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$82,855</w:t>
            </w:r>
          </w:p>
        </w:tc>
        <w:tc>
          <w:tcPr>
            <w:tcW w:w="1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$78,017</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$241,071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$225,506</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($5,528)</w:t>
            </w:r>
          </w:p>
        </w:tc>
        <w:tc>
          <w:tcPr>
            <w:tcW w:w="1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$6,641</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$7,549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$18,927</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($0.40)</w:t>
            </w:r>
          </w:p>
        </w:tc>
        <w:tc>
          <w:tcPr>
            <w:tcW w:w="1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$0.49</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$0.55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256"/>
        </w:trPr>
        <w:tc>
          <w:tcPr>
            <w:tcW w:w="28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($0.39)</w:t>
            </w:r>
          </w:p>
        </w:tc>
        <w:tc>
          <w:tcPr>
            <w:tcW w:w="1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$0.47</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$0.54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bl>
    <w:p>
      <w:pPr>
        <w:spacing w:after="0" w:line="200" w:lineRule="exact"/>
        <w:rPr>
          <w:sz w:val="20"/>
          <w:szCs w:val="20"/>
          <w:color w:val="auto"/>
        </w:rPr>
      </w:pPr>
    </w:p>
    <w:p>
      <w:pPr>
        <w:spacing w:after="0" w:line="243"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An effective tax rate of 35.0% was imputed on the profits before tax of Globomax for the periods prior to acquisition.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320" w:type="dxa"/>
            <w:vAlign w:val="bottom"/>
          </w:tcPr>
          <w:p>
            <w:pPr>
              <w:spacing w:after="0"/>
              <w:rPr>
                <w:sz w:val="20"/>
                <w:szCs w:val="20"/>
                <w:color w:val="auto"/>
              </w:rPr>
            </w:pPr>
            <w:r>
              <w:rPr>
                <w:rFonts w:ascii="Courier New" w:cs="Courier New" w:eastAsia="Courier New" w:hAnsi="Courier New"/>
                <w:sz w:val="15"/>
                <w:szCs w:val="15"/>
                <w:color w:val="auto"/>
              </w:rPr>
              <w:t>3. Goodwill</w:t>
            </w:r>
          </w:p>
        </w:tc>
        <w:tc>
          <w:tcPr>
            <w:tcW w:w="2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320" w:type="dxa"/>
            <w:vAlign w:val="bottom"/>
          </w:tcPr>
          <w:p>
            <w:pPr>
              <w:spacing w:after="0"/>
              <w:rPr>
                <w:sz w:val="24"/>
                <w:szCs w:val="24"/>
                <w:color w:val="auto"/>
              </w:rPr>
            </w:pP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Nine months ended</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February 28</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May 31</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2005</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2"/>
                <w:szCs w:val="22"/>
                <w:color w:val="auto"/>
              </w:rPr>
            </w:pPr>
          </w:p>
        </w:tc>
        <w:tc>
          <w:tcPr>
            <w:tcW w:w="2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 thousands)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268"/>
        </w:trPr>
        <w:tc>
          <w:tcPr>
            <w:tcW w:w="3320" w:type="dxa"/>
            <w:vAlign w:val="bottom"/>
          </w:tcPr>
          <w:p>
            <w:pPr>
              <w:ind w:left="620"/>
              <w:spacing w:after="0"/>
              <w:rPr>
                <w:sz w:val="20"/>
                <w:szCs w:val="20"/>
                <w:color w:val="auto"/>
              </w:rPr>
            </w:pPr>
            <w:r>
              <w:rPr>
                <w:rFonts w:ascii="Courier New" w:cs="Courier New" w:eastAsia="Courier New" w:hAnsi="Courier New"/>
                <w:sz w:val="15"/>
                <w:szCs w:val="15"/>
                <w:color w:val="auto"/>
              </w:rPr>
              <w:t>Opening balance</w:t>
            </w: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$64,226</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$45,029</w:t>
            </w:r>
          </w:p>
        </w:tc>
        <w:tc>
          <w:tcPr>
            <w:tcW w:w="0" w:type="dxa"/>
            <w:vAlign w:val="bottom"/>
          </w:tcPr>
          <w:p>
            <w:pPr>
              <w:spacing w:after="0"/>
              <w:rPr>
                <w:sz w:val="1"/>
                <w:szCs w:val="1"/>
                <w:color w:val="auto"/>
              </w:rPr>
            </w:pPr>
          </w:p>
        </w:tc>
      </w:tr>
      <w:tr>
        <w:trPr>
          <w:trHeight w:val="175"/>
        </w:trPr>
        <w:tc>
          <w:tcPr>
            <w:tcW w:w="3320" w:type="dxa"/>
            <w:vAlign w:val="bottom"/>
          </w:tcPr>
          <w:p>
            <w:pPr>
              <w:ind w:left="620"/>
              <w:spacing w:after="0"/>
              <w:rPr>
                <w:sz w:val="20"/>
                <w:szCs w:val="20"/>
                <w:color w:val="auto"/>
              </w:rPr>
            </w:pPr>
            <w:r>
              <w:rPr>
                <w:rFonts w:ascii="Courier New" w:cs="Courier New" w:eastAsia="Courier New" w:hAnsi="Courier New"/>
                <w:sz w:val="15"/>
                <w:szCs w:val="15"/>
                <w:color w:val="auto"/>
              </w:rPr>
              <w:t>Arising during the year</w:t>
            </w: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8,463</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13,134</w:t>
            </w:r>
          </w:p>
        </w:tc>
        <w:tc>
          <w:tcPr>
            <w:tcW w:w="0" w:type="dxa"/>
            <w:vAlign w:val="bottom"/>
          </w:tcPr>
          <w:p>
            <w:pPr>
              <w:spacing w:after="0"/>
              <w:rPr>
                <w:sz w:val="1"/>
                <w:szCs w:val="1"/>
                <w:color w:val="auto"/>
              </w:rPr>
            </w:pPr>
          </w:p>
        </w:tc>
      </w:tr>
      <w:tr>
        <w:trPr>
          <w:trHeight w:val="175"/>
        </w:trPr>
        <w:tc>
          <w:tcPr>
            <w:tcW w:w="3320" w:type="dxa"/>
            <w:vAlign w:val="bottom"/>
          </w:tcPr>
          <w:p>
            <w:pPr>
              <w:ind w:left="620"/>
              <w:spacing w:after="0"/>
              <w:rPr>
                <w:sz w:val="20"/>
                <w:szCs w:val="20"/>
                <w:color w:val="auto"/>
              </w:rPr>
            </w:pPr>
            <w:r>
              <w:rPr>
                <w:rFonts w:ascii="Courier New" w:cs="Courier New" w:eastAsia="Courier New" w:hAnsi="Courier New"/>
                <w:sz w:val="15"/>
                <w:szCs w:val="15"/>
                <w:color w:val="auto"/>
              </w:rPr>
              <w:t>Arising on earn-out</w:t>
            </w:r>
          </w:p>
        </w:tc>
        <w:tc>
          <w:tcPr>
            <w:tcW w:w="22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452</w:t>
            </w:r>
          </w:p>
        </w:tc>
        <w:tc>
          <w:tcPr>
            <w:tcW w:w="1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3,215</w:t>
            </w:r>
          </w:p>
        </w:tc>
        <w:tc>
          <w:tcPr>
            <w:tcW w:w="0" w:type="dxa"/>
            <w:vAlign w:val="bottom"/>
          </w:tcPr>
          <w:p>
            <w:pPr>
              <w:spacing w:after="0"/>
              <w:rPr>
                <w:sz w:val="1"/>
                <w:szCs w:val="1"/>
                <w:color w:val="auto"/>
              </w:rPr>
            </w:pPr>
          </w:p>
        </w:tc>
      </w:tr>
      <w:tr>
        <w:trPr>
          <w:trHeight w:val="175"/>
        </w:trPr>
        <w:tc>
          <w:tcPr>
            <w:tcW w:w="3320" w:type="dxa"/>
            <w:vAlign w:val="bottom"/>
          </w:tcPr>
          <w:p>
            <w:pPr>
              <w:ind w:left="720"/>
              <w:spacing w:after="0"/>
              <w:rPr>
                <w:sz w:val="20"/>
                <w:szCs w:val="20"/>
                <w:color w:val="auto"/>
              </w:rPr>
            </w:pPr>
            <w:r>
              <w:rPr>
                <w:rFonts w:ascii="Courier New" w:cs="Courier New" w:eastAsia="Courier New" w:hAnsi="Courier New"/>
                <w:sz w:val="15"/>
                <w:szCs w:val="15"/>
                <w:color w:val="auto"/>
              </w:rPr>
              <w:t>(prior year acquisitions)</w:t>
            </w:r>
          </w:p>
        </w:tc>
        <w:tc>
          <w:tcPr>
            <w:tcW w:w="222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620"/>
              <w:spacing w:after="0"/>
              <w:rPr>
                <w:sz w:val="20"/>
                <w:szCs w:val="20"/>
                <w:color w:val="auto"/>
              </w:rPr>
            </w:pPr>
            <w:r>
              <w:rPr>
                <w:rFonts w:ascii="Courier New" w:cs="Courier New" w:eastAsia="Courier New" w:hAnsi="Courier New"/>
                <w:sz w:val="15"/>
                <w:szCs w:val="15"/>
                <w:color w:val="auto"/>
              </w:rPr>
              <w:t>Goodwill impairment</w:t>
            </w: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(7,017)</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20" w:type="dxa"/>
            <w:vAlign w:val="bottom"/>
          </w:tcPr>
          <w:p>
            <w:pPr>
              <w:ind w:left="620"/>
              <w:spacing w:after="0"/>
              <w:rPr>
                <w:sz w:val="20"/>
                <w:szCs w:val="20"/>
                <w:color w:val="auto"/>
              </w:rPr>
            </w:pPr>
            <w:r>
              <w:rPr>
                <w:rFonts w:ascii="Courier New" w:cs="Courier New" w:eastAsia="Courier New" w:hAnsi="Courier New"/>
                <w:sz w:val="15"/>
                <w:szCs w:val="15"/>
                <w:color w:val="auto"/>
              </w:rPr>
              <w:t>Foreign exchange movement</w:t>
            </w: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1,316</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2,848</w:t>
            </w:r>
          </w:p>
        </w:tc>
        <w:tc>
          <w:tcPr>
            <w:tcW w:w="0" w:type="dxa"/>
            <w:vAlign w:val="bottom"/>
          </w:tcPr>
          <w:p>
            <w:pPr>
              <w:spacing w:after="0"/>
              <w:rPr>
                <w:sz w:val="1"/>
                <w:szCs w:val="1"/>
                <w:color w:val="auto"/>
              </w:rPr>
            </w:pPr>
          </w:p>
        </w:tc>
      </w:tr>
      <w:tr>
        <w:trPr>
          <w:trHeight w:val="256"/>
        </w:trPr>
        <w:tc>
          <w:tcPr>
            <w:tcW w:w="708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96"/>
        </w:trPr>
        <w:tc>
          <w:tcPr>
            <w:tcW w:w="3320" w:type="dxa"/>
            <w:vAlign w:val="bottom"/>
          </w:tcPr>
          <w:p>
            <w:pPr>
              <w:ind w:left="620"/>
              <w:spacing w:after="0"/>
              <w:rPr>
                <w:sz w:val="20"/>
                <w:szCs w:val="20"/>
                <w:color w:val="auto"/>
              </w:rPr>
            </w:pPr>
            <w:r>
              <w:rPr>
                <w:rFonts w:ascii="Courier New" w:cs="Courier New" w:eastAsia="Courier New" w:hAnsi="Courier New"/>
                <w:sz w:val="15"/>
                <w:szCs w:val="15"/>
                <w:color w:val="auto"/>
              </w:rPr>
              <w:t>Closing balance</w:t>
            </w: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$67,440</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$64,226</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8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The distribution of goodwill by business segment was as follows:</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2320" w:type="dxa"/>
            <w:vAlign w:val="bottom"/>
          </w:tcPr>
          <w:p>
            <w:pPr>
              <w:spacing w:after="0"/>
              <w:rPr>
                <w:sz w:val="15"/>
                <w:szCs w:val="15"/>
                <w:color w:val="auto"/>
              </w:rPr>
            </w:pPr>
          </w:p>
        </w:tc>
        <w:tc>
          <w:tcPr>
            <w:tcW w:w="2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Nine months ended</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2320" w:type="dxa"/>
            <w:vAlign w:val="bottom"/>
          </w:tcPr>
          <w:p>
            <w:pPr>
              <w:spacing w:after="0"/>
              <w:rPr>
                <w:sz w:val="15"/>
                <w:szCs w:val="15"/>
                <w:color w:val="auto"/>
              </w:rPr>
            </w:pPr>
          </w:p>
        </w:tc>
        <w:tc>
          <w:tcPr>
            <w:tcW w:w="2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February 28</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2320" w:type="dxa"/>
            <w:vAlign w:val="bottom"/>
          </w:tcPr>
          <w:p>
            <w:pPr>
              <w:spacing w:after="0"/>
              <w:rPr>
                <w:sz w:val="15"/>
                <w:szCs w:val="15"/>
                <w:color w:val="auto"/>
              </w:rPr>
            </w:pPr>
          </w:p>
        </w:tc>
        <w:tc>
          <w:tcPr>
            <w:tcW w:w="2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2005</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2004</w:t>
            </w:r>
          </w:p>
        </w:tc>
      </w:tr>
      <w:tr>
        <w:trPr>
          <w:trHeight w:val="256"/>
        </w:trPr>
        <w:tc>
          <w:tcPr>
            <w:tcW w:w="2320" w:type="dxa"/>
            <w:vAlign w:val="bottom"/>
          </w:tcPr>
          <w:p>
            <w:pPr>
              <w:spacing w:after="0"/>
              <w:rPr>
                <w:sz w:val="22"/>
                <w:szCs w:val="22"/>
                <w:color w:val="auto"/>
              </w:rPr>
            </w:pPr>
          </w:p>
        </w:tc>
        <w:tc>
          <w:tcPr>
            <w:tcW w:w="2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 thousands)</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268"/>
        </w:trPr>
        <w:tc>
          <w:tcPr>
            <w:tcW w:w="23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$7,017</w:t>
            </w:r>
          </w:p>
        </w:tc>
      </w:tr>
      <w:tr>
        <w:trPr>
          <w:trHeight w:val="203"/>
        </w:trPr>
        <w:tc>
          <w:tcPr>
            <w:tcW w:w="232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67,440</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57,209</w:t>
            </w:r>
          </w:p>
        </w:tc>
      </w:tr>
    </w:tbl>
    <w:p>
      <w:pPr>
        <w:ind w:left="62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$67,440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$64,226</w:t>
            </w:r>
          </w:p>
        </w:tc>
      </w:tr>
    </w:tbl>
    <w:p>
      <w:pPr>
        <w:ind w:left="620"/>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Intangible assets</w:t>
      </w:r>
    </w:p>
    <w:p>
      <w:pPr>
        <w:spacing w:after="0" w:line="180" w:lineRule="exact"/>
        <w:rPr>
          <w:sz w:val="20"/>
          <w:szCs w:val="20"/>
          <w:color w:val="auto"/>
        </w:rPr>
      </w:pPr>
    </w:p>
    <w:p>
      <w:pPr>
        <w:jc w:val="both"/>
        <w:ind w:right="3319"/>
        <w:spacing w:after="0" w:line="307" w:lineRule="auto"/>
        <w:rPr>
          <w:sz w:val="20"/>
          <w:szCs w:val="20"/>
          <w:color w:val="auto"/>
        </w:rPr>
      </w:pPr>
      <w:r>
        <w:rPr>
          <w:rFonts w:ascii="Courier New" w:cs="Courier New" w:eastAsia="Courier New" w:hAnsi="Courier New"/>
          <w:sz w:val="15"/>
          <w:szCs w:val="15"/>
          <w:color w:val="auto"/>
        </w:rPr>
        <w:t>On December 1, 2004, the Company acquired the workforce of Biomines Research Solutions Private Limited, ("Biomines"), based in Chennai, India, for a cash consideration of U.S.$250,000.</w:t>
      </w:r>
    </w:p>
    <w:p>
      <w:pPr>
        <w:spacing w:after="0" w:line="47" w:lineRule="exact"/>
        <w:rPr>
          <w:sz w:val="20"/>
          <w:szCs w:val="20"/>
          <w:color w:val="auto"/>
        </w:rPr>
      </w:pPr>
    </w:p>
    <w:p>
      <w:pPr>
        <w:ind w:right="3859"/>
        <w:spacing w:after="0" w:line="368" w:lineRule="auto"/>
        <w:rPr>
          <w:sz w:val="20"/>
          <w:szCs w:val="20"/>
          <w:color w:val="auto"/>
        </w:rPr>
      </w:pPr>
      <w:r>
        <w:rPr>
          <w:rFonts w:ascii="Courier New" w:cs="Courier New" w:eastAsia="Courier New" w:hAnsi="Courier New"/>
          <w:sz w:val="15"/>
          <w:szCs w:val="15"/>
          <w:color w:val="auto"/>
        </w:rPr>
        <w:t>The acquisition of the workforce of Biomines has been accounted for in accordance with SFAS No. 141, "Business Combinations".</w:t>
      </w:r>
    </w:p>
    <w:p>
      <w:pPr>
        <w:spacing w:after="0" w:line="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At December 1,</w:t>
      </w:r>
    </w:p>
    <w:p>
      <w:pPr>
        <w:spacing w:after="0" w:line="33"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2004</w:t>
      </w:r>
    </w:p>
    <w:p>
      <w:pPr>
        <w:spacing w:after="0" w:line="5"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p>
      <w:pPr>
        <w:ind w:left="620"/>
        <w:spacing w:after="0"/>
        <w:tabs>
          <w:tab w:leader="none" w:pos="6060" w:val="left"/>
        </w:tabs>
        <w:rPr>
          <w:sz w:val="20"/>
          <w:szCs w:val="20"/>
          <w:color w:val="auto"/>
        </w:rPr>
      </w:pPr>
      <w:r>
        <w:rPr>
          <w:rFonts w:ascii="Courier New" w:cs="Courier New" w:eastAsia="Courier New" w:hAnsi="Courier New"/>
          <w:sz w:val="15"/>
          <w:szCs w:val="15"/>
          <w:color w:val="auto"/>
        </w:rPr>
        <w:t>Acquired workforce - intangible asset</w:t>
      </w:r>
      <w:r>
        <w:rPr>
          <w:sz w:val="20"/>
          <w:szCs w:val="20"/>
          <w:color w:val="auto"/>
        </w:rPr>
        <w:tab/>
      </w:r>
      <w:r>
        <w:rPr>
          <w:rFonts w:ascii="Courier New" w:cs="Courier New" w:eastAsia="Courier New" w:hAnsi="Courier New"/>
          <w:sz w:val="15"/>
          <w:szCs w:val="15"/>
          <w:color w:val="auto"/>
        </w:rPr>
        <w:t>$250</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620"/>
        <w:spacing w:after="0"/>
        <w:tabs>
          <w:tab w:leader="none" w:pos="6060" w:val="left"/>
        </w:tabs>
        <w:rPr>
          <w:sz w:val="20"/>
          <w:szCs w:val="20"/>
          <w:color w:val="auto"/>
        </w:rPr>
      </w:pPr>
      <w:r>
        <w:rPr>
          <w:rFonts w:ascii="Courier New" w:cs="Courier New" w:eastAsia="Courier New" w:hAnsi="Courier New"/>
          <w:sz w:val="15"/>
          <w:szCs w:val="15"/>
          <w:color w:val="auto"/>
        </w:rPr>
        <w:t>Purchase Price</w:t>
      </w:r>
      <w:r>
        <w:rPr>
          <w:sz w:val="20"/>
          <w:szCs w:val="20"/>
          <w:color w:val="auto"/>
        </w:rPr>
        <w:tab/>
      </w:r>
      <w:r>
        <w:rPr>
          <w:rFonts w:ascii="Courier New" w:cs="Courier New" w:eastAsia="Courier New" w:hAnsi="Courier New"/>
          <w:sz w:val="15"/>
          <w:szCs w:val="15"/>
          <w:color w:val="auto"/>
        </w:rPr>
        <w:t>$250</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The cost of the acquired workforce is being amortized over the 24 months in line with the life of the non-compete service contracts of the acquired employees. $31,000 has been amortized in the period since the date of acquisition.</w:t>
      </w:r>
    </w:p>
    <w:p>
      <w:pPr>
        <w:spacing w:after="0" w:line="47"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At February 28,</w:t>
            </w:r>
          </w:p>
        </w:tc>
      </w:tr>
      <w:tr>
        <w:trPr>
          <w:trHeight w:val="175"/>
        </w:trPr>
        <w:tc>
          <w:tcPr>
            <w:tcW w:w="3320" w:type="dxa"/>
            <w:vAlign w:val="bottom"/>
          </w:tcPr>
          <w:p>
            <w:pPr>
              <w:spacing w:after="0"/>
              <w:rPr>
                <w:sz w:val="15"/>
                <w:szCs w:val="15"/>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256"/>
        </w:trPr>
        <w:tc>
          <w:tcPr>
            <w:tcW w:w="332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268"/>
        </w:trPr>
        <w:tc>
          <w:tcPr>
            <w:tcW w:w="332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203"/>
        </w:trPr>
        <w:tc>
          <w:tcPr>
            <w:tcW w:w="3320" w:type="dxa"/>
            <w:vAlign w:val="bottom"/>
          </w:tcPr>
          <w:p>
            <w:pPr>
              <w:spacing w:after="0"/>
              <w:rPr>
                <w:sz w:val="20"/>
                <w:szCs w:val="20"/>
                <w:color w:val="auto"/>
              </w:rPr>
            </w:pPr>
            <w:r>
              <w:rPr>
                <w:rFonts w:ascii="Courier New" w:cs="Courier New" w:eastAsia="Courier New" w:hAnsi="Courier New"/>
                <w:sz w:val="15"/>
                <w:szCs w:val="15"/>
                <w:color w:val="auto"/>
              </w:rPr>
              <w:t>Amortization in the period</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bl>
    <w:p>
      <w:pPr>
        <w:ind w:left="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book value</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bl>
    <w:p>
      <w:pPr>
        <w:ind w:left="62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Net income per Ordinary Share</w:t>
      </w:r>
    </w:p>
    <w:p>
      <w:pPr>
        <w:spacing w:after="0" w:line="180"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00" w:lineRule="exact"/>
        <w:rPr>
          <w:sz w:val="20"/>
          <w:szCs w:val="20"/>
          <w:color w:val="auto"/>
        </w:rPr>
      </w:pPr>
    </w:p>
    <w:p>
      <w:pPr>
        <w:spacing w:after="0" w:line="2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64" w:right="1440" w:bottom="1440" w:gutter="0" w:footer="0" w:header="0"/>
        </w:sectPr>
      </w:pPr>
    </w:p>
    <w:bookmarkStart w:id="10" w:name="page11"/>
    <w:bookmarkEnd w:id="10"/>
    <w:p>
      <w:pPr>
        <w:ind w:right="4440"/>
        <w:spacing w:after="0" w:line="307" w:lineRule="auto"/>
        <w:rPr>
          <w:sz w:val="20"/>
          <w:szCs w:val="20"/>
          <w:color w:val="auto"/>
        </w:rPr>
      </w:pPr>
      <w:r>
        <w:rPr>
          <w:rFonts w:ascii="Courier New" w:cs="Courier New" w:eastAsia="Courier New" w:hAnsi="Courier New"/>
          <w:sz w:val="15"/>
          <w:szCs w:val="15"/>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Ended</w:t>
            </w:r>
          </w:p>
        </w:tc>
        <w:tc>
          <w:tcPr>
            <w:tcW w:w="290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2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February 28</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February 29</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February 28</w:t>
            </w:r>
          </w:p>
        </w:tc>
        <w:tc>
          <w:tcPr>
            <w:tcW w:w="1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February 29</w:t>
            </w:r>
          </w:p>
        </w:tc>
        <w:tc>
          <w:tcPr>
            <w:tcW w:w="0" w:type="dxa"/>
            <w:vAlign w:val="bottom"/>
          </w:tcPr>
          <w:p>
            <w:pPr>
              <w:spacing w:after="0"/>
              <w:rPr>
                <w:sz w:val="1"/>
                <w:szCs w:val="1"/>
                <w:color w:val="auto"/>
              </w:rPr>
            </w:pPr>
          </w:p>
        </w:tc>
      </w:tr>
      <w:tr>
        <w:trPr>
          <w:trHeight w:val="256"/>
        </w:trPr>
        <w:tc>
          <w:tcPr>
            <w:tcW w:w="5220" w:type="dxa"/>
            <w:vAlign w:val="bottom"/>
          </w:tcPr>
          <w:p>
            <w:pPr>
              <w:spacing w:after="0"/>
              <w:rPr>
                <w:sz w:val="22"/>
                <w:szCs w:val="22"/>
                <w:color w:val="auto"/>
              </w:rPr>
            </w:pPr>
          </w:p>
        </w:tc>
        <w:tc>
          <w:tcPr>
            <w:tcW w:w="2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2005</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2004</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2005</w:t>
            </w:r>
          </w:p>
        </w:tc>
        <w:tc>
          <w:tcPr>
            <w:tcW w:w="1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443"/>
        </w:trPr>
        <w:tc>
          <w:tcPr>
            <w:tcW w:w="522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w:t>
            </w:r>
          </w:p>
        </w:tc>
        <w:tc>
          <w:tcPr>
            <w:tcW w:w="208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13,866,236</w:t>
            </w:r>
          </w:p>
        </w:tc>
        <w:tc>
          <w:tcPr>
            <w:tcW w:w="13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13,622,514</w:t>
            </w:r>
          </w:p>
        </w:tc>
        <w:tc>
          <w:tcPr>
            <w:tcW w:w="15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13,847,197</w:t>
            </w:r>
          </w:p>
        </w:tc>
        <w:tc>
          <w:tcPr>
            <w:tcW w:w="13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12,797,089</w:t>
            </w:r>
          </w:p>
        </w:tc>
        <w:tc>
          <w:tcPr>
            <w:tcW w:w="0" w:type="dxa"/>
            <w:vAlign w:val="bottom"/>
          </w:tcPr>
          <w:p>
            <w:pPr>
              <w:spacing w:after="0"/>
              <w:rPr>
                <w:sz w:val="1"/>
                <w:szCs w:val="1"/>
                <w:color w:val="auto"/>
              </w:rPr>
            </w:pPr>
          </w:p>
        </w:tc>
      </w:tr>
      <w:tr>
        <w:trPr>
          <w:trHeight w:val="175"/>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outstanding for basic net income per Ordinary Share</w:t>
            </w:r>
          </w:p>
        </w:tc>
        <w:tc>
          <w:tcPr>
            <w:tcW w:w="20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Effect of dilutive share options outstanding</w:t>
            </w:r>
          </w:p>
        </w:tc>
        <w:tc>
          <w:tcPr>
            <w:tcW w:w="2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211,674</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447,680</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254,778</w:t>
            </w:r>
          </w:p>
        </w:tc>
        <w:tc>
          <w:tcPr>
            <w:tcW w:w="1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491,599</w:t>
            </w:r>
          </w:p>
        </w:tc>
        <w:tc>
          <w:tcPr>
            <w:tcW w:w="0" w:type="dxa"/>
            <w:vAlign w:val="bottom"/>
          </w:tcPr>
          <w:p>
            <w:pPr>
              <w:spacing w:after="0"/>
              <w:rPr>
                <w:sz w:val="1"/>
                <w:szCs w:val="1"/>
                <w:color w:val="auto"/>
              </w:rPr>
            </w:pPr>
          </w:p>
        </w:tc>
      </w:tr>
      <w:tr>
        <w:trPr>
          <w:trHeight w:val="256"/>
        </w:trPr>
        <w:tc>
          <w:tcPr>
            <w:tcW w:w="522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number of Ordinary Shares for</w:t>
            </w:r>
          </w:p>
        </w:tc>
        <w:tc>
          <w:tcPr>
            <w:tcW w:w="6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c>
          <w:tcPr>
            <w:tcW w:w="0" w:type="dxa"/>
            <w:vAlign w:val="bottom"/>
          </w:tcPr>
          <w:p>
            <w:pPr>
              <w:spacing w:after="0"/>
              <w:rPr>
                <w:sz w:val="1"/>
                <w:szCs w:val="1"/>
                <w:color w:val="auto"/>
              </w:rPr>
            </w:pPr>
          </w:p>
        </w:tc>
      </w:tr>
      <w:tr>
        <w:trPr>
          <w:trHeight w:val="93"/>
        </w:trPr>
        <w:tc>
          <w:tcPr>
            <w:tcW w:w="5220" w:type="dxa"/>
            <w:vAlign w:val="bottom"/>
            <w:vMerge w:val="continue"/>
          </w:tcPr>
          <w:p>
            <w:pPr>
              <w:spacing w:after="0"/>
              <w:rPr>
                <w:sz w:val="8"/>
                <w:szCs w:val="8"/>
                <w:color w:val="auto"/>
              </w:rPr>
            </w:pPr>
          </w:p>
        </w:tc>
        <w:tc>
          <w:tcPr>
            <w:tcW w:w="208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14,077,910</w:t>
            </w:r>
          </w:p>
        </w:tc>
        <w:tc>
          <w:tcPr>
            <w:tcW w:w="13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14,070,194</w:t>
            </w:r>
          </w:p>
        </w:tc>
        <w:tc>
          <w:tcPr>
            <w:tcW w:w="15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14,101,975</w:t>
            </w:r>
          </w:p>
        </w:tc>
        <w:tc>
          <w:tcPr>
            <w:tcW w:w="13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13,288,688</w:t>
            </w:r>
          </w:p>
        </w:tc>
        <w:tc>
          <w:tcPr>
            <w:tcW w:w="0" w:type="dxa"/>
            <w:vAlign w:val="bottom"/>
          </w:tcPr>
          <w:p>
            <w:pPr>
              <w:spacing w:after="0"/>
              <w:rPr>
                <w:sz w:val="1"/>
                <w:szCs w:val="1"/>
                <w:color w:val="auto"/>
              </w:rPr>
            </w:pPr>
          </w:p>
        </w:tc>
      </w:tr>
      <w:tr>
        <w:trPr>
          <w:trHeight w:val="175"/>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diluted net income per Ordinary Share</w:t>
            </w:r>
          </w:p>
        </w:tc>
        <w:tc>
          <w:tcPr>
            <w:tcW w:w="20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220" w:type="dxa"/>
            <w:vAlign w:val="bottom"/>
          </w:tcPr>
          <w:p>
            <w:pPr>
              <w:spacing w:after="0"/>
              <w:rPr>
                <w:sz w:val="22"/>
                <w:szCs w:val="22"/>
                <w:color w:val="auto"/>
              </w:rPr>
            </w:pPr>
          </w:p>
        </w:tc>
        <w:tc>
          <w:tcPr>
            <w:tcW w:w="6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Business Segment Information</w:t>
      </w:r>
    </w:p>
    <w:p>
      <w:pPr>
        <w:spacing w:after="0" w:line="180" w:lineRule="exact"/>
        <w:rPr>
          <w:sz w:val="20"/>
          <w:szCs w:val="20"/>
          <w:color w:val="auto"/>
        </w:rPr>
      </w:pPr>
    </w:p>
    <w:p>
      <w:pPr>
        <w:ind w:right="4260"/>
        <w:spacing w:after="0" w:line="271" w:lineRule="auto"/>
        <w:rPr>
          <w:sz w:val="20"/>
          <w:szCs w:val="20"/>
          <w:color w:val="auto"/>
        </w:rPr>
      </w:pPr>
      <w:r>
        <w:rPr>
          <w:rFonts w:ascii="Courier New" w:cs="Courier New" w:eastAsia="Courier New" w:hAnsi="Courier New"/>
          <w:sz w:val="15"/>
          <w:szCs w:val="15"/>
          <w:color w:val="auto"/>
        </w:rPr>
        <w:t>The Company's areas of operation outside of Ireland principally include the United Kingdom, United States, Germany, Australia, Argentina, France, Japan, Israel, Singapore, Canada, Sweden, The Netherlands, Latvia, Russia, Taiwan, Hong Kong, South Africa, Spain, Hungary, India, Mexico and Brazil. Segment information for the three and nine month periods ended February 28, 2005 and February 29, 2004 are as follows:</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6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000" w:type="dxa"/>
            <w:vAlign w:val="bottom"/>
          </w:tcPr>
          <w:p>
            <w:pPr>
              <w:spacing w:after="0"/>
              <w:rPr>
                <w:sz w:val="15"/>
                <w:szCs w:val="15"/>
                <w:color w:val="auto"/>
              </w:rPr>
            </w:pP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February 28</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February 29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February 28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February 29</w:t>
            </w:r>
          </w:p>
        </w:tc>
      </w:tr>
      <w:tr>
        <w:trPr>
          <w:trHeight w:val="175"/>
        </w:trPr>
        <w:tc>
          <w:tcPr>
            <w:tcW w:w="20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2004</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256"/>
        </w:trPr>
        <w:tc>
          <w:tcPr>
            <w:tcW w:w="20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2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r>
      <w:tr>
        <w:trPr>
          <w:trHeight w:val="268"/>
        </w:trPr>
        <w:tc>
          <w:tcPr>
            <w:tcW w:w="20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$10,402</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$9,366</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$29,903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$27,523</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19,631</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18,171</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57,091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45,633</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48,399</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46,660</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140,278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138,232</w:t>
            </w:r>
          </w:p>
        </w:tc>
      </w:tr>
      <w:tr>
        <w:trPr>
          <w:trHeight w:val="203"/>
        </w:trPr>
        <w:tc>
          <w:tcPr>
            <w:tcW w:w="20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4,423</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2,665</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13,417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7,616</w:t>
            </w: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$82,855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$76,862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$240,689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$219,004</w:t>
            </w: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301" w:lineRule="exact"/>
        <w:rPr>
          <w:sz w:val="20"/>
          <w:szCs w:val="20"/>
          <w:color w:val="auto"/>
        </w:rPr>
      </w:pPr>
    </w:p>
    <w:p>
      <w:pPr>
        <w:ind w:left="820" w:hanging="191"/>
        <w:spacing w:after="0"/>
        <w:tabs>
          <w:tab w:leader="none" w:pos="8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sales shown for Ireland are export sales.</w:t>
      </w:r>
    </w:p>
    <w:p>
      <w:pPr>
        <w:spacing w:after="0" w:line="179" w:lineRule="exact"/>
        <w:rPr>
          <w:rFonts w:ascii="Courier New" w:cs="Courier New" w:eastAsia="Courier New" w:hAnsi="Courier New"/>
          <w:sz w:val="15"/>
          <w:szCs w:val="15"/>
          <w:color w:val="auto"/>
        </w:rPr>
      </w:pPr>
    </w:p>
    <w:p>
      <w:pPr>
        <w:ind w:left="720" w:hanging="272"/>
        <w:spacing w:after="0"/>
        <w:tabs>
          <w:tab w:leader="none" w:pos="7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net revenue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6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240" w:type="dxa"/>
            <w:vAlign w:val="bottom"/>
          </w:tcPr>
          <w:p>
            <w:pPr>
              <w:spacing w:after="0"/>
              <w:rPr>
                <w:sz w:val="15"/>
                <w:szCs w:val="15"/>
                <w:color w:val="auto"/>
              </w:rPr>
            </w:pPr>
          </w:p>
        </w:tc>
        <w:tc>
          <w:tcPr>
            <w:tcW w:w="1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February 28</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February 29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February 28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February 29</w:t>
            </w:r>
          </w:p>
        </w:tc>
      </w:tr>
      <w:tr>
        <w:trPr>
          <w:trHeight w:val="175"/>
        </w:trPr>
        <w:tc>
          <w:tcPr>
            <w:tcW w:w="2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2004</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256"/>
        </w:trPr>
        <w:tc>
          <w:tcPr>
            <w:tcW w:w="22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2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r>
      <w:tr>
        <w:trPr>
          <w:trHeight w:val="268"/>
        </w:trPr>
        <w:tc>
          <w:tcPr>
            <w:tcW w:w="22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$6,371</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$7,212</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$19,376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$19,549</w:t>
            </w:r>
          </w:p>
        </w:tc>
      </w:tr>
      <w:tr>
        <w:trPr>
          <w:trHeight w:val="203"/>
        </w:trPr>
        <w:tc>
          <w:tcPr>
            <w:tcW w:w="22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76,484</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69,650</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221,313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199,455</w:t>
            </w: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18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$82,855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$76,862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$240,689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$219,004</w:t>
            </w: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20"/>
          </w:cols>
          <w:pgMar w:left="240" w:top="1314" w:right="139" w:bottom="1440" w:gutter="0" w:footer="0" w:header="0"/>
        </w:sectPr>
      </w:pPr>
    </w:p>
    <w:bookmarkStart w:id="11" w:name="page12"/>
    <w:bookmarkEnd w:id="11"/>
    <w:p>
      <w:pPr>
        <w:ind w:left="720" w:hanging="272"/>
        <w:spacing w:after="0"/>
        <w:tabs>
          <w:tab w:leader="none" w:pos="7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301"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6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200" w:type="dxa"/>
            <w:vAlign w:val="bottom"/>
          </w:tcPr>
          <w:p>
            <w:pPr>
              <w:spacing w:after="0"/>
              <w:rPr>
                <w:sz w:val="15"/>
                <w:szCs w:val="15"/>
                <w:color w:val="auto"/>
              </w:rPr>
            </w:pPr>
          </w:p>
        </w:tc>
        <w:tc>
          <w:tcPr>
            <w:tcW w:w="1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February 28</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February 29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February 28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February 29</w:t>
            </w:r>
          </w:p>
        </w:tc>
      </w:tr>
      <w:tr>
        <w:trPr>
          <w:trHeight w:val="175"/>
        </w:trPr>
        <w:tc>
          <w:tcPr>
            <w:tcW w:w="22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2004</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256"/>
        </w:trPr>
        <w:tc>
          <w:tcPr>
            <w:tcW w:w="2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2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$584</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$3,454</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$7,004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$8,390</w:t>
            </w:r>
          </w:p>
        </w:tc>
      </w:tr>
      <w:tr>
        <w:trPr>
          <w:trHeight w:val="175"/>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2,380</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2,150</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5,689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3,886</w:t>
            </w:r>
          </w:p>
        </w:tc>
      </w:tr>
      <w:tr>
        <w:trPr>
          <w:trHeight w:val="175"/>
        </w:trPr>
        <w:tc>
          <w:tcPr>
            <w:tcW w:w="22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(8,592)</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2,572</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(3,978)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11,299</w:t>
            </w:r>
          </w:p>
        </w:tc>
      </w:tr>
      <w:tr>
        <w:trPr>
          <w:trHeight w:val="203"/>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391</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582</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2,541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1,169</w:t>
            </w: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18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$(5,237)</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$8,758</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$11,256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$24,744</w:t>
            </w: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301" w:lineRule="exact"/>
        <w:rPr>
          <w:sz w:val="20"/>
          <w:szCs w:val="20"/>
          <w:color w:val="auto"/>
        </w:rPr>
      </w:pPr>
    </w:p>
    <w:p>
      <w:pPr>
        <w:ind w:left="720" w:hanging="272"/>
        <w:spacing w:after="0"/>
        <w:tabs>
          <w:tab w:leader="none" w:pos="7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60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280" w:type="dxa"/>
            <w:vAlign w:val="bottom"/>
          </w:tcPr>
          <w:p>
            <w:pPr>
              <w:spacing w:after="0"/>
              <w:rPr>
                <w:sz w:val="15"/>
                <w:szCs w:val="15"/>
                <w:color w:val="auto"/>
              </w:rPr>
            </w:pPr>
          </w:p>
        </w:tc>
        <w:tc>
          <w:tcPr>
            <w:tcW w:w="1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February 28</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February 29</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February 28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February 29</w:t>
            </w:r>
          </w:p>
        </w:tc>
      </w:tr>
      <w:tr>
        <w:trPr>
          <w:trHeight w:val="175"/>
        </w:trPr>
        <w:tc>
          <w:tcPr>
            <w:tcW w:w="2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256"/>
        </w:trPr>
        <w:tc>
          <w:tcPr>
            <w:tcW w:w="22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2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r>
      <w:tr>
        <w:trPr>
          <w:trHeight w:val="268"/>
        </w:trPr>
        <w:tc>
          <w:tcPr>
            <w:tcW w:w="228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$(10,533)</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$(483)</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$(13,287)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$(2,796)</w:t>
            </w:r>
          </w:p>
        </w:tc>
      </w:tr>
      <w:tr>
        <w:trPr>
          <w:trHeight w:val="203"/>
        </w:trPr>
        <w:tc>
          <w:tcPr>
            <w:tcW w:w="228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5,296</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9,241</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24,543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27,540</w:t>
            </w: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18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$(5,237)</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$8,758</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$11,256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$24,744</w:t>
            </w: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301" w:lineRule="exact"/>
        <w:rPr>
          <w:sz w:val="20"/>
          <w:szCs w:val="20"/>
          <w:color w:val="auto"/>
        </w:rPr>
      </w:pPr>
    </w:p>
    <w:p>
      <w:pPr>
        <w:ind w:right="3039" w:firstLine="448"/>
        <w:spacing w:after="0" w:line="368" w:lineRule="auto"/>
        <w:tabs>
          <w:tab w:leader="none" w:pos="7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2600" w:type="dxa"/>
            <w:vAlign w:val="bottom"/>
          </w:tcPr>
          <w:p>
            <w:pPr>
              <w:spacing w:after="0"/>
              <w:rPr>
                <w:sz w:val="15"/>
                <w:szCs w:val="15"/>
                <w:color w:val="auto"/>
              </w:rPr>
            </w:pPr>
          </w:p>
        </w:tc>
        <w:tc>
          <w:tcPr>
            <w:tcW w:w="31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February 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2600" w:type="dxa"/>
            <w:vAlign w:val="bottom"/>
          </w:tcPr>
          <w:p>
            <w:pPr>
              <w:spacing w:after="0"/>
              <w:rPr>
                <w:sz w:val="15"/>
                <w:szCs w:val="15"/>
                <w:color w:val="auto"/>
              </w:rPr>
            </w:pPr>
          </w:p>
        </w:tc>
        <w:tc>
          <w:tcPr>
            <w:tcW w:w="31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256"/>
        </w:trPr>
        <w:tc>
          <w:tcPr>
            <w:tcW w:w="2600" w:type="dxa"/>
            <w:vAlign w:val="bottom"/>
          </w:tcPr>
          <w:p>
            <w:pPr>
              <w:spacing w:after="0"/>
              <w:rPr>
                <w:sz w:val="22"/>
                <w:szCs w:val="22"/>
                <w:color w:val="auto"/>
              </w:rPr>
            </w:pPr>
          </w:p>
        </w:tc>
        <w:tc>
          <w:tcPr>
            <w:tcW w:w="3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 thousands)</w:t>
            </w:r>
          </w:p>
        </w:tc>
        <w:tc>
          <w:tcPr>
            <w:tcW w:w="720" w:type="dxa"/>
            <w:vAlign w:val="bottom"/>
          </w:tcPr>
          <w:p>
            <w:pPr>
              <w:spacing w:after="0"/>
              <w:rPr>
                <w:sz w:val="22"/>
                <w:szCs w:val="22"/>
                <w:color w:val="auto"/>
              </w:rPr>
            </w:pPr>
          </w:p>
        </w:tc>
      </w:tr>
      <w:tr>
        <w:trPr>
          <w:trHeight w:val="268"/>
        </w:trPr>
        <w:tc>
          <w:tcPr>
            <w:tcW w:w="26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31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$18,799</w:t>
            </w:r>
          </w:p>
        </w:tc>
      </w:tr>
      <w:tr>
        <w:trPr>
          <w:trHeight w:val="175"/>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31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9,238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7,202</w:t>
            </w:r>
          </w:p>
        </w:tc>
      </w:tr>
      <w:tr>
        <w:trPr>
          <w:trHeight w:val="175"/>
        </w:trPr>
        <w:tc>
          <w:tcPr>
            <w:tcW w:w="26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31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13,901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15,935</w:t>
            </w:r>
          </w:p>
        </w:tc>
      </w:tr>
      <w:tr>
        <w:trPr>
          <w:trHeight w:val="203"/>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31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1,673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ind w:left="62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$44,838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$42,936</w:t>
            </w:r>
          </w:p>
        </w:tc>
      </w:tr>
    </w:tbl>
    <w:p>
      <w:pPr>
        <w:ind w:left="62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ind w:right="3419" w:firstLine="448"/>
        <w:spacing w:after="0" w:line="368" w:lineRule="auto"/>
        <w:tabs>
          <w:tab w:leader="none" w:pos="7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25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February 28,</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175"/>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Central laboratory</w:t>
            </w:r>
          </w:p>
        </w:tc>
        <w:tc>
          <w:tcPr>
            <w:tcW w:w="2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$2,788</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175"/>
        </w:trPr>
        <w:tc>
          <w:tcPr>
            <w:tcW w:w="250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42,050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38,947</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$44,838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$42,936</w:t>
            </w:r>
          </w:p>
        </w:tc>
      </w:tr>
    </w:tbl>
    <w:p>
      <w:pPr>
        <w:ind w:left="62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139" w:right="1440" w:bottom="1440" w:gutter="0" w:footer="0" w:header="0"/>
        </w:sectPr>
      </w:pPr>
    </w:p>
    <w:bookmarkStart w:id="12" w:name="page13"/>
    <w:bookmarkEnd w:id="12"/>
    <w:p>
      <w:pPr>
        <w:ind w:left="-440" w:right="3139" w:firstLine="448"/>
        <w:spacing w:after="0" w:line="368" w:lineRule="auto"/>
        <w:tabs>
          <w:tab w:leader="none" w:pos="2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depreciation and amortization by geographical area was as follows:</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2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6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100" w:type="dxa"/>
            <w:vAlign w:val="bottom"/>
          </w:tcPr>
          <w:p>
            <w:pPr>
              <w:spacing w:after="0"/>
              <w:rPr>
                <w:sz w:val="15"/>
                <w:szCs w:val="15"/>
                <w:color w:val="auto"/>
              </w:rPr>
            </w:pP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February 28</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February 29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February 28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February 28</w:t>
            </w:r>
          </w:p>
        </w:tc>
      </w:tr>
      <w:tr>
        <w:trPr>
          <w:trHeight w:val="175"/>
        </w:trPr>
        <w:tc>
          <w:tcPr>
            <w:tcW w:w="2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2004</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256"/>
        </w:trPr>
        <w:tc>
          <w:tcPr>
            <w:tcW w:w="2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2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r>
      <w:tr>
        <w:trPr>
          <w:trHeight w:val="268"/>
        </w:trPr>
        <w:tc>
          <w:tcPr>
            <w:tcW w:w="21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$1,378</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$965</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$3,787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$2,691</w:t>
            </w:r>
          </w:p>
        </w:tc>
      </w:tr>
      <w:tr>
        <w:trPr>
          <w:trHeight w:val="175"/>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476</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353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1,320</w:t>
            </w:r>
          </w:p>
        </w:tc>
      </w:tr>
      <w:tr>
        <w:trPr>
          <w:trHeight w:val="175"/>
        </w:trPr>
        <w:tc>
          <w:tcPr>
            <w:tcW w:w="21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1,382</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1,367</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5,338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3,948</w:t>
            </w:r>
          </w:p>
        </w:tc>
      </w:tr>
      <w:tr>
        <w:trPr>
          <w:trHeight w:val="203"/>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1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304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bl>
    <w:p>
      <w:pPr>
        <w:ind w:left="180"/>
        <w:spacing w:after="0"/>
        <w:rPr>
          <w:sz w:val="20"/>
          <w:szCs w:val="20"/>
          <w:color w:val="auto"/>
        </w:rPr>
      </w:pPr>
      <w:r>
        <w:rPr>
          <w:rFonts w:ascii="Courier New" w:cs="Courier New" w:eastAsia="Courier New" w:hAnsi="Courier New"/>
          <w:sz w:val="15"/>
          <w:szCs w:val="15"/>
          <w:color w:val="auto"/>
        </w:rPr>
        <w:t>------------------------------------------ ---------------- ----------- ------------------</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18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$3,424</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$2,894</w:t>
            </w:r>
          </w:p>
        </w:tc>
        <w:tc>
          <w:tcPr>
            <w:tcW w:w="1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$9,782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$8,215</w:t>
            </w:r>
          </w:p>
        </w:tc>
      </w:tr>
    </w:tbl>
    <w:p>
      <w:pPr>
        <w:ind w:left="18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301" w:lineRule="exact"/>
        <w:rPr>
          <w:sz w:val="20"/>
          <w:szCs w:val="20"/>
          <w:color w:val="auto"/>
        </w:rPr>
      </w:pPr>
    </w:p>
    <w:p>
      <w:pPr>
        <w:ind w:left="-440" w:right="3219" w:firstLine="448"/>
        <w:spacing w:after="0" w:line="368" w:lineRule="auto"/>
        <w:tabs>
          <w:tab w:leader="none" w:pos="2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depreciation and amortization by business segment was as follows:</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25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740" w:type="dxa"/>
            <w:vAlign w:val="bottom"/>
          </w:tcPr>
          <w:p>
            <w:pPr>
              <w:ind w:left="60"/>
              <w:spacing w:after="0"/>
              <w:rPr>
                <w:sz w:val="20"/>
                <w:szCs w:val="20"/>
                <w:color w:val="auto"/>
              </w:rPr>
            </w:pPr>
            <w:r>
              <w:rPr>
                <w:rFonts w:ascii="Courier New" w:cs="Courier New" w:eastAsia="Courier New" w:hAnsi="Courier New"/>
                <w:sz w:val="15"/>
                <w:szCs w:val="15"/>
                <w:color w:val="auto"/>
              </w:rPr>
              <w:t>Months Ended</w:t>
            </w:r>
          </w:p>
        </w:tc>
        <w:tc>
          <w:tcPr>
            <w:tcW w:w="25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500" w:type="dxa"/>
            <w:vAlign w:val="bottom"/>
          </w:tcPr>
          <w:p>
            <w:pPr>
              <w:spacing w:after="0"/>
              <w:rPr>
                <w:sz w:val="15"/>
                <w:szCs w:val="15"/>
                <w:color w:val="auto"/>
              </w:rPr>
            </w:pPr>
          </w:p>
        </w:tc>
        <w:tc>
          <w:tcPr>
            <w:tcW w:w="2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February 28</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February 29</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February 28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February 29</w:t>
            </w:r>
          </w:p>
        </w:tc>
      </w:tr>
      <w:tr>
        <w:trPr>
          <w:trHeight w:val="175"/>
        </w:trPr>
        <w:tc>
          <w:tcPr>
            <w:tcW w:w="25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256"/>
        </w:trPr>
        <w:tc>
          <w:tcPr>
            <w:tcW w:w="25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740" w:type="dxa"/>
            <w:vAlign w:val="bottom"/>
          </w:tcPr>
          <w:p>
            <w:pPr>
              <w:ind w:left="60"/>
              <w:spacing w:after="0"/>
              <w:rPr>
                <w:sz w:val="20"/>
                <w:szCs w:val="20"/>
                <w:color w:val="auto"/>
              </w:rPr>
            </w:pPr>
            <w:r>
              <w:rPr>
                <w:rFonts w:ascii="Courier New" w:cs="Courier New" w:eastAsia="Courier New" w:hAnsi="Courier New"/>
                <w:sz w:val="15"/>
                <w:szCs w:val="15"/>
                <w:color w:val="auto"/>
              </w:rPr>
              <w:t>thousands)</w:t>
            </w:r>
          </w:p>
        </w:tc>
        <w:tc>
          <w:tcPr>
            <w:tcW w:w="258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(in thousands)</w:t>
            </w:r>
          </w:p>
        </w:tc>
      </w:tr>
      <w:tr>
        <w:trPr>
          <w:trHeight w:val="268"/>
        </w:trPr>
        <w:tc>
          <w:tcPr>
            <w:tcW w:w="250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$239</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$735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$766</w:t>
            </w:r>
          </w:p>
        </w:tc>
      </w:tr>
      <w:tr>
        <w:trPr>
          <w:trHeight w:val="203"/>
        </w:trPr>
        <w:tc>
          <w:tcPr>
            <w:tcW w:w="25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3,169</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2,655</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9,047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7,449</w:t>
            </w:r>
          </w:p>
        </w:tc>
      </w:tr>
    </w:tbl>
    <w:p>
      <w:pPr>
        <w:ind w:left="180"/>
        <w:spacing w:after="0"/>
        <w:rPr>
          <w:sz w:val="20"/>
          <w:szCs w:val="20"/>
          <w:color w:val="auto"/>
        </w:rPr>
      </w:pPr>
      <w:r>
        <w:rPr>
          <w:rFonts w:ascii="Courier New" w:cs="Courier New" w:eastAsia="Courier New" w:hAnsi="Courier New"/>
          <w:sz w:val="15"/>
          <w:szCs w:val="15"/>
          <w:color w:val="auto"/>
        </w:rPr>
        <w:t>-------------------------------------------------- ---------------- ----------- ------------------</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$3,424</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$2,894</w:t>
            </w:r>
          </w:p>
        </w:tc>
        <w:tc>
          <w:tcPr>
            <w:tcW w:w="1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$9,782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$8,215</w:t>
            </w:r>
          </w:p>
        </w:tc>
      </w:tr>
    </w:tbl>
    <w:p>
      <w:pPr>
        <w:ind w:left="18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The distribution of total assets by geographical area was as follows: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2600" w:type="dxa"/>
            <w:vAlign w:val="bottom"/>
          </w:tcPr>
          <w:p>
            <w:pPr>
              <w:spacing w:after="0"/>
              <w:rPr>
                <w:sz w:val="15"/>
                <w:szCs w:val="15"/>
                <w:color w:val="auto"/>
              </w:rPr>
            </w:pPr>
          </w:p>
        </w:tc>
        <w:tc>
          <w:tcPr>
            <w:tcW w:w="3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February 28,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3000" w:type="dxa"/>
            <w:vAlign w:val="bottom"/>
          </w:tcPr>
          <w:p>
            <w:pPr>
              <w:ind w:left="1680"/>
              <w:spacing w:after="0"/>
              <w:rPr>
                <w:sz w:val="20"/>
                <w:szCs w:val="20"/>
                <w:color w:val="auto"/>
              </w:rPr>
            </w:pPr>
            <w:r>
              <w:rPr>
                <w:rFonts w:ascii="Courier New" w:cs="Courier New" w:eastAsia="Courier New" w:hAnsi="Courier New"/>
                <w:sz w:val="15"/>
                <w:szCs w:val="15"/>
                <w:color w:val="auto"/>
              </w:rPr>
              <w:t>2005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175"/>
        </w:trPr>
        <w:tc>
          <w:tcPr>
            <w:tcW w:w="2600" w:type="dxa"/>
            <w:vAlign w:val="bottom"/>
            <w:vMerge w:val="restart"/>
          </w:tcPr>
          <w:p>
            <w:pPr>
              <w:spacing w:after="0"/>
              <w:rPr>
                <w:sz w:val="20"/>
                <w:szCs w:val="20"/>
                <w:color w:val="auto"/>
              </w:rPr>
            </w:pPr>
            <w:r>
              <w:rPr>
                <w:rFonts w:ascii="Courier New" w:cs="Courier New" w:eastAsia="Courier New" w:hAnsi="Courier New"/>
                <w:sz w:val="15"/>
                <w:szCs w:val="15"/>
                <w:color w:val="auto"/>
              </w:rPr>
              <w:t>Ireland</w:t>
            </w:r>
          </w:p>
        </w:tc>
        <w:tc>
          <w:tcPr>
            <w:tcW w:w="3000" w:type="dxa"/>
            <w:vAlign w:val="bottom"/>
          </w:tcPr>
          <w:p>
            <w:pPr>
              <w:ind w:left="1680"/>
              <w:spacing w:after="0"/>
              <w:rPr>
                <w:sz w:val="20"/>
                <w:szCs w:val="20"/>
                <w:color w:val="auto"/>
              </w:rPr>
            </w:pPr>
            <w:r>
              <w:rPr>
                <w:rFonts w:ascii="Courier New" w:cs="Courier New" w:eastAsia="Courier New" w:hAnsi="Courier New"/>
                <w:sz w:val="15"/>
                <w:szCs w:val="15"/>
                <w:color w:val="auto"/>
              </w:rPr>
              <w:t>(in thousands)</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$76,165</w:t>
            </w:r>
          </w:p>
        </w:tc>
        <w:tc>
          <w:tcPr>
            <w:tcW w:w="0" w:type="dxa"/>
            <w:vAlign w:val="bottom"/>
          </w:tcPr>
          <w:p>
            <w:pPr>
              <w:spacing w:after="0"/>
              <w:rPr>
                <w:sz w:val="1"/>
                <w:szCs w:val="1"/>
                <w:color w:val="auto"/>
              </w:rPr>
            </w:pPr>
          </w:p>
        </w:tc>
      </w:tr>
      <w:tr>
        <w:trPr>
          <w:trHeight w:val="175"/>
        </w:trPr>
        <w:tc>
          <w:tcPr>
            <w:tcW w:w="2600" w:type="dxa"/>
            <w:vAlign w:val="bottom"/>
            <w:vMerge w:val="continue"/>
          </w:tcPr>
          <w:p>
            <w:pPr>
              <w:spacing w:after="0"/>
              <w:rPr>
                <w:sz w:val="15"/>
                <w:szCs w:val="15"/>
                <w:color w:val="auto"/>
              </w:rPr>
            </w:pPr>
          </w:p>
        </w:tc>
        <w:tc>
          <w:tcPr>
            <w:tcW w:w="30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$94,254</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30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105,350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115,056</w:t>
            </w:r>
          </w:p>
        </w:tc>
        <w:tc>
          <w:tcPr>
            <w:tcW w:w="0" w:type="dxa"/>
            <w:vAlign w:val="bottom"/>
          </w:tcPr>
          <w:p>
            <w:pPr>
              <w:spacing w:after="0"/>
              <w:rPr>
                <w:sz w:val="1"/>
                <w:szCs w:val="1"/>
                <w:color w:val="auto"/>
              </w:rPr>
            </w:pPr>
          </w:p>
        </w:tc>
      </w:tr>
      <w:tr>
        <w:trPr>
          <w:trHeight w:val="175"/>
        </w:trPr>
        <w:tc>
          <w:tcPr>
            <w:tcW w:w="26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30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161,520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141,104</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30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4,797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2,998</w:t>
            </w:r>
          </w:p>
        </w:tc>
        <w:tc>
          <w:tcPr>
            <w:tcW w:w="0" w:type="dxa"/>
            <w:vAlign w:val="bottom"/>
          </w:tcPr>
          <w:p>
            <w:pPr>
              <w:spacing w:after="0"/>
              <w:rPr>
                <w:sz w:val="1"/>
                <w:szCs w:val="1"/>
                <w:color w:val="auto"/>
              </w:rPr>
            </w:pPr>
          </w:p>
        </w:tc>
      </w:tr>
    </w:tbl>
    <w:p>
      <w:pPr>
        <w:ind w:left="18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$365,921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$335,323</w:t>
            </w:r>
          </w:p>
        </w:tc>
      </w:tr>
    </w:tbl>
    <w:p>
      <w:pPr>
        <w:ind w:left="18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The distribution of total assets by business segment was as follows: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29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February 28,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29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175"/>
        </w:trPr>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Central laboratory</w:t>
            </w:r>
          </w:p>
        </w:tc>
        <w:tc>
          <w:tcPr>
            <w:tcW w:w="2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$20,343</w:t>
            </w:r>
          </w:p>
        </w:tc>
        <w:tc>
          <w:tcPr>
            <w:tcW w:w="0" w:type="dxa"/>
            <w:vAlign w:val="bottom"/>
          </w:tcPr>
          <w:p>
            <w:pPr>
              <w:spacing w:after="0"/>
              <w:rPr>
                <w:sz w:val="1"/>
                <w:szCs w:val="1"/>
                <w:color w:val="auto"/>
              </w:rPr>
            </w:pPr>
          </w:p>
        </w:tc>
      </w:tr>
      <w:tr>
        <w:trPr>
          <w:trHeight w:val="175"/>
        </w:trPr>
        <w:tc>
          <w:tcPr>
            <w:tcW w:w="2560" w:type="dxa"/>
            <w:vAlign w:val="bottom"/>
            <w:vMerge w:val="continue"/>
          </w:tcPr>
          <w:p>
            <w:pPr>
              <w:spacing w:after="0"/>
              <w:rPr>
                <w:sz w:val="15"/>
                <w:szCs w:val="15"/>
                <w:color w:val="auto"/>
              </w:rPr>
            </w:pPr>
          </w:p>
        </w:tc>
        <w:tc>
          <w:tcPr>
            <w:tcW w:w="29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$18,726</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9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347,195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314,980</w:t>
            </w:r>
          </w:p>
        </w:tc>
        <w:tc>
          <w:tcPr>
            <w:tcW w:w="0" w:type="dxa"/>
            <w:vAlign w:val="bottom"/>
          </w:tcPr>
          <w:p>
            <w:pPr>
              <w:spacing w:after="0"/>
              <w:rPr>
                <w:sz w:val="1"/>
                <w:szCs w:val="1"/>
                <w:color w:val="auto"/>
              </w:rPr>
            </w:pPr>
          </w:p>
        </w:tc>
      </w:tr>
    </w:tbl>
    <w:p>
      <w:pPr>
        <w:ind w:left="180"/>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$365,921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$335,323</w:t>
            </w:r>
          </w:p>
        </w:tc>
      </w:tr>
    </w:tbl>
    <w:p>
      <w:pPr>
        <w:ind w:left="18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79"/>
          </w:cols>
          <w:pgMar w:left="680" w:top="96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ICON plc</w:t>
      </w:r>
    </w:p>
    <w:p>
      <w:pPr>
        <w:spacing w:after="0" w:line="354"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3"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unaudited Consolidated Financial Statements and accompanying notes included elsewhere herein and the Consolidated Financial Statements and related notes thereto included in our Annual Report on Form 20-F for the fiscal year ended May 31, 2004. The Consolidated Financial Statements have been prepared in accordance with accounting principles generally accepted in the United States.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2,650 employees worldwide, with operations in 37 locations in 23 countries including the United States and major markets in Europe and Rest of World and have managed clinical trials in over 55 countries. For the nine months ended February 28, 2005, we derived approximately 58.3%, 36.1%, and 5.6% of our net revenue in the United States, Europe and Rest of World, respectively.</w:t>
      </w:r>
    </w:p>
    <w:p>
      <w:pPr>
        <w:spacing w:after="0" w:line="81"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89"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81" w:lineRule="exact"/>
        <w:rPr>
          <w:sz w:val="20"/>
          <w:szCs w:val="20"/>
          <w:color w:val="auto"/>
        </w:rPr>
      </w:pPr>
    </w:p>
    <w:p>
      <w:pPr>
        <w:ind w:right="3139"/>
        <w:spacing w:after="0" w:line="271" w:lineRule="auto"/>
        <w:rPr>
          <w:sz w:val="20"/>
          <w:szCs w:val="20"/>
          <w:color w:val="auto"/>
        </w:rPr>
      </w:pPr>
      <w:r>
        <w:rPr>
          <w:rFonts w:ascii="Courier New" w:cs="Courier New" w:eastAsia="Courier New" w:hAnsi="Courier New"/>
          <w:sz w:val="15"/>
          <w:szCs w:val="15"/>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72"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68"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78"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89" w:right="1440" w:bottom="459" w:gutter="0" w:footer="0" w:header="0"/>
        </w:sectPr>
      </w:pPr>
    </w:p>
    <w:bookmarkStart w:id="14" w:name="page15"/>
    <w:bookmarkEnd w:id="14"/>
    <w:p>
      <w:pPr>
        <w:ind w:right="460"/>
        <w:spacing w:after="0" w:line="252" w:lineRule="auto"/>
        <w:rPr>
          <w:sz w:val="20"/>
          <w:szCs w:val="20"/>
          <w:color w:val="auto"/>
        </w:rPr>
      </w:pPr>
      <w:r>
        <w:rPr>
          <w:rFonts w:ascii="Courier New" w:cs="Courier New" w:eastAsia="Courier New" w:hAnsi="Courier New"/>
          <w:sz w:val="15"/>
          <w:szCs w:val="15"/>
          <w:color w:val="auto"/>
        </w:rPr>
        <w:t>In addition to translation exposures, we are also subject to transaction exposures because the currency in which contracts are priced can be different from the currencies in which costs relating to those contracts are incurred. We have thirteen operations operating in U.S. dollars, five trading in Euros, three in pounds Sterling, and one each in Australian dollars, Indian Rupee, Singapore dollars, Yen, Israeli New Shekels, Latvian Lats, Swedish Krona, Argentine Peso, South African Rand, Russian Rouble, Canadian dollar, Hungarian Forint, Taiwan dollar, Hong Kong dollar, Mexican Peso and Brazilian Real.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98" w:lineRule="exact"/>
        <w:rPr>
          <w:sz w:val="20"/>
          <w:szCs w:val="20"/>
          <w:color w:val="auto"/>
        </w:rPr>
      </w:pPr>
    </w:p>
    <w:p>
      <w:pPr>
        <w:ind w:right="460"/>
        <w:spacing w:after="0" w:line="254" w:lineRule="auto"/>
        <w:rPr>
          <w:sz w:val="20"/>
          <w:szCs w:val="20"/>
          <w:color w:val="auto"/>
        </w:rPr>
      </w:pPr>
      <w:r>
        <w:rPr>
          <w:rFonts w:ascii="Courier New" w:cs="Courier New" w:eastAsia="Courier New" w:hAnsi="Courier New"/>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February 28, 2005, we have received $2,709,006 and $2,013,516 under the capital grants and operating grants, respectively. Pursuant to the terms of the grant agreements we are restricted from distributing some of these amounts by way of dividend or otherwise.</w:t>
      </w:r>
    </w:p>
    <w:p>
      <w:pPr>
        <w:spacing w:after="0" w:line="94" w:lineRule="exact"/>
        <w:rPr>
          <w:sz w:val="20"/>
          <w:szCs w:val="20"/>
          <w:color w:val="auto"/>
        </w:rPr>
      </w:pPr>
    </w:p>
    <w:p>
      <w:pPr>
        <w:ind w:right="460"/>
        <w:spacing w:after="0" w:line="267"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75" w:lineRule="exact"/>
        <w:rPr>
          <w:sz w:val="20"/>
          <w:szCs w:val="20"/>
          <w:color w:val="auto"/>
        </w:rPr>
      </w:pPr>
    </w:p>
    <w:p>
      <w:pPr>
        <w:ind w:right="540"/>
        <w:spacing w:after="0" w:line="307" w:lineRule="auto"/>
        <w:rPr>
          <w:sz w:val="20"/>
          <w:szCs w:val="20"/>
          <w:color w:val="auto"/>
        </w:rPr>
      </w:pPr>
      <w:r>
        <w:rPr>
          <w:rFonts w:ascii="Courier New" w:cs="Courier New" w:eastAsia="Courier New" w:hAnsi="Courier New"/>
          <w:sz w:val="15"/>
          <w:szCs w:val="15"/>
          <w:color w:val="auto"/>
        </w:rPr>
        <w:t>Due to the recent performance and current outlook in our central laboratory, an impairment review of the goodwill for the laboratory segment commenced in the third quarter of fiscal 2005.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640"/>
        <w:spacing w:after="0" w:line="368" w:lineRule="auto"/>
        <w:rPr>
          <w:sz w:val="20"/>
          <w:szCs w:val="20"/>
          <w:color w:val="auto"/>
        </w:rPr>
      </w:pPr>
      <w:r>
        <w:rPr>
          <w:rFonts w:ascii="Courier New" w:cs="Courier New" w:eastAsia="Courier New" w:hAnsi="Courier New"/>
          <w:sz w:val="15"/>
          <w:szCs w:val="15"/>
          <w:color w:val="auto"/>
        </w:rPr>
        <w:t>Three Months Ended February 28, 2005 Compared with Three Months Ended February 29, 2004</w:t>
      </w:r>
    </w:p>
    <w:p>
      <w:pPr>
        <w:spacing w:after="0" w:line="3" w:lineRule="exact"/>
        <w:rPr>
          <w:sz w:val="20"/>
          <w:szCs w:val="20"/>
          <w:color w:val="auto"/>
        </w:rPr>
      </w:pPr>
    </w:p>
    <w:p>
      <w:pPr>
        <w:ind w:right="460"/>
        <w:spacing w:after="0" w:line="287"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382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2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February 28,</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February 29,</w:t>
            </w: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2"/>
                <w:szCs w:val="22"/>
                <w:color w:val="auto"/>
              </w:rPr>
            </w:pPr>
          </w:p>
        </w:tc>
        <w:tc>
          <w:tcPr>
            <w:tcW w:w="22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2005</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2004</w:t>
            </w:r>
          </w:p>
        </w:tc>
        <w:tc>
          <w:tcPr>
            <w:tcW w:w="0" w:type="dxa"/>
            <w:vAlign w:val="bottom"/>
          </w:tcPr>
          <w:p>
            <w:pPr>
              <w:spacing w:after="0"/>
              <w:rPr>
                <w:sz w:val="1"/>
                <w:szCs w:val="1"/>
                <w:color w:val="auto"/>
              </w:rPr>
            </w:pPr>
          </w:p>
        </w:tc>
      </w:tr>
      <w:tr>
        <w:trPr>
          <w:trHeight w:val="350"/>
        </w:trPr>
        <w:tc>
          <w:tcPr>
            <w:tcW w:w="3540" w:type="dxa"/>
            <w:vAlign w:val="bottom"/>
          </w:tcPr>
          <w:p>
            <w:pPr>
              <w:spacing w:after="0"/>
              <w:rPr>
                <w:sz w:val="24"/>
                <w:szCs w:val="24"/>
                <w:color w:val="auto"/>
              </w:rPr>
            </w:pP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Percentage of Net Revenue</w:t>
            </w:r>
          </w:p>
        </w:tc>
        <w:tc>
          <w:tcPr>
            <w:tcW w:w="0" w:type="dxa"/>
            <w:vAlign w:val="bottom"/>
          </w:tcPr>
          <w:p>
            <w:pPr>
              <w:spacing w:after="0"/>
              <w:rPr>
                <w:sz w:val="1"/>
                <w:szCs w:val="1"/>
                <w:color w:val="auto"/>
              </w:rPr>
            </w:pPr>
          </w:p>
        </w:tc>
      </w:tr>
      <w:tr>
        <w:trPr>
          <w:trHeight w:val="443"/>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2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100.0%</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2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55.5%</w:t>
            </w:r>
          </w:p>
        </w:tc>
        <w:tc>
          <w:tcPr>
            <w:tcW w:w="15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55.3%</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33.1%</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29.5%</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4.1%</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Other charges..........................</w:t>
            </w:r>
          </w:p>
        </w:tc>
        <w:tc>
          <w:tcPr>
            <w:tcW w:w="2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13.6%</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(6.3%)</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874"/>
        </w:trPr>
        <w:tc>
          <w:tcPr>
            <w:tcW w:w="3540" w:type="dxa"/>
            <w:vAlign w:val="bottom"/>
          </w:tcPr>
          <w:p>
            <w:pPr>
              <w:spacing w:after="0"/>
              <w:rPr>
                <w:sz w:val="24"/>
                <w:szCs w:val="24"/>
                <w:color w:val="auto"/>
              </w:rPr>
            </w:pPr>
          </w:p>
        </w:tc>
        <w:tc>
          <w:tcPr>
            <w:tcW w:w="2260" w:type="dxa"/>
            <w:vAlign w:val="bottom"/>
          </w:tcPr>
          <w:p>
            <w:pPr>
              <w:jc w:val="right"/>
              <w:ind w:right="2004"/>
              <w:spacing w:after="0"/>
              <w:rPr>
                <w:sz w:val="20"/>
                <w:szCs w:val="20"/>
                <w:color w:val="auto"/>
              </w:rPr>
            </w:pPr>
            <w:r>
              <w:rPr>
                <w:rFonts w:ascii="Courier New" w:cs="Courier New" w:eastAsia="Courier New" w:hAnsi="Courier New"/>
                <w:sz w:val="15"/>
                <w:szCs w:val="15"/>
                <w:color w:val="auto"/>
                <w:w w:val="88"/>
              </w:rPr>
              <w:t>13</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2004</w:t>
      </w:r>
    </w:p>
    <w:p>
      <w:pPr>
        <w:spacing w:after="0" w:line="33"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to 2005</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Increase/(decrease)</w:t>
      </w:r>
    </w:p>
    <w:p>
      <w:pPr>
        <w:spacing w:after="0" w:line="32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7.8%</w:t>
      </w:r>
    </w:p>
    <w:p>
      <w:pPr>
        <w:spacing w:after="0" w:line="180"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8.2%</w:t>
      </w:r>
    </w:p>
    <w:p>
      <w:pPr>
        <w:spacing w:after="0" w:line="33"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20.6%</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18.3%</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100.0%</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(159.8)%</w:t>
      </w:r>
    </w:p>
    <w:p>
      <w:pPr>
        <w:sectPr>
          <w:pgSz w:w="11900" w:h="16838" w:orient="portrait"/>
          <w:cols w:equalWidth="0" w:num="2">
            <w:col w:w="7720" w:space="720"/>
            <w:col w:w="1779"/>
          </w:cols>
          <w:pgMar w:left="240" w:top="615" w:right="1440" w:bottom="897" w:gutter="0" w:footer="0" w:header="0"/>
        </w:sectPr>
      </w:pPr>
    </w:p>
    <w:bookmarkStart w:id="15" w:name="page16"/>
    <w:bookmarkEnd w:id="15"/>
    <w:p>
      <w:pPr>
        <w:ind w:right="2959"/>
        <w:spacing w:after="0" w:line="254" w:lineRule="auto"/>
        <w:rPr>
          <w:sz w:val="20"/>
          <w:szCs w:val="20"/>
          <w:color w:val="auto"/>
        </w:rPr>
      </w:pPr>
      <w:r>
        <w:rPr>
          <w:rFonts w:ascii="Courier New" w:cs="Courier New" w:eastAsia="Courier New" w:hAnsi="Courier New"/>
          <w:sz w:val="15"/>
          <w:szCs w:val="15"/>
          <w:color w:val="auto"/>
        </w:rPr>
        <w:t>Net revenue increased by $6.0 million or 7.8%, from $76.9 million to $82.9 million. This improvement arose through a combination of increased business from existing clients, business won from new clients and revenues from acquisitions not included in the comparative period. The additional revenues from acquisitions (Beacon) amounted to $1.7 million for the three months ended February 28, 2005. Including the impact of acquisitions, revenues in the United States increased by 3.7%, while Europe and the Rest of World grew by 14.1%. For the three months ended February 28, 2005, net revenue for our central laboratory business fell by 11.7%, from $7.2 million to $6.4 million while our clinical research segment grew by 9.8% from $69.7 million to $76.5 million over the comparable period.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 The reduction in net revenue in our central laboratory segment is due primarily to lower testing volumes.</w:t>
      </w:r>
    </w:p>
    <w:p>
      <w:pPr>
        <w:spacing w:after="0" w:line="94"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Direct costs increased by $3.5 million, or 8.2%, from $42.5 million to $46.0 million, primarily due to increased staff numbers needed to support increased project related activity in the clinical research business and increased direct costs arising from the acquisitions amounting to $0.8 million. Direct costs, as a percentage of net revenue increased from 55.3% in the three months to February 29, 2004 to 55.5% for the quarter ended February 28, 2005.</w:t>
      </w:r>
    </w:p>
    <w:p>
      <w:pPr>
        <w:spacing w:after="0" w:line="72"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Selling, general and administrative expense increased by $4.7 million, or 20.6%, from $22.7 million to $27.4 million. The increase in costs is due to the continued expansion of our operations and additional selling, general and administrative costs from acquisitions of $0.7 million not included in the comparative period. As a percentage of net revenue, selling, general and administrative expenses, increased from 29.5% in the three months ended February 29, 2004, to 33.1% for the quarter ended February 28, 2005.</w:t>
      </w:r>
    </w:p>
    <w:p>
      <w:pPr>
        <w:spacing w:after="0" w:line="75"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Depreciation and amortization increased by $0.5 million, or 18.3%, from $2.9 million to $3.4 million. This increase is due to the continued investment in facilities and information technology to support the growth in activity. As a percentage of net revenue, depreciation and amortization increased from 3.8% of net revenues in the three months to February 29, 2004, to 4.1% for the three months ended February 28, 2005.</w:t>
      </w:r>
    </w:p>
    <w:p>
      <w:pPr>
        <w:spacing w:after="0" w:line="72"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Other operating charges of $11.3 million were realized in the three months ended February 28, 2005. These charges related to the recognition of an impairment in the carrying value of our investment in the central laboratory, a write-down of certain fixed assets and the lease termination and exit costs associated with the consolidation of some of our office facilities in the US.</w:t>
      </w:r>
    </w:p>
    <w:p>
      <w:pPr>
        <w:spacing w:after="0" w:line="68"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Income from operations decreased by $14.0 million, or 159.8%, from $8.8 million to $(5.2) million. Excluding the impact of the other charges, operating income for the quarter ended February 28, 2005, was $6.0 million, a 31.1% decrease on the same quarter last year. This decrease is due principally to reduced levels of activity in our central laboratory business in the quarter and lower usage of billable resources in our clinical research segment. As a percentage of net revenue, including the effect of acquisitions, income from operations decreased from 11.4% in the three months to February 29, 2004, to (6.3)% for the quarter ended February 28, 2005, or 7.3% excluding the other charges. For the quarter, income from operations, as a percentage of net revenue, for the central laboratory and excluding the impact of the other charges was (27.7%), a dis-improvement from the reported (6.7%) in the same quarter in fiscal 2004. The central laboratory constitutes approximately 8% of our business. Operating margins for our clinical research segment, excluding the impact of the other charges decreased from 13.3% in the three months ended February 29, 2004, to 10.2% for the three months ended February 28, 2005.</w:t>
      </w:r>
    </w:p>
    <w:p>
      <w:pPr>
        <w:spacing w:after="0" w:line="94"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Net interest income for the three months ended February 28, 2005, was $0.26 million compared to $0.08 million for the equivalent period last year. Higher average level of funds invested and higher interest rates in the third quarter of this year over last year contributed to the increased interest income.</w:t>
      </w:r>
    </w:p>
    <w:p>
      <w:pPr>
        <w:spacing w:after="0" w:line="61"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Our effective tax rate for the three months ended February 28, 2005 was (10.5)%, or 19.8% when the impact of the other charges and tax deduction associated with this is excluded, compared to 24.7% for the comparable period last year. The decrease in the effective rate was due to a change in the geographic distribution of pre-tax earnings.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5" w:right="1440" w:bottom="1440" w:gutter="0" w:footer="0" w:header="0"/>
        </w:sectPr>
      </w:pPr>
    </w:p>
    <w:bookmarkStart w:id="16" w:name="page17"/>
    <w:bookmarkEnd w:id="16"/>
    <w:p>
      <w:pPr>
        <w:ind w:right="740"/>
        <w:spacing w:after="0" w:line="368" w:lineRule="auto"/>
        <w:rPr>
          <w:sz w:val="20"/>
          <w:szCs w:val="20"/>
          <w:color w:val="auto"/>
        </w:rPr>
      </w:pPr>
      <w:r>
        <w:rPr>
          <w:rFonts w:ascii="Courier New" w:cs="Courier New" w:eastAsia="Courier New" w:hAnsi="Courier New"/>
          <w:sz w:val="15"/>
          <w:szCs w:val="15"/>
          <w:color w:val="auto"/>
        </w:rPr>
        <w:t>Nine months ended February 28, 2005 compared with Nine months Ended February 29, 2004</w:t>
      </w:r>
    </w:p>
    <w:p>
      <w:pPr>
        <w:spacing w:after="0" w:line="3" w:lineRule="exact"/>
        <w:rPr>
          <w:sz w:val="20"/>
          <w:szCs w:val="20"/>
          <w:color w:val="auto"/>
        </w:rPr>
      </w:pPr>
    </w:p>
    <w:p>
      <w:pPr>
        <w:ind w:right="740"/>
        <w:spacing w:after="0" w:line="287"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8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Nine months Ended</w:t>
      </w:r>
    </w:p>
    <w:p>
      <w:pPr>
        <w:spacing w:after="0" w:line="33" w:lineRule="exact"/>
        <w:rPr>
          <w:sz w:val="20"/>
          <w:szCs w:val="20"/>
          <w:color w:val="auto"/>
        </w:rPr>
      </w:pPr>
    </w:p>
    <w:p>
      <w:pPr>
        <w:ind w:left="4180"/>
        <w:spacing w:after="0"/>
        <w:tabs>
          <w:tab w:leader="none" w:pos="5780" w:val="left"/>
        </w:tabs>
        <w:rPr>
          <w:sz w:val="20"/>
          <w:szCs w:val="20"/>
          <w:color w:val="auto"/>
        </w:rPr>
      </w:pPr>
      <w:r>
        <w:rPr>
          <w:rFonts w:ascii="Courier New" w:cs="Courier New" w:eastAsia="Courier New" w:hAnsi="Courier New"/>
          <w:sz w:val="15"/>
          <w:szCs w:val="15"/>
          <w:color w:val="auto"/>
        </w:rPr>
        <w:t>February 28,</w:t>
      </w:r>
      <w:r>
        <w:rPr>
          <w:sz w:val="20"/>
          <w:szCs w:val="20"/>
          <w:color w:val="auto"/>
        </w:rPr>
        <w:tab/>
      </w:r>
      <w:r>
        <w:rPr>
          <w:rFonts w:ascii="Courier New" w:cs="Courier New" w:eastAsia="Courier New" w:hAnsi="Courier New"/>
          <w:sz w:val="15"/>
          <w:szCs w:val="15"/>
          <w:color w:val="auto"/>
        </w:rPr>
        <w:t>February 29,</w:t>
      </w:r>
    </w:p>
    <w:p>
      <w:pPr>
        <w:spacing w:after="0" w:line="5" w:lineRule="exact"/>
        <w:rPr>
          <w:sz w:val="20"/>
          <w:szCs w:val="20"/>
          <w:color w:val="auto"/>
        </w:rPr>
      </w:pPr>
    </w:p>
    <w:p>
      <w:pPr>
        <w:ind w:left="4540"/>
        <w:spacing w:after="0"/>
        <w:tabs>
          <w:tab w:leader="none" w:pos="624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152" w:lineRule="exact"/>
        <w:rPr>
          <w:sz w:val="20"/>
          <w:szCs w:val="20"/>
          <w:color w:val="auto"/>
        </w:rPr>
      </w:pPr>
    </w:p>
    <w:p>
      <w:pPr>
        <w:jc w:val="right"/>
        <w:ind w:right="640"/>
        <w:spacing w:after="0"/>
        <w:rPr>
          <w:sz w:val="20"/>
          <w:szCs w:val="20"/>
          <w:color w:val="auto"/>
        </w:rPr>
      </w:pPr>
      <w:r>
        <w:rPr>
          <w:rFonts w:ascii="Courier New" w:cs="Courier New" w:eastAsia="Courier New" w:hAnsi="Courier New"/>
          <w:sz w:val="15"/>
          <w:szCs w:val="15"/>
          <w:color w:val="auto"/>
        </w:rPr>
        <w:t>Percentage of Net Revenue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74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54.9%</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54.9%</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7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Other charges..........................</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740"/>
        <w:spacing w:after="0" w:line="255" w:lineRule="auto"/>
        <w:rPr>
          <w:sz w:val="20"/>
          <w:szCs w:val="20"/>
          <w:color w:val="auto"/>
        </w:rPr>
      </w:pPr>
      <w:r>
        <w:rPr>
          <w:rFonts w:ascii="Courier New" w:cs="Courier New" w:eastAsia="Courier New" w:hAnsi="Courier New"/>
          <w:sz w:val="15"/>
          <w:szCs w:val="15"/>
          <w:color w:val="auto"/>
        </w:rPr>
        <w:t>Net revenue increased by $21.7 million or 9.9%, from $219.0 million to $240.7 million. This improvement arose through a combination of increased business from existing clients, business won from new clients and revenues from acquisitions not included in the comparative period. The additional revenues from these acquisitions (Globomax and Beacon) amounted to $6.9 million for the nine months ended February 28, 2005. Including the impact of acquisitions, revenues in the United States, and Europe and the Rest of World grew by 1.5% and 24.3% respectively. For the nine months ended February 28, 2005, net revenue for our central laboratory business fell by 0.9%, from $19.5 million to $19.4 million while our clinical research segment grew by 11.0%, from $199.5 million to $221.3 million over the comparable period.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88" w:lineRule="exact"/>
        <w:rPr>
          <w:sz w:val="20"/>
          <w:szCs w:val="20"/>
          <w:color w:val="auto"/>
        </w:rPr>
      </w:pPr>
    </w:p>
    <w:p>
      <w:pPr>
        <w:ind w:right="820"/>
        <w:spacing w:after="0" w:line="271" w:lineRule="auto"/>
        <w:rPr>
          <w:sz w:val="20"/>
          <w:szCs w:val="20"/>
          <w:color w:val="auto"/>
        </w:rPr>
      </w:pPr>
      <w:r>
        <w:rPr>
          <w:rFonts w:ascii="Courier New" w:cs="Courier New" w:eastAsia="Courier New" w:hAnsi="Courier New"/>
          <w:sz w:val="15"/>
          <w:szCs w:val="15"/>
          <w:color w:val="auto"/>
        </w:rPr>
        <w:t>Direct costs increased by $11.8 million, or 9.9%, from $120.3 million to $132.1 million, primarily due to increased staff numbers needed to support increased project related activity and increased direct costs arising from the acquisitions amounting to $3.4 million. Direct costs, as a percentage of net revenue remained constant at 54.9% from the nine months to February 29, 2004 to the nine months ended February 28, 2005.</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 increased by $10.5 million, or</w:t>
      </w:r>
    </w:p>
    <w:p>
      <w:pPr>
        <w:spacing w:after="0" w:line="33" w:lineRule="exact"/>
        <w:rPr>
          <w:sz w:val="20"/>
          <w:szCs w:val="20"/>
          <w:color w:val="auto"/>
        </w:rPr>
      </w:pPr>
    </w:p>
    <w:p>
      <w:pPr>
        <w:ind w:right="820"/>
        <w:spacing w:after="0" w:line="263" w:lineRule="auto"/>
        <w:rPr>
          <w:sz w:val="20"/>
          <w:szCs w:val="20"/>
          <w:color w:val="auto"/>
        </w:rPr>
      </w:pPr>
      <w:r>
        <w:rPr>
          <w:rFonts w:ascii="Courier New" w:cs="Courier New" w:eastAsia="Courier New" w:hAnsi="Courier New"/>
          <w:sz w:val="15"/>
          <w:szCs w:val="15"/>
          <w:color w:val="auto"/>
        </w:rPr>
        <w:t>15.9%, from $65.7 million to $76.2 million. The increase in costs is due to the continued expansion of our operations and additional selling, general and administrative costs from acquisitions of $2.4 million not included in the comparative period. As a percentage of net revenue, selling, general and administrative expenses, increased from 30.0% in the nine months ended February 29, 2004, to 31.7% for the nine months ended February 28, 2005.</w:t>
      </w:r>
    </w:p>
    <w:p>
      <w:pPr>
        <w:spacing w:after="0" w:line="78" w:lineRule="exact"/>
        <w:rPr>
          <w:sz w:val="20"/>
          <w:szCs w:val="20"/>
          <w:color w:val="auto"/>
        </w:rPr>
      </w:pPr>
    </w:p>
    <w:p>
      <w:pPr>
        <w:ind w:right="820"/>
        <w:spacing w:after="0" w:line="271" w:lineRule="auto"/>
        <w:rPr>
          <w:sz w:val="20"/>
          <w:szCs w:val="20"/>
          <w:color w:val="auto"/>
        </w:rPr>
      </w:pPr>
      <w:r>
        <w:rPr>
          <w:rFonts w:ascii="Courier New" w:cs="Courier New" w:eastAsia="Courier New" w:hAnsi="Courier New"/>
          <w:sz w:val="15"/>
          <w:szCs w:val="15"/>
          <w:color w:val="auto"/>
        </w:rPr>
        <w:t>Depreciation and amortization increased by $1.6 million, or 19.1%, from $8.2 million to $9.8 million. This increase is due to the continued investment in facilities and information technology to support the growth in activity. As a percentage of net revenue, depreciation and amortization increased from 3.8% of net revenues in the nine months to February 29, 2004, to 4.0% for the nine months ended February 28, 2005.</w:t>
      </w:r>
    </w:p>
    <w:p>
      <w:pPr>
        <w:spacing w:after="0" w:line="72" w:lineRule="exact"/>
        <w:rPr>
          <w:sz w:val="20"/>
          <w:szCs w:val="20"/>
          <w:color w:val="auto"/>
        </w:rPr>
      </w:pPr>
    </w:p>
    <w:p>
      <w:pPr>
        <w:ind w:right="820"/>
        <w:spacing w:after="0" w:line="277" w:lineRule="auto"/>
        <w:rPr>
          <w:sz w:val="20"/>
          <w:szCs w:val="20"/>
          <w:color w:val="auto"/>
        </w:rPr>
      </w:pPr>
      <w:r>
        <w:rPr>
          <w:rFonts w:ascii="Courier New" w:cs="Courier New" w:eastAsia="Courier New" w:hAnsi="Courier New"/>
          <w:sz w:val="15"/>
          <w:szCs w:val="15"/>
          <w:color w:val="auto"/>
        </w:rPr>
        <w:t>Other operating charges of $11.3 million were realized in the nine months ended February 28, 2005. These charges related to the recognition of an impairment in the carrying value of our investment in the central laboratory, a write-down of certain fixed assets and the lease termination and exit costs associated with the consolidation of some of our office facilities in the US.</w:t>
      </w:r>
    </w:p>
    <w:p>
      <w:pPr>
        <w:spacing w:after="0" w:line="68" w:lineRule="exact"/>
        <w:rPr>
          <w:sz w:val="20"/>
          <w:szCs w:val="20"/>
          <w:color w:val="auto"/>
        </w:rPr>
      </w:pPr>
    </w:p>
    <w:p>
      <w:pPr>
        <w:ind w:right="740"/>
        <w:spacing w:after="0" w:line="262" w:lineRule="auto"/>
        <w:rPr>
          <w:sz w:val="20"/>
          <w:szCs w:val="20"/>
          <w:color w:val="auto"/>
        </w:rPr>
      </w:pPr>
      <w:r>
        <w:rPr>
          <w:rFonts w:ascii="Courier New" w:cs="Courier New" w:eastAsia="Courier New" w:hAnsi="Courier New"/>
          <w:sz w:val="15"/>
          <w:szCs w:val="15"/>
          <w:color w:val="auto"/>
        </w:rPr>
        <w:t>Income from operations decreased by $13.5 million, or 54.5%, from $24.8 million to $11.3 million, including acquisitions. Excluding the impact of the other charges, operating income for the nine months ended February 28, 2005, was $22.5 million, a 8.9% decrease on the same period last year. As a percentage of net revenue, including the effect of acquisitions, income from operations decreased from 11.3% in the nine months to February 29, 2004, to 4.7% for the nine months ended February 28, 2005, or 9.4% excluding the other charges. As a percentage of net revenue, income from operations for the central laboratory and excluding the impact of the other</w:t>
      </w:r>
    </w:p>
    <w:p>
      <w:pPr>
        <w:spacing w:after="0" w:line="200" w:lineRule="exact"/>
        <w:rPr>
          <w:sz w:val="20"/>
          <w:szCs w:val="20"/>
          <w:color w:val="auto"/>
        </w:rPr>
      </w:pPr>
    </w:p>
    <w:p>
      <w:pPr>
        <w:spacing w:after="0" w:line="22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2004 to</w:t>
      </w:r>
    </w:p>
    <w:p>
      <w:pPr>
        <w:spacing w:after="0" w:line="33"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2005</w:t>
      </w:r>
    </w:p>
    <w:p>
      <w:pPr>
        <w:spacing w:after="0" w:line="5"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Increase</w:t>
      </w:r>
    </w:p>
    <w:p>
      <w:pPr>
        <w:spacing w:after="0" w:line="200" w:lineRule="exact"/>
        <w:rPr>
          <w:sz w:val="20"/>
          <w:szCs w:val="20"/>
          <w:color w:val="auto"/>
        </w:rPr>
      </w:pPr>
    </w:p>
    <w:p>
      <w:pPr>
        <w:spacing w:after="0" w:line="301"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9.9%</w:t>
      </w:r>
    </w:p>
    <w:p>
      <w:pPr>
        <w:spacing w:after="0" w:line="180"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9.9%</w:t>
      </w:r>
    </w:p>
    <w:p>
      <w:pPr>
        <w:spacing w:after="0" w:line="33"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15.9%</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19.1%</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100%</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(54.5%)</w:t>
      </w:r>
    </w:p>
    <w:p>
      <w:pPr>
        <w:sectPr>
          <w:pgSz w:w="11900" w:h="16838" w:orient="portrait"/>
          <w:cols w:equalWidth="0" w:num="2">
            <w:col w:w="8000" w:space="720"/>
            <w:col w:w="1499"/>
          </w:cols>
          <w:pgMar w:left="240" w:top="964" w:right="1440" w:bottom="109" w:gutter="0" w:footer="0" w:header="0"/>
        </w:sectPr>
      </w:pPr>
    </w:p>
    <w:bookmarkStart w:id="17" w:name="page18"/>
    <w:bookmarkEnd w:id="17"/>
    <w:p>
      <w:pPr>
        <w:ind w:right="3039"/>
        <w:spacing w:after="0" w:line="277" w:lineRule="auto"/>
        <w:rPr>
          <w:sz w:val="20"/>
          <w:szCs w:val="20"/>
          <w:color w:val="auto"/>
        </w:rPr>
      </w:pPr>
      <w:r>
        <w:rPr>
          <w:rFonts w:ascii="Courier New" w:cs="Courier New" w:eastAsia="Courier New" w:hAnsi="Courier New"/>
          <w:sz w:val="15"/>
          <w:szCs w:val="15"/>
          <w:color w:val="auto"/>
        </w:rPr>
        <w:t>charges was (23.3%), a dis-improvement from the (14.3%) reported in the same period in fiscal 2004. The central laboratory constitutes approximately 8% of our business. Operating margins for our clinical research segment excluding the impact of the other charges decreased from 13.8% in the nine months ended February 29, 2004, to 13.6% for the nine months ended February 28, 2005.</w:t>
      </w:r>
    </w:p>
    <w:p>
      <w:pPr>
        <w:spacing w:after="0" w:line="68"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Net interest income for the nine months ended February 28, 2005, was $0.6 million compared to $0.2 million for the equivalent period last year. Higher average level of funds invested and higher interest rates in the first nine months of this year over last year contributed to the increased interest income.</w:t>
      </w:r>
    </w:p>
    <w:p>
      <w:pPr>
        <w:spacing w:after="0" w:line="61"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Our effective tax rate for the nine months ended February 28, 2005 was 35.0% or 21.1% when the impact of the other charges and tax deduction associated with this is excluded, compared to 25.7% for the comparable period last year. The decrease in the effective rate was due to a change in the geographic distribution of pre-tax earnings.</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spacing w:after="0" w:line="259"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secondary offering in August 2003. Our principal cash needs are payment of salaries, office rents, travel expenditures and payments to subcontractors. The aggregate amount of employee compensation, excluding stock compensation expense, paid in the nine months ended February 29, 2004 and February 28, 2005 amounted to $128.7 million and $143.5 million, respectively. Investing activities primarily reflect capital expenditures for facilities and for information systems enhancements, the sale and purchase of short-term investments and acquisitions.</w:t>
      </w:r>
    </w:p>
    <w:p>
      <w:pPr>
        <w:spacing w:after="0" w:line="80"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Our clinical research and development contracts are generally fixed price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78"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As of February 28, 2005, our working capital amounted to $123.7 million, compared to $113.8 million at May 31, 2004.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67 days at February 28, 2005, compared to 69 days at November 30, 2004, and 60 days at May 31, 2004.</w:t>
      </w:r>
    </w:p>
    <w:p>
      <w:pPr>
        <w:spacing w:after="0" w:line="78"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Net cash provided by operating activities was $10.6 million in the nine months ended February 28, 2005, compared to $30.8 million in the nine months ended February 29, 2004.</w:t>
      </w:r>
    </w:p>
    <w:p>
      <w:pPr>
        <w:spacing w:after="0" w:line="47"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Net cash used in investing activities was $26.0 million in the nine months ended February 28, 2005, compared to $21.6 million in the nine months ended February 29, 2004.</w:t>
      </w:r>
    </w:p>
    <w:p>
      <w:pPr>
        <w:spacing w:after="0" w:line="47"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Net cash provided by financing activities was $0.6 million in the nine months ended February 28, 2005, compared to $40.9 million in the nine months ended February 29, 2004. This decrease is primarily due to the receipt of $44.3 million, following the sale of 1,500,000 American Depositary Shares in August 2003 by the Company.</w:t>
      </w:r>
    </w:p>
    <w:p>
      <w:pPr>
        <w:spacing w:after="0" w:line="68" w:lineRule="exact"/>
        <w:rPr>
          <w:sz w:val="20"/>
          <w:szCs w:val="20"/>
          <w:color w:val="auto"/>
        </w:rPr>
      </w:pPr>
    </w:p>
    <w:p>
      <w:pPr>
        <w:jc w:val="both"/>
        <w:ind w:right="3139"/>
        <w:spacing w:after="0" w:line="307" w:lineRule="auto"/>
        <w:rPr>
          <w:sz w:val="20"/>
          <w:szCs w:val="20"/>
          <w:color w:val="auto"/>
        </w:rPr>
      </w:pPr>
      <w:r>
        <w:rPr>
          <w:rFonts w:ascii="Courier New" w:cs="Courier New" w:eastAsia="Courier New" w:hAnsi="Courier New"/>
          <w:sz w:val="15"/>
          <w:szCs w:val="15"/>
          <w:color w:val="auto"/>
        </w:rPr>
        <w:t>As a result of these cash flows, cash and cash equivalents decreased by $13.8 million in the nine months ended February 28, 2005, compared to an increase of $48.8 million in the nine months ended February 29, 2004.</w:t>
      </w:r>
    </w:p>
    <w:p>
      <w:pPr>
        <w:spacing w:after="0" w:line="47" w:lineRule="exact"/>
        <w:rPr>
          <w:sz w:val="20"/>
          <w:szCs w:val="20"/>
          <w:color w:val="auto"/>
        </w:rPr>
      </w:pPr>
    </w:p>
    <w:p>
      <w:pPr>
        <w:jc w:val="both"/>
        <w:ind w:right="3319"/>
        <w:spacing w:after="0" w:line="307" w:lineRule="auto"/>
        <w:rPr>
          <w:sz w:val="20"/>
          <w:szCs w:val="20"/>
          <w:color w:val="auto"/>
        </w:rPr>
      </w:pPr>
      <w:r>
        <w:rPr>
          <w:rFonts w:ascii="Courier New" w:cs="Courier New" w:eastAsia="Courier New" w:hAnsi="Courier New"/>
          <w:sz w:val="15"/>
          <w:szCs w:val="15"/>
          <w:color w:val="auto"/>
        </w:rPr>
        <w:t>On December 1, 2004, the Company acquired the workforce of Biomines Research Solutions Private Limited, ("Biomines"), based in Chennai, India, for a cash consideration of U.S.$250,000.</w:t>
      </w:r>
    </w:p>
    <w:p>
      <w:pPr>
        <w:spacing w:after="0" w:line="47"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On July 1, 2004, ICON acquired 70% of the common stock of Beacon Biosciences, Inc., for an initial cash consideration of $9.9 million.</w:t>
      </w:r>
    </w:p>
    <w:p>
      <w:pPr>
        <w:spacing w:after="0" w:line="3"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On July 3, 2003, ICON entered into a facility agreement (the "Facility Agreement") for the provision of a term loan facility of U.S.$40 million, multi-currency overdraft facility of $5 million, and revolving credit facility of $15 million (the "Facilities") with</w:t>
      </w: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5" w:right="1440" w:bottom="808" w:gutter="0" w:footer="0" w:header="0"/>
        </w:sectPr>
      </w:pPr>
    </w:p>
    <w:bookmarkStart w:id="18" w:name="page19"/>
    <w:bookmarkEnd w:id="18"/>
    <w:p>
      <w:pPr>
        <w:ind w:right="2959"/>
        <w:spacing w:after="0" w:line="259" w:lineRule="auto"/>
        <w:rPr>
          <w:sz w:val="20"/>
          <w:szCs w:val="20"/>
          <w:color w:val="auto"/>
        </w:rPr>
      </w:pPr>
      <w:r>
        <w:rPr>
          <w:rFonts w:ascii="Courier New" w:cs="Courier New" w:eastAsia="Courier New" w:hAnsi="Courier New"/>
          <w:sz w:val="15"/>
          <w:szCs w:val="15"/>
          <w:color w:val="auto"/>
        </w:rPr>
        <w:t>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a term loan facility of $40 million and a multi currency overdraft facility of $5 million. As at February 28, 2005, the full amount of these facilities were available to be drawn down. ICON Clinical Research, Inc. (a subsidiary of ICON plc) is entitled to make borrowings under a revolving credit facility of $15 million. As at February 28, 2005, the full amount of this facility was available to be drawn down.</w:t>
      </w:r>
    </w:p>
    <w:p>
      <w:pPr>
        <w:spacing w:after="0" w:line="80" w:lineRule="exact"/>
        <w:rPr>
          <w:sz w:val="20"/>
          <w:szCs w:val="20"/>
          <w:color w:val="auto"/>
        </w:rPr>
      </w:pPr>
    </w:p>
    <w:p>
      <w:pPr>
        <w:jc w:val="both"/>
        <w:ind w:right="3419"/>
        <w:spacing w:after="0" w:line="287" w:lineRule="auto"/>
        <w:rPr>
          <w:sz w:val="20"/>
          <w:szCs w:val="20"/>
          <w:color w:val="auto"/>
        </w:rPr>
      </w:pPr>
      <w:r>
        <w:rPr>
          <w:rFonts w:ascii="Courier New" w:cs="Courier New" w:eastAsia="Courier New" w:hAnsi="Courier New"/>
          <w:sz w:val="15"/>
          <w:szCs w:val="15"/>
          <w:color w:val="auto"/>
        </w:rPr>
        <w:t>The Company entered into an overdraft agreement with Allied Irish Banks plc ("AIB") whereby the company guarantees any overdraft of the subsidiary ICON Clinical Research GmbH up to an amount (euro)120,000 (U.S.$158,448). As of February 28, 2005, the full facility was available to be drawn down.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80" w:lineRule="exact"/>
        <w:rPr>
          <w:sz w:val="20"/>
          <w:szCs w:val="20"/>
          <w:color w:val="auto"/>
        </w:rPr>
      </w:pPr>
    </w:p>
    <w:p>
      <w:pPr>
        <w:ind w:right="3319"/>
        <w:spacing w:after="0" w:line="368" w:lineRule="auto"/>
        <w:rPr>
          <w:sz w:val="20"/>
          <w:szCs w:val="20"/>
          <w:color w:val="auto"/>
        </w:rPr>
      </w:pPr>
      <w:r>
        <w:rPr>
          <w:rFonts w:ascii="Courier New" w:cs="Courier New" w:eastAsia="Courier New" w:hAnsi="Courier New"/>
          <w:sz w:val="15"/>
          <w:szCs w:val="15"/>
          <w:color w:val="auto"/>
        </w:rPr>
        <w:t>We believe the effects of inflation generally do not have a material adverse impact on our operations or financial conditions.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 not yet adopted</w:t>
      </w:r>
    </w:p>
    <w:p>
      <w:pPr>
        <w:spacing w:after="0" w:line="180" w:lineRule="exact"/>
        <w:rPr>
          <w:sz w:val="20"/>
          <w:szCs w:val="20"/>
          <w:color w:val="auto"/>
        </w:rPr>
      </w:pPr>
    </w:p>
    <w:p>
      <w:pPr>
        <w:jc w:val="both"/>
        <w:ind w:right="2959"/>
        <w:spacing w:after="0" w:line="256" w:lineRule="auto"/>
        <w:rPr>
          <w:sz w:val="20"/>
          <w:szCs w:val="20"/>
          <w:color w:val="auto"/>
        </w:rPr>
      </w:pPr>
      <w:r>
        <w:rPr>
          <w:rFonts w:ascii="Courier New" w:cs="Courier New" w:eastAsia="Courier New" w:hAnsi="Courier New"/>
          <w:sz w:val="15"/>
          <w:szCs w:val="15"/>
          <w:color w:val="auto"/>
        </w:rPr>
        <w:t>In December 2004, the FASB issued Statement No. 123R, "Share-Based Payment - An Amendment of FASB Statements No. 123 and 95 ("SFAS No.123R"), which is effective for public companies in periods beginning after June 15, 2005. We will implement the proposed standard no later than the quarter that begins September 1, 2005.</w:t>
      </w:r>
    </w:p>
    <w:p>
      <w:pPr>
        <w:spacing w:after="0" w:line="2"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The cumulative effect of adoption, if any, applied on a modified prospective basis, would be measured and recognized on July 1, 2005. SFAS No. 123R addresses the accounting for transactions in which an enterprise receives goods and services in exchange for: (a) equity instruments of the enterprise; or (b) liabilities that are based on the fair value of the enterprise's equity instruments or that may be settled by the issuance of such equity instruments. SFAS No. 123R eliminates the ability to account for share-based compensation transactions using APB 25, and generally would require instead that such transactions be accounted for using a fair-value based method. Equity classified awards are measured at grant date at fair value and are not subsequently re-measured. Liability classified awards are re-measured at fair value at each balance sheet date until the awards are settled. We are currently evaluating option valuation methodologies and assumptions in light of SFAS No. 123R related to employee stock options. Current estimates of option values using the Black-Scholes method (as reported) may not be indicative of results from valuation methodologies ultimately adopted in the final rules.</w:t>
      </w:r>
    </w:p>
    <w:p>
      <w:pPr>
        <w:spacing w:after="0" w:line="88"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In November 2004, the FASB issued statement No. 151, "Inventory Costs, an amendment of ARB No. 43, Chapter 4" ("SFAS No. 151"), which is effective for public companies prospectively for inventory costs incurred in periods beginning after June 15, 2005. This Statement amends the guidance in ARB No. 43, Chapter 4 "Inventory Pricing", to clarify that accounting for abnormal amounts of idle facility expense, freight, handling costs and wasted material (spoilage) should be recognized as a current period change and to require the allocation of fixed production overhead to the costs of conversion based on normal capacity of the production facilities. We do not expect that the adoption of SFAS No. 151 will have a material impact on our financial position or results of operations.</w:t>
      </w:r>
    </w:p>
    <w:p>
      <w:pPr>
        <w:spacing w:after="0" w:line="82" w:lineRule="exact"/>
        <w:rPr>
          <w:sz w:val="20"/>
          <w:szCs w:val="20"/>
          <w:color w:val="auto"/>
        </w:rPr>
      </w:pPr>
    </w:p>
    <w:p>
      <w:pPr>
        <w:ind w:right="2959"/>
        <w:spacing w:after="0" w:line="256" w:lineRule="auto"/>
        <w:rPr>
          <w:sz w:val="20"/>
          <w:szCs w:val="20"/>
          <w:color w:val="auto"/>
        </w:rPr>
      </w:pPr>
      <w:r>
        <w:rPr>
          <w:rFonts w:ascii="Courier New" w:cs="Courier New" w:eastAsia="Courier New" w:hAnsi="Courier New"/>
          <w:sz w:val="15"/>
          <w:szCs w:val="15"/>
          <w:color w:val="auto"/>
        </w:rPr>
        <w:t>In December 2004, the FASB issued Statement No. 153, "Exchanges of Nonmonetary assets - an amendment of APB Opinion No. 29" ("SFAS No. 153"), which is effective for public companies in periods beginning after June 15, 2005. The guidance in APB opinion No. 29, Accounting for Nonmonetary Transactions,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We do not expect that the adoption of SFAS No. 153 will have a material impact on our financial position or results of operations.</w:t>
      </w:r>
    </w:p>
    <w:p>
      <w:pPr>
        <w:spacing w:after="0" w:line="84"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In November 2003 and March 2004, the Emerging Issues Task Force (EITF) reached partial consensus on EITF 03-1, "The Meaning of Other-Than-Temporary Impairment and its Application to Certain Investments," ("EITF 03-1"). EITF 03-1 addresses the meaning of other then temporary impairment and its application to investments classified as either available-for-sale or held-to-maturity under SFAS 115, "Accounting for Certain Investments in Debt and Equity Securities" and investments accounted for under the cost method. The EITF agreed on certain quantitative and qualitative disclosures about unrealised losses pertaining to securities classified as</w:t>
      </w:r>
    </w:p>
    <w:p>
      <w:pPr>
        <w:spacing w:after="0" w:line="200" w:lineRule="exact"/>
        <w:rPr>
          <w:sz w:val="20"/>
          <w:szCs w:val="20"/>
          <w:color w:val="auto"/>
        </w:rPr>
      </w:pPr>
    </w:p>
    <w:p>
      <w:pPr>
        <w:spacing w:after="0" w:line="22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5" w:right="1440" w:bottom="459" w:gutter="0" w:footer="0" w:header="0"/>
        </w:sectPr>
      </w:pPr>
    </w:p>
    <w:bookmarkStart w:id="19" w:name="page20"/>
    <w:bookmarkEnd w:id="19"/>
    <w:p>
      <w:pPr>
        <w:ind w:right="3039"/>
        <w:spacing w:after="0" w:line="307" w:lineRule="auto"/>
        <w:rPr>
          <w:sz w:val="20"/>
          <w:szCs w:val="20"/>
          <w:color w:val="auto"/>
        </w:rPr>
      </w:pPr>
      <w:r>
        <w:rPr>
          <w:rFonts w:ascii="Courier New" w:cs="Courier New" w:eastAsia="Courier New" w:hAnsi="Courier New"/>
          <w:sz w:val="15"/>
          <w:szCs w:val="15"/>
          <w:color w:val="auto"/>
        </w:rPr>
        <w:t>available-for-sale or held-to-maturity. In addition, EITF 03-1requires certain disclosures about cost method investments. The recognition and measurement provisions of EITF 03-1 have been deferred until additional guidance is issued.</w:t>
      </w:r>
    </w:p>
    <w:p>
      <w:pPr>
        <w:spacing w:after="0" w:line="39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3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964" w:right="1440" w:bottom="1440" w:gutter="0" w:footer="0" w:header="0"/>
        </w:sectPr>
      </w:pPr>
    </w:p>
    <w:bookmarkStart w:id="21" w:name="page22"/>
    <w:bookmarkEnd w:id="21"/>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679"/>
        <w:spacing w:after="0" w:line="30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00" w:type="dxa"/>
            <w:vAlign w:val="bottom"/>
          </w:tcPr>
          <w:p>
            <w:pPr>
              <w:spacing w:after="0"/>
              <w:rPr>
                <w:sz w:val="22"/>
                <w:szCs w:val="22"/>
                <w:color w:val="auto"/>
              </w:rPr>
            </w:pPr>
          </w:p>
        </w:tc>
        <w:tc>
          <w:tcPr>
            <w:tcW w:w="3500" w:type="dxa"/>
            <w:vAlign w:val="bottom"/>
          </w:tcPr>
          <w:p>
            <w:pPr>
              <w:ind w:left="780"/>
              <w:spacing w:after="0"/>
              <w:rPr>
                <w:sz w:val="20"/>
                <w:szCs w:val="20"/>
                <w:color w:val="auto"/>
              </w:rPr>
            </w:pPr>
            <w:r>
              <w:rPr>
                <w:rFonts w:ascii="Courier New" w:cs="Courier New" w:eastAsia="Courier New" w:hAnsi="Courier New"/>
                <w:sz w:val="15"/>
                <w:szCs w:val="15"/>
                <w:color w:val="auto"/>
              </w:rPr>
              <w:t>ICON plc</w:t>
            </w:r>
          </w:p>
        </w:tc>
        <w:tc>
          <w:tcPr>
            <w:tcW w:w="0" w:type="dxa"/>
            <w:vAlign w:val="bottom"/>
          </w:tcPr>
          <w:p>
            <w:pPr>
              <w:spacing w:after="0"/>
              <w:rPr>
                <w:sz w:val="1"/>
                <w:szCs w:val="1"/>
                <w:color w:val="auto"/>
              </w:rPr>
            </w:pPr>
          </w:p>
        </w:tc>
      </w:tr>
      <w:tr>
        <w:trPr>
          <w:trHeight w:val="792"/>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March 22, 2005</w:t>
            </w:r>
          </w:p>
        </w:tc>
        <w:tc>
          <w:tcPr>
            <w:tcW w:w="3500" w:type="dxa"/>
            <w:vAlign w:val="bottom"/>
          </w:tcPr>
          <w:p>
            <w:pPr>
              <w:ind w:left="780"/>
              <w:spacing w:after="0"/>
              <w:rPr>
                <w:sz w:val="20"/>
                <w:szCs w:val="20"/>
                <w:color w:val="auto"/>
              </w:rPr>
            </w:pPr>
            <w:r>
              <w:rPr>
                <w:rFonts w:ascii="Courier New" w:cs="Courier New" w:eastAsia="Courier New" w:hAnsi="Courier New"/>
                <w:sz w:val="15"/>
                <w:szCs w:val="15"/>
                <w:color w:val="auto"/>
              </w:rPr>
              <w:t>/s/ Sean Leech</w:t>
            </w:r>
          </w:p>
        </w:tc>
        <w:tc>
          <w:tcPr>
            <w:tcW w:w="0" w:type="dxa"/>
            <w:vAlign w:val="bottom"/>
          </w:tcPr>
          <w:p>
            <w:pPr>
              <w:spacing w:after="0"/>
              <w:rPr>
                <w:sz w:val="1"/>
                <w:szCs w:val="1"/>
                <w:color w:val="auto"/>
              </w:rPr>
            </w:pPr>
          </w:p>
        </w:tc>
      </w:tr>
      <w:tr>
        <w:trPr>
          <w:trHeight w:val="175"/>
        </w:trPr>
        <w:tc>
          <w:tcPr>
            <w:tcW w:w="3400" w:type="dxa"/>
            <w:vAlign w:val="bottom"/>
            <w:vMerge w:val="restart"/>
          </w:tcPr>
          <w:p>
            <w:pPr>
              <w:spacing w:after="0"/>
              <w:rPr>
                <w:sz w:val="20"/>
                <w:szCs w:val="20"/>
                <w:color w:val="auto"/>
              </w:rPr>
            </w:pPr>
            <w:r>
              <w:rPr>
                <w:rFonts w:ascii="Courier New" w:cs="Courier New" w:eastAsia="Courier New" w:hAnsi="Courier New"/>
                <w:sz w:val="30"/>
                <w:szCs w:val="30"/>
                <w:color w:val="auto"/>
                <w:w w:val="93"/>
                <w:vertAlign w:val="subscript"/>
              </w:rPr>
              <w:t>Date</w:t>
            </w:r>
            <w:r>
              <w:rPr>
                <w:rFonts w:ascii="Courier New" w:cs="Courier New" w:eastAsia="Courier New" w:hAnsi="Courier New"/>
                <w:sz w:val="15"/>
                <w:szCs w:val="15"/>
                <w:color w:val="auto"/>
                <w:w w:val="93"/>
              </w:rPr>
              <w:t>-----------------------------------</w:t>
            </w:r>
          </w:p>
        </w:tc>
        <w:tc>
          <w:tcPr>
            <w:tcW w:w="3500" w:type="dxa"/>
            <w:vAlign w:val="bottom"/>
          </w:tcPr>
          <w:p>
            <w:pPr>
              <w:ind w:left="96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3400" w:type="dxa"/>
            <w:vAlign w:val="bottom"/>
            <w:vMerge w:val="continue"/>
          </w:tcPr>
          <w:p>
            <w:pPr>
              <w:spacing w:after="0"/>
              <w:rPr>
                <w:sz w:val="15"/>
                <w:szCs w:val="15"/>
                <w:color w:val="auto"/>
              </w:rPr>
            </w:pPr>
          </w:p>
        </w:tc>
        <w:tc>
          <w:tcPr>
            <w:tcW w:w="3500" w:type="dxa"/>
            <w:vAlign w:val="bottom"/>
          </w:tcPr>
          <w:p>
            <w:pPr>
              <w:ind w:left="780"/>
              <w:spacing w:after="0"/>
              <w:rPr>
                <w:sz w:val="20"/>
                <w:szCs w:val="20"/>
                <w:color w:val="auto"/>
              </w:rPr>
            </w:pPr>
            <w:r>
              <w:rPr>
                <w:rFonts w:ascii="Courier New" w:cs="Courier New" w:eastAsia="Courier New" w:hAnsi="Courier New"/>
                <w:sz w:val="15"/>
                <w:szCs w:val="15"/>
                <w:color w:val="auto"/>
              </w:rPr>
              <w:t>Sean Leech</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2"/>
                <w:szCs w:val="22"/>
                <w:color w:val="auto"/>
              </w:rPr>
            </w:pPr>
          </w:p>
        </w:tc>
        <w:tc>
          <w:tcPr>
            <w:tcW w:w="3500" w:type="dxa"/>
            <w:vAlign w:val="bottom"/>
          </w:tcPr>
          <w:p>
            <w:pPr>
              <w:ind w:left="780"/>
              <w:spacing w:after="0"/>
              <w:rPr>
                <w:sz w:val="20"/>
                <w:szCs w:val="20"/>
                <w:color w:val="auto"/>
              </w:rPr>
            </w:pPr>
            <w:r>
              <w:rPr>
                <w:rFonts w:ascii="Courier New" w:cs="Courier New" w:eastAsia="Courier New" w:hAnsi="Courier New"/>
                <w:sz w:val="15"/>
                <w:szCs w:val="15"/>
                <w:color w:val="auto"/>
              </w:rPr>
              <w:t>Chief Financial Officer</w:t>
            </w:r>
          </w:p>
        </w:tc>
        <w:tc>
          <w:tcPr>
            <w:tcW w:w="0" w:type="dxa"/>
            <w:vAlign w:val="bottom"/>
          </w:tcPr>
          <w:p>
            <w:pPr>
              <w:spacing w:after="0"/>
              <w:rPr>
                <w:sz w:val="1"/>
                <w:szCs w:val="1"/>
                <w:color w:val="auto"/>
              </w:rPr>
            </w:pPr>
          </w:p>
        </w:tc>
      </w:tr>
      <w:tr>
        <w:trPr>
          <w:trHeight w:val="1049"/>
        </w:trPr>
        <w:tc>
          <w:tcPr>
            <w:tcW w:w="340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9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lowerLetter"/>
      <w:start w:val="1"/>
    </w:lvl>
    <w:lvl w:ilvl="1">
      <w:lvlJc w:val="left"/>
      <w:lvlText w:val="*"/>
      <w:numFmt w:val="bullet"/>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lowerLetter"/>
      <w:start w:val="4"/>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7"/>
    </w:lvl>
  </w:abstractNum>
  <w:abstractNum w:abstractNumId="7">
    <w:nsid w:val="7545E146"/>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2019-12-14T19:20:58Z</dcterms:created>
  <dcterms:modified xsi:type="dcterms:W3CDTF">2019-12-14T19:20:58Z</dcterms:modified>
</cp:coreProperties>
</file>